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32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5"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(to Prospectus dated November 8, 2024)</w:t>
      </w:r>
    </w:p>
    <w:p>
      <w:pPr>
        <w:spacing w:after="0" w:line="20" w:lineRule="exact"/>
        <w:rPr>
          <w:sz w:val="24"/>
          <w:szCs w:val="24"/>
          <w:color w:val="auto"/>
        </w:rPr>
      </w:pPr>
      <w:r>
        <w:rPr>
          <w:sz w:val="24"/>
          <w:szCs w:val="24"/>
          <w:color w:val="auto"/>
        </w:rPr>
        <w:br w:type="column"/>
      </w:r>
    </w:p>
    <w:p>
      <w:pPr>
        <w:jc w:val="right"/>
        <w:ind w:right="1339"/>
        <w:spacing w:after="0"/>
        <w:rPr>
          <w:sz w:val="20"/>
          <w:szCs w:val="20"/>
          <w:color w:val="auto"/>
        </w:rPr>
      </w:pPr>
      <w:r>
        <w:rPr>
          <w:rFonts w:ascii="Times New Roman" w:cs="Times New Roman" w:eastAsia="Times New Roman" w:hAnsi="Times New Roman"/>
          <w:sz w:val="14"/>
          <w:szCs w:val="14"/>
          <w:b w:val="1"/>
          <w:bCs w:val="1"/>
          <w:color w:val="auto"/>
        </w:rPr>
        <w:t>Filed pursuant to Rule 424(b)(2)</w:t>
      </w:r>
    </w:p>
    <w:p>
      <w:pPr>
        <w:spacing w:after="0" w:line="25" w:lineRule="exact"/>
        <w:rPr>
          <w:sz w:val="24"/>
          <w:szCs w:val="24"/>
          <w:color w:val="auto"/>
        </w:rPr>
      </w:pPr>
    </w:p>
    <w:p>
      <w:pPr>
        <w:jc w:val="right"/>
        <w:ind w:right="1339"/>
        <w:spacing w:after="0"/>
        <w:rPr>
          <w:sz w:val="20"/>
          <w:szCs w:val="20"/>
          <w:color w:val="auto"/>
        </w:rPr>
      </w:pPr>
      <w:r>
        <w:rPr>
          <w:rFonts w:ascii="Times New Roman" w:cs="Times New Roman" w:eastAsia="Times New Roman" w:hAnsi="Times New Roman"/>
          <w:sz w:val="14"/>
          <w:szCs w:val="14"/>
          <w:b w:val="1"/>
          <w:bCs w:val="1"/>
          <w:color w:val="auto"/>
        </w:rPr>
        <w:t>File No. 333-283109</w:t>
      </w:r>
    </w:p>
    <w:p>
      <w:pPr>
        <w:spacing w:after="0" w:line="153" w:lineRule="exact"/>
        <w:rPr>
          <w:sz w:val="24"/>
          <w:szCs w:val="24"/>
          <w:color w:val="auto"/>
        </w:rPr>
      </w:pPr>
    </w:p>
    <w:p>
      <w:pPr>
        <w:sectPr>
          <w:pgSz w:w="11900" w:h="16838" w:orient="portrait"/>
          <w:cols w:equalWidth="0" w:num="2">
            <w:col w:w="5020" w:space="720"/>
            <w:col w:w="3279"/>
          </w:cols>
          <w:pgMar w:left="1440" w:top="493"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$60,000,000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2571115</wp:posOffset>
            </wp:positionH>
            <wp:positionV relativeFrom="paragraph">
              <wp:posOffset>86360</wp:posOffset>
            </wp:positionV>
            <wp:extent cx="57785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7850" cy="5911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Oxford Lane Capital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Shares, 8.25% Series 2031</w:t>
      </w:r>
    </w:p>
    <w:p>
      <w:pPr>
        <w:jc w:val="center"/>
        <w:spacing w:after="0"/>
        <w:rPr>
          <w:sz w:val="20"/>
          <w:szCs w:val="20"/>
          <w:color w:val="auto"/>
        </w:rPr>
      </w:pPr>
      <w:r>
        <w:rPr>
          <w:rFonts w:ascii="Times New Roman" w:cs="Times New Roman" w:eastAsia="Times New Roman" w:hAnsi="Times New Roman"/>
          <w:sz w:val="17"/>
          <w:szCs w:val="17"/>
          <w:b w:val="1"/>
          <w:bCs w:val="1"/>
          <w:color w:val="auto"/>
        </w:rPr>
        <w:t>Liquidation Preference $25 per Share</w:t>
      </w:r>
    </w:p>
    <w:p>
      <w:pPr>
        <w:spacing w:after="0" w:line="152"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93" w:lineRule="exact"/>
        <w:rPr>
          <w:sz w:val="24"/>
          <w:szCs w:val="24"/>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We are a closed-end management investment company that has registered as an investment company under the Investment Company Act of 1940, as amended, or the “1940 Act.” Our investment objective is to maximize our portfolio’s risk-adjusted total return. We have implemented our investment objective by purchasing portions of equity and junior debt tranches of collateralized loan obligation, or “CLO,” vehicles. Structurally, CLO vehicles are entities formed to originate and/or acquire a portfolio of loans.</w:t>
      </w:r>
    </w:p>
    <w:p>
      <w:pPr>
        <w:spacing w:after="0" w:line="91" w:lineRule="exact"/>
        <w:rPr>
          <w:sz w:val="24"/>
          <w:szCs w:val="24"/>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We are offering 2,400,000 shares of our 8.25% Series 2031 preferred stock, or the “8.25% Series 2031 Term Preferred Shares.” We will pay monthly dividends on the 8.25% Series 2031 Term Preferred Shares at an annual rate of 8.25% of the $25 liquidation preference per share, or $2.0625 per 8.25% Series 2031 Term Preferred Share per year, on the last business day of each month, commencing April 30, 2026.</w:t>
      </w:r>
    </w:p>
    <w:p>
      <w:pPr>
        <w:spacing w:after="0" w:line="77" w:lineRule="exact"/>
        <w:rPr>
          <w:sz w:val="24"/>
          <w:szCs w:val="24"/>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We are required to redeem all of the outstanding 8.25% Series 2031 Term Preferred Shares on March 20, 2031 at a redemption price equal to $25 per share plus an amount equal to accumulated but unpaid dividends, if any, to, but excluding, the date of redemption. We cannot effect any amendment, alteration or repeal of our obligation to redeem all of the 8.25% Series 2031 Term Preferred Shares on March 20, 2031 without the prior unanimous consent of the holders of 8.25% Series 2031 Term Preferred Shares. If we fail to maintain an asset coverage ratio of at least 200% (as described in this prospectus supplement), we will redeem a portion of the outstanding 8.25% Series 2031 Term Preferred Shares in an amount at least equal to the lesser of (1) the minimum number of shares of 8.25% Series 2031 Term Preferred Shares necessary to cause us to meet our required asset coverage ratio and (2) the maximum number of 8.25% Series 2031 Term Preferred Shares that we can redeem out of cash legally available for such redemption. At any time on or after March 20, 2028 at our sole option, we may redeem the 8.25% Series 2031 Term Preferred Shares at a redemption price per share equal to the sum of the $25 liquidation preference per share plus an amount equal to accumulated but unpaid dividends, if any, on the 8.25% Series 2031 Term Preferred Shares.</w:t>
      </w:r>
    </w:p>
    <w:p>
      <w:pPr>
        <w:spacing w:after="0" w:line="91" w:lineRule="exact"/>
        <w:rPr>
          <w:sz w:val="24"/>
          <w:szCs w:val="24"/>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b w:val="1"/>
          <w:bCs w:val="1"/>
          <w:color w:val="auto"/>
        </w:rPr>
        <w:t>An investment in our securities is subject to significant risks and involves a heightened risk of total loss of investment. The price of shares of our preferred stock may be highly volatile. The interests of the CLO securities in which we invest are subject to a high degree of special risks, including: CLO structures are highly complicated and may be subject to disadvantageous tax treatment; CLO vehicles are highly levered (with CLO equity securities typically being leveraged between nine and thirteen times) and are made up of below investment grade loans in which we typically have a residual interest that is much riskier than the loans that make up the CLO vehicle; and the market price for CLO vehicles may fluctuate dramatically, which may make portfolio valuations unreliable and negatively impact our net asset value and our ability to make distributions to our stockholders. Some instruments issued by CLO vehicles may not be readily marketable and may be subject to restrictions on resale. Securities issued by CLO vehicles are generally not listed on any U.S. national securities exchange and no active trading market may exist for the securities of CLO vehicles in which we may invest. Although a secondary market may exist for our investments in CLO vehicles, the market for our investments in CLO vehicles may be subject to irregular trading activity, wide bid/ask spreads and extended trade settlement periods. As a result, these types of investments will be more difficult to value. See “Risk Factors” beginning on page S-16 of this prospectus supplement and page 15 of the accompanying prospectus and under similar headings in the documents that are incorporated by reference into this prospectus supplement and the accompanying prospectus, to read about factors you should consider, including the risk of leverage, before investing in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844550</wp:posOffset>
            </wp:positionH>
            <wp:positionV relativeFrom="paragraph">
              <wp:posOffset>300355</wp:posOffset>
            </wp:positionV>
            <wp:extent cx="40309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type w:val="continuous"/>
        </w:sectPr>
      </w:pPr>
    </w:p>
    <w:bookmarkStart w:id="1" w:name="page2"/>
    <w:bookmarkEnd w:id="1"/>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Currently we have issued and outstanding the 6.25% Series 2027 Term Preferred Shares (the “Series 2027 Term Preferred Shares”), the 6.00% Series 2029 Term Preferred Shares (the “6.00% Series 2029 Term Preferred Shares”), the 7.125% Series 2029 Term Preferred Shares (the “7.125% Series 2029 Term Preferred Shares” and, together with the Series 2027 Term Preferred Shares, the 6.00% Series 2029 Term Preferred Shares and the 8.25% Series 2031 Term Preferred Shares, the “Term Preferred Shares”), and the 6.75% Notes due 2031 (the “2031 Notes”), the 5.00% Notes due 2027 (the “2027 Notes”), the 8.75% Notes due 2030 (the “2030 Notes”), and the 7.95% Notes due 2032 (the “2032 Notes,” and, together with the 2031 Notes, the 2027 Notes and the 2030 Notes, the “Notes”). As of December 31, 2025, there was an aggregate of $219.1 million of our Term Preferred Shares issued and outstanding, consisting of $88.1 million of our Series 2027 Term Preferred Shares, $67.2 million of our 6.00% Series 2029 Term Preferred Shares, and $63.8 million of our 7.125% Series 2029 Term Preferred Shares. As of December 31, 2025, there was an aggregate of $500.0 million principal amount of our Notes issued and outstanding, consisting of $100.0 million in aggregate principal amount of our 2031 Notes, $100.0 million in aggregate principal amount of our 2027 Notes, $115.0 million in aggregate principal amount of our 2030 Notes and $185.0 million in aggregate principal amount of our 2032 Notes. As of December 31, 2025, there were no accumulated but unpaid dividends on our Term Preferred Shares.</w:t>
      </w:r>
    </w:p>
    <w:p>
      <w:pPr>
        <w:spacing w:after="0" w:line="98" w:lineRule="exact"/>
        <w:rPr>
          <w:sz w:val="20"/>
          <w:szCs w:val="20"/>
          <w:color w:val="auto"/>
        </w:rPr>
      </w:pPr>
    </w:p>
    <w:p>
      <w:pPr>
        <w:jc w:val="both"/>
        <w:ind w:left="1320" w:right="1339" w:firstLine="339"/>
        <w:spacing w:after="0" w:line="261" w:lineRule="auto"/>
        <w:rPr>
          <w:sz w:val="20"/>
          <w:szCs w:val="20"/>
          <w:color w:val="auto"/>
        </w:rPr>
      </w:pPr>
      <w:r>
        <w:rPr>
          <w:rFonts w:ascii="Times New Roman" w:cs="Times New Roman" w:eastAsia="Times New Roman" w:hAnsi="Times New Roman"/>
          <w:sz w:val="14"/>
          <w:szCs w:val="14"/>
          <w:color w:val="auto"/>
        </w:rPr>
        <w:t xml:space="preserve">The 8.25% Series 2031 Term Preferred Shares will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or equally, in right of payment with the Series 2027 Term Preferred Shares, the 6.00% Series 2029 Term Preferred Shares and the 7.125% Series 2029 Term Preferred Shares, and all other shares of preferred stock that we may issue in the future (collectively, “Preferred Stock”). The 8.25% Series 2031 Term Preferred Shares will rank senior in right of payment to our common stock, and subordinated in right of payment to the Notes.</w:t>
      </w:r>
    </w:p>
    <w:p>
      <w:pPr>
        <w:spacing w:after="0" w:line="89" w:lineRule="exact"/>
        <w:rPr>
          <w:sz w:val="20"/>
          <w:szCs w:val="20"/>
          <w:color w:val="auto"/>
        </w:rPr>
      </w:pPr>
    </w:p>
    <w:p>
      <w:pPr>
        <w:jc w:val="both"/>
        <w:ind w:left="1320" w:right="1339" w:firstLine="339"/>
        <w:spacing w:after="0" w:line="253" w:lineRule="auto"/>
        <w:rPr>
          <w:sz w:val="20"/>
          <w:szCs w:val="20"/>
          <w:color w:val="auto"/>
        </w:rPr>
      </w:pPr>
      <w:r>
        <w:rPr>
          <w:rFonts w:ascii="Times New Roman" w:cs="Times New Roman" w:eastAsia="Times New Roman" w:hAnsi="Times New Roman"/>
          <w:sz w:val="14"/>
          <w:szCs w:val="14"/>
          <w:color w:val="auto"/>
        </w:rPr>
        <w:t>We have applied to list the 8.25% Series 2031 Term Preferred Shares on the NASDAQ Global Select Market and we expect trading to commence thereon within 30 days after the date of initial delivery of the 8.25% Series 2031 Term Preferred Shares under the symbol “OXLCM.” Our common stock is traded on the NASDAQ Global Select Market under the symbol “OXLC.” On March 9, 2026, the last reported sales price on the NASDAQ Global Select Market for our common stock was $8.44 per share. Our Series 2027 Term Preferred Shares are traded on the NASDAQ Global Select Market under the symbol “OXLCP.” On March 9, 2026, the last sale price of our Series 2027 Term Preferred Shares as reported on NASDAQ Global Select Market was $24.86 per share. Our 6.00% Series 2029 Term Preferred Shares are traded on the NASDAQ Global Select Market under the symbol “OXLCO.” On March 9, 2026, the last sale price of our 6.00% Series 2029 Term Preferred Shares as reported on NASDAQ Global Select Market was $23.55 per share. Our 7.125% Series 2029 Term Preferred Shares are traded on the NASDAQ Global Select Market under the symbol “OXLCN.” On March 9, 2026, the last sale price of our 7.125% Series 2029 Term Preferred Shares as reported on NASDAQ Global Select Market was $24.25 per share. Our 2031 Notes are traded on the NASDAQ Global Select Market under the symbol “OXLCL.” On March 9, 2026, the last sale price of our 2031 Notes as reported on NASDAQ Global Select Market was $23.85. Our 2027 Notes are traded on the NASDAQ Global Select Market under the symbol “OXLCZ.” On March 9, 2026, the last sale price of our 2027 Notes as reported on NASDAQ Global Select Market was $24.67. Our 2030 Notes are traded on the NASDAQ Global Select Market under the symbol “OXLCI.” On March 9, 2026, the last sale price of our 2030 Notes as reported on NASDAQ Global Select Market was $25.69. Our 2032 Notes are traded on the NASDAQ Global Select Market under the symbol “OXLCG.” On March 9, 2026, the last sale price of our 2032 Notes as reported on NASDAQ Global Select Market was $25.08. The 8.25% Series 2031 Term Preferred Shares are not convertible into our common stock or any other security of our company.</w:t>
      </w:r>
    </w:p>
    <w:p>
      <w:pPr>
        <w:spacing w:after="0" w:line="97"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We are required to determine the net asset value per share of our common stock on a quarterly basis. Our net asset value per share of our common stock as of December 31, 2025 was $15.51.</w:t>
      </w:r>
    </w:p>
    <w:p>
      <w:pPr>
        <w:spacing w:after="0" w:line="69" w:lineRule="exact"/>
        <w:rPr>
          <w:sz w:val="20"/>
          <w:szCs w:val="20"/>
          <w:color w:val="auto"/>
        </w:rPr>
      </w:pPr>
    </w:p>
    <w:p>
      <w:pPr>
        <w:jc w:val="both"/>
        <w:ind w:left="1320" w:right="1339" w:firstLine="339"/>
        <w:spacing w:after="0" w:line="270"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3"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Please read this prospectus supplement, the accompanying prospectus, and the documents incorporated by reference into this prospectus supplement and the accompanying prospectus before investing in our securities and keep each for future reference. This prospectus supplement, the accompanying prospectus, and the documents incorporated by reference into this prospectus supplement and the accompanying prospectus contain important information about us that a prospective investor should know before investing in our securities. We are required to file annual and semi-annual reports, proxy statements and other information about us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187325</wp:posOffset>
            </wp:positionV>
            <wp:extent cx="40309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2" w:name="page3"/>
    <w:bookmarkEnd w:id="2"/>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58" w:lineRule="auto"/>
        <w:rPr>
          <w:sz w:val="20"/>
          <w:szCs w:val="20"/>
          <w:color w:val="auto"/>
        </w:rPr>
      </w:pPr>
      <w:r>
        <w:rPr>
          <w:rFonts w:ascii="Times New Roman" w:cs="Times New Roman" w:eastAsia="Times New Roman" w:hAnsi="Times New Roman"/>
          <w:sz w:val="14"/>
          <w:szCs w:val="14"/>
          <w:color w:val="auto"/>
        </w:rPr>
        <w:t xml:space="preserve">or the “SEC.” This information is available free of charge by contacting us by mail at 8 Sound Shore Drive, Suite 255, Greenwich, CT 06830, by telephone at (203) 983-5275 or on our website at </w:t>
      </w:r>
      <w:r>
        <w:rPr>
          <w:rFonts w:ascii="Times New Roman" w:cs="Times New Roman" w:eastAsia="Times New Roman" w:hAnsi="Times New Roman"/>
          <w:sz w:val="14"/>
          <w:szCs w:val="14"/>
          <w:i w:val="1"/>
          <w:iCs w:val="1"/>
          <w:color w:val="auto"/>
        </w:rPr>
        <w:t>http://www.oxfordlanecapital.com</w:t>
      </w:r>
      <w:r>
        <w:rPr>
          <w:rFonts w:ascii="Times New Roman" w:cs="Times New Roman" w:eastAsia="Times New Roman" w:hAnsi="Times New Roman"/>
          <w:sz w:val="14"/>
          <w:szCs w:val="14"/>
          <w:color w:val="auto"/>
        </w:rPr>
        <w:t xml:space="preserve">. The SEC also maintains a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xml:space="preserve"> that contains such information. Information contained on our website is not incorporated by reference into this prospectus supplement or the accompanying prospectus, and you should not consider such information to be part of this prospectus supplement or the accompanying prospectus, except documents incorporated by reference into this prospectus supplement or the accompanying prospectus.</w:t>
      </w:r>
    </w:p>
    <w:p>
      <w:pPr>
        <w:spacing w:after="0" w:line="155" w:lineRule="exact"/>
        <w:rPr>
          <w:sz w:val="20"/>
          <w:szCs w:val="20"/>
          <w:color w:val="auto"/>
        </w:rPr>
      </w:pPr>
    </w:p>
    <w:tbl>
      <w:tblPr>
        <w:tblLayout w:type="fixed"/>
        <w:tblInd w:w="1320" w:type="dxa"/>
        <w:tblCellMar>
          <w:top w:w="0" w:type="dxa"/>
          <w:left w:w="0" w:type="dxa"/>
          <w:bottom w:w="0" w:type="dxa"/>
          <w:right w:w="0" w:type="dxa"/>
        </w:tblCellMar>
      </w:tblPr>
      <w:tr>
        <w:trPr>
          <w:trHeight w:val="200"/>
        </w:trPr>
        <w:tc>
          <w:tcPr>
            <w:tcW w:w="4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80" w:type="dxa"/>
            <w:vAlign w:val="bottom"/>
          </w:tcPr>
          <w:p>
            <w:pPr>
              <w:spacing w:after="0"/>
              <w:rPr>
                <w:sz w:val="17"/>
                <w:szCs w:val="17"/>
                <w:color w:val="auto"/>
              </w:rPr>
            </w:pPr>
          </w:p>
        </w:tc>
        <w:tc>
          <w:tcPr>
            <w:tcW w:w="80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4"/>
                <w:szCs w:val="14"/>
                <w:b w:val="1"/>
                <w:bCs w:val="1"/>
                <w:color w:val="auto"/>
                <w:vertAlign w:val="superscript"/>
              </w:rPr>
              <w:t>(1)</w:t>
            </w:r>
          </w:p>
        </w:tc>
      </w:tr>
      <w:tr>
        <w:trPr>
          <w:trHeight w:val="185"/>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Offering Price</w:t>
            </w:r>
          </w:p>
        </w:tc>
        <w:tc>
          <w:tcPr>
            <w:tcW w:w="120" w:type="dxa"/>
            <w:vAlign w:val="bottom"/>
            <w:tcBorders>
              <w:top w:val="single" w:sz="8" w:color="auto"/>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60,000,000</w:t>
            </w:r>
          </w:p>
        </w:tc>
      </w:tr>
      <w:tr>
        <w:trPr>
          <w:trHeight w:val="190"/>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Sales Load (Underwriting Discounts and Commissions)</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0.78125</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1,875,000</w:t>
            </w:r>
          </w:p>
        </w:tc>
      </w:tr>
      <w:tr>
        <w:trPr>
          <w:trHeight w:val="32"/>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to the Company (before expenses)</w:t>
            </w:r>
            <w:r>
              <w:rPr>
                <w:rFonts w:ascii="Times New Roman" w:cs="Times New Roman" w:eastAsia="Times New Roman" w:hAnsi="Times New Roman"/>
                <w:sz w:val="16"/>
                <w:szCs w:val="16"/>
                <w:color w:val="auto"/>
                <w:vertAlign w:val="superscript"/>
              </w:rPr>
              <w:t>(2)</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24.21875</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58,125,000</w:t>
            </w:r>
          </w:p>
        </w:tc>
      </w:tr>
    </w:tbl>
    <w:p>
      <w:pPr>
        <w:spacing w:after="0" w:line="3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____________</w:t>
      </w:r>
    </w:p>
    <w:p>
      <w:pPr>
        <w:spacing w:after="0" w:line="73" w:lineRule="exact"/>
        <w:rPr>
          <w:sz w:val="20"/>
          <w:szCs w:val="20"/>
          <w:color w:val="auto"/>
        </w:rPr>
      </w:pPr>
    </w:p>
    <w:p>
      <w:pPr>
        <w:jc w:val="both"/>
        <w:ind w:left="1660" w:right="1339" w:hanging="330"/>
        <w:spacing w:after="0" w:line="257" w:lineRule="auto"/>
        <w:tabs>
          <w:tab w:leader="none" w:pos="16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granted the underwriters a 30-day option to purchase up to an additional 360,000 of 8.25% Series 2031 Term Preferred Shares from us to cover over-allotments, if any. If such option is exercised in full, the public offering price, underwriting discounts and commissions and proceeds, before expenses, to us would be $69,000,000, $2,156,250 and $66,843,750, respectively. See “Underwriting”.</w:t>
      </w:r>
    </w:p>
    <w:p>
      <w:pPr>
        <w:jc w:val="both"/>
        <w:ind w:left="1660" w:right="1339" w:hanging="330"/>
        <w:spacing w:after="0" w:line="262" w:lineRule="auto"/>
        <w:tabs>
          <w:tab w:leader="none" w:pos="16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expenses of the offering payable by us, excluding underwriting discounts and commissions, are estimated to be $292,000. Payment of this additional underwriting compensation will reduce the proceeds to us, before expenses. See “Underwriting.”</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underwriters expect to deliver the shares on or about March 20, 2026.</w:t>
      </w:r>
    </w:p>
    <w:p>
      <w:pPr>
        <w:spacing w:after="0" w:line="17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1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p>
      <w:pPr>
        <w:sectPr>
          <w:pgSz w:w="11900" w:h="16838" w:orient="portrait"/>
          <w:cols w:equalWidth="0" w:num="1">
            <w:col w:w="9019"/>
          </w:cols>
          <w:pgMar w:left="1440" w:top="241" w:right="1440" w:bottom="1440" w:gutter="0" w:footer="0" w:header="0"/>
        </w:sectPr>
      </w:pPr>
    </w:p>
    <w:p>
      <w:pPr>
        <w:spacing w:after="0" w:line="15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9"/>
          <w:szCs w:val="19"/>
          <w:b w:val="1"/>
          <w:bCs w:val="1"/>
          <w:color w:val="auto"/>
        </w:rPr>
        <w:t>Lucid Capital Markets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Piper Sandler</w:t>
      </w:r>
    </w:p>
    <w:p>
      <w:pPr>
        <w:spacing w:after="0" w:line="200" w:lineRule="exact"/>
        <w:rPr>
          <w:sz w:val="20"/>
          <w:szCs w:val="20"/>
          <w:color w:val="auto"/>
        </w:rPr>
      </w:pPr>
    </w:p>
    <w:p>
      <w:pPr>
        <w:sectPr>
          <w:pgSz w:w="11900" w:h="16838" w:orient="portrait"/>
          <w:cols w:equalWidth="0" w:num="2">
            <w:col w:w="5800" w:space="720"/>
            <w:col w:w="2499"/>
          </w:cols>
          <w:pgMar w:left="1440" w:top="241"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Lead Managers</w:t>
      </w:r>
    </w:p>
    <w:p>
      <w:pPr>
        <w:sectPr>
          <w:pgSz w:w="11900" w:h="16838" w:orient="portrait"/>
          <w:cols w:equalWidth="0" w:num="1">
            <w:col w:w="9019"/>
          </w:cols>
          <w:pgMar w:left="1440" w:top="241" w:right="1440" w:bottom="1440" w:gutter="0" w:footer="0" w:header="0"/>
          <w:type w:val="continuous"/>
        </w:sectPr>
      </w:pPr>
    </w:p>
    <w:p>
      <w:pPr>
        <w:spacing w:after="0" w:line="15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9"/>
          <w:szCs w:val="19"/>
          <w:b w:val="1"/>
          <w:bCs w:val="1"/>
          <w:color w:val="auto"/>
        </w:rPr>
        <w:t>Clear Street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9"/>
          <w:szCs w:val="19"/>
          <w:b w:val="1"/>
          <w:bCs w:val="1"/>
          <w:color w:val="auto"/>
        </w:rPr>
        <w:t>InspereX</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William Blair</w:t>
      </w:r>
    </w:p>
    <w:p>
      <w:pPr>
        <w:spacing w:after="0" w:line="200" w:lineRule="exact"/>
        <w:rPr>
          <w:sz w:val="20"/>
          <w:szCs w:val="20"/>
          <w:color w:val="auto"/>
        </w:rPr>
      </w:pPr>
    </w:p>
    <w:p>
      <w:pPr>
        <w:sectPr>
          <w:pgSz w:w="11900" w:h="16838" w:orient="portrait"/>
          <w:cols w:equalWidth="0" w:num="3">
            <w:col w:w="3360" w:space="720"/>
            <w:col w:w="1720" w:space="720"/>
            <w:col w:w="2499"/>
          </w:cols>
          <w:pgMar w:left="1440" w:top="241"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i w:val="1"/>
          <w:iCs w:val="1"/>
          <w:color w:val="auto"/>
        </w:rPr>
        <w:t>Co-Manager</w:t>
      </w:r>
    </w:p>
    <w:p>
      <w:pPr>
        <w:spacing w:after="0" w:line="1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Wedbush Securities</w:t>
      </w:r>
    </w:p>
    <w:p>
      <w:pPr>
        <w:sectPr>
          <w:pgSz w:w="11900" w:h="16838" w:orient="portrait"/>
          <w:cols w:equalWidth="0" w:num="1">
            <w:col w:w="9019"/>
          </w:cols>
          <w:pgMar w:left="1440" w:top="241" w:right="1440" w:bottom="1440" w:gutter="0" w:footer="0" w:header="0"/>
          <w:type w:val="continuous"/>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Supplement dated 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217170</wp:posOffset>
            </wp:positionV>
            <wp:extent cx="40309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type w:val="continuous"/>
        </w:sectPr>
      </w:pPr>
    </w:p>
    <w:bookmarkStart w:id="3" w:name="page4"/>
    <w:bookmarkEnd w:id="3"/>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Page</w:t>
            </w:r>
          </w:p>
        </w:tc>
      </w:tr>
      <w:tr>
        <w:trPr>
          <w:trHeight w:val="36"/>
        </w:trPr>
        <w:tc>
          <w:tcPr>
            <w:tcW w:w="16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82"/>
        </w:trPr>
        <w:tc>
          <w:tcPr>
            <w:tcW w:w="20" w:type="dxa"/>
            <w:vAlign w:val="bottom"/>
          </w:tcPr>
          <w:p>
            <w:pPr>
              <w:spacing w:after="0"/>
              <w:rPr>
                <w:sz w:val="15"/>
                <w:szCs w:val="15"/>
                <w:color w:val="auto"/>
              </w:rPr>
            </w:pPr>
          </w:p>
        </w:tc>
        <w:tc>
          <w:tcPr>
            <w:tcW w:w="1940" w:type="dxa"/>
            <w:vAlign w:val="bottom"/>
            <w:tcBorders>
              <w:top w:val="single" w:sz="8" w:color="CCEEFF"/>
              <w:bottom w:val="single" w:sz="8" w:color="0000EE"/>
            </w:tcBorders>
            <w:gridSpan w:val="27"/>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EE"/>
                <w:w w:val="99"/>
              </w:rPr>
              <w:t>About this Prospectus Supplement</w:t>
            </w:r>
          </w:p>
        </w:tc>
        <w:tc>
          <w:tcPr>
            <w:tcW w:w="3760" w:type="dxa"/>
            <w:vAlign w:val="bottom"/>
            <w:tcBorders>
              <w:top w:val="single" w:sz="8" w:color="CCEEFF"/>
              <w:bottom w:val="single" w:sz="8" w:color="CCEEFF"/>
            </w:tcBorders>
            <w:gridSpan w:val="13"/>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S-iii</w:t>
            </w: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Summary</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S-1</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59"/>
        </w:trPr>
        <w:tc>
          <w:tcPr>
            <w:tcW w:w="20" w:type="dxa"/>
            <w:vAlign w:val="bottom"/>
          </w:tcPr>
          <w:p>
            <w:pPr>
              <w:spacing w:after="0"/>
              <w:rPr>
                <w:sz w:val="13"/>
                <w:szCs w:val="13"/>
                <w:color w:val="auto"/>
              </w:rPr>
            </w:pPr>
          </w:p>
        </w:tc>
        <w:tc>
          <w:tcPr>
            <w:tcW w:w="5700" w:type="dxa"/>
            <w:vAlign w:val="bottom"/>
            <w:gridSpan w:val="4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The Offering</w:t>
            </w:r>
          </w:p>
        </w:tc>
        <w:tc>
          <w:tcPr>
            <w:tcW w:w="6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S-10</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Cautionary Statement Regarding Forward-Looking Statements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S-14</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59"/>
        </w:trPr>
        <w:tc>
          <w:tcPr>
            <w:tcW w:w="20" w:type="dxa"/>
            <w:vAlign w:val="bottom"/>
          </w:tcPr>
          <w:p>
            <w:pPr>
              <w:spacing w:after="0"/>
              <w:rPr>
                <w:sz w:val="13"/>
                <w:szCs w:val="13"/>
                <w:color w:val="auto"/>
              </w:rPr>
            </w:pPr>
          </w:p>
        </w:tc>
        <w:tc>
          <w:tcPr>
            <w:tcW w:w="5700" w:type="dxa"/>
            <w:vAlign w:val="bottom"/>
            <w:gridSpan w:val="4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Supplementary Risk Factors</w:t>
            </w:r>
          </w:p>
        </w:tc>
        <w:tc>
          <w:tcPr>
            <w:tcW w:w="6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S-16</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Use of Proceeds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S-19</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59"/>
        </w:trPr>
        <w:tc>
          <w:tcPr>
            <w:tcW w:w="20" w:type="dxa"/>
            <w:vAlign w:val="bottom"/>
          </w:tcPr>
          <w:p>
            <w:pPr>
              <w:spacing w:after="0"/>
              <w:rPr>
                <w:sz w:val="13"/>
                <w:szCs w:val="13"/>
                <w:color w:val="auto"/>
              </w:rPr>
            </w:pPr>
          </w:p>
        </w:tc>
        <w:tc>
          <w:tcPr>
            <w:tcW w:w="5700" w:type="dxa"/>
            <w:vAlign w:val="bottom"/>
            <w:gridSpan w:val="4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Capitalization</w:t>
            </w:r>
          </w:p>
        </w:tc>
        <w:tc>
          <w:tcPr>
            <w:tcW w:w="6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S-20</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Description of the 8.25% Series 2031 Term Preferred Shares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S-21</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20" w:type="dxa"/>
            <w:vAlign w:val="bottom"/>
          </w:tcPr>
          <w:p>
            <w:pPr>
              <w:spacing w:after="0"/>
              <w:rPr>
                <w:sz w:val="17"/>
                <w:szCs w:val="17"/>
                <w:color w:val="auto"/>
              </w:rPr>
            </w:pPr>
          </w:p>
        </w:tc>
        <w:tc>
          <w:tcPr>
            <w:tcW w:w="3380" w:type="dxa"/>
            <w:vAlign w:val="bottom"/>
            <w:tcBorders>
              <w:bottom w:val="single" w:sz="8" w:color="0000EE"/>
            </w:tcBorders>
            <w:gridSpan w:val="34"/>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w w:val="99"/>
              </w:rPr>
              <w:t>Certain Additional U.S. Federal Income Tax Considerations</w:t>
            </w:r>
          </w:p>
        </w:tc>
        <w:tc>
          <w:tcPr>
            <w:tcW w:w="232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S-30</w:t>
            </w: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Underwriting</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S-34</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59"/>
        </w:trPr>
        <w:tc>
          <w:tcPr>
            <w:tcW w:w="20" w:type="dxa"/>
            <w:vAlign w:val="bottom"/>
          </w:tcPr>
          <w:p>
            <w:pPr>
              <w:spacing w:after="0"/>
              <w:rPr>
                <w:sz w:val="13"/>
                <w:szCs w:val="13"/>
                <w:color w:val="auto"/>
              </w:rPr>
            </w:pPr>
          </w:p>
        </w:tc>
        <w:tc>
          <w:tcPr>
            <w:tcW w:w="5700" w:type="dxa"/>
            <w:vAlign w:val="bottom"/>
            <w:gridSpan w:val="4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Custodian, Transfer Agent, Dividend Disbursing Agent and Redemption and Paying Agent</w:t>
            </w:r>
          </w:p>
        </w:tc>
        <w:tc>
          <w:tcPr>
            <w:tcW w:w="6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S-38</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680" w:type="dxa"/>
            <w:vAlign w:val="bottom"/>
            <w:tcBorders>
              <w:top w:val="single" w:sz="8" w:color="0000EE"/>
            </w:tcBorders>
            <w:shd w:val="clear" w:color="auto" w:fill="CCEEFF"/>
          </w:tcPr>
          <w:p>
            <w:pPr>
              <w:spacing w:after="0"/>
              <w:rPr>
                <w:sz w:val="3"/>
                <w:szCs w:val="3"/>
                <w:color w:val="auto"/>
              </w:rPr>
            </w:pPr>
          </w:p>
        </w:tc>
        <w:tc>
          <w:tcPr>
            <w:tcW w:w="90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Miscellaneous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S-38</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20" w:type="dxa"/>
            <w:vAlign w:val="bottom"/>
          </w:tcPr>
          <w:p>
            <w:pPr>
              <w:spacing w:after="0"/>
              <w:rPr>
                <w:sz w:val="17"/>
                <w:szCs w:val="17"/>
                <w:color w:val="auto"/>
              </w:rPr>
            </w:pPr>
          </w:p>
        </w:tc>
        <w:tc>
          <w:tcPr>
            <w:tcW w:w="780" w:type="dxa"/>
            <w:vAlign w:val="bottom"/>
            <w:tcBorders>
              <w:bottom w:val="single" w:sz="8" w:color="0000EE"/>
            </w:tcBorders>
            <w:gridSpan w:val="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w w:val="97"/>
              </w:rPr>
              <w:t>Legal Matters</w:t>
            </w:r>
          </w:p>
        </w:tc>
        <w:tc>
          <w:tcPr>
            <w:tcW w:w="4920" w:type="dxa"/>
            <w:vAlign w:val="bottom"/>
            <w:tcBorders>
              <w:bottom w:val="single" w:sz="8" w:color="CCEEFF"/>
            </w:tcBorders>
            <w:gridSpan w:val="3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S-39</w:t>
            </w: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Available Information</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S-39</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20" w:type="dxa"/>
            <w:vAlign w:val="bottom"/>
          </w:tcPr>
          <w:p>
            <w:pPr>
              <w:spacing w:after="0"/>
              <w:rPr>
                <w:sz w:val="17"/>
                <w:szCs w:val="17"/>
                <w:color w:val="auto"/>
              </w:rPr>
            </w:pPr>
          </w:p>
        </w:tc>
        <w:tc>
          <w:tcPr>
            <w:tcW w:w="2860" w:type="dxa"/>
            <w:vAlign w:val="bottom"/>
            <w:tcBorders>
              <w:bottom w:val="single" w:sz="8" w:color="0000EE"/>
            </w:tcBorders>
            <w:gridSpan w:val="3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w w:val="99"/>
              </w:rPr>
              <w:t>Incorporation of Certain Information by Reference</w:t>
            </w:r>
          </w:p>
        </w:tc>
        <w:tc>
          <w:tcPr>
            <w:tcW w:w="284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S-40</w:t>
            </w:r>
          </w:p>
        </w:tc>
      </w:tr>
      <w:tr>
        <w:trPr>
          <w:trHeight w:val="138"/>
        </w:trPr>
        <w:tc>
          <w:tcPr>
            <w:tcW w:w="20" w:type="dxa"/>
            <w:vAlign w:val="bottom"/>
          </w:tcPr>
          <w:p>
            <w:pPr>
              <w:spacing w:after="0"/>
              <w:rPr>
                <w:sz w:val="11"/>
                <w:szCs w:val="11"/>
                <w:color w:val="auto"/>
              </w:rPr>
            </w:pPr>
          </w:p>
        </w:tc>
        <w:tc>
          <w:tcPr>
            <w:tcW w:w="5700" w:type="dxa"/>
            <w:vAlign w:val="bottom"/>
            <w:gridSpan w:val="40"/>
          </w:tcPr>
          <w:p>
            <w:pPr>
              <w:spacing w:after="0" w:line="138" w:lineRule="exact"/>
              <w:rPr>
                <w:sz w:val="20"/>
                <w:szCs w:val="20"/>
                <w:color w:val="auto"/>
              </w:rPr>
            </w:pPr>
            <w:r>
              <w:rPr>
                <w:rFonts w:ascii="Times New Roman" w:cs="Times New Roman" w:eastAsia="Times New Roman" w:hAnsi="Times New Roman"/>
                <w:sz w:val="14"/>
                <w:szCs w:val="14"/>
                <w:color w:val="0000EE"/>
              </w:rPr>
              <w:t>Exhibit A — Form of Articles Supplementary Establishing and Fixing the Rights and Preferences</w:t>
            </w:r>
          </w:p>
        </w:tc>
        <w:tc>
          <w:tcPr>
            <w:tcW w:w="6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500" w:type="dxa"/>
            <w:vAlign w:val="bottom"/>
            <w:tcBorders>
              <w:top w:val="single" w:sz="8" w:color="0000EE"/>
            </w:tcBorders>
            <w:gridSpan w:val="39"/>
          </w:tcPr>
          <w:p>
            <w:pPr>
              <w:ind w:left="140"/>
              <w:spacing w:after="0" w:line="149" w:lineRule="exact"/>
              <w:rPr>
                <w:sz w:val="20"/>
                <w:szCs w:val="20"/>
                <w:color w:val="auto"/>
              </w:rPr>
            </w:pPr>
            <w:r>
              <w:rPr>
                <w:rFonts w:ascii="Times New Roman" w:cs="Times New Roman" w:eastAsia="Times New Roman" w:hAnsi="Times New Roman"/>
                <w:sz w:val="14"/>
                <w:szCs w:val="14"/>
                <w:color w:val="0000EE"/>
              </w:rPr>
              <w:t>of Term Preferred Shares</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S-A-1</w:t>
            </w:r>
          </w:p>
        </w:tc>
      </w:tr>
      <w:tr>
        <w:trPr>
          <w:trHeight w:val="38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gridSpan w:val="9"/>
          </w:tcPr>
          <w:p>
            <w:pPr>
              <w:ind w:left="26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6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Page</w:t>
            </w:r>
          </w:p>
        </w:tc>
      </w:tr>
      <w:tr>
        <w:trPr>
          <w:trHeight w:val="36"/>
        </w:trPr>
        <w:tc>
          <w:tcPr>
            <w:tcW w:w="16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39"/>
        </w:trPr>
        <w:tc>
          <w:tcPr>
            <w:tcW w:w="20" w:type="dxa"/>
            <w:vAlign w:val="bottom"/>
          </w:tcPr>
          <w:p>
            <w:pPr>
              <w:spacing w:after="0"/>
              <w:rPr>
                <w:sz w:val="12"/>
                <w:szCs w:val="12"/>
                <w:color w:val="auto"/>
              </w:rPr>
            </w:pPr>
          </w:p>
        </w:tc>
        <w:tc>
          <w:tcPr>
            <w:tcW w:w="5700" w:type="dxa"/>
            <w:vAlign w:val="bottom"/>
            <w:tcBorders>
              <w:top w:val="single" w:sz="8" w:color="CCEEFF"/>
            </w:tcBorders>
            <w:gridSpan w:val="40"/>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EE"/>
              </w:rPr>
              <w:t>Prospectus Summary</w:t>
            </w:r>
          </w:p>
        </w:tc>
        <w:tc>
          <w:tcPr>
            <w:tcW w:w="640" w:type="dxa"/>
            <w:vAlign w:val="bottom"/>
            <w:tcBorders>
              <w:top w:val="single" w:sz="8" w:color="auto"/>
            </w:tcBorders>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rPr>
              <w:t>1</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Offerings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8</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20" w:type="dxa"/>
            <w:vAlign w:val="bottom"/>
          </w:tcPr>
          <w:p>
            <w:pPr>
              <w:spacing w:after="0"/>
              <w:rPr>
                <w:sz w:val="17"/>
                <w:szCs w:val="17"/>
                <w:color w:val="auto"/>
              </w:rPr>
            </w:pPr>
          </w:p>
        </w:tc>
        <w:tc>
          <w:tcPr>
            <w:tcW w:w="1060" w:type="dxa"/>
            <w:vAlign w:val="bottom"/>
            <w:tcBorders>
              <w:bottom w:val="single" w:sz="8" w:color="0000EE"/>
            </w:tcBorders>
            <w:gridSpan w:val="1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w w:val="98"/>
              </w:rPr>
              <w:t>Fees and Expenses</w:t>
            </w:r>
          </w:p>
        </w:tc>
        <w:tc>
          <w:tcPr>
            <w:tcW w:w="4640" w:type="dxa"/>
            <w:vAlign w:val="bottom"/>
            <w:tcBorders>
              <w:bottom w:val="single" w:sz="8" w:color="CCEEFF"/>
            </w:tcBorders>
            <w:gridSpan w:val="2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12</w:t>
            </w: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Financial Highlights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14</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20" w:type="dxa"/>
            <w:vAlign w:val="bottom"/>
          </w:tcPr>
          <w:p>
            <w:pPr>
              <w:spacing w:after="0"/>
              <w:rPr>
                <w:sz w:val="17"/>
                <w:szCs w:val="17"/>
                <w:color w:val="auto"/>
              </w:rPr>
            </w:pPr>
          </w:p>
        </w:tc>
        <w:tc>
          <w:tcPr>
            <w:tcW w:w="700" w:type="dxa"/>
            <w:vAlign w:val="bottom"/>
            <w:tcBorders>
              <w:bottom w:val="single" w:sz="8" w:color="0000EE"/>
            </w:tcBorders>
            <w:gridSpan w:val="5"/>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w w:val="96"/>
              </w:rPr>
              <w:t>Risk Factors</w:t>
            </w:r>
          </w:p>
        </w:tc>
        <w:tc>
          <w:tcPr>
            <w:tcW w:w="5000" w:type="dxa"/>
            <w:vAlign w:val="bottom"/>
            <w:tcBorders>
              <w:bottom w:val="single" w:sz="8" w:color="CCEEFF"/>
            </w:tcBorders>
            <w:gridSpan w:val="3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15</w:t>
            </w: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Cautionary Statement Regarding Forward-Looking Statements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16</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59"/>
        </w:trPr>
        <w:tc>
          <w:tcPr>
            <w:tcW w:w="20" w:type="dxa"/>
            <w:vAlign w:val="bottom"/>
          </w:tcPr>
          <w:p>
            <w:pPr>
              <w:spacing w:after="0"/>
              <w:rPr>
                <w:sz w:val="13"/>
                <w:szCs w:val="13"/>
                <w:color w:val="auto"/>
              </w:rPr>
            </w:pPr>
          </w:p>
        </w:tc>
        <w:tc>
          <w:tcPr>
            <w:tcW w:w="5700" w:type="dxa"/>
            <w:vAlign w:val="bottom"/>
            <w:gridSpan w:val="4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Use of Proceeds</w:t>
            </w:r>
          </w:p>
        </w:tc>
        <w:tc>
          <w:tcPr>
            <w:tcW w:w="6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18</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Price Range of Common Stock</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19</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59"/>
        </w:trPr>
        <w:tc>
          <w:tcPr>
            <w:tcW w:w="20" w:type="dxa"/>
            <w:vAlign w:val="bottom"/>
          </w:tcPr>
          <w:p>
            <w:pPr>
              <w:spacing w:after="0"/>
              <w:rPr>
                <w:sz w:val="13"/>
                <w:szCs w:val="13"/>
                <w:color w:val="auto"/>
              </w:rPr>
            </w:pPr>
          </w:p>
        </w:tc>
        <w:tc>
          <w:tcPr>
            <w:tcW w:w="5700" w:type="dxa"/>
            <w:vAlign w:val="bottom"/>
            <w:gridSpan w:val="4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Senior Securities</w:t>
            </w:r>
          </w:p>
        </w:tc>
        <w:tc>
          <w:tcPr>
            <w:tcW w:w="6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20</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Business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21</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59"/>
        </w:trPr>
        <w:tc>
          <w:tcPr>
            <w:tcW w:w="20" w:type="dxa"/>
            <w:vAlign w:val="bottom"/>
          </w:tcPr>
          <w:p>
            <w:pPr>
              <w:spacing w:after="0"/>
              <w:rPr>
                <w:sz w:val="13"/>
                <w:szCs w:val="13"/>
                <w:color w:val="auto"/>
              </w:rPr>
            </w:pPr>
          </w:p>
        </w:tc>
        <w:tc>
          <w:tcPr>
            <w:tcW w:w="5700" w:type="dxa"/>
            <w:vAlign w:val="bottom"/>
            <w:gridSpan w:val="4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Management</w:t>
            </w:r>
          </w:p>
        </w:tc>
        <w:tc>
          <w:tcPr>
            <w:tcW w:w="6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29</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Portfolio Management</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30</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20" w:type="dxa"/>
            <w:vAlign w:val="bottom"/>
          </w:tcPr>
          <w:p>
            <w:pPr>
              <w:spacing w:after="0"/>
              <w:rPr>
                <w:sz w:val="17"/>
                <w:szCs w:val="17"/>
                <w:color w:val="auto"/>
              </w:rPr>
            </w:pPr>
          </w:p>
        </w:tc>
        <w:tc>
          <w:tcPr>
            <w:tcW w:w="1840" w:type="dxa"/>
            <w:vAlign w:val="bottom"/>
            <w:tcBorders>
              <w:bottom w:val="single" w:sz="8" w:color="0000EE"/>
            </w:tcBorders>
            <w:gridSpan w:val="24"/>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w w:val="99"/>
              </w:rPr>
              <w:t>Investment Advisory Agreement</w:t>
            </w:r>
          </w:p>
        </w:tc>
        <w:tc>
          <w:tcPr>
            <w:tcW w:w="386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32</w:t>
            </w: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Administration Agreement</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37</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20" w:type="dxa"/>
            <w:vAlign w:val="bottom"/>
          </w:tcPr>
          <w:p>
            <w:pPr>
              <w:spacing w:after="0"/>
              <w:rPr>
                <w:sz w:val="17"/>
                <w:szCs w:val="17"/>
                <w:color w:val="auto"/>
              </w:rPr>
            </w:pPr>
          </w:p>
        </w:tc>
        <w:tc>
          <w:tcPr>
            <w:tcW w:w="2200" w:type="dxa"/>
            <w:vAlign w:val="bottom"/>
            <w:tcBorders>
              <w:bottom w:val="single" w:sz="8" w:color="0000EE"/>
            </w:tcBorders>
            <w:gridSpan w:val="3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w w:val="99"/>
              </w:rPr>
              <w:t>Certain Relationships and Transactions</w:t>
            </w:r>
          </w:p>
        </w:tc>
        <w:tc>
          <w:tcPr>
            <w:tcW w:w="350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38</w:t>
            </w: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Control Persons and Principal Stockholders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40</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20" w:type="dxa"/>
            <w:vAlign w:val="bottom"/>
          </w:tcPr>
          <w:p>
            <w:pPr>
              <w:spacing w:after="0"/>
              <w:rPr>
                <w:sz w:val="17"/>
                <w:szCs w:val="17"/>
                <w:color w:val="auto"/>
              </w:rPr>
            </w:pPr>
          </w:p>
        </w:tc>
        <w:tc>
          <w:tcPr>
            <w:tcW w:w="4220" w:type="dxa"/>
            <w:vAlign w:val="bottom"/>
            <w:tcBorders>
              <w:bottom w:val="single" w:sz="8" w:color="0000EE"/>
            </w:tcBorders>
            <w:gridSpan w:val="37"/>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Regulation as a Registered Closed-End Management Investment Company</w:t>
            </w:r>
          </w:p>
        </w:tc>
        <w:tc>
          <w:tcPr>
            <w:tcW w:w="148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41</w:t>
            </w: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Determination of Net Asset Value</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47</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59"/>
        </w:trPr>
        <w:tc>
          <w:tcPr>
            <w:tcW w:w="20" w:type="dxa"/>
            <w:vAlign w:val="bottom"/>
          </w:tcPr>
          <w:p>
            <w:pPr>
              <w:spacing w:after="0"/>
              <w:rPr>
                <w:sz w:val="13"/>
                <w:szCs w:val="13"/>
                <w:color w:val="auto"/>
              </w:rPr>
            </w:pPr>
          </w:p>
        </w:tc>
        <w:tc>
          <w:tcPr>
            <w:tcW w:w="5700" w:type="dxa"/>
            <w:vAlign w:val="bottom"/>
            <w:gridSpan w:val="4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Distribution Reinvestment Plan</w:t>
            </w:r>
          </w:p>
        </w:tc>
        <w:tc>
          <w:tcPr>
            <w:tcW w:w="6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49</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Certain U.S. Federal Income Tax Considerations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50</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20" w:type="dxa"/>
            <w:vAlign w:val="bottom"/>
          </w:tcPr>
          <w:p>
            <w:pPr>
              <w:spacing w:after="0"/>
              <w:rPr>
                <w:sz w:val="17"/>
                <w:szCs w:val="17"/>
                <w:color w:val="auto"/>
              </w:rPr>
            </w:pPr>
          </w:p>
        </w:tc>
        <w:tc>
          <w:tcPr>
            <w:tcW w:w="1400" w:type="dxa"/>
            <w:vAlign w:val="bottom"/>
            <w:tcBorders>
              <w:bottom w:val="single" w:sz="8" w:color="0000EE"/>
            </w:tcBorders>
            <w:gridSpan w:val="1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w w:val="99"/>
              </w:rPr>
              <w:t>Description of Securities</w:t>
            </w:r>
          </w:p>
        </w:tc>
        <w:tc>
          <w:tcPr>
            <w:tcW w:w="430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59</w:t>
            </w: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Description of Our Capital Stock</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60</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20" w:type="dxa"/>
            <w:vAlign w:val="bottom"/>
          </w:tcPr>
          <w:p>
            <w:pPr>
              <w:spacing w:after="0"/>
              <w:rPr>
                <w:sz w:val="17"/>
                <w:szCs w:val="17"/>
                <w:color w:val="auto"/>
              </w:rPr>
            </w:pPr>
          </w:p>
        </w:tc>
        <w:tc>
          <w:tcPr>
            <w:tcW w:w="1980" w:type="dxa"/>
            <w:vAlign w:val="bottom"/>
            <w:tcBorders>
              <w:bottom w:val="single" w:sz="8" w:color="0000EE"/>
            </w:tcBorders>
            <w:gridSpan w:val="2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w w:val="99"/>
              </w:rPr>
              <w:t>Description of Our Preferred Stock</w:t>
            </w:r>
          </w:p>
        </w:tc>
        <w:tc>
          <w:tcPr>
            <w:tcW w:w="372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66</w:t>
            </w:r>
          </w:p>
        </w:tc>
      </w:tr>
      <w:tr>
        <w:trPr>
          <w:trHeight w:val="159"/>
        </w:trPr>
        <w:tc>
          <w:tcPr>
            <w:tcW w:w="5720" w:type="dxa"/>
            <w:vAlign w:val="bottom"/>
            <w:gridSpan w:val="41"/>
          </w:tcPr>
          <w:p>
            <w:pPr>
              <w:spacing w:after="0" w:line="159" w:lineRule="exact"/>
              <w:rPr>
                <w:sz w:val="20"/>
                <w:szCs w:val="20"/>
                <w:color w:val="auto"/>
              </w:rPr>
            </w:pPr>
            <w:r>
              <w:rPr>
                <w:rFonts w:ascii="Times New Roman" w:cs="Times New Roman" w:eastAsia="Times New Roman" w:hAnsi="Times New Roman"/>
                <w:sz w:val="14"/>
                <w:szCs w:val="14"/>
                <w:color w:val="0000EE"/>
              </w:rPr>
              <w:t>Description of Our Subscription Rights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67</w:t>
            </w:r>
          </w:p>
        </w:tc>
      </w:tr>
      <w:tr>
        <w:trPr>
          <w:trHeight w:val="43"/>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20" w:type="dxa"/>
            <w:vAlign w:val="bottom"/>
          </w:tcPr>
          <w:p>
            <w:pPr>
              <w:spacing w:after="0"/>
              <w:rPr>
                <w:sz w:val="17"/>
                <w:szCs w:val="17"/>
                <w:color w:val="auto"/>
              </w:rPr>
            </w:pPr>
          </w:p>
        </w:tc>
        <w:tc>
          <w:tcPr>
            <w:tcW w:w="1960" w:type="dxa"/>
            <w:vAlign w:val="bottom"/>
            <w:tcBorders>
              <w:bottom w:val="single" w:sz="8" w:color="0000EE"/>
            </w:tcBorders>
            <w:gridSpan w:val="2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w w:val="99"/>
              </w:rPr>
              <w:t>Description of Our Debt Securities</w:t>
            </w:r>
          </w:p>
        </w:tc>
        <w:tc>
          <w:tcPr>
            <w:tcW w:w="374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68</w:t>
            </w:r>
          </w:p>
        </w:tc>
      </w:tr>
      <w:tr>
        <w:trPr>
          <w:trHeight w:val="159"/>
        </w:trPr>
        <w:tc>
          <w:tcPr>
            <w:tcW w:w="1140" w:type="dxa"/>
            <w:vAlign w:val="bottom"/>
            <w:tcBorders>
              <w:bottom w:val="single" w:sz="8" w:color="0000EE"/>
            </w:tcBorders>
            <w:gridSpan w:val="14"/>
          </w:tcPr>
          <w:p>
            <w:pPr>
              <w:spacing w:after="0" w:line="159" w:lineRule="exact"/>
              <w:rPr>
                <w:sz w:val="20"/>
                <w:szCs w:val="20"/>
                <w:color w:val="auto"/>
              </w:rPr>
            </w:pPr>
            <w:r>
              <w:rPr>
                <w:rFonts w:ascii="Times New Roman" w:cs="Times New Roman" w:eastAsia="Times New Roman" w:hAnsi="Times New Roman"/>
                <w:sz w:val="14"/>
                <w:szCs w:val="14"/>
                <w:color w:val="0000EE"/>
              </w:rPr>
              <w:t>Plan of Distribution</w:t>
            </w:r>
          </w:p>
        </w:tc>
        <w:tc>
          <w:tcPr>
            <w:tcW w:w="4580" w:type="dxa"/>
            <w:vAlign w:val="bottom"/>
            <w:gridSpan w:val="27"/>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83</w:t>
            </w:r>
          </w:p>
        </w:tc>
      </w:tr>
    </w:tbl>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4" w:name="page5"/>
    <w:bookmarkEnd w:id="4"/>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0"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Page</w:t>
            </w:r>
          </w:p>
        </w:tc>
      </w:tr>
      <w:tr>
        <w:trPr>
          <w:trHeight w:val="36"/>
        </w:trPr>
        <w:tc>
          <w:tcPr>
            <w:tcW w:w="44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242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82"/>
        </w:trPr>
        <w:tc>
          <w:tcPr>
            <w:tcW w:w="5720" w:type="dxa"/>
            <w:vAlign w:val="bottom"/>
            <w:gridSpan w:val="7"/>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EE"/>
              </w:rPr>
              <w:t>Custodian, Transfer Agent, Distribution Disbursing Agent and Redemption and Paying Agent</w:t>
            </w:r>
          </w:p>
        </w:tc>
        <w:tc>
          <w:tcPr>
            <w:tcW w:w="64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85</w:t>
            </w:r>
          </w:p>
        </w:tc>
      </w:tr>
      <w:tr>
        <w:trPr>
          <w:trHeight w:val="159"/>
        </w:trPr>
        <w:tc>
          <w:tcPr>
            <w:tcW w:w="5300" w:type="dxa"/>
            <w:vAlign w:val="bottom"/>
            <w:tcBorders>
              <w:top w:val="single" w:sz="8" w:color="0000EE"/>
            </w:tcBorders>
            <w:gridSpan w:val="6"/>
          </w:tcPr>
          <w:p>
            <w:pPr>
              <w:spacing w:after="0" w:line="159" w:lineRule="exact"/>
              <w:rPr>
                <w:sz w:val="20"/>
                <w:szCs w:val="20"/>
                <w:color w:val="auto"/>
              </w:rPr>
            </w:pPr>
            <w:r>
              <w:rPr>
                <w:rFonts w:ascii="Times New Roman" w:cs="Times New Roman" w:eastAsia="Times New Roman" w:hAnsi="Times New Roman"/>
                <w:sz w:val="14"/>
                <w:szCs w:val="14"/>
                <w:color w:val="0000EE"/>
              </w:rPr>
              <w:t>Brokerage Allocation and Other Practices</w:t>
            </w:r>
          </w:p>
        </w:tc>
        <w:tc>
          <w:tcPr>
            <w:tcW w:w="42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85</w:t>
            </w:r>
          </w:p>
        </w:tc>
      </w:tr>
      <w:tr>
        <w:trPr>
          <w:trHeight w:val="43"/>
        </w:trPr>
        <w:tc>
          <w:tcPr>
            <w:tcW w:w="44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1100" w:type="dxa"/>
            <w:vAlign w:val="bottom"/>
            <w:tcBorders>
              <w:top w:val="single" w:sz="8" w:color="0000EE"/>
            </w:tcBorders>
          </w:tcPr>
          <w:p>
            <w:pPr>
              <w:spacing w:after="0"/>
              <w:rPr>
                <w:sz w:val="3"/>
                <w:szCs w:val="3"/>
                <w:color w:val="auto"/>
              </w:rPr>
            </w:pPr>
          </w:p>
        </w:tc>
        <w:tc>
          <w:tcPr>
            <w:tcW w:w="5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800" w:type="dxa"/>
            <w:vAlign w:val="bottom"/>
            <w:tcBorders>
              <w:bottom w:val="single" w:sz="8" w:color="0000EE"/>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w w:val="99"/>
              </w:rPr>
              <w:t>Legal Matters</w:t>
            </w:r>
          </w:p>
        </w:tc>
        <w:tc>
          <w:tcPr>
            <w:tcW w:w="492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86</w:t>
            </w:r>
          </w:p>
        </w:tc>
      </w:tr>
      <w:tr>
        <w:trPr>
          <w:trHeight w:val="159"/>
        </w:trPr>
        <w:tc>
          <w:tcPr>
            <w:tcW w:w="5720" w:type="dxa"/>
            <w:vAlign w:val="bottom"/>
            <w:gridSpan w:val="7"/>
          </w:tcPr>
          <w:p>
            <w:pPr>
              <w:spacing w:after="0" w:line="159" w:lineRule="exact"/>
              <w:rPr>
                <w:sz w:val="20"/>
                <w:szCs w:val="20"/>
                <w:color w:val="auto"/>
              </w:rPr>
            </w:pPr>
            <w:r>
              <w:rPr>
                <w:rFonts w:ascii="Times New Roman" w:cs="Times New Roman" w:eastAsia="Times New Roman" w:hAnsi="Times New Roman"/>
                <w:sz w:val="14"/>
                <w:szCs w:val="14"/>
                <w:color w:val="0000EE"/>
              </w:rPr>
              <w:t>Experts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86</w:t>
            </w:r>
          </w:p>
        </w:tc>
      </w:tr>
      <w:tr>
        <w:trPr>
          <w:trHeight w:val="43"/>
        </w:trPr>
        <w:tc>
          <w:tcPr>
            <w:tcW w:w="440" w:type="dxa"/>
            <w:vAlign w:val="bottom"/>
            <w:tcBorders>
              <w:top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1260" w:type="dxa"/>
            <w:vAlign w:val="bottom"/>
            <w:tcBorders>
              <w:bottom w:val="single" w:sz="8" w:color="0000EE"/>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w w:val="99"/>
              </w:rPr>
              <w:t>Available Information</w:t>
            </w:r>
          </w:p>
        </w:tc>
        <w:tc>
          <w:tcPr>
            <w:tcW w:w="446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86</w:t>
            </w:r>
          </w:p>
        </w:tc>
      </w:tr>
      <w:tr>
        <w:trPr>
          <w:trHeight w:val="159"/>
        </w:trPr>
        <w:tc>
          <w:tcPr>
            <w:tcW w:w="2880" w:type="dxa"/>
            <w:vAlign w:val="bottom"/>
            <w:tcBorders>
              <w:bottom w:val="single" w:sz="8" w:color="0000EE"/>
            </w:tcBorders>
            <w:gridSpan w:val="5"/>
          </w:tcPr>
          <w:p>
            <w:pPr>
              <w:spacing w:after="0" w:line="159"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2840" w:type="dxa"/>
            <w:vAlign w:val="bottom"/>
            <w:gridSpan w:val="2"/>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87</w:t>
            </w:r>
          </w:p>
        </w:tc>
      </w:tr>
    </w:tbl>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5" w:name="page6"/>
    <w:bookmarkEnd w:id="5"/>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16"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N-2 (File Nos. 333-283109 and 811-22432) utilizing a shelf registration process relating to the securities described in this prospectus supplement, which registration statement became effective on November 8, 2024.</w:t>
      </w:r>
    </w:p>
    <w:p>
      <w:pPr>
        <w:spacing w:after="0" w:line="83"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This document is in two parts. The first part is the prospectus supplement, which describes the terms of this offering of 8.25% Series 2031 Term Preferred Shares and also adds to and updates information contained in the accompanying prospectus. The second part is the accompanying prospectus, which gives more general information and disclosure. To the extent the information contained in this prospectus supplement differs from or is additional to the information contained in the accompanying prospectus, you should rely only on the information contained in this prospectus supplement and the documents incorporated by reference herein. Please carefully read and consider all of the information contained in this prospectus supplement and the accompanying prospectus, including the information described under the headings “Incorporation of Certain Information by Reference,” “Available Information,” and “Supplementary Risk Factors” in this prospectus supplement and under the headings “Incorporation of Certain Information by Reference,” “Available Information” and “Risk Factors” included in the accompanying prospectus, respectively, before investing in the 8.25% Series 2031 Term Preferred Shares.</w:t>
      </w:r>
    </w:p>
    <w:p>
      <w:pPr>
        <w:spacing w:after="0" w:line="93"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this prospectus supplement and the accompanying prospectus. Neither we nor the underwriters have authorized any dealer, salesman or other person to give any information or to make any representation other than those contained in or incorporated by reference into this prospectus supplement and the accompanying prospectus. If anyone provides you with different or inconsistent information, you should not rely on it. This prospectus supplement and the accompanying prospectus do not constitute an offer to sell or a solicitation of an offer to buy any security other than the registered securities to which they relate, nor do they constitute an offer to sell or a solicitation of any offer to buy any securities in any jurisdiction or to any person to whom it is unlawful to make such an offer or solicitation in such jurisdiction. The information contained in or incorporated by reference into this prospectus supplement and the accompanying prospectus is accurate as of their respective dates or such earlier date as indicated therein, regardless of the time of delivery of this prospectus supplement and the accompanying prospectus or any sales of the 8.25% Series 2031 Term Preferred Shares. Our financial condition, results of operations and prospects may have changed since those dates. To the extent required by law, we will amend or supplement the information contained in or incorporated by reference into this prospectus supplement and the accompanying prospectus to reflect any material changes subsequent to the date of this prospectus supplement and the accompanying prospectus and prior to the completion of any offering pursuant to this prospectus supplement and the accompanying prospectus.</w:t>
      </w:r>
    </w:p>
    <w:p>
      <w:pPr>
        <w:spacing w:after="0" w:line="86" w:lineRule="exact"/>
        <w:rPr>
          <w:sz w:val="20"/>
          <w:szCs w:val="20"/>
          <w:color w:val="auto"/>
        </w:rPr>
      </w:pPr>
    </w:p>
    <w:p>
      <w:pPr>
        <w:jc w:val="both"/>
        <w:ind w:left="1320" w:right="133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The 8.25% Series 2031 Term Preferred Shares do not represent a deposit or obligation of, and are not guaranteed or endorsed by, any bank or other insured depository institution, and are not federally insured by the Federal Deposit Insurance Corporation, the Federal Reserve Board or any other government agency.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6" w:name="page7"/>
    <w:bookmarkEnd w:id="6"/>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6684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37330" cy="6684010"/>
                    </a:xfrm>
                    <a:prstGeom prst="rect">
                      <a:avLst/>
                    </a:prstGeom>
                    <a:noFill/>
                  </pic:spPr>
                </pic:pic>
              </a:graphicData>
            </a:graphic>
          </wp:anchor>
        </w:drawing>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25" w:lineRule="exact"/>
        <w:rPr>
          <w:sz w:val="20"/>
          <w:szCs w:val="20"/>
          <w:color w:val="auto"/>
        </w:rPr>
      </w:pPr>
    </w:p>
    <w:p>
      <w:pPr>
        <w:jc w:val="both"/>
        <w:ind w:left="1400" w:right="1419" w:firstLine="338"/>
        <w:spacing w:after="0" w:line="256" w:lineRule="auto"/>
        <w:rPr>
          <w:sz w:val="20"/>
          <w:szCs w:val="20"/>
          <w:color w:val="auto"/>
        </w:rPr>
      </w:pPr>
      <w:r>
        <w:rPr>
          <w:rFonts w:ascii="Times New Roman" w:cs="Times New Roman" w:eastAsia="Times New Roman" w:hAnsi="Times New Roman"/>
          <w:sz w:val="14"/>
          <w:szCs w:val="14"/>
          <w:i w:val="1"/>
          <w:iCs w:val="1"/>
          <w:color w:val="auto"/>
        </w:rPr>
        <w:t>The following summary contains basic information about the offering of the 8.25% Series 2031 Term Preferred Shares pursuant to this prospectus supplement and the accompanying prospectus. It is not complete and may not contain all the information that is important to you. For a more complete understanding of the offering of shares of the 8.25% Series 2031 Term Preferred Shares pursuant to this prospectus supplement, we encourage you to read this entire prospectus supplement and the accompanying prospectus, including any documents incorporated by reference into this prospectus supplement or the accompanying prospectus, and the documents to which we have referred in this prospectus supplement and the accompanying prospectus. Together, these documents describe the specific terms of the shares we are offering. You should carefully read the sections entitled “Risk Factors,” “Business,” “Incorporation of Certain Information By Reference” and our financial statements included in the accompanying prospectus and the sections entitled “Supplementary Risk Factors” and “Incorporation of Certain Information by Reference” in this prospectus supplement.</w:t>
      </w:r>
    </w:p>
    <w:p>
      <w:pPr>
        <w:spacing w:after="0" w:line="90" w:lineRule="exact"/>
        <w:rPr>
          <w:sz w:val="20"/>
          <w:szCs w:val="20"/>
          <w:color w:val="auto"/>
        </w:rPr>
      </w:pPr>
    </w:p>
    <w:p>
      <w:pPr>
        <w:jc w:val="both"/>
        <w:ind w:left="1400" w:right="1419" w:firstLine="338"/>
        <w:spacing w:after="0" w:line="264" w:lineRule="auto"/>
        <w:rPr>
          <w:sz w:val="20"/>
          <w:szCs w:val="20"/>
          <w:color w:val="auto"/>
        </w:rPr>
      </w:pPr>
      <w:r>
        <w:rPr>
          <w:rFonts w:ascii="Times New Roman" w:cs="Times New Roman" w:eastAsia="Times New Roman" w:hAnsi="Times New Roman"/>
          <w:sz w:val="14"/>
          <w:szCs w:val="14"/>
          <w:i w:val="1"/>
          <w:iCs w:val="1"/>
          <w:color w:val="auto"/>
        </w:rPr>
        <w:t>Except where the context requires otherwise, the terms “Oxford Lane Capital,” the “Company,” the “Fund,” “we,” “us” and “our” refer to Oxford Lane Capital Corp.; “Oxford Lane Management” and “investment adviser” refer to Oxford Lane Management, LLC; “Oxford Funds” and “administrator” refer to Oxford Funds, LLC.</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16" w:lineRule="exact"/>
        <w:rPr>
          <w:sz w:val="20"/>
          <w:szCs w:val="20"/>
          <w:color w:val="auto"/>
        </w:rPr>
      </w:pPr>
    </w:p>
    <w:p>
      <w:pPr>
        <w:jc w:val="both"/>
        <w:ind w:left="1400" w:right="1419" w:firstLine="338"/>
        <w:spacing w:after="0" w:line="286" w:lineRule="auto"/>
        <w:rPr>
          <w:sz w:val="20"/>
          <w:szCs w:val="20"/>
          <w:color w:val="auto"/>
        </w:rPr>
      </w:pPr>
      <w:r>
        <w:rPr>
          <w:rFonts w:ascii="Times New Roman" w:cs="Times New Roman" w:eastAsia="Times New Roman" w:hAnsi="Times New Roman"/>
          <w:sz w:val="14"/>
          <w:szCs w:val="14"/>
          <w:color w:val="auto"/>
        </w:rPr>
        <w:t>We are a closed-end management investment company that has registered as an investment company under the 1940 Act. Our investment objective is to maximize our portfolio’s risk-adjusted total return.</w:t>
      </w:r>
    </w:p>
    <w:p>
      <w:pPr>
        <w:spacing w:after="0" w:line="71" w:lineRule="exact"/>
        <w:rPr>
          <w:sz w:val="20"/>
          <w:szCs w:val="20"/>
          <w:color w:val="auto"/>
        </w:rPr>
      </w:pPr>
    </w:p>
    <w:p>
      <w:pPr>
        <w:jc w:val="both"/>
        <w:ind w:left="1400" w:right="1419" w:firstLine="338"/>
        <w:spacing w:after="0" w:line="259" w:lineRule="auto"/>
        <w:rPr>
          <w:sz w:val="20"/>
          <w:szCs w:val="20"/>
          <w:color w:val="auto"/>
        </w:rPr>
      </w:pPr>
      <w:r>
        <w:rPr>
          <w:rFonts w:ascii="Times New Roman" w:cs="Times New Roman" w:eastAsia="Times New Roman" w:hAnsi="Times New Roman"/>
          <w:sz w:val="14"/>
          <w:szCs w:val="14"/>
          <w:color w:val="auto"/>
        </w:rPr>
        <w:t>We have implemented our investment objective by purchasing portions of equity and junior debt tranches of CLO vehicles. Substantially all of the CLO vehicles in which we may invest would be deemed to be investment companies under the 1940 Act but for the exceptions set forth in section 3(c)(1) or section 3(c)</w:t>
      </w:r>
    </w:p>
    <w:p>
      <w:pPr>
        <w:spacing w:after="0" w:line="1" w:lineRule="exact"/>
        <w:rPr>
          <w:sz w:val="20"/>
          <w:szCs w:val="20"/>
          <w:color w:val="auto"/>
        </w:rPr>
      </w:pPr>
    </w:p>
    <w:p>
      <w:pPr>
        <w:jc w:val="both"/>
        <w:ind w:left="1400" w:right="1419"/>
        <w:spacing w:after="0" w:line="252" w:lineRule="auto"/>
        <w:rPr>
          <w:sz w:val="20"/>
          <w:szCs w:val="20"/>
          <w:color w:val="auto"/>
        </w:rPr>
      </w:pPr>
      <w:r>
        <w:rPr>
          <w:rFonts w:ascii="Times New Roman" w:cs="Times New Roman" w:eastAsia="Times New Roman" w:hAnsi="Times New Roman"/>
          <w:sz w:val="14"/>
          <w:szCs w:val="14"/>
          <w:color w:val="auto"/>
        </w:rPr>
        <w:t>(7). Structurally, CLO vehicles are entities formed to originate and/or acquire a portfolio of loans. The loans within the CLO vehicle are limited to loans which meet established credit criteria and are subject to concentration limitations in order to limit a CLO vehicle’s exposure to a single credit. A CLO vehicle is formed by raising various classes or “tranches” of debt (with the most senior tranches being rated “AAA” to the most junior tranches typically being rated “BB” or “B”) and equity. The CLO vehicles which we focus on are collateralized primarily by senior secured loans made to companies whose debt is unrated or is rated below investment grade, or “Senior Loans,” and, to a limited extent, subordinated and/or unsecured loans and bonds (together with the Senior Loans, the “CLO Assets”). CLOs generally have very little or no exposure to real estate, mortgage loans or to pools of consumer-based debt, such as credit card receivables or auto loans. Below investment grade securities, such as the CLO securities in which we primarily intend to invest, are often referred to as “junk.” In addition, the CLO equity and junior debt securities in which we invest are highly levered (with CLO equity securities typically being leveraged between nine and thirteen times), which significantly magnifies our risk of loss on such investments relative to senior debt tranches of CLOs. A CLO itself is highly leveraged because it borrows significant amounts of money to acquire the underlying commercial loans in which it invests. A CLO borrows money by issuing debt securities to investors (including junior debt securities of the type we intend to invest), and the CLO equity (which is also the CLO residual tranche) is the first to bear the risk on the underlying investment. Our investment strategy also includes warehouse facilities, which are financing structures intended to aggregate loans that may be used to form the basis of a CLO vehicle. Warehouse facilities typically incur leverage between four and six times prior to a CLO’s pricing. We may also invest, on an opportunistic basis, in other corporate credits of a variety of types. We expect that each of our investments will range in size from $5 million to $50 million, although the investment size may vary consistent with the size of our overall portfolio. Oxford Lane Management manages our investments and its affiliate arranges for the performance of the administrative services necessary for us to operate.</w:t>
      </w:r>
    </w:p>
    <w:p>
      <w:pPr>
        <w:spacing w:after="0" w:line="108" w:lineRule="exact"/>
        <w:rPr>
          <w:sz w:val="20"/>
          <w:szCs w:val="20"/>
          <w:color w:val="auto"/>
        </w:rPr>
      </w:pPr>
    </w:p>
    <w:p>
      <w:pPr>
        <w:jc w:val="both"/>
        <w:ind w:left="1400" w:right="1419" w:firstLine="338"/>
        <w:spacing w:after="0" w:line="256" w:lineRule="auto"/>
        <w:rPr>
          <w:sz w:val="20"/>
          <w:szCs w:val="20"/>
          <w:color w:val="auto"/>
        </w:rPr>
      </w:pPr>
      <w:r>
        <w:rPr>
          <w:rFonts w:ascii="Times New Roman" w:cs="Times New Roman" w:eastAsia="Times New Roman" w:hAnsi="Times New Roman"/>
          <w:sz w:val="14"/>
          <w:szCs w:val="14"/>
          <w:color w:val="auto"/>
        </w:rPr>
        <w:t>CLO vehicles, due to their high leverage, are more complicated to evaluate than direct investments in Senior Loans. Since we invest in the residual interests of CLO securities, our investments are riskier than the profile of the Senior Loans by which such CLO vehicles are collateralized. Our investments in CLO vehicles are riskier and less transparent to us and our stockholders than direct investments in the underlying Senior Loans. Our portfolio of investments may lack diversification among CLO vehicles which would subject us to a risk of significant loss if one or more of these CLO vehicles experience a high level of defaults on its underlying Senior Loans. The CLO vehicles in which we invest have debt that ranks senior to our investment. The market price for CLO vehicles may fluctuate dramatically, which would make portfolio valuations unreliable and negatively impact our net asset value and our</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7" w:name="page8"/>
    <w:bookmarkEnd w:id="7"/>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65766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37330" cy="6576695"/>
                    </a:xfrm>
                    <a:prstGeom prst="rect">
                      <a:avLst/>
                    </a:prstGeom>
                    <a:noFill/>
                  </pic:spPr>
                </pic:pic>
              </a:graphicData>
            </a:graphic>
          </wp:anchor>
        </w:drawing>
      </w:r>
    </w:p>
    <w:p>
      <w:pPr>
        <w:spacing w:after="0" w:line="253" w:lineRule="exact"/>
        <w:rPr>
          <w:sz w:val="20"/>
          <w:szCs w:val="20"/>
          <w:color w:val="auto"/>
        </w:rPr>
      </w:pPr>
    </w:p>
    <w:p>
      <w:pPr>
        <w:jc w:val="both"/>
        <w:ind w:left="1400" w:right="1419"/>
        <w:spacing w:after="0" w:line="269" w:lineRule="auto"/>
        <w:rPr>
          <w:sz w:val="20"/>
          <w:szCs w:val="20"/>
          <w:color w:val="auto"/>
        </w:rPr>
      </w:pPr>
      <w:r>
        <w:rPr>
          <w:rFonts w:ascii="Times New Roman" w:cs="Times New Roman" w:eastAsia="Times New Roman" w:hAnsi="Times New Roman"/>
          <w:sz w:val="14"/>
          <w:szCs w:val="14"/>
          <w:color w:val="auto"/>
        </w:rPr>
        <w:t>ability to make distributions to our stockholders. Our financial results may be affected adversely if one or more of our significant equity or junior debt investments in such CLO vehicles defaults on its payment obligations or fails to perform as we expect.</w:t>
      </w:r>
    </w:p>
    <w:p>
      <w:pPr>
        <w:spacing w:after="0" w:line="83" w:lineRule="exact"/>
        <w:rPr>
          <w:sz w:val="20"/>
          <w:szCs w:val="20"/>
          <w:color w:val="auto"/>
        </w:rPr>
      </w:pPr>
    </w:p>
    <w:p>
      <w:pPr>
        <w:jc w:val="both"/>
        <w:ind w:left="1400" w:right="1419" w:firstLine="338"/>
        <w:spacing w:after="0" w:line="256" w:lineRule="auto"/>
        <w:rPr>
          <w:sz w:val="20"/>
          <w:szCs w:val="20"/>
          <w:color w:val="auto"/>
        </w:rPr>
      </w:pPr>
      <w:r>
        <w:rPr>
          <w:rFonts w:ascii="Times New Roman" w:cs="Times New Roman" w:eastAsia="Times New Roman" w:hAnsi="Times New Roman"/>
          <w:sz w:val="14"/>
          <w:szCs w:val="14"/>
          <w:color w:val="auto"/>
        </w:rPr>
        <w:t>Our investments in CLO vehicles may be subject to special anti-deferral provisions that could result in us incurring tax or recognizing income prior to receiving cash distributions related to such income. Specifically, the CLO vehicles in which we invest generally constitute “passive foreign investment companies,” or “PFICs.” Because we acquire investments in PFICs (including equity tranche investments in CLO vehicles that are PFICs), we may be subject to U.S. federal income tax on a portion of any “excess distribution” or gain from the disposition of such investments even if such income is distributed as a taxable dividend by us to our stockholders. See “Risk Factors — Risks Related to Our Investments” in our most recent annual report on Form N-CSR or semi-annual report on Form N-CSRS to read about factors you should consider before investing in our securities.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Oxford Lane Management</w:t>
      </w:r>
    </w:p>
    <w:p>
      <w:pPr>
        <w:spacing w:after="0" w:line="116" w:lineRule="exact"/>
        <w:rPr>
          <w:sz w:val="20"/>
          <w:szCs w:val="20"/>
          <w:color w:val="auto"/>
        </w:rPr>
      </w:pPr>
    </w:p>
    <w:p>
      <w:pPr>
        <w:jc w:val="both"/>
        <w:ind w:left="1400" w:right="1419" w:firstLine="338"/>
        <w:spacing w:after="0" w:line="259" w:lineRule="auto"/>
        <w:rPr>
          <w:sz w:val="20"/>
          <w:szCs w:val="20"/>
          <w:color w:val="auto"/>
        </w:rPr>
      </w:pPr>
      <w:r>
        <w:rPr>
          <w:rFonts w:ascii="Times New Roman" w:cs="Times New Roman" w:eastAsia="Times New Roman" w:hAnsi="Times New Roman"/>
          <w:sz w:val="14"/>
          <w:szCs w:val="14"/>
          <w:color w:val="auto"/>
        </w:rPr>
        <w:t>Our investment activities are managed by Oxford Lane Management, which is an investment adviser that has registered under the Investment Advisers Act of 1940, or the “Advisers Act.” Under our investment advisory agreement with Oxford Lane Management, which we refer to as our “Investment Advisory Agreement,” we have agreed to pay Oxford Lane Management an annual base management fee based on our gross assets, as well as an incentive fee based on our performance. See “Investment Advisory Agreement” in the accompanying prospectus.</w:t>
      </w:r>
    </w:p>
    <w:p>
      <w:pPr>
        <w:spacing w:after="0" w:line="90" w:lineRule="exact"/>
        <w:rPr>
          <w:sz w:val="20"/>
          <w:szCs w:val="20"/>
          <w:color w:val="auto"/>
        </w:rPr>
      </w:pPr>
    </w:p>
    <w:p>
      <w:pPr>
        <w:jc w:val="both"/>
        <w:ind w:left="1400" w:right="1419" w:firstLine="338"/>
        <w:spacing w:after="0" w:line="259" w:lineRule="auto"/>
        <w:rPr>
          <w:sz w:val="20"/>
          <w:szCs w:val="20"/>
          <w:color w:val="auto"/>
        </w:rPr>
      </w:pPr>
      <w:r>
        <w:rPr>
          <w:rFonts w:ascii="Times New Roman" w:cs="Times New Roman" w:eastAsia="Times New Roman" w:hAnsi="Times New Roman"/>
          <w:sz w:val="14"/>
          <w:szCs w:val="14"/>
          <w:color w:val="auto"/>
        </w:rPr>
        <w:t>We expect to benefit from the ability of Oxford Lane Management’s team to identify attractive opportunities, conduct diligence on and value prospective investments, negotiate terms where appropriate, and manage and monitor our portfolio. Oxford Lane Management’s investment team members have broad investment backgrounds, with prior experience at investment banks, commercial banks, unregistered investment funds and other financial services companies, and have collectively developed a broad network of contacts to provide us with our principal source of investment opportunities.</w:t>
      </w:r>
    </w:p>
    <w:p>
      <w:pPr>
        <w:spacing w:after="0" w:line="90" w:lineRule="exact"/>
        <w:rPr>
          <w:sz w:val="20"/>
          <w:szCs w:val="20"/>
          <w:color w:val="auto"/>
        </w:rPr>
      </w:pPr>
    </w:p>
    <w:p>
      <w:pPr>
        <w:jc w:val="both"/>
        <w:ind w:left="1400" w:right="1419" w:firstLine="338"/>
        <w:spacing w:after="0" w:line="263" w:lineRule="auto"/>
        <w:rPr>
          <w:sz w:val="20"/>
          <w:szCs w:val="20"/>
          <w:color w:val="auto"/>
        </w:rPr>
      </w:pPr>
      <w:r>
        <w:rPr>
          <w:rFonts w:ascii="Times New Roman" w:cs="Times New Roman" w:eastAsia="Times New Roman" w:hAnsi="Times New Roman"/>
          <w:sz w:val="14"/>
          <w:szCs w:val="14"/>
          <w:color w:val="auto"/>
        </w:rPr>
        <w:t>Oxford Lane Management is led by Jonathan H. Cohen, Chief Executive Officer, and Saul B. Rosenthal, President. Messrs. Cohen and Rosenthal are assisted by Joseph Kupka, who serves as a Managing Director for Oxford Lane Management. We consider Messrs. Cohen, Rosenthal and Kupka to be Oxford Lane Management’s senior investment team.</w:t>
      </w:r>
    </w:p>
    <w:p>
      <w:pPr>
        <w:spacing w:after="0" w:line="77" w:lineRule="exact"/>
        <w:rPr>
          <w:sz w:val="20"/>
          <w:szCs w:val="20"/>
          <w:color w:val="auto"/>
        </w:rPr>
      </w:pPr>
    </w:p>
    <w:p>
      <w:pPr>
        <w:jc w:val="both"/>
        <w:ind w:left="1400" w:right="1419" w:firstLine="338"/>
        <w:spacing w:after="0" w:line="256" w:lineRule="auto"/>
        <w:rPr>
          <w:sz w:val="20"/>
          <w:szCs w:val="20"/>
          <w:color w:val="auto"/>
        </w:rPr>
      </w:pPr>
      <w:r>
        <w:rPr>
          <w:rFonts w:ascii="Times New Roman" w:cs="Times New Roman" w:eastAsia="Times New Roman" w:hAnsi="Times New Roman"/>
          <w:sz w:val="14"/>
          <w:szCs w:val="14"/>
          <w:color w:val="auto"/>
        </w:rPr>
        <w:t>We will reimburse Oxford Funds, an affiliate of Oxford Lane Management, our allocable portion of overhead and other expenses incurred by Oxford Funds in performing its obligations under an administration agreement by and among us and Oxford Funds, or the “Administration Agreement,” including, but not limited to, rent, the fees and expenses associated with performing administrative functions, and our allocable portion of the compensation of our Chief Financial Officer and any administrative support staff, including accounting personnel. We will also reimburse Oxford Funds for the costs associated with the functions performed by our Chief Compliance Officer that Oxford Funds pays on the Company’s behalf pursuant to the terms of an agreement between us and ACA Group, LLC. These arrangements could create conflicts of interest that our board of directors (“Board of Directors”) must monitor.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Investment Focus</w:t>
      </w:r>
    </w:p>
    <w:p>
      <w:pPr>
        <w:spacing w:after="0" w:line="127" w:lineRule="exact"/>
        <w:rPr>
          <w:sz w:val="20"/>
          <w:szCs w:val="20"/>
          <w:color w:val="auto"/>
        </w:rPr>
      </w:pPr>
    </w:p>
    <w:p>
      <w:pPr>
        <w:jc w:val="both"/>
        <w:ind w:left="1400" w:right="1419" w:firstLine="338"/>
        <w:spacing w:after="0" w:line="256" w:lineRule="auto"/>
        <w:rPr>
          <w:sz w:val="20"/>
          <w:szCs w:val="20"/>
          <w:color w:val="auto"/>
        </w:rPr>
      </w:pPr>
      <w:r>
        <w:rPr>
          <w:rFonts w:ascii="Times New Roman" w:cs="Times New Roman" w:eastAsia="Times New Roman" w:hAnsi="Times New Roman"/>
          <w:sz w:val="14"/>
          <w:szCs w:val="14"/>
          <w:color w:val="auto"/>
        </w:rPr>
        <w:t>Our investment objective is to maximize our portfolio’s risk-adjusted total return. Our current focus is to seek that return by investing in structured finance investments, specifically the equity and junior debt tranches of CLO vehicles, which are collateralized primarily by a diverse portfolio of Senior Loans, and which generally have very little or no exposure to real estate loans, or mortgage loans or to pools of consumer-based debt, such as credit card receivables or auto loans. As of December 31, 2025, we held equity investments in 244 different CLO structures and debt investments in 10 different CLO structures. Our investment strategy also includes investing in warehouse facilities, which are financing structures intended to aggregate Senior Loans that may be used to form the basis of a CLO vehicle. We may also invest, on an opportunistic basis, in a variety of other types of corporate credits.</w:t>
      </w:r>
    </w:p>
    <w:p>
      <w:pPr>
        <w:spacing w:after="0" w:line="95" w:lineRule="exact"/>
        <w:rPr>
          <w:sz w:val="20"/>
          <w:szCs w:val="20"/>
          <w:color w:val="auto"/>
        </w:rPr>
      </w:pPr>
    </w:p>
    <w:p>
      <w:pPr>
        <w:jc w:val="both"/>
        <w:ind w:left="1400" w:right="1419" w:firstLine="338"/>
        <w:spacing w:after="0" w:line="263" w:lineRule="auto"/>
        <w:rPr>
          <w:sz w:val="20"/>
          <w:szCs w:val="20"/>
          <w:color w:val="auto"/>
        </w:rPr>
      </w:pPr>
      <w:r>
        <w:rPr>
          <w:rFonts w:ascii="Times New Roman" w:cs="Times New Roman" w:eastAsia="Times New Roman" w:hAnsi="Times New Roman"/>
          <w:sz w:val="14"/>
          <w:szCs w:val="14"/>
          <w:color w:val="auto"/>
        </w:rPr>
        <w:t>The CLO investments we currently hold in our portfolio generally represent either a residual economic interest, in the case of an equity tranche, or a debt investment collateralized by a portfolio of Senior Loans and other CLO Assets. The value of our CLO investments generally depend on both the quality and nature of the underlying portfolio it references and also on the specific structural characteristics of the CLO itself.</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8" w:name="page9"/>
    <w:bookmarkEnd w:id="8"/>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5784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37330" cy="5784215"/>
                    </a:xfrm>
                    <a:prstGeom prst="rect">
                      <a:avLst/>
                    </a:prstGeom>
                    <a:noFill/>
                  </pic:spPr>
                </pic:pic>
              </a:graphicData>
            </a:graphic>
          </wp:anchor>
        </w:drawing>
      </w:r>
    </w:p>
    <w:p>
      <w:pPr>
        <w:spacing w:after="0" w:line="30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CLO Structural Elements</w:t>
      </w:r>
    </w:p>
    <w:p>
      <w:pPr>
        <w:spacing w:after="0" w:line="127" w:lineRule="exact"/>
        <w:rPr>
          <w:sz w:val="20"/>
          <w:szCs w:val="20"/>
          <w:color w:val="auto"/>
        </w:rPr>
      </w:pPr>
    </w:p>
    <w:p>
      <w:pPr>
        <w:jc w:val="both"/>
        <w:ind w:left="1400" w:right="1419" w:firstLine="338"/>
        <w:spacing w:after="0" w:line="269" w:lineRule="auto"/>
        <w:rPr>
          <w:sz w:val="20"/>
          <w:szCs w:val="20"/>
          <w:color w:val="auto"/>
        </w:rPr>
      </w:pPr>
      <w:r>
        <w:rPr>
          <w:rFonts w:ascii="Times New Roman" w:cs="Times New Roman" w:eastAsia="Times New Roman" w:hAnsi="Times New Roman"/>
          <w:sz w:val="14"/>
          <w:szCs w:val="14"/>
          <w:color w:val="auto"/>
        </w:rPr>
        <w:t>Structurally, CLO vehicles are entities formed to originate and/or acquire a portfolio of loans. The loans within the CLO vehicle are generally limited to loans which meet established credit criteria and are subject to concentration limitations in order to limit a CLO vehicle’s exposure to a single credit.</w:t>
      </w:r>
    </w:p>
    <w:p>
      <w:pPr>
        <w:spacing w:after="0" w:line="83" w:lineRule="exact"/>
        <w:rPr>
          <w:sz w:val="20"/>
          <w:szCs w:val="20"/>
          <w:color w:val="auto"/>
        </w:rPr>
      </w:pPr>
    </w:p>
    <w:p>
      <w:pPr>
        <w:jc w:val="both"/>
        <w:ind w:left="1400" w:right="1419" w:firstLine="338"/>
        <w:spacing w:after="0" w:line="255" w:lineRule="auto"/>
        <w:rPr>
          <w:sz w:val="20"/>
          <w:szCs w:val="20"/>
          <w:color w:val="auto"/>
        </w:rPr>
      </w:pPr>
      <w:r>
        <w:rPr>
          <w:rFonts w:ascii="Times New Roman" w:cs="Times New Roman" w:eastAsia="Times New Roman" w:hAnsi="Times New Roman"/>
          <w:sz w:val="14"/>
          <w:szCs w:val="14"/>
          <w:color w:val="auto"/>
        </w:rPr>
        <w:t>A CLO vehicle is formed by raising multiple “tranches” of debt (with the most senior tranches being rated “AAA” to the most junior tranches typically being rated “BB” or “B”) and equity. As interest payments are received, the CLO vehicle makes contractual interest payments to each tranche of debt based on their seniority. If there are funds remaining after each tranche of debt receives its contractual interest rate and the CLO vehicle meets or exceeds required collateral coverage levels (or other similar covenants) the remaining funds may be paid to the equity tranche. The contractual provisions setting out this order of payments are set out in detail in the CLO vehicle’s indenture. These provisions are referred to as the “priority of payments” or the “waterfall” and determine any other obligations that may be required to be paid ahead of payments of interest and principal on the securities issued by a CLO vehicle. In addition, for payments to be made to each tranche, after the most senior tranche of debt, there are various tests which must be complied with, which are different for each CLO vehicle.</w:t>
      </w:r>
    </w:p>
    <w:p>
      <w:pPr>
        <w:spacing w:after="0" w:line="86" w:lineRule="exact"/>
        <w:rPr>
          <w:sz w:val="20"/>
          <w:szCs w:val="20"/>
          <w:color w:val="auto"/>
        </w:rPr>
      </w:pPr>
    </w:p>
    <w:p>
      <w:pPr>
        <w:jc w:val="both"/>
        <w:ind w:left="1400" w:right="1419" w:firstLine="338"/>
        <w:spacing w:after="0" w:line="255" w:lineRule="auto"/>
        <w:rPr>
          <w:sz w:val="20"/>
          <w:szCs w:val="20"/>
          <w:color w:val="auto"/>
        </w:rPr>
      </w:pPr>
      <w:r>
        <w:rPr>
          <w:rFonts w:ascii="Times New Roman" w:cs="Times New Roman" w:eastAsia="Times New Roman" w:hAnsi="Times New Roman"/>
          <w:sz w:val="14"/>
          <w:szCs w:val="14"/>
          <w:color w:val="auto"/>
        </w:rPr>
        <w:t>CLO indentures typically provide for adjustments to the priority of payments in the event that certain cashflow or collateral requirements are not maintained. The collateral quality tests that may divert cashflows in the priority of payments are predominantly determined by reference to the par values of the underlying loans, rather than their current market values. Accordingly, we believe that CLO equity and junior debt investments allow investors to gain exposure to the Senior Loan market on a levered basis (with CLO equity securities typically being leveraged between nine and thirteen times) without being structurally subject to mark-to-market price fluctuations of the underlying loans. As such, although the current valuations of CLO equity and junior debt tranches are expected to fluctuate based on price changes within the loan market, interest rate movements and other macroeconomic factors, those tranches will generally be expected to continue to receive distributions from the CLO vehicle periodically so long as the underlying portfolio does not suffer defaults, realized losses or other covenant violations sufficient to trigger changes in the waterfall allocations. We therefore believe that an investment portfolio consisting of CLO equity and junior debt investments of this type has the ability to provide attractive risk-adjusted rates of return.</w:t>
      </w:r>
    </w:p>
    <w:p>
      <w:pPr>
        <w:spacing w:after="0" w:line="93" w:lineRule="exact"/>
        <w:rPr>
          <w:sz w:val="20"/>
          <w:szCs w:val="20"/>
          <w:color w:val="auto"/>
        </w:rPr>
      </w:pPr>
    </w:p>
    <w:p>
      <w:pPr>
        <w:jc w:val="both"/>
        <w:ind w:left="1400" w:right="1419" w:firstLine="338"/>
        <w:spacing w:after="0" w:line="269" w:lineRule="auto"/>
        <w:rPr>
          <w:sz w:val="20"/>
          <w:szCs w:val="20"/>
          <w:color w:val="auto"/>
        </w:rPr>
      </w:pPr>
      <w:r>
        <w:rPr>
          <w:rFonts w:ascii="Times New Roman" w:cs="Times New Roman" w:eastAsia="Times New Roman" w:hAnsi="Times New Roman"/>
          <w:sz w:val="14"/>
          <w:szCs w:val="14"/>
          <w:color w:val="auto"/>
        </w:rPr>
        <w:t>The diagram below is for illustrative purposes only. The CLO structure highlighted below is illustrative only and CLO vehicles in which we may invest may vary substantially from the illustrative example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400" w:right="1419" w:firstLine="338"/>
        <w:spacing w:after="0" w:line="269" w:lineRule="auto"/>
        <w:rPr>
          <w:sz w:val="20"/>
          <w:szCs w:val="20"/>
          <w:color w:val="auto"/>
        </w:rPr>
      </w:pPr>
      <w:r>
        <w:rPr>
          <w:rFonts w:ascii="Times New Roman" w:cs="Times New Roman" w:eastAsia="Times New Roman" w:hAnsi="Times New Roman"/>
          <w:sz w:val="14"/>
          <w:szCs w:val="14"/>
          <w:color w:val="auto"/>
        </w:rPr>
        <w:t>We typically invest in the equity tranches, which are not rated, and to a lesser extent the “B” and “BB” tranches of CLO vehicles. As of December 31, 2025, 98.4% of our portfolio on a fair value basis was invested in the equity tranches of CLO vehicles.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9" w:name="page10"/>
    <w:bookmarkEnd w:id="9"/>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665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37330" cy="6650355"/>
                    </a:xfrm>
                    <a:prstGeom prst="rect">
                      <a:avLst/>
                    </a:prstGeom>
                    <a:noFill/>
                  </pic:spPr>
                </pic:pic>
              </a:graphicData>
            </a:graphic>
          </wp:anchor>
        </w:drawing>
      </w:r>
    </w:p>
    <w:p>
      <w:pPr>
        <w:spacing w:after="0" w:line="30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 Syndicated Senior Loan Market</w:t>
      </w:r>
    </w:p>
    <w:p>
      <w:pPr>
        <w:spacing w:after="0" w:line="127" w:lineRule="exact"/>
        <w:rPr>
          <w:sz w:val="20"/>
          <w:szCs w:val="20"/>
          <w:color w:val="auto"/>
        </w:rPr>
      </w:pPr>
    </w:p>
    <w:p>
      <w:pPr>
        <w:jc w:val="both"/>
        <w:ind w:left="1400" w:right="1419" w:firstLine="338"/>
        <w:spacing w:after="0" w:line="260" w:lineRule="auto"/>
        <w:rPr>
          <w:sz w:val="20"/>
          <w:szCs w:val="20"/>
          <w:color w:val="auto"/>
        </w:rPr>
      </w:pPr>
      <w:r>
        <w:rPr>
          <w:rFonts w:ascii="Times New Roman" w:cs="Times New Roman" w:eastAsia="Times New Roman" w:hAnsi="Times New Roman"/>
          <w:sz w:val="14"/>
          <w:szCs w:val="14"/>
          <w:color w:val="auto"/>
        </w:rPr>
        <w:t>We believe that while the syndicated leveraged corporate loan market is relatively large, with Morningstar LSTA Leveraged Loan Index estimating the total par value outstanding at approximately $1.55 trillion as of December 31, 2025, this market remains largely inaccessible to a significant portion of investors that are not lenders or approved institutions. The CLO market permits wider exposure to syndicated Senior Loans, but this market is almost exclusively private and predominantly institutional.</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Senior Loan market is characterized by various factors, including:</w:t>
      </w:r>
    </w:p>
    <w:p>
      <w:pPr>
        <w:spacing w:after="0" w:line="112" w:lineRule="exact"/>
        <w:rPr>
          <w:sz w:val="20"/>
          <w:szCs w:val="20"/>
          <w:color w:val="auto"/>
        </w:rPr>
      </w:pPr>
    </w:p>
    <w:p>
      <w:pPr>
        <w:jc w:val="both"/>
        <w:ind w:left="2080" w:right="1419" w:hanging="341"/>
        <w:spacing w:after="0" w:line="258" w:lineRule="auto"/>
        <w:tabs>
          <w:tab w:leader="none" w:pos="207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Floating rate instruments. </w:t>
      </w:r>
      <w:r>
        <w:rPr>
          <w:rFonts w:ascii="Times New Roman" w:cs="Times New Roman" w:eastAsia="Times New Roman" w:hAnsi="Times New Roman"/>
          <w:sz w:val="14"/>
          <w:szCs w:val="14"/>
          <w:color w:val="auto"/>
        </w:rPr>
        <w:t>Senior Loans and other types of CLO Assets typically contain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floating interest rate as opposed to a fixed interest rate, which we believe provides some measure of protection against the risk of interest rate fluctuation. However, all of our CLO investments have many CLO Assets which are subject to interest rate floors and since interest rates on CLO Assets may only reset periodically and the amount of the increase following an interest rate reset may be below the interest rate floors of such CLO Assets, our ability to benefit from rate resets following an increase in interest rates may be limited.</w:t>
      </w:r>
    </w:p>
    <w:p>
      <w:pPr>
        <w:spacing w:after="0" w:line="89" w:lineRule="exact"/>
        <w:rPr>
          <w:rFonts w:ascii="Times New Roman" w:cs="Times New Roman" w:eastAsia="Times New Roman" w:hAnsi="Times New Roman"/>
          <w:sz w:val="14"/>
          <w:szCs w:val="14"/>
          <w:color w:val="auto"/>
        </w:rPr>
      </w:pPr>
    </w:p>
    <w:p>
      <w:pPr>
        <w:ind w:left="2080" w:right="1419" w:hanging="341"/>
        <w:spacing w:after="0" w:line="289" w:lineRule="auto"/>
        <w:tabs>
          <w:tab w:leader="none" w:pos="207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Frequency of interest payments. </w:t>
      </w:r>
      <w:r>
        <w:rPr>
          <w:rFonts w:ascii="Times New Roman" w:cs="Times New Roman" w:eastAsia="Times New Roman" w:hAnsi="Times New Roman"/>
          <w:sz w:val="14"/>
          <w:szCs w:val="14"/>
          <w:color w:val="auto"/>
        </w:rPr>
        <w:t>Senior Loans and other CLO Assets typically provide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scheduled interest payments no less frequently than quarterly.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Investment Opportunity</w:t>
      </w:r>
    </w:p>
    <w:p>
      <w:pPr>
        <w:spacing w:after="0" w:line="127" w:lineRule="exact"/>
        <w:rPr>
          <w:sz w:val="20"/>
          <w:szCs w:val="20"/>
          <w:color w:val="auto"/>
        </w:rPr>
      </w:pPr>
    </w:p>
    <w:p>
      <w:pPr>
        <w:jc w:val="both"/>
        <w:ind w:left="1400" w:right="1419" w:firstLine="338"/>
        <w:spacing w:after="0" w:line="286" w:lineRule="auto"/>
        <w:rPr>
          <w:sz w:val="20"/>
          <w:szCs w:val="20"/>
          <w:color w:val="auto"/>
        </w:rPr>
      </w:pPr>
      <w:r>
        <w:rPr>
          <w:rFonts w:ascii="Times New Roman" w:cs="Times New Roman" w:eastAsia="Times New Roman" w:hAnsi="Times New Roman"/>
          <w:sz w:val="14"/>
          <w:szCs w:val="14"/>
          <w:color w:val="auto"/>
        </w:rPr>
        <w:t>We believe that the market for CLO-related assets provides us with opportunities to generate attractive risk-adjusted returns over the long term.</w:t>
      </w:r>
    </w:p>
    <w:p>
      <w:pPr>
        <w:spacing w:after="0" w:line="61" w:lineRule="exact"/>
        <w:rPr>
          <w:sz w:val="20"/>
          <w:szCs w:val="20"/>
          <w:color w:val="auto"/>
        </w:rPr>
      </w:pPr>
    </w:p>
    <w:p>
      <w:pPr>
        <w:jc w:val="both"/>
        <w:ind w:left="1400" w:right="1419" w:firstLine="338"/>
        <w:spacing w:after="0" w:line="263" w:lineRule="auto"/>
        <w:rPr>
          <w:sz w:val="20"/>
          <w:szCs w:val="20"/>
          <w:color w:val="auto"/>
        </w:rPr>
      </w:pPr>
      <w:r>
        <w:rPr>
          <w:rFonts w:ascii="Times New Roman" w:cs="Times New Roman" w:eastAsia="Times New Roman" w:hAnsi="Times New Roman"/>
          <w:sz w:val="14"/>
          <w:szCs w:val="14"/>
          <w:color w:val="auto"/>
        </w:rPr>
        <w:t>The long-term and relatively low-cost capital that many CLO vehicles have secured, compared with current asset spreads, have created opportunities to purchase certain CLO equity and junior debt instruments that may produce attractive risk-adjusted returns. Additionally, given that the CLO vehicles we invest in are cash flow-based vehicles, this term financing may be beneficial in periods of market volatility.</w:t>
      </w:r>
    </w:p>
    <w:p>
      <w:pPr>
        <w:spacing w:after="0" w:line="88" w:lineRule="exact"/>
        <w:rPr>
          <w:sz w:val="20"/>
          <w:szCs w:val="20"/>
          <w:color w:val="auto"/>
        </w:rPr>
      </w:pPr>
    </w:p>
    <w:p>
      <w:pPr>
        <w:jc w:val="both"/>
        <w:ind w:left="1400" w:right="1419" w:firstLine="338"/>
        <w:spacing w:after="0" w:line="263" w:lineRule="auto"/>
        <w:rPr>
          <w:sz w:val="20"/>
          <w:szCs w:val="20"/>
          <w:color w:val="auto"/>
        </w:rPr>
      </w:pPr>
      <w:r>
        <w:rPr>
          <w:rFonts w:ascii="Times New Roman" w:cs="Times New Roman" w:eastAsia="Times New Roman" w:hAnsi="Times New Roman"/>
          <w:sz w:val="14"/>
          <w:szCs w:val="14"/>
          <w:color w:val="auto"/>
        </w:rPr>
        <w:t>We continue to review a large number of CLO investment opportunities in the current market environment, and we expect that the majority of our portfolio holdings, over the near to intermediate-term, will continue to be comprised of CLO debt and equity securities, with the more significant focus over the near-term likely to be on CLO equity securities.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Leverage by the Company</w:t>
      </w:r>
    </w:p>
    <w:p>
      <w:pPr>
        <w:spacing w:after="0" w:line="127" w:lineRule="exact"/>
        <w:rPr>
          <w:sz w:val="20"/>
          <w:szCs w:val="20"/>
          <w:color w:val="auto"/>
        </w:rPr>
      </w:pPr>
    </w:p>
    <w:p>
      <w:pPr>
        <w:jc w:val="both"/>
        <w:ind w:left="1400" w:right="1419" w:firstLine="338"/>
        <w:spacing w:after="0" w:line="254" w:lineRule="auto"/>
        <w:rPr>
          <w:sz w:val="20"/>
          <w:szCs w:val="20"/>
          <w:color w:val="auto"/>
        </w:rPr>
      </w:pPr>
      <w:r>
        <w:rPr>
          <w:rFonts w:ascii="Times New Roman" w:cs="Times New Roman" w:eastAsia="Times New Roman" w:hAnsi="Times New Roman"/>
          <w:sz w:val="14"/>
          <w:szCs w:val="14"/>
          <w:color w:val="auto"/>
        </w:rPr>
        <w:t xml:space="preserve">We may use leverage as and to the extent permitted by the 1940 Act. We are permitted to obtain leverage using any form of financial leverage instruments, including funds borrowed from banks or other financial institutions, margin facilities, notes or preferred stock and leverage attributable to reverse repurchase agreements or similar transactions. Instruments that create leverage are generally considered to be senior securities under the 1940 Act. Under the 1940 Act, we are only permitted to incur additional indebtedness to the extent our asset coverage, as defined under the 1940 Act, is at least 300% immediately after each such borrowing. With respect to our outstanding Preferred Stock, we will generally be required to meet an asset coverage ratio, as defined under the 1940 Act, of at least 200% immediately after each issuance of such Preferred Stock. </w:t>
      </w:r>
      <w:r>
        <w:rPr>
          <w:rFonts w:ascii="Times New Roman" w:cs="Times New Roman" w:eastAsia="Times New Roman" w:hAnsi="Times New Roman"/>
          <w:sz w:val="14"/>
          <w:szCs w:val="14"/>
          <w:b w:val="1"/>
          <w:bCs w:val="1"/>
          <w:color w:val="auto"/>
        </w:rPr>
        <w:t>In addition, our Articles Supplementary for the Term Preferred Shares prohibit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us from declaring a common stock distribution if, at the time of declaration, our asset coverage ratio is not at least 200% after deducting the amount of such distribution. </w:t>
      </w:r>
      <w:r>
        <w:rPr>
          <w:rFonts w:ascii="Times New Roman" w:cs="Times New Roman" w:eastAsia="Times New Roman" w:hAnsi="Times New Roman"/>
          <w:sz w:val="14"/>
          <w:szCs w:val="14"/>
          <w:color w:val="auto"/>
        </w:rPr>
        <w:t>If we do not meet these asset coverage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requirements, we may be required to sell a portion of our investments and, depending on the nature of our leverage, repay a portion of our indebtedness or redeem outstanding shares of Preferred Stock, in each case at a time when doing so may be disadvantageous. See “Regulation as a Registered Closed-End Management Investment Company” in the accompanying prospectus.</w:t>
      </w:r>
    </w:p>
    <w:p>
      <w:pPr>
        <w:spacing w:after="0" w:line="15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116" w:lineRule="exact"/>
        <w:rPr>
          <w:sz w:val="20"/>
          <w:szCs w:val="20"/>
          <w:color w:val="auto"/>
        </w:rPr>
      </w:pPr>
    </w:p>
    <w:p>
      <w:pPr>
        <w:jc w:val="both"/>
        <w:ind w:left="1400" w:right="1419" w:firstLine="338"/>
        <w:spacing w:after="0" w:line="259" w:lineRule="auto"/>
        <w:rPr>
          <w:sz w:val="20"/>
          <w:szCs w:val="20"/>
          <w:color w:val="auto"/>
        </w:rPr>
      </w:pPr>
      <w:r>
        <w:rPr>
          <w:rFonts w:ascii="Times New Roman" w:cs="Times New Roman" w:eastAsia="Times New Roman" w:hAnsi="Times New Roman"/>
          <w:sz w:val="14"/>
          <w:szCs w:val="14"/>
          <w:color w:val="auto"/>
        </w:rPr>
        <w:t>Our Board of Directors may classify any unissued shares of stock and reclassify any previously classified but unissued shares of stock of any class or series from time to time, in one or more classes or series of stock, including Preferred Stock. We have authorized 50 million shares of mandatorily redeemable Preferred Stock, at a par value of $0.01 per share, and had 8,761,706 shares issued and outstanding at December 31, 2025. As of December 31, 2025, we had the following series of Preferred stock outstanding: the Series 2027 Term Preferred Shares, the 6.00% Series 2029</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0" w:name="page11"/>
    <w:bookmarkEnd w:id="10"/>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7019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37330" cy="7019925"/>
                    </a:xfrm>
                    <a:prstGeom prst="rect">
                      <a:avLst/>
                    </a:prstGeom>
                    <a:noFill/>
                  </pic:spPr>
                </pic:pic>
              </a:graphicData>
            </a:graphic>
          </wp:anchor>
        </w:drawing>
      </w:r>
    </w:p>
    <w:p>
      <w:pPr>
        <w:spacing w:after="0" w:line="253" w:lineRule="exact"/>
        <w:rPr>
          <w:sz w:val="20"/>
          <w:szCs w:val="20"/>
          <w:color w:val="auto"/>
        </w:rPr>
      </w:pPr>
    </w:p>
    <w:p>
      <w:pPr>
        <w:jc w:val="both"/>
        <w:ind w:left="1400" w:right="1419"/>
        <w:spacing w:after="0" w:line="254" w:lineRule="auto"/>
        <w:rPr>
          <w:sz w:val="20"/>
          <w:szCs w:val="20"/>
          <w:color w:val="auto"/>
        </w:rPr>
      </w:pPr>
      <w:r>
        <w:rPr>
          <w:rFonts w:ascii="Times New Roman" w:cs="Times New Roman" w:eastAsia="Times New Roman" w:hAnsi="Times New Roman"/>
          <w:sz w:val="14"/>
          <w:szCs w:val="14"/>
          <w:color w:val="auto"/>
        </w:rPr>
        <w:t>Term Preferred Shares, and our 7.125% Series 2029 Term Preferred Shares, each issued in an underwritten public offering. We are required to redeem all of the outstanding Series 2027 Term Preferred Shares, 6.00% Series 2029 Term Preferred Shares and 7.125% Series 2029 Term Preferred Shares on their respective redemption dates, at a redemption price equal to $25 per share plus an amount equal to accumulated but unpaid dividends, if any, to the date of the redemption. We cannot effect any amendment, alteration, or repeal of our obligation to redeem all of the Term Preferred Shares without the prior unanimous vote or consent of the holders of such Term Preferred Shares. At any time on or after the optional redemption date, at our sole option, we may redeem the Series 2027 Term Preferred Shares, 6.00% Series 2029 Term Preferred Shares and 7.125% Series 2029 Term Preferred Shares at a redemption price per share equal to the sum of the $25 liquidation preference per share plus an amount equal to accumulated but unpaid dividends, if any, on such Term Preferred Shares. There was $88.1 million of our Series 2027 Term Preferred Shares, $67.2 million of our 6.00% Series 2029 Term Preferred Shares and $63.8 million of our 7.125% Series 2029 Term Preferred Shares issued and outstanding as of December 31, 2025. As of December 31, 2025, there were no accumulated but unpaid dividends on our Term Preferred Shares.</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2027 Notes</w:t>
      </w:r>
    </w:p>
    <w:p>
      <w:pPr>
        <w:spacing w:after="0" w:line="106" w:lineRule="exact"/>
        <w:rPr>
          <w:sz w:val="20"/>
          <w:szCs w:val="20"/>
          <w:color w:val="auto"/>
        </w:rPr>
      </w:pPr>
    </w:p>
    <w:p>
      <w:pPr>
        <w:jc w:val="both"/>
        <w:ind w:left="1400" w:right="1419" w:firstLine="338"/>
        <w:spacing w:after="0" w:line="259" w:lineRule="auto"/>
        <w:rPr>
          <w:sz w:val="20"/>
          <w:szCs w:val="20"/>
          <w:color w:val="auto"/>
        </w:rPr>
      </w:pPr>
      <w:r>
        <w:rPr>
          <w:rFonts w:ascii="Times New Roman" w:cs="Times New Roman" w:eastAsia="Times New Roman" w:hAnsi="Times New Roman"/>
          <w:sz w:val="14"/>
          <w:szCs w:val="14"/>
          <w:color w:val="auto"/>
        </w:rPr>
        <w:t>On January 13, 2022, we completed an underwritten public offering, including the full exercise of the underwriters’ 30-day overallotment option, of $100.0 million in aggregate principal amount of 2027 Notes. The 2027 Notes will mature on January 31, 2027 and may be redeemed in whole or in part at any time or from time to time at our option on or after January 31, 2024. The 2027 Notes bear interest at a rate of 5.00% per year payable quarterly on March 31, June 30, September 30, and December 31, of each year, commencing March 31, 2022.</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2031 Notes</w:t>
      </w:r>
    </w:p>
    <w:p>
      <w:pPr>
        <w:spacing w:after="0" w:line="127" w:lineRule="exact"/>
        <w:rPr>
          <w:sz w:val="20"/>
          <w:szCs w:val="20"/>
          <w:color w:val="auto"/>
        </w:rPr>
      </w:pPr>
    </w:p>
    <w:p>
      <w:pPr>
        <w:jc w:val="both"/>
        <w:ind w:left="1400" w:right="1419" w:firstLine="338"/>
        <w:spacing w:after="0" w:line="259" w:lineRule="auto"/>
        <w:rPr>
          <w:sz w:val="20"/>
          <w:szCs w:val="20"/>
          <w:color w:val="auto"/>
        </w:rPr>
      </w:pPr>
      <w:r>
        <w:rPr>
          <w:rFonts w:ascii="Times New Roman" w:cs="Times New Roman" w:eastAsia="Times New Roman" w:hAnsi="Times New Roman"/>
          <w:sz w:val="14"/>
          <w:szCs w:val="14"/>
          <w:color w:val="auto"/>
        </w:rPr>
        <w:t>On March 16, 2021, we completed an underwritten public offering, including the full exercise of the underwriters’ 30-day overallotment option, of $100.0 million in aggregate principal amount of the 2031 Notes. The 2031 Notes will mature on March 31, 2031 and may be redeemed in whole or in part at any time or from time to time at our option on or after March 16, 2024. The 2031 Notes bear interest at a rate of 6.75% per year payable quarterly on March 31, June 30, September 30, and December 31, of each year, commencing June 30, 2021.</w:t>
      </w:r>
    </w:p>
    <w:p>
      <w:pPr>
        <w:spacing w:after="0" w:line="10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2030 Notes</w:t>
      </w:r>
    </w:p>
    <w:p>
      <w:pPr>
        <w:spacing w:after="0" w:line="127" w:lineRule="exact"/>
        <w:rPr>
          <w:sz w:val="20"/>
          <w:szCs w:val="20"/>
          <w:color w:val="auto"/>
        </w:rPr>
      </w:pPr>
    </w:p>
    <w:p>
      <w:pPr>
        <w:jc w:val="both"/>
        <w:ind w:left="1400" w:right="1419" w:firstLine="338"/>
        <w:spacing w:after="0" w:line="259" w:lineRule="auto"/>
        <w:rPr>
          <w:sz w:val="20"/>
          <w:szCs w:val="20"/>
          <w:color w:val="auto"/>
        </w:rPr>
      </w:pPr>
      <w:r>
        <w:rPr>
          <w:rFonts w:ascii="Times New Roman" w:cs="Times New Roman" w:eastAsia="Times New Roman" w:hAnsi="Times New Roman"/>
          <w:sz w:val="14"/>
          <w:szCs w:val="14"/>
          <w:color w:val="auto"/>
        </w:rPr>
        <w:t>On July 8, 2024, we completed an underwritten public offering, including the full exercise of the underwriters’ 30-day overallotment option, of $115.0 million in aggregate principal amount of the 2030 Notes. The 2030 Notes will mature on June 30, 2030 and may be redeemed in whole or in part at any time or from time to time at our option on or after June 30, 2028. The 2030 Notes bear interest at a rate of 8.75% per year payable quarterly on March 31, June 30, September 30, and December 31, of each year, commencing September 30, 2024.</w:t>
      </w:r>
    </w:p>
    <w:p>
      <w:pPr>
        <w:spacing w:after="0" w:line="10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2032 Notes</w:t>
      </w:r>
    </w:p>
    <w:p>
      <w:pPr>
        <w:spacing w:after="0" w:line="116" w:lineRule="exact"/>
        <w:rPr>
          <w:sz w:val="20"/>
          <w:szCs w:val="20"/>
          <w:color w:val="auto"/>
        </w:rPr>
      </w:pPr>
    </w:p>
    <w:p>
      <w:pPr>
        <w:jc w:val="both"/>
        <w:ind w:left="1400" w:right="1419" w:firstLine="338"/>
        <w:spacing w:after="0" w:line="259" w:lineRule="auto"/>
        <w:rPr>
          <w:sz w:val="20"/>
          <w:szCs w:val="20"/>
          <w:color w:val="auto"/>
        </w:rPr>
      </w:pPr>
      <w:r>
        <w:rPr>
          <w:rFonts w:ascii="Times New Roman" w:cs="Times New Roman" w:eastAsia="Times New Roman" w:hAnsi="Times New Roman"/>
          <w:sz w:val="14"/>
          <w:szCs w:val="14"/>
          <w:color w:val="auto"/>
        </w:rPr>
        <w:t>On February 27, 2025, we completed an underwritten public offering, including the partial exercise of the underwriters’ 30-day overallotment option, of $185.0 million in aggregate principal amount of the 2032 Notes. The 2032 Notes will mature on February 29, 2032 and may be redeemed in whole or in part at any time or from time to time at our option on or after February 28, 2030. The 2032 Notes bear interest at a rate of 7.95% per year payable quarterly on March 31, June 30, September 30, and December 31, of each year, commencing June 30, 2025.</w:t>
      </w:r>
    </w:p>
    <w:p>
      <w:pPr>
        <w:spacing w:after="0" w:line="69" w:lineRule="exact"/>
        <w:rPr>
          <w:sz w:val="20"/>
          <w:szCs w:val="20"/>
          <w:color w:val="auto"/>
        </w:rPr>
      </w:pPr>
    </w:p>
    <w:p>
      <w:pPr>
        <w:jc w:val="both"/>
        <w:ind w:left="1400" w:right="1419" w:firstLine="338"/>
        <w:spacing w:after="0" w:line="254" w:lineRule="auto"/>
        <w:rPr>
          <w:sz w:val="20"/>
          <w:szCs w:val="20"/>
          <w:color w:val="auto"/>
        </w:rPr>
      </w:pPr>
      <w:r>
        <w:rPr>
          <w:rFonts w:ascii="Times New Roman" w:cs="Times New Roman" w:eastAsia="Times New Roman" w:hAnsi="Times New Roman"/>
          <w:sz w:val="14"/>
          <w:szCs w:val="14"/>
          <w:color w:val="auto"/>
        </w:rPr>
        <w:t>Subject to the limitations under the 1940 Act, we may incur additional leverage opportunistically or not at all and may choose to increase or decrease our leverage. We may use different types or combinations of leveraging instruments at any time based on Oxford Lane Management’s assessment of market conditions and the investment environment, including forms of leverage other than preferred stock, debt securities and/or credit facilities. In addition, we may also borrow amounts up to 5% of the value of our gross assets for temporary purposes without regard to asset coverage requirements described above. By leveraging our investment portfolio, we may create an opportunity for increased net income and capital appreciation. However, the use of leverage also involves significant risks and expenses, which will be borne entirely by our stockholders, and our leverage strategy may not be successful. For example, the more leverage is employed, the more likely a substantial change will occur in our net asset value per share of our common stock. See “Principal Risks — Risks Related to Our Investments — We may borrow money and/or issue preferred stock to leverage our portfolio, which would magnify the potential for gain or loss on amounts invested and will increase the risk of investing in us” in our most recent annual report on Form N-CSR or semi-annual report on Form N-CSRS.</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1" w:name="page12"/>
    <w:bookmarkEnd w:id="11"/>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6254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37330" cy="6254115"/>
                    </a:xfrm>
                    <a:prstGeom prst="rect">
                      <a:avLst/>
                    </a:prstGeom>
                    <a:noFill/>
                  </pic:spPr>
                </pic:pic>
              </a:graphicData>
            </a:graphic>
          </wp:anchor>
        </w:drawing>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127" w:lineRule="exact"/>
        <w:rPr>
          <w:sz w:val="20"/>
          <w:szCs w:val="20"/>
          <w:color w:val="auto"/>
        </w:rPr>
      </w:pPr>
    </w:p>
    <w:p>
      <w:pPr>
        <w:jc w:val="both"/>
        <w:ind w:left="1400" w:right="1419" w:firstLine="338"/>
        <w:spacing w:after="0" w:line="260" w:lineRule="auto"/>
        <w:rPr>
          <w:sz w:val="20"/>
          <w:szCs w:val="20"/>
          <w:color w:val="auto"/>
        </w:rPr>
      </w:pPr>
      <w:r>
        <w:rPr>
          <w:rFonts w:ascii="Times New Roman" w:cs="Times New Roman" w:eastAsia="Times New Roman" w:hAnsi="Times New Roman"/>
          <w:sz w:val="14"/>
          <w:szCs w:val="14"/>
          <w:color w:val="auto"/>
        </w:rPr>
        <w:t>Investing in the 8.25% Series 2031 Term Preferred Shares involves significant risks. The following is a summary of certain risks that you should carefully consider before investing in the 8.25% Series 2031 Term Preferred Shares. For a further discussion of these risk factors, please see “Supplementary Risk Factors” beginning on page S-16 of this prospectus supplement and “Risk Factors” beginning on page 15 of the accompanying prospectus.</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the 8.25% Series 2031 Term Preferred Shares</w:t>
      </w:r>
    </w:p>
    <w:p>
      <w:pPr>
        <w:spacing w:after="0" w:line="127" w:lineRule="exact"/>
        <w:rPr>
          <w:sz w:val="20"/>
          <w:szCs w:val="20"/>
          <w:color w:val="auto"/>
        </w:rPr>
      </w:pPr>
    </w:p>
    <w:p>
      <w:pPr>
        <w:ind w:left="2080" w:hanging="341"/>
        <w:spacing w:after="0"/>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investment in Term Preferred Shares with a fixed interest rate bears interest rate risk.</w:t>
      </w:r>
    </w:p>
    <w:p>
      <w:pPr>
        <w:spacing w:after="0" w:line="114" w:lineRule="exact"/>
        <w:rPr>
          <w:rFonts w:ascii="Times New Roman" w:cs="Times New Roman" w:eastAsia="Times New Roman" w:hAnsi="Times New Roman"/>
          <w:sz w:val="14"/>
          <w:szCs w:val="14"/>
          <w:color w:val="auto"/>
        </w:rPr>
      </w:pPr>
    </w:p>
    <w:p>
      <w:pPr>
        <w:ind w:left="2080" w:right="1419" w:hanging="341"/>
        <w:spacing w:after="0" w:line="286" w:lineRule="auto"/>
        <w:tabs>
          <w:tab w:leader="none" w:pos="20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liquid secondary trading market may not develop for the 8.25% Series 2031 Term Preferred Shares.</w:t>
      </w:r>
    </w:p>
    <w:p>
      <w:pPr>
        <w:spacing w:after="0" w:line="71" w:lineRule="exact"/>
        <w:rPr>
          <w:rFonts w:ascii="Times New Roman" w:cs="Times New Roman" w:eastAsia="Times New Roman" w:hAnsi="Times New Roman"/>
          <w:sz w:val="14"/>
          <w:szCs w:val="14"/>
          <w:color w:val="auto"/>
        </w:rPr>
      </w:pPr>
    </w:p>
    <w:p>
      <w:pPr>
        <w:ind w:left="2080" w:hanging="341"/>
        <w:spacing w:after="0"/>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8.25% Series 2031 Term Preferred Shares bear a risk of early redemption by us.</w:t>
      </w:r>
    </w:p>
    <w:p>
      <w:pPr>
        <w:spacing w:after="0" w:line="124" w:lineRule="exact"/>
        <w:rPr>
          <w:rFonts w:ascii="Times New Roman" w:cs="Times New Roman" w:eastAsia="Times New Roman" w:hAnsi="Times New Roman"/>
          <w:sz w:val="14"/>
          <w:szCs w:val="14"/>
          <w:color w:val="auto"/>
        </w:rPr>
      </w:pPr>
    </w:p>
    <w:p>
      <w:pPr>
        <w:ind w:left="2080" w:right="1419" w:hanging="341"/>
        <w:spacing w:after="0" w:line="286" w:lineRule="auto"/>
        <w:tabs>
          <w:tab w:leader="none" w:pos="20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Claims of holders of the 8.25% Series 2031 Term Preferred Shares are subject to a risk of subordination relative to holders of our debt instruments, including the Notes.</w:t>
      </w:r>
    </w:p>
    <w:p>
      <w:pPr>
        <w:spacing w:after="0" w:line="60" w:lineRule="exact"/>
        <w:rPr>
          <w:rFonts w:ascii="Times New Roman" w:cs="Times New Roman" w:eastAsia="Times New Roman" w:hAnsi="Times New Roman"/>
          <w:sz w:val="14"/>
          <w:szCs w:val="14"/>
          <w:color w:val="auto"/>
        </w:rPr>
      </w:pPr>
    </w:p>
    <w:p>
      <w:pPr>
        <w:ind w:left="2080" w:hanging="341"/>
        <w:spacing w:after="0"/>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related to a general credit crisis and related liquidity risks.</w:t>
      </w:r>
    </w:p>
    <w:p>
      <w:pPr>
        <w:spacing w:after="0" w:line="124" w:lineRule="exact"/>
        <w:rPr>
          <w:rFonts w:ascii="Times New Roman" w:cs="Times New Roman" w:eastAsia="Times New Roman" w:hAnsi="Times New Roman"/>
          <w:sz w:val="14"/>
          <w:szCs w:val="14"/>
          <w:color w:val="auto"/>
        </w:rPr>
      </w:pPr>
    </w:p>
    <w:p>
      <w:pPr>
        <w:ind w:left="2080" w:hanging="341"/>
        <w:spacing w:after="0"/>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the 8.25% Series 2031 Term Preferred Shares bear reinvestment risk.</w:t>
      </w:r>
    </w:p>
    <w:p>
      <w:pPr>
        <w:spacing w:after="0" w:line="124" w:lineRule="exact"/>
        <w:rPr>
          <w:rFonts w:ascii="Times New Roman" w:cs="Times New Roman" w:eastAsia="Times New Roman" w:hAnsi="Times New Roman"/>
          <w:sz w:val="14"/>
          <w:szCs w:val="14"/>
          <w:color w:val="auto"/>
        </w:rPr>
      </w:pPr>
    </w:p>
    <w:p>
      <w:pPr>
        <w:ind w:left="2080" w:hanging="341"/>
        <w:spacing w:after="0"/>
        <w:tabs>
          <w:tab w:leader="none" w:pos="20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8.25% Series 2031 Term Preferred Shares bear dividend risk.</w:t>
      </w:r>
    </w:p>
    <w:p>
      <w:pPr>
        <w:spacing w:after="0" w:line="114" w:lineRule="exact"/>
        <w:rPr>
          <w:rFonts w:ascii="Times New Roman" w:cs="Times New Roman" w:eastAsia="Times New Roman" w:hAnsi="Times New Roman"/>
          <w:sz w:val="14"/>
          <w:szCs w:val="14"/>
          <w:color w:val="auto"/>
        </w:rPr>
      </w:pPr>
    </w:p>
    <w:p>
      <w:pPr>
        <w:ind w:left="2080" w:right="1419" w:hanging="341"/>
        <w:spacing w:after="0" w:line="286" w:lineRule="auto"/>
        <w:tabs>
          <w:tab w:leader="none" w:pos="20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a risk of delay in our redemption of the 8.25% Series 2031 Term Preferred Shares, and we may fail to redeem such securities as required by their terms.</w:t>
      </w:r>
    </w:p>
    <w:p>
      <w:pPr>
        <w:spacing w:after="0" w:line="71" w:lineRule="exact"/>
        <w:rPr>
          <w:rFonts w:ascii="Times New Roman" w:cs="Times New Roman" w:eastAsia="Times New Roman" w:hAnsi="Times New Roman"/>
          <w:sz w:val="14"/>
          <w:szCs w:val="14"/>
          <w:color w:val="auto"/>
        </w:rPr>
      </w:pPr>
    </w:p>
    <w:p>
      <w:pPr>
        <w:ind w:left="2080" w:right="1419" w:hanging="341"/>
        <w:spacing w:after="0" w:line="286" w:lineRule="auto"/>
        <w:tabs>
          <w:tab w:leader="none" w:pos="20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invest a significant portion of the net proceeds from this offering, which could adversely impact our financial condition and operating results.</w:t>
      </w:r>
    </w:p>
    <w:p>
      <w:pPr>
        <w:spacing w:after="0" w:line="71" w:lineRule="exact"/>
        <w:rPr>
          <w:rFonts w:ascii="Times New Roman" w:cs="Times New Roman" w:eastAsia="Times New Roman" w:hAnsi="Times New Roman"/>
          <w:sz w:val="14"/>
          <w:szCs w:val="14"/>
          <w:color w:val="auto"/>
        </w:rPr>
      </w:pPr>
    </w:p>
    <w:p>
      <w:pPr>
        <w:jc w:val="both"/>
        <w:ind w:left="2080" w:right="1419" w:hanging="341"/>
        <w:spacing w:after="0" w:line="269" w:lineRule="auto"/>
        <w:tabs>
          <w:tab w:leader="none" w:pos="20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downgrade, suspension or withdrawal of the credit rating assigned by a rating agency to us or the 8.25% Series 2031 Term Preferred Shares, if any, could cause the liquidity or market value of the 8.25% Series 2031 Term Preferred Shares to decline significantly.</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Operating and Regulatory Structure</w:t>
      </w:r>
    </w:p>
    <w:p>
      <w:pPr>
        <w:spacing w:after="0" w:line="116" w:lineRule="exact"/>
        <w:rPr>
          <w:sz w:val="20"/>
          <w:szCs w:val="20"/>
          <w:color w:val="auto"/>
        </w:rPr>
      </w:pPr>
    </w:p>
    <w:p>
      <w:pPr>
        <w:jc w:val="both"/>
        <w:ind w:left="1400" w:right="1419" w:firstLine="338"/>
        <w:spacing w:after="0" w:line="257" w:lineRule="auto"/>
        <w:rPr>
          <w:sz w:val="20"/>
          <w:szCs w:val="20"/>
          <w:color w:val="auto"/>
        </w:rPr>
      </w:pPr>
      <w:r>
        <w:rPr>
          <w:rFonts w:ascii="Times New Roman" w:cs="Times New Roman" w:eastAsia="Times New Roman" w:hAnsi="Times New Roman"/>
          <w:sz w:val="14"/>
          <w:szCs w:val="14"/>
          <w:color w:val="auto"/>
        </w:rPr>
        <w:t>Oxford Lane Capital is a Maryland corporation that is a closed-end management investment company that has registered as an investment company under the 1940 Act. As a registered closed-end fund, we are required to meet regulatory tests. See “Regulation as a Registered Closed-End Management Investment Company” in the accompanying prospectus. We may also borrow funds to make investments. In addition, we have elected to be treated for U.S. federal income tax purposes, and intend to qualify annually, as a regulated investment company “RIC” under Subchapter M of the Code. See “Certain Additional U.S. Federal Income Tax Considerations” in this prospectus supplement and “Certain U.S. Federal Income Tax Considerations” in the accompanying prospectus.</w:t>
      </w:r>
    </w:p>
    <w:p>
      <w:pPr>
        <w:spacing w:after="0" w:line="92" w:lineRule="exact"/>
        <w:rPr>
          <w:sz w:val="20"/>
          <w:szCs w:val="20"/>
          <w:color w:val="auto"/>
        </w:rPr>
      </w:pPr>
    </w:p>
    <w:p>
      <w:pPr>
        <w:jc w:val="both"/>
        <w:ind w:left="1400" w:right="1419" w:firstLine="338"/>
        <w:spacing w:after="0" w:line="256" w:lineRule="auto"/>
        <w:rPr>
          <w:sz w:val="20"/>
          <w:szCs w:val="20"/>
          <w:color w:val="auto"/>
        </w:rPr>
      </w:pPr>
      <w:r>
        <w:rPr>
          <w:rFonts w:ascii="Times New Roman" w:cs="Times New Roman" w:eastAsia="Times New Roman" w:hAnsi="Times New Roman"/>
          <w:sz w:val="14"/>
          <w:szCs w:val="14"/>
          <w:color w:val="auto"/>
        </w:rPr>
        <w:t>Our investment activities are managed by Oxford Lane Management and supervised by our Board of Directors. Oxford Lane Management is an investment adviser that is registered under the Advisers Act. Under our Investment Advisory Agreement, we have agreed to pay Oxford Lane Management an annual base management fee based on our gross assets as well as an incentive fee based on our performance. See “Investment Advisory Agreement” in the accompanying prospectus. We have also entered into an Administration Agreement with Oxford Funds, under which we have agreed to reimburse Oxford Funds for our allocable portion of overhead and other expenses incurred by Oxford Funds in performing its obligations under the Administration Agreement, including furnishing us with office facilities, equipment and clerical, bookkeeping and record keeping services at such facilities, as well as providing us with other administrative services. See “Administration Agreement” in the accompanying prospectus.</w:t>
      </w:r>
    </w:p>
    <w:p>
      <w:pPr>
        <w:spacing w:after="0" w:line="92" w:lineRule="exact"/>
        <w:rPr>
          <w:sz w:val="20"/>
          <w:szCs w:val="20"/>
          <w:color w:val="auto"/>
        </w:rPr>
      </w:pPr>
    </w:p>
    <w:p>
      <w:pPr>
        <w:jc w:val="both"/>
        <w:ind w:left="1400" w:right="1419" w:firstLine="338"/>
        <w:spacing w:after="0" w:line="286" w:lineRule="auto"/>
        <w:rPr>
          <w:sz w:val="20"/>
          <w:szCs w:val="20"/>
          <w:color w:val="auto"/>
        </w:rPr>
      </w:pPr>
      <w:r>
        <w:rPr>
          <w:rFonts w:ascii="Times New Roman" w:cs="Times New Roman" w:eastAsia="Times New Roman" w:hAnsi="Times New Roman"/>
          <w:sz w:val="14"/>
          <w:szCs w:val="14"/>
          <w:color w:val="auto"/>
        </w:rPr>
        <w:t>Oxford Funds also serves as the managing member of Oxford Lane Management. Messrs. Cohen and Rosenthal, in turn, serve as the managing member and non-managing member, respectively, of Oxford Funds.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2" w:name="page13"/>
    <w:bookmarkEnd w:id="12"/>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7053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37330" cy="7053580"/>
                    </a:xfrm>
                    <a:prstGeom prst="rect">
                      <a:avLst/>
                    </a:prstGeom>
                    <a:noFill/>
                  </pic:spPr>
                </pic:pic>
              </a:graphicData>
            </a:graphic>
          </wp:anchor>
        </w:drawing>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THIRD QUARTER FINANCIAL HIGHLIGHTS AND RESULTS</w:t>
      </w:r>
    </w:p>
    <w:p>
      <w:pPr>
        <w:spacing w:after="0" w:line="116" w:lineRule="exact"/>
        <w:rPr>
          <w:sz w:val="20"/>
          <w:szCs w:val="20"/>
          <w:color w:val="auto"/>
        </w:rPr>
      </w:pPr>
    </w:p>
    <w:p>
      <w:pPr>
        <w:ind w:left="2080" w:right="1419" w:hanging="341"/>
        <w:spacing w:after="0" w:line="286" w:lineRule="auto"/>
        <w:tabs>
          <w:tab w:leader="none" w:pos="207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29, 2026, our Board of Directors declared the following distributions on our common stock:</w:t>
      </w:r>
    </w:p>
    <w:p>
      <w:pPr>
        <w:spacing w:after="0" w:line="94" w:lineRule="exact"/>
        <w:rPr>
          <w:sz w:val="20"/>
          <w:szCs w:val="20"/>
          <w:color w:val="auto"/>
        </w:rPr>
      </w:pPr>
    </w:p>
    <w:tbl>
      <w:tblPr>
        <w:tblLayout w:type="fixed"/>
        <w:tblInd w:w="2020" w:type="dxa"/>
        <w:tblCellMar>
          <w:top w:w="0" w:type="dxa"/>
          <w:left w:w="0" w:type="dxa"/>
          <w:bottom w:w="0" w:type="dxa"/>
          <w:right w:w="0" w:type="dxa"/>
        </w:tblCellMar>
      </w:tblPr>
      <w:tr>
        <w:trPr>
          <w:trHeight w:val="159"/>
        </w:trPr>
        <w:tc>
          <w:tcPr>
            <w:tcW w:w="2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67"/>
        </w:trPr>
        <w:tc>
          <w:tcPr>
            <w:tcW w:w="2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Month Ending</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Record Date</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Payment Date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Per Share</w:t>
            </w:r>
          </w:p>
        </w:tc>
      </w:tr>
      <w:tr>
        <w:trPr>
          <w:trHeight w:val="36"/>
        </w:trPr>
        <w:tc>
          <w:tcPr>
            <w:tcW w:w="2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2"/>
        </w:trPr>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April 30, 2026</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April 16, 2026</w:t>
            </w:r>
          </w:p>
        </w:tc>
        <w:tc>
          <w:tcPr>
            <w:tcW w:w="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April 30, 2026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May 31, 2026</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May 15, 2026</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29, 2026</w:t>
            </w:r>
          </w:p>
        </w:tc>
        <w:tc>
          <w:tcPr>
            <w:tcW w:w="22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w:t>
            </w:r>
          </w:p>
        </w:tc>
      </w:tr>
      <w:tr>
        <w:trPr>
          <w:trHeight w:val="32"/>
        </w:trPr>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30, 2026</w:t>
            </w:r>
          </w:p>
        </w:tc>
        <w:tc>
          <w:tcPr>
            <w:tcW w:w="1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June 16, 2026</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June 30, 2026</w:t>
            </w:r>
          </w:p>
        </w:tc>
        <w:tc>
          <w:tcPr>
            <w:tcW w:w="2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r>
      <w:tr>
        <w:trPr>
          <w:trHeight w:val="32"/>
        </w:trPr>
        <w:tc>
          <w:tcPr>
            <w:tcW w:w="2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23" w:lineRule="exact"/>
        <w:rPr>
          <w:sz w:val="20"/>
          <w:szCs w:val="20"/>
          <w:color w:val="auto"/>
        </w:rPr>
      </w:pPr>
    </w:p>
    <w:p>
      <w:pPr>
        <w:ind w:left="2080" w:right="1419" w:hanging="341"/>
        <w:spacing w:after="0" w:line="286" w:lineRule="auto"/>
        <w:tabs>
          <w:tab w:leader="none" w:pos="207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asset value (“NAV”) per share as of December 31, 2025 stood at $15.51, compared with a NAV per share on September 30, 2025 of $19.19.</w:t>
      </w:r>
    </w:p>
    <w:p>
      <w:pPr>
        <w:spacing w:after="0" w:line="60" w:lineRule="exact"/>
        <w:rPr>
          <w:rFonts w:ascii="Times New Roman" w:cs="Times New Roman" w:eastAsia="Times New Roman" w:hAnsi="Times New Roman"/>
          <w:sz w:val="14"/>
          <w:szCs w:val="14"/>
          <w:color w:val="auto"/>
        </w:rPr>
      </w:pPr>
    </w:p>
    <w:p>
      <w:pPr>
        <w:jc w:val="both"/>
        <w:ind w:left="2080" w:right="1419" w:hanging="341"/>
        <w:spacing w:after="0" w:line="269" w:lineRule="auto"/>
        <w:tabs>
          <w:tab w:leader="none" w:pos="207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investment income (“NII”), calculated in accordance with U.S. generally accepted accounting principles (“GAAP”), was approximately $71.8 million, or $0.74 per share, for the quarter ended December 31, 2025.</w:t>
      </w:r>
    </w:p>
    <w:p>
      <w:pPr>
        <w:spacing w:after="0" w:line="61" w:lineRule="exact"/>
        <w:rPr>
          <w:rFonts w:ascii="Times New Roman" w:cs="Times New Roman" w:eastAsia="Times New Roman" w:hAnsi="Times New Roman"/>
          <w:sz w:val="14"/>
          <w:szCs w:val="14"/>
          <w:color w:val="auto"/>
        </w:rPr>
      </w:pPr>
    </w:p>
    <w:p>
      <w:pPr>
        <w:ind w:left="2080" w:right="1419" w:hanging="341"/>
        <w:spacing w:after="0" w:line="286" w:lineRule="auto"/>
        <w:tabs>
          <w:tab w:leader="none" w:pos="207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Core net investment income (“Core NII”) was approximately $108.9 million, or $1.12 per share, for the quarter ended December 31, 2025.</w:t>
      </w:r>
    </w:p>
    <w:p>
      <w:pPr>
        <w:spacing w:after="0" w:line="50" w:lineRule="exact"/>
        <w:rPr>
          <w:rFonts w:ascii="Times New Roman" w:cs="Times New Roman" w:eastAsia="Times New Roman" w:hAnsi="Times New Roman"/>
          <w:sz w:val="14"/>
          <w:szCs w:val="14"/>
          <w:color w:val="auto"/>
        </w:rPr>
      </w:pPr>
    </w:p>
    <w:p>
      <w:pPr>
        <w:jc w:val="both"/>
        <w:ind w:left="2420" w:right="1419" w:hanging="343"/>
        <w:spacing w:after="0" w:line="269" w:lineRule="auto"/>
        <w:tabs>
          <w:tab w:leader="none" w:pos="2416"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Core NII incorporates all applicable cash distributions received, or entitled to be received (if any, in either case), on our CLO equity investments. </w:t>
      </w:r>
      <w:r>
        <w:rPr>
          <w:rFonts w:ascii="Times New Roman" w:cs="Times New Roman" w:eastAsia="Times New Roman" w:hAnsi="Times New Roman"/>
          <w:sz w:val="14"/>
          <w:szCs w:val="14"/>
          <w:b w:val="1"/>
          <w:bCs w:val="1"/>
          <w:color w:val="auto"/>
        </w:rPr>
        <w:t>See additional information under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“Supplemental Information Regarding Core Net Investment Income” below</w:t>
      </w:r>
      <w:r>
        <w:rPr>
          <w:rFonts w:ascii="Times New Roman" w:cs="Times New Roman" w:eastAsia="Times New Roman" w:hAnsi="Times New Roman"/>
          <w:sz w:val="14"/>
          <w:szCs w:val="14"/>
          <w:color w:val="auto"/>
        </w:rPr>
        <w:t>.</w:t>
      </w:r>
    </w:p>
    <w:p>
      <w:pPr>
        <w:spacing w:after="0" w:line="72" w:lineRule="exact"/>
        <w:rPr>
          <w:rFonts w:ascii="Times New Roman" w:cs="Times New Roman" w:eastAsia="Times New Roman" w:hAnsi="Times New Roman"/>
          <w:sz w:val="14"/>
          <w:szCs w:val="14"/>
          <w:color w:val="auto"/>
        </w:rPr>
      </w:pPr>
    </w:p>
    <w:p>
      <w:pPr>
        <w:jc w:val="both"/>
        <w:ind w:left="2420" w:right="1419" w:hanging="343"/>
        <w:spacing w:after="0" w:line="269" w:lineRule="auto"/>
        <w:tabs>
          <w:tab w:leader="none" w:pos="2416"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emphasize that our taxable income may differ materially from our GAAP NII and/or our Core NII, and that neither GAAP NII nor Core NII should be relied upon as indicators of our taxable income.</w:t>
      </w:r>
    </w:p>
    <w:p>
      <w:pPr>
        <w:spacing w:after="0" w:line="61" w:lineRule="exact"/>
        <w:rPr>
          <w:rFonts w:ascii="Times New Roman" w:cs="Times New Roman" w:eastAsia="Times New Roman" w:hAnsi="Times New Roman"/>
          <w:sz w:val="14"/>
          <w:szCs w:val="14"/>
          <w:color w:val="auto"/>
        </w:rPr>
      </w:pPr>
    </w:p>
    <w:p>
      <w:pPr>
        <w:jc w:val="both"/>
        <w:ind w:left="2080" w:right="1419" w:hanging="341"/>
        <w:spacing w:after="0" w:line="269" w:lineRule="auto"/>
        <w:tabs>
          <w:tab w:leader="none" w:pos="207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investment income for the quarter ended December 31, 2025 amounted to approximately $117.8 million, which represented a decrease of approximately $10.5 million from the quarter ended September 30, 2025.</w:t>
      </w:r>
    </w:p>
    <w:p>
      <w:pPr>
        <w:spacing w:after="0" w:line="61" w:lineRule="exact"/>
        <w:rPr>
          <w:rFonts w:ascii="Times New Roman" w:cs="Times New Roman" w:eastAsia="Times New Roman" w:hAnsi="Times New Roman"/>
          <w:sz w:val="14"/>
          <w:szCs w:val="14"/>
          <w:color w:val="auto"/>
        </w:rPr>
      </w:pPr>
    </w:p>
    <w:p>
      <w:pPr>
        <w:ind w:left="2420" w:hanging="343"/>
        <w:spacing w:after="0"/>
        <w:tabs>
          <w:tab w:leader="none" w:pos="242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quarter ended December 31, 2025 we recorded investment income as follows:</w:t>
      </w:r>
    </w:p>
    <w:p>
      <w:pPr>
        <w:spacing w:after="0" w:line="114" w:lineRule="exact"/>
        <w:rPr>
          <w:rFonts w:ascii="Times New Roman" w:cs="Times New Roman" w:eastAsia="Times New Roman" w:hAnsi="Times New Roman"/>
          <w:sz w:val="14"/>
          <w:szCs w:val="14"/>
          <w:color w:val="auto"/>
        </w:rPr>
      </w:pPr>
    </w:p>
    <w:p>
      <w:pPr>
        <w:ind w:left="2760" w:right="1419" w:hanging="344"/>
        <w:spacing w:after="0" w:line="286" w:lineRule="auto"/>
        <w:tabs>
          <w:tab w:leader="none" w:pos="2756" w:val="left"/>
        </w:tabs>
        <w:numPr>
          <w:ilvl w:val="2"/>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$114.3 million from our CLO equity and CLO warehouse investments, and</w:t>
      </w:r>
    </w:p>
    <w:p>
      <w:pPr>
        <w:spacing w:after="0" w:line="50" w:lineRule="exact"/>
        <w:rPr>
          <w:rFonts w:ascii="Times New Roman" w:cs="Times New Roman" w:eastAsia="Times New Roman" w:hAnsi="Times New Roman"/>
          <w:sz w:val="14"/>
          <w:szCs w:val="14"/>
          <w:color w:val="auto"/>
        </w:rPr>
      </w:pPr>
    </w:p>
    <w:p>
      <w:pPr>
        <w:ind w:left="2760" w:hanging="344"/>
        <w:spacing w:after="0"/>
        <w:tabs>
          <w:tab w:leader="none" w:pos="2760" w:val="left"/>
        </w:tabs>
        <w:numPr>
          <w:ilvl w:val="2"/>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$3.5 million from our CLO debt investments and other income.</w:t>
      </w:r>
    </w:p>
    <w:p>
      <w:pPr>
        <w:spacing w:after="0" w:line="103" w:lineRule="exact"/>
        <w:rPr>
          <w:rFonts w:ascii="Times New Roman" w:cs="Times New Roman" w:eastAsia="Times New Roman" w:hAnsi="Times New Roman"/>
          <w:sz w:val="14"/>
          <w:szCs w:val="14"/>
          <w:color w:val="auto"/>
        </w:rPr>
      </w:pPr>
    </w:p>
    <w:p>
      <w:pPr>
        <w:ind w:left="2080" w:hanging="341"/>
        <w:spacing w:after="0"/>
        <w:tabs>
          <w:tab w:leader="none" w:pos="2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total expenses for the quarter ended December 31, 2025 were approximately $46.0 million,</w:t>
      </w:r>
    </w:p>
    <w:p>
      <w:pPr>
        <w:spacing w:after="0" w:line="23" w:lineRule="exact"/>
        <w:rPr>
          <w:sz w:val="20"/>
          <w:szCs w:val="20"/>
          <w:color w:val="auto"/>
        </w:rPr>
      </w:pPr>
    </w:p>
    <w:p>
      <w:pPr>
        <w:ind w:left="2080" w:right="1419"/>
        <w:spacing w:after="0" w:line="264" w:lineRule="auto"/>
        <w:rPr>
          <w:sz w:val="20"/>
          <w:szCs w:val="20"/>
          <w:color w:val="auto"/>
        </w:rPr>
      </w:pPr>
      <w:r>
        <w:rPr>
          <w:rFonts w:ascii="Times New Roman" w:cs="Times New Roman" w:eastAsia="Times New Roman" w:hAnsi="Times New Roman"/>
          <w:sz w:val="14"/>
          <w:szCs w:val="14"/>
          <w:color w:val="auto"/>
        </w:rPr>
        <w:t>compared with total expenses of approximately $47.0 million for the quarter ended September 30, 2025.</w:t>
      </w:r>
    </w:p>
    <w:p>
      <w:pPr>
        <w:spacing w:after="0" w:line="76" w:lineRule="exact"/>
        <w:rPr>
          <w:sz w:val="20"/>
          <w:szCs w:val="20"/>
          <w:color w:val="auto"/>
        </w:rPr>
      </w:pPr>
    </w:p>
    <w:p>
      <w:pPr>
        <w:ind w:left="2080" w:right="1419" w:hanging="341"/>
        <w:spacing w:after="0" w:line="286" w:lineRule="auto"/>
        <w:tabs>
          <w:tab w:leader="none" w:pos="20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the following metrics applied (note that none of these metrics represented a total return to shareholders):</w:t>
      </w:r>
    </w:p>
    <w:p>
      <w:pPr>
        <w:spacing w:after="0" w:line="50" w:lineRule="exact"/>
        <w:rPr>
          <w:rFonts w:ascii="Times New Roman" w:cs="Times New Roman" w:eastAsia="Times New Roman" w:hAnsi="Times New Roman"/>
          <w:sz w:val="14"/>
          <w:szCs w:val="14"/>
          <w:color w:val="auto"/>
        </w:rPr>
      </w:pPr>
    </w:p>
    <w:p>
      <w:pPr>
        <w:ind w:left="2420" w:right="1419" w:hanging="343"/>
        <w:spacing w:after="0" w:line="286" w:lineRule="auto"/>
        <w:tabs>
          <w:tab w:leader="none" w:pos="2416"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yield of our CLO debt investments at current cost was 17.3%, down from 17.4% as of September 30, 2025.</w:t>
      </w:r>
    </w:p>
    <w:p>
      <w:pPr>
        <w:spacing w:after="0" w:line="50" w:lineRule="exact"/>
        <w:rPr>
          <w:rFonts w:ascii="Times New Roman" w:cs="Times New Roman" w:eastAsia="Times New Roman" w:hAnsi="Times New Roman"/>
          <w:sz w:val="14"/>
          <w:szCs w:val="14"/>
          <w:color w:val="auto"/>
        </w:rPr>
      </w:pPr>
    </w:p>
    <w:p>
      <w:pPr>
        <w:ind w:left="2420" w:right="1419" w:hanging="343"/>
        <w:spacing w:after="0" w:line="286" w:lineRule="auto"/>
        <w:tabs>
          <w:tab w:leader="none" w:pos="2416"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effective yield of our CLO equity investments at current cost was 13.8%, down from 14.6% as of September 30, 2025.</w:t>
      </w:r>
    </w:p>
    <w:p>
      <w:pPr>
        <w:spacing w:after="0" w:line="60" w:lineRule="exact"/>
        <w:rPr>
          <w:rFonts w:ascii="Times New Roman" w:cs="Times New Roman" w:eastAsia="Times New Roman" w:hAnsi="Times New Roman"/>
          <w:sz w:val="14"/>
          <w:szCs w:val="14"/>
          <w:color w:val="auto"/>
        </w:rPr>
      </w:pPr>
    </w:p>
    <w:p>
      <w:pPr>
        <w:ind w:left="2420" w:right="1419" w:hanging="343"/>
        <w:spacing w:after="0" w:line="286" w:lineRule="auto"/>
        <w:tabs>
          <w:tab w:leader="none" w:pos="2416"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cash distribution yield of our CLO equity investments at current cost was 19.0%, down from 19.4% as of September 30, 2025.</w:t>
      </w:r>
    </w:p>
    <w:p>
      <w:pPr>
        <w:spacing w:after="0" w:line="50" w:lineRule="exact"/>
        <w:rPr>
          <w:rFonts w:ascii="Times New Roman" w:cs="Times New Roman" w:eastAsia="Times New Roman" w:hAnsi="Times New Roman"/>
          <w:sz w:val="14"/>
          <w:szCs w:val="14"/>
          <w:color w:val="auto"/>
        </w:rPr>
      </w:pPr>
    </w:p>
    <w:p>
      <w:pPr>
        <w:ind w:left="2080" w:right="1419" w:hanging="341"/>
        <w:spacing w:after="0" w:line="286" w:lineRule="auto"/>
        <w:tabs>
          <w:tab w:leader="none" w:pos="20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quarter ended December 31, 2025, we recorded a net decrease in net assets resulting from operations of approximately $240.7 million, or $2.47 per share, comprised of:</w:t>
      </w:r>
    </w:p>
    <w:p>
      <w:pPr>
        <w:spacing w:after="0" w:line="50" w:lineRule="exact"/>
        <w:rPr>
          <w:rFonts w:ascii="Times New Roman" w:cs="Times New Roman" w:eastAsia="Times New Roman" w:hAnsi="Times New Roman"/>
          <w:sz w:val="14"/>
          <w:szCs w:val="14"/>
          <w:color w:val="auto"/>
        </w:rPr>
      </w:pPr>
    </w:p>
    <w:p>
      <w:pPr>
        <w:ind w:left="2420" w:hanging="343"/>
        <w:spacing w:after="0"/>
        <w:tabs>
          <w:tab w:leader="none" w:pos="242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NII of approximately $71.8 million;</w:t>
      </w:r>
    </w:p>
    <w:p>
      <w:pPr>
        <w:spacing w:after="0" w:line="114" w:lineRule="exact"/>
        <w:rPr>
          <w:rFonts w:ascii="Times New Roman" w:cs="Times New Roman" w:eastAsia="Times New Roman" w:hAnsi="Times New Roman"/>
          <w:sz w:val="14"/>
          <w:szCs w:val="14"/>
          <w:color w:val="auto"/>
        </w:rPr>
      </w:pPr>
    </w:p>
    <w:p>
      <w:pPr>
        <w:ind w:left="2420" w:hanging="343"/>
        <w:spacing w:after="0"/>
        <w:tabs>
          <w:tab w:leader="none" w:pos="242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realized losses of approximately $7.0 million; and</w:t>
      </w:r>
    </w:p>
    <w:p>
      <w:pPr>
        <w:spacing w:after="0" w:line="103" w:lineRule="exact"/>
        <w:rPr>
          <w:rFonts w:ascii="Times New Roman" w:cs="Times New Roman" w:eastAsia="Times New Roman" w:hAnsi="Times New Roman"/>
          <w:sz w:val="14"/>
          <w:szCs w:val="14"/>
          <w:color w:val="auto"/>
        </w:rPr>
      </w:pPr>
    </w:p>
    <w:p>
      <w:pPr>
        <w:ind w:left="2420" w:hanging="343"/>
        <w:spacing w:after="0"/>
        <w:tabs>
          <w:tab w:leader="none" w:pos="242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unrealized depreciation of approximately $305.4 million.</w:t>
      </w:r>
    </w:p>
    <w:p>
      <w:pPr>
        <w:spacing w:after="0" w:line="103" w:lineRule="exact"/>
        <w:rPr>
          <w:rFonts w:ascii="Times New Roman" w:cs="Times New Roman" w:eastAsia="Times New Roman" w:hAnsi="Times New Roman"/>
          <w:sz w:val="14"/>
          <w:szCs w:val="14"/>
          <w:color w:val="auto"/>
        </w:rPr>
      </w:pPr>
    </w:p>
    <w:p>
      <w:pPr>
        <w:jc w:val="both"/>
        <w:ind w:left="2080" w:right="1419" w:hanging="341"/>
        <w:spacing w:after="0" w:line="269" w:lineRule="auto"/>
        <w:tabs>
          <w:tab w:leader="none" w:pos="20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quarter ended December 31, 2025, we made additional investments of approximately $97.2 million, and received approximately $85.5 million from sales and repayments of our CLO investments.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3" w:name="page14"/>
    <w:bookmarkEnd w:id="13"/>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7235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37330" cy="7235190"/>
                    </a:xfrm>
                    <a:prstGeom prst="rect">
                      <a:avLst/>
                    </a:prstGeom>
                    <a:noFill/>
                  </pic:spPr>
                </pic:pic>
              </a:graphicData>
            </a:graphic>
          </wp:anchor>
        </w:drawing>
      </w:r>
    </w:p>
    <w:p>
      <w:pPr>
        <w:spacing w:after="0" w:line="242" w:lineRule="exact"/>
        <w:rPr>
          <w:sz w:val="20"/>
          <w:szCs w:val="20"/>
          <w:color w:val="auto"/>
        </w:rPr>
      </w:pPr>
    </w:p>
    <w:p>
      <w:pPr>
        <w:ind w:left="2080" w:right="1419" w:hanging="341"/>
        <w:spacing w:after="0" w:line="286" w:lineRule="auto"/>
        <w:tabs>
          <w:tab w:leader="none" w:pos="207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we had approximately 97.4 million shares of common stock outstanding.</w:t>
      </w:r>
    </w:p>
    <w:p>
      <w:pPr>
        <w:spacing w:after="0" w:line="50" w:lineRule="exact"/>
        <w:rPr>
          <w:rFonts w:ascii="Times New Roman" w:cs="Times New Roman" w:eastAsia="Times New Roman" w:hAnsi="Times New Roman"/>
          <w:sz w:val="14"/>
          <w:szCs w:val="14"/>
          <w:color w:val="auto"/>
        </w:rPr>
      </w:pPr>
    </w:p>
    <w:p>
      <w:pPr>
        <w:jc w:val="both"/>
        <w:ind w:left="2080" w:right="1419" w:hanging="341"/>
        <w:spacing w:after="0" w:line="263" w:lineRule="auto"/>
        <w:tabs>
          <w:tab w:leader="none" w:pos="207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29, 2026, our Board of Directors declared the required monthly dividends on our 6.25% Series 2027 Term Preferred Shares, 6.00% Series 2029 Term Preferred Shares, and</w:t>
      </w:r>
    </w:p>
    <w:p>
      <w:pPr>
        <w:ind w:left="20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7.125% Series 2029 Term Preferred Shares as follows:</w:t>
      </w:r>
    </w:p>
    <w:p>
      <w:pPr>
        <w:spacing w:after="0" w:line="133" w:lineRule="exact"/>
        <w:rPr>
          <w:sz w:val="20"/>
          <w:szCs w:val="20"/>
          <w:color w:val="auto"/>
        </w:rPr>
      </w:pPr>
    </w:p>
    <w:tbl>
      <w:tblPr>
        <w:tblLayout w:type="fixed"/>
        <w:tblInd w:w="140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Per Share</w:t>
            </w: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Dividend</w:t>
            </w: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Preferred Shares Type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Declared</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Record Dates</w:t>
            </w:r>
          </w:p>
        </w:tc>
        <w:tc>
          <w:tcPr>
            <w:tcW w:w="1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Payment Dates</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6.25% – Series 2027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0.13020833</w:t>
            </w:r>
          </w:p>
        </w:tc>
        <w:tc>
          <w:tcPr>
            <w:tcW w:w="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March 17, 2026,</w:t>
            </w:r>
          </w:p>
        </w:tc>
        <w:tc>
          <w:tcPr>
            <w:tcW w:w="8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March 31, 2026,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April 16, 2026, May 15, 2026</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April 30, 2026, May 29, 2026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6.00% – Series 2029</w:t>
            </w:r>
          </w:p>
        </w:tc>
        <w:tc>
          <w:tcPr>
            <w:tcW w:w="200" w:type="dxa"/>
            <w:vAlign w:val="bottom"/>
            <w:gridSpan w:val="2"/>
          </w:tcPr>
          <w:p>
            <w:pPr>
              <w:jc w:val="right"/>
              <w:ind w:right="5"/>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0.12500000</w:t>
            </w:r>
          </w:p>
        </w:tc>
        <w:tc>
          <w:tcPr>
            <w:tcW w:w="80" w:type="dxa"/>
            <w:vAlign w:val="bottom"/>
          </w:tcPr>
          <w:p>
            <w:pPr>
              <w:spacing w:after="0"/>
              <w:rPr>
                <w:sz w:val="13"/>
                <w:szCs w:val="13"/>
                <w:color w:val="auto"/>
              </w:rPr>
            </w:pPr>
          </w:p>
        </w:tc>
        <w:tc>
          <w:tcPr>
            <w:tcW w:w="184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color w:val="auto"/>
                <w:w w:val="99"/>
              </w:rPr>
              <w:t>March 17, 2026,</w:t>
            </w:r>
          </w:p>
        </w:tc>
        <w:tc>
          <w:tcPr>
            <w:tcW w:w="18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March 31, 2026,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April 16, 2026, May 15, 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30, 2026, May 29, 2026</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14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7.125% – Series 2029</w:t>
            </w:r>
          </w:p>
        </w:tc>
        <w:tc>
          <w:tcPr>
            <w:tcW w:w="200" w:type="dxa"/>
            <w:vAlign w:val="bottom"/>
            <w:gridSpan w:val="2"/>
            <w:shd w:val="clear" w:color="auto" w:fill="CCEEFF"/>
          </w:tcPr>
          <w:p>
            <w:pPr>
              <w:jc w:val="right"/>
              <w:ind w:right="5"/>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0.1484375</w:t>
            </w:r>
          </w:p>
        </w:tc>
        <w:tc>
          <w:tcPr>
            <w:tcW w:w="8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center"/>
              <w:ind w:right="120"/>
              <w:spacing w:after="0" w:line="155" w:lineRule="exact"/>
              <w:rPr>
                <w:sz w:val="20"/>
                <w:szCs w:val="20"/>
                <w:color w:val="auto"/>
              </w:rPr>
            </w:pPr>
            <w:r>
              <w:rPr>
                <w:rFonts w:ascii="Times New Roman" w:cs="Times New Roman" w:eastAsia="Times New Roman" w:hAnsi="Times New Roman"/>
                <w:sz w:val="14"/>
                <w:szCs w:val="14"/>
                <w:color w:val="auto"/>
                <w:w w:val="99"/>
              </w:rPr>
              <w:t>March 17, 2026,</w:t>
            </w:r>
          </w:p>
        </w:tc>
        <w:tc>
          <w:tcPr>
            <w:tcW w:w="18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March 31, 2026,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April 16, 2026, May 15, 2026</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April 30, 2026, May 29, 2026</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both"/>
        <w:ind w:left="1400" w:right="1419" w:firstLine="338"/>
        <w:spacing w:after="0" w:line="258" w:lineRule="auto"/>
        <w:rPr>
          <w:sz w:val="20"/>
          <w:szCs w:val="20"/>
          <w:color w:val="auto"/>
        </w:rPr>
      </w:pPr>
      <w:r>
        <w:rPr>
          <w:rFonts w:ascii="Times New Roman" w:cs="Times New Roman" w:eastAsia="Times New Roman" w:hAnsi="Times New Roman"/>
          <w:sz w:val="14"/>
          <w:szCs w:val="14"/>
          <w:color w:val="auto"/>
        </w:rPr>
        <w:t>In accordance with their terms, each of the 6.25% Series 2027 Term Preferred Shares, 6.00% Series 2029 Term Preferred Shares, and 7.125% Series 2029 Term Preferred Shares will pay a monthly dividend at a fixed rate of 6.25%, 6.00% and 7.125%, respectively, of the $25.00 per share liquidation preference, or $1.5625, $1.5000 and $1.78125 per share per year, respectively. This fixed annual dividend rate is subject to adjustment under certain circumstances, but will not, in any case, be lower than 6.25%, 6.00% and 7.125% per year, respectively, for each of the 6.25% Series 2027 Term Preferred Shares, 6.00% Series 2029 Term Preferred Shares and 7.125% Series 2029 Term Preferred Shares.</w:t>
      </w:r>
    </w:p>
    <w:p>
      <w:pPr>
        <w:spacing w:after="0" w:line="10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Supplemental Information Regarding Core Net Investment Income</w:t>
      </w:r>
    </w:p>
    <w:p>
      <w:pPr>
        <w:spacing w:after="0" w:line="106" w:lineRule="exact"/>
        <w:rPr>
          <w:sz w:val="20"/>
          <w:szCs w:val="20"/>
          <w:color w:val="auto"/>
        </w:rPr>
      </w:pPr>
    </w:p>
    <w:p>
      <w:pPr>
        <w:jc w:val="both"/>
        <w:ind w:left="1400" w:right="1419" w:firstLine="338"/>
        <w:spacing w:after="0" w:line="257" w:lineRule="auto"/>
        <w:rPr>
          <w:sz w:val="20"/>
          <w:szCs w:val="20"/>
          <w:color w:val="auto"/>
        </w:rPr>
      </w:pPr>
      <w:r>
        <w:rPr>
          <w:rFonts w:ascii="Times New Roman" w:cs="Times New Roman" w:eastAsia="Times New Roman" w:hAnsi="Times New Roman"/>
          <w:sz w:val="14"/>
          <w:szCs w:val="14"/>
          <w:color w:val="auto"/>
        </w:rPr>
        <w:t>We provide information relating to Core NII (a non-GAAP measure) on a supplemental basis. This measure is not provided as a substitute for GAAP NII, but in addition to it. Our non-GAAP measures may differ from similar measures by other companies, even in the event of similar terms being utilized to identify such measures. Core NII represents GAAP NII adjusted for additional applicable cash distributions received, or entitled to be received (if any, in either case), on our CLO equity investments. Oxford Lane’s management uses this information in its internal analysis of results and believes that this information may be informative in assessing the quality of Oxford Lane’s financial performance, identifying trends in its results and providing meaningful period-to-period comparisons.</w:t>
      </w:r>
    </w:p>
    <w:p>
      <w:pPr>
        <w:spacing w:after="0" w:line="81" w:lineRule="exact"/>
        <w:rPr>
          <w:sz w:val="20"/>
          <w:szCs w:val="20"/>
          <w:color w:val="auto"/>
        </w:rPr>
      </w:pPr>
    </w:p>
    <w:p>
      <w:pPr>
        <w:jc w:val="both"/>
        <w:ind w:left="1400" w:right="1419" w:firstLine="338"/>
        <w:spacing w:after="0" w:line="256" w:lineRule="auto"/>
        <w:rPr>
          <w:sz w:val="20"/>
          <w:szCs w:val="20"/>
          <w:color w:val="auto"/>
        </w:rPr>
      </w:pPr>
      <w:r>
        <w:rPr>
          <w:rFonts w:ascii="Times New Roman" w:cs="Times New Roman" w:eastAsia="Times New Roman" w:hAnsi="Times New Roman"/>
          <w:sz w:val="14"/>
          <w:szCs w:val="14"/>
          <w:color w:val="auto"/>
        </w:rPr>
        <w:t>Income from investments in the “equity” class securities of CLO vehicles, for GAAP purposes, is recorded using the effective interest method; this is based on an effective yield to the expected redemption utilizing estimated cash flows, at current cost, including those CLO equity investments that have not made their inaugural distribution for the relevant period end. The result is an effective yield for the investment in which the respective investment’s cost basis is adjusted quarterly based on the difference between the actual cash received, or distributions entitled to be received, and the effective yield calculation. Accordingly, investment income recognized on CLO equity securities in the GAAP statement of operations differs from the cash distributions actually received by the Company during the period (referred to below as “CLO equity adjustments”).</w:t>
      </w:r>
    </w:p>
    <w:p>
      <w:pPr>
        <w:spacing w:after="0" w:line="73" w:lineRule="exact"/>
        <w:rPr>
          <w:sz w:val="20"/>
          <w:szCs w:val="20"/>
          <w:color w:val="auto"/>
        </w:rPr>
      </w:pPr>
    </w:p>
    <w:p>
      <w:pPr>
        <w:jc w:val="both"/>
        <w:ind w:left="1400" w:right="1419" w:firstLine="338"/>
        <w:spacing w:after="0" w:line="258" w:lineRule="auto"/>
        <w:rPr>
          <w:sz w:val="20"/>
          <w:szCs w:val="20"/>
          <w:color w:val="auto"/>
        </w:rPr>
      </w:pPr>
      <w:r>
        <w:rPr>
          <w:rFonts w:ascii="Times New Roman" w:cs="Times New Roman" w:eastAsia="Times New Roman" w:hAnsi="Times New Roman"/>
          <w:sz w:val="14"/>
          <w:szCs w:val="14"/>
          <w:color w:val="auto"/>
        </w:rPr>
        <w:t>Furthermore, in order for the Company to continue qualifying as a RIC for tax purposes, we are required, among other things, to distribute at least 90% of our investment company taxable income annually. While Core NII may provide a better indication of our estimated taxable income than GAAP NII during certain periods, we can offer no assurance that will be the case, however, as the ultimate tax character of our earnings cannot be determined until after tax returns are prepared at the close of a fiscal year. We note that this non-GAAP measure may not serve as a useful indicator of taxable earnings, particularly during periods of market disruption and volatility, and, as such, our taxable income may differ materially from our Core NII.</w:t>
      </w:r>
    </w:p>
    <w:p>
      <w:pPr>
        <w:spacing w:after="0" w:line="6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following table provides a reconciliation of GAAP NII to Core NII for the three months ended</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December 31, 2025:</w:t>
      </w:r>
    </w:p>
    <w:p>
      <w:pPr>
        <w:spacing w:after="0" w:line="144" w:lineRule="exact"/>
        <w:rPr>
          <w:sz w:val="20"/>
          <w:szCs w:val="20"/>
          <w:color w:val="auto"/>
        </w:rPr>
      </w:pPr>
    </w:p>
    <w:tbl>
      <w:tblPr>
        <w:tblLayout w:type="fixed"/>
        <w:tblInd w:w="1320" w:type="dxa"/>
        <w:tblCellMar>
          <w:top w:w="0" w:type="dxa"/>
          <w:left w:w="0" w:type="dxa"/>
          <w:bottom w:w="0" w:type="dxa"/>
          <w:right w:w="0" w:type="dxa"/>
        </w:tblCellMar>
      </w:tblPr>
      <w:tr>
        <w:trPr>
          <w:trHeight w:val="159"/>
        </w:trPr>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92"/>
              <w:spacing w:after="0" w:line="137" w:lineRule="exact"/>
              <w:rPr>
                <w:sz w:val="20"/>
                <w:szCs w:val="20"/>
                <w:color w:val="auto"/>
              </w:rPr>
            </w:pPr>
            <w:r>
              <w:rPr>
                <w:rFonts w:ascii="Times New Roman" w:cs="Times New Roman" w:eastAsia="Times New Roman" w:hAnsi="Times New Roman"/>
                <w:sz w:val="13"/>
                <w:szCs w:val="13"/>
                <w:b w:val="1"/>
                <w:bCs w:val="1"/>
                <w:color w:val="auto"/>
                <w:w w:val="97"/>
              </w:rPr>
              <w:t>Per Share</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0" w:type="dxa"/>
            <w:vAlign w:val="bottom"/>
          </w:tcPr>
          <w:p>
            <w:pPr>
              <w:spacing w:after="0"/>
              <w:rPr>
                <w:sz w:val="1"/>
                <w:szCs w:val="1"/>
                <w:color w:val="auto"/>
              </w:rPr>
            </w:pPr>
          </w:p>
        </w:tc>
      </w:tr>
      <w:tr>
        <w:trPr>
          <w:trHeight w:val="36"/>
        </w:trPr>
        <w:tc>
          <w:tcPr>
            <w:tcW w:w="2440" w:type="dxa"/>
            <w:vAlign w:val="bottom"/>
            <w:gridSpan w:val="2"/>
          </w:tcPr>
          <w:p>
            <w:pPr>
              <w:spacing w:after="0"/>
              <w:rPr>
                <w:sz w:val="3"/>
                <w:szCs w:val="3"/>
                <w:color w:val="auto"/>
              </w:rPr>
            </w:pPr>
          </w:p>
        </w:tc>
        <w:tc>
          <w:tcPr>
            <w:tcW w:w="1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2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Net investment income</w:t>
            </w:r>
          </w:p>
        </w:tc>
        <w:tc>
          <w:tcPr>
            <w:tcW w:w="19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71,786,260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CLO equity adjustments</w:t>
            </w:r>
          </w:p>
        </w:tc>
        <w:tc>
          <w:tcPr>
            <w:tcW w:w="206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37,109,908</w:t>
            </w:r>
          </w:p>
        </w:tc>
        <w:tc>
          <w:tcPr>
            <w:tcW w:w="22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Core Net investment income</w:t>
            </w:r>
          </w:p>
        </w:tc>
        <w:tc>
          <w:tcPr>
            <w:tcW w:w="2060" w:type="dxa"/>
            <w:vAlign w:val="bottom"/>
            <w:tcBorders>
              <w:bottom w:val="single" w:sz="8" w:color="CCEEFF"/>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108,896,168</w:t>
            </w:r>
          </w:p>
        </w:tc>
        <w:tc>
          <w:tcPr>
            <w:tcW w:w="220" w:type="dxa"/>
            <w:vAlign w:val="bottom"/>
            <w:tcBorders>
              <w:bottom w:val="single" w:sz="8" w:color="CCEEFF"/>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8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740" w:type="dxa"/>
            <w:vAlign w:val="bottom"/>
            <w:tcBorders>
              <w:top w:val="single" w:sz="8" w:color="auto"/>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820" w:type="dxa"/>
            <w:vAlign w:val="bottom"/>
            <w:tcBorders>
              <w:top w:val="single" w:sz="8" w:color="auto"/>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1165"/>
              <w:spacing w:after="0"/>
              <w:rPr>
                <w:sz w:val="20"/>
                <w:szCs w:val="20"/>
                <w:color w:val="auto"/>
              </w:rPr>
            </w:pPr>
            <w:r>
              <w:rPr>
                <w:rFonts w:ascii="Times New Roman" w:cs="Times New Roman" w:eastAsia="Times New Roman" w:hAnsi="Times New Roman"/>
                <w:sz w:val="14"/>
                <w:szCs w:val="14"/>
                <w:color w:val="auto"/>
              </w:rPr>
              <w:t>S-8</w:t>
            </w: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1" w:right="1440" w:bottom="1440" w:gutter="0" w:footer="0" w:header="0"/>
        </w:sectPr>
      </w:pPr>
    </w:p>
    <w:bookmarkStart w:id="14" w:name="page15"/>
    <w:bookmarkEnd w:id="14"/>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6791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37330" cy="6791960"/>
                    </a:xfrm>
                    <a:prstGeom prst="rect">
                      <a:avLst/>
                    </a:prstGeom>
                    <a:noFill/>
                  </pic:spPr>
                </pic:pic>
              </a:graphicData>
            </a:graphic>
          </wp:anchor>
        </w:drawing>
      </w:r>
    </w:p>
    <w:p>
      <w:pPr>
        <w:spacing w:after="0" w:line="30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JANUARY NET ASSET VALUE UPDATE</w:t>
      </w:r>
    </w:p>
    <w:p>
      <w:pPr>
        <w:spacing w:after="0" w:line="12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On February 17, 2026, we announced the following NAV estimate as of January 31, 2026.</w:t>
      </w:r>
    </w:p>
    <w:p>
      <w:pPr>
        <w:spacing w:after="0" w:line="125" w:lineRule="exact"/>
        <w:rPr>
          <w:sz w:val="20"/>
          <w:szCs w:val="20"/>
          <w:color w:val="auto"/>
        </w:rPr>
      </w:pPr>
    </w:p>
    <w:p>
      <w:pPr>
        <w:jc w:val="both"/>
        <w:ind w:left="2080" w:right="1419" w:hanging="341"/>
        <w:spacing w:after="0" w:line="258" w:lineRule="auto"/>
        <w:tabs>
          <w:tab w:leader="none" w:pos="207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Management’s unaudited estimate of the range of the NAV per share of our common stock as of January 31, 2026, is between $13.48 and $13.78. This estimate is not a comprehensive statement of our financial condition or results for the month ended January 31, 2026. This estimate did not undergo the Company’s typical quarter-end financial closing procedures and was not approved by the Company’s Board of Directors. We advise you that our NAV per share for the quarter ending March 31, 2026 may differ materially from this estimate, which is given only as of January 31, 2026.</w:t>
      </w:r>
    </w:p>
    <w:p>
      <w:pPr>
        <w:spacing w:after="0" w:line="79" w:lineRule="exact"/>
        <w:rPr>
          <w:rFonts w:ascii="Times New Roman" w:cs="Times New Roman" w:eastAsia="Times New Roman" w:hAnsi="Times New Roman"/>
          <w:sz w:val="14"/>
          <w:szCs w:val="14"/>
          <w:color w:val="auto"/>
        </w:rPr>
      </w:pPr>
    </w:p>
    <w:p>
      <w:pPr>
        <w:ind w:left="2080" w:right="1419" w:hanging="341"/>
        <w:spacing w:after="0" w:line="286" w:lineRule="auto"/>
        <w:tabs>
          <w:tab w:leader="none" w:pos="207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January 31, 2026, the Company had approximately 97.6 million shares of common stock issued and outstanding.</w:t>
      </w:r>
    </w:p>
    <w:p>
      <w:pPr>
        <w:spacing w:after="0" w:line="71" w:lineRule="exact"/>
        <w:rPr>
          <w:sz w:val="20"/>
          <w:szCs w:val="20"/>
          <w:color w:val="auto"/>
        </w:rPr>
      </w:pPr>
    </w:p>
    <w:p>
      <w:pPr>
        <w:jc w:val="both"/>
        <w:ind w:left="1400" w:right="1419" w:firstLine="338"/>
        <w:spacing w:after="0" w:line="257" w:lineRule="auto"/>
        <w:rPr>
          <w:sz w:val="20"/>
          <w:szCs w:val="20"/>
          <w:color w:val="auto"/>
        </w:rPr>
      </w:pPr>
      <w:r>
        <w:rPr>
          <w:rFonts w:ascii="Times New Roman" w:cs="Times New Roman" w:eastAsia="Times New Roman" w:hAnsi="Times New Roman"/>
          <w:sz w:val="14"/>
          <w:szCs w:val="14"/>
          <w:color w:val="auto"/>
        </w:rPr>
        <w:t>The fair value of the Company’s portfolio investments may be materially impacted after January 31, 2026, by circumstances and events that are not yet known. To the extent the Company’s portfolio investments are impacted by market volatility in the U.S. or worldwide, the Company may experience a material impact on its future net investment income, the fair value of its portfolio investments, its financial condition and the financial condition of its portfolio investments. Investing in our securities involves a number of significant risks. For a discussion of the additional risks applicable to an investment in our securities, please refer to the section titled “Risk Factors” in our prospectus and the section titled “Principal Risks” in our most recent annual report or semi-annual report, as applicable.</w:t>
      </w:r>
    </w:p>
    <w:p>
      <w:pPr>
        <w:spacing w:after="0" w:line="90" w:lineRule="exact"/>
        <w:rPr>
          <w:sz w:val="20"/>
          <w:szCs w:val="20"/>
          <w:color w:val="auto"/>
        </w:rPr>
      </w:pPr>
    </w:p>
    <w:p>
      <w:pPr>
        <w:jc w:val="both"/>
        <w:ind w:left="1400" w:right="1419" w:firstLine="338"/>
        <w:spacing w:after="0" w:line="261" w:lineRule="auto"/>
        <w:rPr>
          <w:sz w:val="20"/>
          <w:szCs w:val="20"/>
          <w:color w:val="auto"/>
        </w:rPr>
      </w:pPr>
      <w:r>
        <w:rPr>
          <w:rFonts w:ascii="Times New Roman" w:cs="Times New Roman" w:eastAsia="Times New Roman" w:hAnsi="Times New Roman"/>
          <w:sz w:val="14"/>
          <w:szCs w:val="14"/>
          <w:i w:val="1"/>
          <w:iCs w:val="1"/>
          <w:color w:val="auto"/>
        </w:rPr>
        <w:t>The preliminary financial data included in this prospectus supplement has been prepared by, and is the responsibility of, Oxford Lane Capital Corp.’s management. PricewaterhouseCoopers LLP has not audited, reviewed, compiled, or applied agreed-upon procedures with respect to the preliminary financial data. Accordingly, PricewaterhouseCoopers LLP does not express an opinion or any other form of assurance with respect thereto.</w:t>
      </w:r>
    </w:p>
    <w:p>
      <w:pPr>
        <w:spacing w:after="0" w:line="14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b w:val="1"/>
          <w:bCs w:val="1"/>
          <w:color w:val="auto"/>
        </w:rPr>
        <w:t>FEBRUARY NET ASSET VALUE UPDATE</w:t>
      </w:r>
    </w:p>
    <w:p>
      <w:pPr>
        <w:spacing w:after="0" w:line="1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On March 10, 2026, we announced the following NAV estimate as of February 28, 2026.</w:t>
      </w:r>
    </w:p>
    <w:p>
      <w:pPr>
        <w:spacing w:after="0" w:line="125" w:lineRule="exact"/>
        <w:rPr>
          <w:sz w:val="20"/>
          <w:szCs w:val="20"/>
          <w:color w:val="auto"/>
        </w:rPr>
      </w:pPr>
    </w:p>
    <w:p>
      <w:pPr>
        <w:jc w:val="both"/>
        <w:ind w:left="2080" w:right="1419" w:hanging="341"/>
        <w:spacing w:after="0" w:line="258" w:lineRule="auto"/>
        <w:tabs>
          <w:tab w:leader="none" w:pos="207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Management’s unaudited estimate of the range of the NAV per share of our common stock as of February 28, 2026, is between $11.59 and $11.89. This estimate is not a comprehensive statement of our financial condition or results for the month ended February 28, 2026. This estimate did not undergo the Company’s typical quarter-end financial closing procedures and was not approved by the Company’s Board of Directors. We advise you that our NAV per share for the quarter ending March 31, 2026 may differ materially from this estimate, which is given only as of February 28, 2026.</w:t>
      </w:r>
    </w:p>
    <w:p>
      <w:pPr>
        <w:spacing w:after="0" w:line="89" w:lineRule="exact"/>
        <w:rPr>
          <w:rFonts w:ascii="Times New Roman" w:cs="Times New Roman" w:eastAsia="Times New Roman" w:hAnsi="Times New Roman"/>
          <w:sz w:val="14"/>
          <w:szCs w:val="14"/>
          <w:color w:val="auto"/>
        </w:rPr>
      </w:pPr>
    </w:p>
    <w:p>
      <w:pPr>
        <w:ind w:left="2080" w:right="1419" w:hanging="341"/>
        <w:spacing w:after="0" w:line="286" w:lineRule="auto"/>
        <w:tabs>
          <w:tab w:leader="none" w:pos="207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February 28, 2026, the Company had approximately 97.6 million shares of common stock issued and outstanding.</w:t>
      </w:r>
    </w:p>
    <w:p>
      <w:pPr>
        <w:spacing w:after="0" w:line="61" w:lineRule="exact"/>
        <w:rPr>
          <w:sz w:val="20"/>
          <w:szCs w:val="20"/>
          <w:color w:val="auto"/>
        </w:rPr>
      </w:pPr>
    </w:p>
    <w:p>
      <w:pPr>
        <w:jc w:val="both"/>
        <w:ind w:left="1400" w:right="1419" w:firstLine="338"/>
        <w:spacing w:after="0" w:line="257" w:lineRule="auto"/>
        <w:rPr>
          <w:sz w:val="20"/>
          <w:szCs w:val="20"/>
          <w:color w:val="auto"/>
        </w:rPr>
      </w:pPr>
      <w:r>
        <w:rPr>
          <w:rFonts w:ascii="Times New Roman" w:cs="Times New Roman" w:eastAsia="Times New Roman" w:hAnsi="Times New Roman"/>
          <w:sz w:val="14"/>
          <w:szCs w:val="14"/>
          <w:color w:val="auto"/>
        </w:rPr>
        <w:t>The fair value of the Company’s portfolio investments may be materially impacted after February 28, 2026, by circumstances and events that are not yet known. To the extent the Company’s portfolio investments are impacted by market volatility in the U.S. or worldwide, the Company may experience a material impact on its future net investment income, the fair value of its portfolio investments, its financial condition and the financial condition of its portfolio investments. Investing in our securities involves a number of significant risks. For a discussion of the additional risks applicable to an investment in our securities, please refer to the section titled “Risk Factors” in our prospectus and the section titled “Principal Risks” in our most recent annual report or semi-annual report, as applicable.</w:t>
      </w:r>
    </w:p>
    <w:p>
      <w:pPr>
        <w:spacing w:after="0" w:line="90" w:lineRule="exact"/>
        <w:rPr>
          <w:sz w:val="20"/>
          <w:szCs w:val="20"/>
          <w:color w:val="auto"/>
        </w:rPr>
      </w:pPr>
    </w:p>
    <w:p>
      <w:pPr>
        <w:jc w:val="both"/>
        <w:ind w:left="1400" w:right="1419" w:firstLine="338"/>
        <w:spacing w:after="0" w:line="261" w:lineRule="auto"/>
        <w:rPr>
          <w:sz w:val="20"/>
          <w:szCs w:val="20"/>
          <w:color w:val="auto"/>
        </w:rPr>
      </w:pPr>
      <w:r>
        <w:rPr>
          <w:rFonts w:ascii="Times New Roman" w:cs="Times New Roman" w:eastAsia="Times New Roman" w:hAnsi="Times New Roman"/>
          <w:sz w:val="14"/>
          <w:szCs w:val="14"/>
          <w:i w:val="1"/>
          <w:iCs w:val="1"/>
          <w:color w:val="auto"/>
        </w:rPr>
        <w:t>The preliminary financial data included in this prospectus supplement has been prepared by, and is the responsibility of, Oxford Lane Capital Corp.’s management. PricewaterhouseCoopers LLP has not audited, reviewed, compiled, or applied agreed-upon procedures with respect to the preliminary financial data. Accordingly, PricewaterhouseCoopers LLP does not express an opinion or any other form of assurance with respect thereto.</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Our Corporate Information</w:t>
      </w:r>
    </w:p>
    <w:p>
      <w:pPr>
        <w:spacing w:after="0" w:line="127" w:lineRule="exact"/>
        <w:rPr>
          <w:sz w:val="20"/>
          <w:szCs w:val="20"/>
          <w:color w:val="auto"/>
        </w:rPr>
      </w:pPr>
    </w:p>
    <w:p>
      <w:pPr>
        <w:jc w:val="both"/>
        <w:ind w:left="1400" w:right="1419" w:firstLine="338"/>
        <w:spacing w:after="0" w:line="286" w:lineRule="auto"/>
        <w:rPr>
          <w:sz w:val="20"/>
          <w:szCs w:val="20"/>
          <w:color w:val="auto"/>
        </w:rPr>
      </w:pPr>
      <w:r>
        <w:rPr>
          <w:rFonts w:ascii="Times New Roman" w:cs="Times New Roman" w:eastAsia="Times New Roman" w:hAnsi="Times New Roman"/>
          <w:sz w:val="14"/>
          <w:szCs w:val="14"/>
          <w:color w:val="auto"/>
        </w:rPr>
        <w:t>Our offices are located at 8 Sound Shore Drive, Suite 255, Greenwich, CT 06830, and our telephone number is (203) 983-5275.</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5" w:name="page16"/>
    <w:bookmarkEnd w:id="15"/>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7147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37330" cy="7147560"/>
                    </a:xfrm>
                    <a:prstGeom prst="rect">
                      <a:avLst/>
                    </a:prstGeom>
                    <a:noFill/>
                  </pic:spPr>
                </pic:pic>
              </a:graphicData>
            </a:graphic>
          </wp:anchor>
        </w:drawing>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27" w:lineRule="exact"/>
        <w:rPr>
          <w:sz w:val="20"/>
          <w:szCs w:val="20"/>
          <w:color w:val="auto"/>
        </w:rPr>
      </w:pPr>
    </w:p>
    <w:p>
      <w:pPr>
        <w:jc w:val="both"/>
        <w:ind w:left="1400" w:right="1419" w:firstLine="338"/>
        <w:spacing w:after="0" w:line="269" w:lineRule="auto"/>
        <w:rPr>
          <w:sz w:val="20"/>
          <w:szCs w:val="20"/>
          <w:color w:val="auto"/>
        </w:rPr>
      </w:pPr>
      <w:r>
        <w:rPr>
          <w:rFonts w:ascii="Times New Roman" w:cs="Times New Roman" w:eastAsia="Times New Roman" w:hAnsi="Times New Roman"/>
          <w:sz w:val="14"/>
          <w:szCs w:val="14"/>
          <w:color w:val="auto"/>
        </w:rPr>
        <w:t>The following is a brief summary of the terms of this offering. For a more complete description of the rights, preferences and other terms of the 8.25% Series 2031 Term Preferred Shares, see “Description of the 8.25% Series 2031 Term Preferred Shares” in this prospectus supplement.</w:t>
      </w:r>
    </w:p>
    <w:p>
      <w:pPr>
        <w:spacing w:after="0" w:line="102" w:lineRule="exact"/>
        <w:rPr>
          <w:sz w:val="20"/>
          <w:szCs w:val="20"/>
          <w:color w:val="auto"/>
        </w:rPr>
      </w:pPr>
    </w:p>
    <w:tbl>
      <w:tblPr>
        <w:tblLayout w:type="fixed"/>
        <w:tblInd w:w="1320" w:type="dxa"/>
        <w:tblCellMar>
          <w:top w:w="0" w:type="dxa"/>
          <w:left w:w="0" w:type="dxa"/>
          <w:bottom w:w="0" w:type="dxa"/>
          <w:right w:w="0" w:type="dxa"/>
        </w:tblCellMar>
      </w:tblPr>
      <w:tr>
        <w:trPr>
          <w:trHeight w:val="186"/>
        </w:trPr>
        <w:tc>
          <w:tcPr>
            <w:tcW w:w="2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Oxford Lane Capital Corp.</w:t>
            </w:r>
          </w:p>
        </w:tc>
      </w:tr>
      <w:tr>
        <w:trPr>
          <w:trHeight w:val="339"/>
        </w:trPr>
        <w:tc>
          <w:tcPr>
            <w:tcW w:w="2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Title of the Securities</w:t>
            </w: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8.25% Series 2031 Term Preferred Shares</w:t>
            </w:r>
          </w:p>
        </w:tc>
      </w:tr>
      <w:tr>
        <w:trPr>
          <w:trHeight w:val="303"/>
        </w:trPr>
        <w:tc>
          <w:tcPr>
            <w:tcW w:w="2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Listing</w:t>
            </w: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We have applied to list the 8.25% Series 2031 Term Preferred</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Shares on the NASDAQ Global Select Market and we expect</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trading to commence thereon within 30 days after the date of</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initial delivery of the 8.25% Series 2031 Term Preferred Shares</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under the symbol “OXLCM.” Our Series 2027 Term Preferred</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Shares are currently listed on the NASDAQ Global Select</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Market under the symbol “OXLCP.” Our 6.00% Series 2029</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Term Preferred Shares are currently listed on the NASDAQ</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Global Select Market under the symbol “OXLCO.” Our 7.125%</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Series 2029 Term Preferred Shares are currently listed on the</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NASDAQ Global Select Market under the symbol “OXLCN.”</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Our 2027 Notes are currently listed on the NASDAQ Global</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Select Market under the symbol “OXLCZ.” Our 2031 Notes are</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currently listed on the NASDAQ Global Select Market under</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the symbol “OXLCL.” Our 2030 Notes are currently listed on</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the  NASDAQ  Global  Select  Market  under  the  symbol</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“OXLCI.” Our 2032 Notes are currently listed on the NASDAQ</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Global  Select  Market  under  the  symbol  “OXLCG.”  Our</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common stock is currently listed on the NASDAQ Global Select</w:t>
            </w:r>
          </w:p>
        </w:tc>
      </w:tr>
      <w:tr>
        <w:trPr>
          <w:trHeight w:val="184"/>
        </w:trPr>
        <w:tc>
          <w:tcPr>
            <w:tcW w:w="2040" w:type="dxa"/>
            <w:vAlign w:val="bottom"/>
          </w:tcPr>
          <w:p>
            <w:pPr>
              <w:spacing w:after="0"/>
              <w:rPr>
                <w:sz w:val="15"/>
                <w:szCs w:val="15"/>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Market under the symbol “OXLC.”</w:t>
            </w:r>
          </w:p>
        </w:tc>
      </w:tr>
      <w:tr>
        <w:trPr>
          <w:trHeight w:val="303"/>
        </w:trPr>
        <w:tc>
          <w:tcPr>
            <w:tcW w:w="2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Securities Offered</w:t>
            </w: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2,400,000 shares of the 8.25% Series 2031 Term Preferred</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Shares (2,760,000 shares if the underwriters exercise their over-</w:t>
            </w:r>
          </w:p>
        </w:tc>
      </w:tr>
      <w:tr>
        <w:trPr>
          <w:trHeight w:val="184"/>
        </w:trPr>
        <w:tc>
          <w:tcPr>
            <w:tcW w:w="2040" w:type="dxa"/>
            <w:vAlign w:val="bottom"/>
          </w:tcPr>
          <w:p>
            <w:pPr>
              <w:spacing w:after="0"/>
              <w:rPr>
                <w:sz w:val="15"/>
                <w:szCs w:val="15"/>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allotment option in full).</w:t>
            </w:r>
          </w:p>
        </w:tc>
      </w:tr>
      <w:tr>
        <w:trPr>
          <w:trHeight w:val="303"/>
        </w:trPr>
        <w:tc>
          <w:tcPr>
            <w:tcW w:w="2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Liquidation Preference</w:t>
            </w: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$25 per share, plus accrued but unpaid dividends, if any. In the</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event of any liquidation, dissolution or winding up of our</w:t>
            </w:r>
          </w:p>
        </w:tc>
      </w:tr>
      <w:tr>
        <w:trPr>
          <w:trHeight w:val="167"/>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affairs, holders of the 8.25% Series 2031 Term Preferred Shares,</w:t>
            </w:r>
          </w:p>
        </w:tc>
      </w:tr>
      <w:tr>
        <w:trPr>
          <w:trHeight w:val="171"/>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or equally, with the holders of the Series 2027 Term</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Preferred Shares, the 6.00% Series 2029 Term Preferred Shares</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and the 7.125% Series 2029 Term Preferred Shares, will be</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entitled to receive a liquidation distribution per share equal to</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$25 per share (which we refer to in this prospectus supplement</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as the Liquidation Preference), plus an amount equal to all</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accrued  but  unpaid  dividends,  if  any,  and  distributions</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accumulated to (but excluding) the date fixed for distribution or</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payment, whether or not earned or declared by us, but excluding</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interest on any such distribution or payment. See “Description</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of the 8.25% Series 2031 Term Preferred Shares — Liquidation</w:t>
            </w:r>
          </w:p>
        </w:tc>
      </w:tr>
      <w:tr>
        <w:trPr>
          <w:trHeight w:val="184"/>
        </w:trPr>
        <w:tc>
          <w:tcPr>
            <w:tcW w:w="2040" w:type="dxa"/>
            <w:vAlign w:val="bottom"/>
          </w:tcPr>
          <w:p>
            <w:pPr>
              <w:spacing w:after="0"/>
              <w:rPr>
                <w:sz w:val="15"/>
                <w:szCs w:val="15"/>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Rights.”</w:t>
            </w:r>
          </w:p>
        </w:tc>
      </w:tr>
      <w:tr>
        <w:trPr>
          <w:trHeight w:val="303"/>
        </w:trPr>
        <w:tc>
          <w:tcPr>
            <w:tcW w:w="2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The 8.25% Series 2031 Term Preferred Shares pay a monthly</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dividend at a fixed annual rate of 8.25% of the Liquidation</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Preference, or $2.0625 per share per year, which we refer to as</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the Fixed Dividend Rate. The Fixed Dividend Rate is subject to</w:t>
            </w:r>
          </w:p>
        </w:tc>
      </w:tr>
      <w:tr>
        <w:trPr>
          <w:trHeight w:val="184"/>
        </w:trPr>
        <w:tc>
          <w:tcPr>
            <w:tcW w:w="2040" w:type="dxa"/>
            <w:vAlign w:val="bottom"/>
          </w:tcPr>
          <w:p>
            <w:pPr>
              <w:spacing w:after="0"/>
              <w:rPr>
                <w:sz w:val="15"/>
                <w:szCs w:val="15"/>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adjustment under certain circumstances.</w:t>
            </w:r>
          </w:p>
        </w:tc>
      </w:tr>
      <w:tr>
        <w:trPr>
          <w:trHeight w:val="271"/>
        </w:trPr>
        <w:tc>
          <w:tcPr>
            <w:tcW w:w="2040" w:type="dxa"/>
            <w:vAlign w:val="bottom"/>
          </w:tcPr>
          <w:p>
            <w:pPr>
              <w:spacing w:after="0"/>
              <w:rPr>
                <w:sz w:val="23"/>
                <w:szCs w:val="23"/>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Cumulative cash dividends or distributions on each 8.25%</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Series 2031 Term Preferred Share are payable monthly, when, as</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and if declared, or under authority granted, by our Board of</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Directors out of funds legally available for such payment. We</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will pay monthly dividends on the 8.25% Series 2031 Term</w:t>
            </w:r>
          </w:p>
        </w:tc>
      </w:tr>
      <w:tr>
        <w:trPr>
          <w:trHeight w:val="169"/>
        </w:trPr>
        <w:tc>
          <w:tcPr>
            <w:tcW w:w="2040" w:type="dxa"/>
            <w:vAlign w:val="bottom"/>
          </w:tcPr>
          <w:p>
            <w:pPr>
              <w:spacing w:after="0"/>
              <w:rPr>
                <w:sz w:val="14"/>
                <w:szCs w:val="1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Preferred Shares offered pursuant to this prospectus supplement,</w:t>
            </w:r>
          </w:p>
        </w:tc>
      </w:tr>
      <w:tr>
        <w:trPr>
          <w:trHeight w:val="184"/>
        </w:trPr>
        <w:tc>
          <w:tcPr>
            <w:tcW w:w="2040" w:type="dxa"/>
            <w:vAlign w:val="bottom"/>
          </w:tcPr>
          <w:p>
            <w:pPr>
              <w:spacing w:after="0"/>
              <w:rPr>
                <w:sz w:val="15"/>
                <w:szCs w:val="15"/>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commencing on April 30, 2026.</w:t>
            </w:r>
          </w:p>
        </w:tc>
      </w:tr>
      <w:tr>
        <w:trPr>
          <w:trHeight w:val="302"/>
        </w:trPr>
        <w:tc>
          <w:tcPr>
            <w:tcW w:w="20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r>
        <w:trPr>
          <w:trHeight w:val="313"/>
        </w:trPr>
        <w:tc>
          <w:tcPr>
            <w:tcW w:w="20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S-10</w:t>
            </w:r>
          </w:p>
        </w:tc>
      </w:tr>
    </w:tbl>
    <w:p>
      <w:pPr>
        <w:sectPr>
          <w:pgSz w:w="11900" w:h="16838" w:orient="portrait"/>
          <w:cols w:equalWidth="0" w:num="1">
            <w:col w:w="9019"/>
          </w:cols>
          <w:pgMar w:left="1440" w:top="241" w:right="1440" w:bottom="1440" w:gutter="0" w:footer="0" w:header="0"/>
        </w:sectPr>
      </w:pPr>
    </w:p>
    <w:bookmarkStart w:id="16" w:name="page17"/>
    <w:bookmarkEnd w:id="16"/>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72015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37330" cy="7201535"/>
                    </a:xfrm>
                    <a:prstGeom prst="rect">
                      <a:avLst/>
                    </a:prstGeom>
                    <a:noFill/>
                  </pic:spPr>
                </pic:pic>
              </a:graphicData>
            </a:graphic>
          </wp:anchor>
        </w:drawing>
      </w:r>
    </w:p>
    <w:p>
      <w:pPr>
        <w:spacing w:after="0" w:line="283" w:lineRule="exact"/>
        <w:rPr>
          <w:sz w:val="20"/>
          <w:szCs w:val="20"/>
          <w:color w:val="auto"/>
        </w:rPr>
      </w:pPr>
    </w:p>
    <w:tbl>
      <w:tblPr>
        <w:tblLayout w:type="fixed"/>
        <w:tblInd w:w="1400" w:type="dxa"/>
        <w:tblCellMar>
          <w:top w:w="0" w:type="dxa"/>
          <w:left w:w="0" w:type="dxa"/>
          <w:bottom w:w="0" w:type="dxa"/>
          <w:right w:w="0" w:type="dxa"/>
        </w:tblCellMar>
      </w:tblPr>
      <w:tr>
        <w:trPr>
          <w:trHeight w:val="171"/>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Ranking</w:t>
            </w:r>
          </w:p>
        </w:tc>
        <w:tc>
          <w:tcPr>
            <w:tcW w:w="9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The</w:t>
            </w:r>
          </w:p>
        </w:tc>
        <w:tc>
          <w:tcPr>
            <w:tcW w:w="340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8.25% Series 2031 Term Preferred Shares are senior</w:t>
            </w:r>
          </w:p>
        </w:tc>
      </w:tr>
      <w:tr>
        <w:trPr>
          <w:trHeight w:val="184"/>
        </w:trPr>
        <w:tc>
          <w:tcPr>
            <w:tcW w:w="1820" w:type="dxa"/>
            <w:vAlign w:val="bottom"/>
          </w:tcPr>
          <w:p>
            <w:pPr>
              <w:spacing w:after="0"/>
              <w:rPr>
                <w:sz w:val="15"/>
                <w:szCs w:val="15"/>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securities that constitute capital stock of the Company.</w:t>
            </w:r>
          </w:p>
        </w:tc>
      </w:tr>
      <w:tr>
        <w:trPr>
          <w:trHeight w:val="254"/>
        </w:trPr>
        <w:tc>
          <w:tcPr>
            <w:tcW w:w="1820" w:type="dxa"/>
            <w:vAlign w:val="bottom"/>
          </w:tcPr>
          <w:p>
            <w:pPr>
              <w:spacing w:after="0"/>
              <w:rPr>
                <w:sz w:val="22"/>
                <w:szCs w:val="22"/>
                <w:color w:val="auto"/>
              </w:rPr>
            </w:pPr>
          </w:p>
        </w:tc>
        <w:tc>
          <w:tcPr>
            <w:tcW w:w="3680" w:type="dxa"/>
            <w:vAlign w:val="bottom"/>
            <w:gridSpan w:val="6"/>
          </w:tcPr>
          <w:p>
            <w:pPr>
              <w:ind w:left="720"/>
              <w:spacing w:after="0"/>
              <w:rPr>
                <w:sz w:val="20"/>
                <w:szCs w:val="20"/>
                <w:color w:val="auto"/>
              </w:rPr>
            </w:pPr>
            <w:r>
              <w:rPr>
                <w:rFonts w:ascii="Times New Roman" w:cs="Times New Roman" w:eastAsia="Times New Roman" w:hAnsi="Times New Roman"/>
                <w:sz w:val="14"/>
                <w:szCs w:val="14"/>
                <w:color w:val="auto"/>
              </w:rPr>
              <w:t>The 8.25% Series 2031 Term Preferred Shares rank:</w:t>
            </w:r>
          </w:p>
        </w:tc>
        <w:tc>
          <w:tcPr>
            <w:tcW w:w="700" w:type="dxa"/>
            <w:vAlign w:val="bottom"/>
          </w:tcPr>
          <w:p>
            <w:pPr>
              <w:spacing w:after="0"/>
              <w:rPr>
                <w:sz w:val="22"/>
                <w:szCs w:val="22"/>
                <w:color w:val="auto"/>
              </w:rPr>
            </w:pPr>
          </w:p>
        </w:tc>
      </w:tr>
      <w:tr>
        <w:trPr>
          <w:trHeight w:val="240"/>
        </w:trPr>
        <w:tc>
          <w:tcPr>
            <w:tcW w:w="1820" w:type="dxa"/>
            <w:vAlign w:val="bottom"/>
          </w:tcPr>
          <w:p>
            <w:pPr>
              <w:spacing w:after="0"/>
              <w:rPr>
                <w:sz w:val="20"/>
                <w:szCs w:val="20"/>
                <w:color w:val="auto"/>
              </w:rPr>
            </w:pPr>
          </w:p>
        </w:tc>
        <w:tc>
          <w:tcPr>
            <w:tcW w:w="9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34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senior to our common stock in priority of payment of</w:t>
            </w:r>
          </w:p>
        </w:tc>
      </w:tr>
      <w:tr>
        <w:trPr>
          <w:trHeight w:val="169"/>
        </w:trPr>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dividends  and  as  to  the  distribution  of  assets  upon</w:t>
            </w:r>
          </w:p>
        </w:tc>
      </w:tr>
      <w:tr>
        <w:trPr>
          <w:trHeight w:val="184"/>
        </w:trPr>
        <w:tc>
          <w:tcPr>
            <w:tcW w:w="1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dissolution, liquidation or winding-up or our affairs;</w:t>
            </w:r>
          </w:p>
        </w:tc>
      </w:tr>
      <w:tr>
        <w:trPr>
          <w:trHeight w:val="240"/>
        </w:trPr>
        <w:tc>
          <w:tcPr>
            <w:tcW w:w="1820" w:type="dxa"/>
            <w:vAlign w:val="bottom"/>
          </w:tcPr>
          <w:p>
            <w:pPr>
              <w:spacing w:after="0"/>
              <w:rPr>
                <w:sz w:val="20"/>
                <w:szCs w:val="20"/>
                <w:color w:val="auto"/>
              </w:rPr>
            </w:pPr>
          </w:p>
        </w:tc>
        <w:tc>
          <w:tcPr>
            <w:tcW w:w="9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34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equal in priority with the Series 2027 Term Preferred</w:t>
            </w:r>
          </w:p>
        </w:tc>
      </w:tr>
      <w:tr>
        <w:trPr>
          <w:trHeight w:val="169"/>
        </w:trPr>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Shares, the 6.00% Series 2029 Term Preferred Shares, the</w:t>
            </w:r>
          </w:p>
        </w:tc>
      </w:tr>
      <w:tr>
        <w:trPr>
          <w:trHeight w:val="169"/>
        </w:trPr>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7.125% Series 2029 Term Preferred Shares and all other</w:t>
            </w:r>
          </w:p>
        </w:tc>
      </w:tr>
      <w:tr>
        <w:trPr>
          <w:trHeight w:val="169"/>
        </w:trPr>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future series of Preferred Stock we may issue, which we</w:t>
            </w:r>
          </w:p>
        </w:tc>
      </w:tr>
      <w:tr>
        <w:trPr>
          <w:trHeight w:val="169"/>
        </w:trPr>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refer to in this prospectus supplement, collectively with</w:t>
            </w:r>
          </w:p>
        </w:tc>
      </w:tr>
      <w:tr>
        <w:trPr>
          <w:trHeight w:val="169"/>
        </w:trPr>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the 8.25% Series 2031 Term Preferred Shares, as the</w:t>
            </w:r>
          </w:p>
        </w:tc>
      </w:tr>
      <w:tr>
        <w:trPr>
          <w:trHeight w:val="169"/>
        </w:trPr>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Preferred Stock, as well as any other series of Term</w:t>
            </w:r>
          </w:p>
        </w:tc>
      </w:tr>
      <w:tr>
        <w:trPr>
          <w:trHeight w:val="169"/>
        </w:trPr>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Preferred Shares (as such term is defined in the Articles</w:t>
            </w:r>
          </w:p>
        </w:tc>
      </w:tr>
      <w:tr>
        <w:trPr>
          <w:trHeight w:val="169"/>
        </w:trPr>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Supplementary), or the “Term Preferred Shares,” as to</w:t>
            </w:r>
          </w:p>
        </w:tc>
      </w:tr>
      <w:tr>
        <w:trPr>
          <w:trHeight w:val="169"/>
        </w:trPr>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priority of payment of dividends and as to distributions of</w:t>
            </w:r>
          </w:p>
        </w:tc>
      </w:tr>
      <w:tr>
        <w:trPr>
          <w:trHeight w:val="169"/>
        </w:trPr>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assets upon dissolution, liquidation or the winding-up of</w:t>
            </w:r>
          </w:p>
        </w:tc>
      </w:tr>
      <w:tr>
        <w:trPr>
          <w:trHeight w:val="184"/>
        </w:trPr>
        <w:tc>
          <w:tcPr>
            <w:tcW w:w="1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our affairs; and</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0"/>
        </w:trPr>
        <w:tc>
          <w:tcPr>
            <w:tcW w:w="1820" w:type="dxa"/>
            <w:vAlign w:val="bottom"/>
          </w:tcPr>
          <w:p>
            <w:pPr>
              <w:spacing w:after="0"/>
              <w:rPr>
                <w:sz w:val="20"/>
                <w:szCs w:val="20"/>
                <w:color w:val="auto"/>
              </w:rPr>
            </w:pPr>
          </w:p>
        </w:tc>
        <w:tc>
          <w:tcPr>
            <w:tcW w:w="2000" w:type="dxa"/>
            <w:vAlign w:val="bottom"/>
            <w:gridSpan w:val="3"/>
          </w:tcPr>
          <w:p>
            <w:pPr>
              <w:ind w:left="880"/>
              <w:spacing w:after="0"/>
              <w:rPr>
                <w:sz w:val="20"/>
                <w:szCs w:val="20"/>
                <w:color w:val="auto"/>
              </w:rPr>
            </w:pPr>
            <w:r>
              <w:rPr>
                <w:rFonts w:ascii="Times New Roman" w:cs="Times New Roman" w:eastAsia="Times New Roman" w:hAnsi="Times New Roman"/>
                <w:sz w:val="14"/>
                <w:szCs w:val="14"/>
                <w:color w:val="auto"/>
              </w:rPr>
              <w:t>•  subordinate  in</w:t>
            </w:r>
          </w:p>
        </w:tc>
        <w:tc>
          <w:tcPr>
            <w:tcW w:w="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priority  of</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payment  to</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any  senior</w:t>
            </w:r>
          </w:p>
        </w:tc>
      </w:tr>
      <w:tr>
        <w:trPr>
          <w:trHeight w:val="184"/>
        </w:trPr>
        <w:tc>
          <w:tcPr>
            <w:tcW w:w="1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8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indebtedness, including the Notes.</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0"/>
        </w:trPr>
        <w:tc>
          <w:tcPr>
            <w:tcW w:w="1820" w:type="dxa"/>
            <w:vAlign w:val="bottom"/>
          </w:tcPr>
          <w:p>
            <w:pPr>
              <w:spacing w:after="0"/>
              <w:rPr>
                <w:sz w:val="20"/>
                <w:szCs w:val="20"/>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Subject to the asset coverage requirements of the 1940 Act, we</w:t>
            </w:r>
          </w:p>
        </w:tc>
      </w:tr>
      <w:tr>
        <w:trPr>
          <w:trHeight w:val="169"/>
        </w:trPr>
        <w:tc>
          <w:tcPr>
            <w:tcW w:w="1820" w:type="dxa"/>
            <w:vAlign w:val="bottom"/>
          </w:tcPr>
          <w:p>
            <w:pPr>
              <w:spacing w:after="0"/>
              <w:rPr>
                <w:sz w:val="14"/>
                <w:szCs w:val="14"/>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may issue additional series of Preferred Stock (or additional</w:t>
            </w:r>
          </w:p>
        </w:tc>
      </w:tr>
      <w:tr>
        <w:trPr>
          <w:trHeight w:val="169"/>
        </w:trPr>
        <w:tc>
          <w:tcPr>
            <w:tcW w:w="1820" w:type="dxa"/>
            <w:vAlign w:val="bottom"/>
          </w:tcPr>
          <w:p>
            <w:pPr>
              <w:spacing w:after="0"/>
              <w:rPr>
                <w:sz w:val="14"/>
                <w:szCs w:val="14"/>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shares of the 8.25% Series 2031 Term Preferred Shares), but we</w:t>
            </w:r>
          </w:p>
        </w:tc>
      </w:tr>
      <w:tr>
        <w:trPr>
          <w:trHeight w:val="169"/>
        </w:trPr>
        <w:tc>
          <w:tcPr>
            <w:tcW w:w="1820" w:type="dxa"/>
            <w:vAlign w:val="bottom"/>
          </w:tcPr>
          <w:p>
            <w:pPr>
              <w:spacing w:after="0"/>
              <w:rPr>
                <w:sz w:val="14"/>
                <w:szCs w:val="14"/>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may not issue additional classes of capital stock that rank senior</w:t>
            </w:r>
          </w:p>
        </w:tc>
      </w:tr>
      <w:tr>
        <w:trPr>
          <w:trHeight w:val="169"/>
        </w:trPr>
        <w:tc>
          <w:tcPr>
            <w:tcW w:w="1820" w:type="dxa"/>
            <w:vAlign w:val="bottom"/>
          </w:tcPr>
          <w:p>
            <w:pPr>
              <w:spacing w:after="0"/>
              <w:rPr>
                <w:sz w:val="14"/>
                <w:szCs w:val="14"/>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or junior to the 8.25% Series 2031 Term Preferred Shares as to</w:t>
            </w:r>
          </w:p>
        </w:tc>
      </w:tr>
      <w:tr>
        <w:trPr>
          <w:trHeight w:val="169"/>
        </w:trPr>
        <w:tc>
          <w:tcPr>
            <w:tcW w:w="1820" w:type="dxa"/>
            <w:vAlign w:val="bottom"/>
          </w:tcPr>
          <w:p>
            <w:pPr>
              <w:spacing w:after="0"/>
              <w:rPr>
                <w:sz w:val="14"/>
                <w:szCs w:val="14"/>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priority of payment of dividends or as to the distribution of</w:t>
            </w:r>
          </w:p>
        </w:tc>
      </w:tr>
      <w:tr>
        <w:trPr>
          <w:trHeight w:val="184"/>
        </w:trPr>
        <w:tc>
          <w:tcPr>
            <w:tcW w:w="1820" w:type="dxa"/>
            <w:vAlign w:val="bottom"/>
          </w:tcPr>
          <w:p>
            <w:pPr>
              <w:spacing w:after="0"/>
              <w:rPr>
                <w:sz w:val="15"/>
                <w:szCs w:val="15"/>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assets upon dissolution, liquidation or winding-up of our affairs.</w:t>
            </w:r>
          </w:p>
        </w:tc>
      </w:tr>
      <w:tr>
        <w:trPr>
          <w:trHeight w:val="292"/>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 Redemption</w:t>
            </w: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We are required to redeem all outstanding 8.25% Series 2031</w:t>
            </w:r>
          </w:p>
        </w:tc>
      </w:tr>
      <w:tr>
        <w:trPr>
          <w:trHeight w:val="169"/>
        </w:trPr>
        <w:tc>
          <w:tcPr>
            <w:tcW w:w="1820" w:type="dxa"/>
            <w:vAlign w:val="bottom"/>
          </w:tcPr>
          <w:p>
            <w:pPr>
              <w:spacing w:after="0"/>
              <w:rPr>
                <w:sz w:val="14"/>
                <w:szCs w:val="14"/>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Term Preferred Shares on March 20,  2031,  or  the  “Term</w:t>
            </w:r>
          </w:p>
        </w:tc>
      </w:tr>
      <w:tr>
        <w:trPr>
          <w:trHeight w:val="169"/>
        </w:trPr>
        <w:tc>
          <w:tcPr>
            <w:tcW w:w="1820" w:type="dxa"/>
            <w:vAlign w:val="bottom"/>
          </w:tcPr>
          <w:p>
            <w:pPr>
              <w:spacing w:after="0"/>
              <w:rPr>
                <w:sz w:val="14"/>
                <w:szCs w:val="14"/>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Redemption  Date,”  at  a  redemption  price  equal  to  the</w:t>
            </w:r>
          </w:p>
        </w:tc>
      </w:tr>
      <w:tr>
        <w:trPr>
          <w:trHeight w:val="169"/>
        </w:trPr>
        <w:tc>
          <w:tcPr>
            <w:tcW w:w="1820" w:type="dxa"/>
            <w:vAlign w:val="bottom"/>
          </w:tcPr>
          <w:p>
            <w:pPr>
              <w:spacing w:after="0"/>
              <w:rPr>
                <w:sz w:val="14"/>
                <w:szCs w:val="14"/>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Liquidation Preference plus an amount equal to accumulated but</w:t>
            </w:r>
          </w:p>
        </w:tc>
      </w:tr>
      <w:tr>
        <w:trPr>
          <w:trHeight w:val="169"/>
        </w:trPr>
        <w:tc>
          <w:tcPr>
            <w:tcW w:w="1820" w:type="dxa"/>
            <w:vAlign w:val="bottom"/>
          </w:tcPr>
          <w:p>
            <w:pPr>
              <w:spacing w:after="0"/>
              <w:rPr>
                <w:sz w:val="14"/>
                <w:szCs w:val="14"/>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unpaid dividends, if any, on such shares (whether or not earned</w:t>
            </w:r>
          </w:p>
        </w:tc>
      </w:tr>
      <w:tr>
        <w:trPr>
          <w:trHeight w:val="169"/>
        </w:trPr>
        <w:tc>
          <w:tcPr>
            <w:tcW w:w="1820" w:type="dxa"/>
            <w:vAlign w:val="bottom"/>
          </w:tcPr>
          <w:p>
            <w:pPr>
              <w:spacing w:after="0"/>
              <w:rPr>
                <w:sz w:val="14"/>
                <w:szCs w:val="14"/>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or declared, but excluding interest on such dividends) to, but</w:t>
            </w:r>
          </w:p>
        </w:tc>
      </w:tr>
      <w:tr>
        <w:trPr>
          <w:trHeight w:val="169"/>
        </w:trPr>
        <w:tc>
          <w:tcPr>
            <w:tcW w:w="1820" w:type="dxa"/>
            <w:vAlign w:val="bottom"/>
          </w:tcPr>
          <w:p>
            <w:pPr>
              <w:spacing w:after="0"/>
              <w:rPr>
                <w:sz w:val="14"/>
                <w:szCs w:val="14"/>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excluding,  the  redemption  date.  We  cannot  effect  any</w:t>
            </w:r>
          </w:p>
        </w:tc>
      </w:tr>
      <w:tr>
        <w:trPr>
          <w:trHeight w:val="169"/>
        </w:trPr>
        <w:tc>
          <w:tcPr>
            <w:tcW w:w="1820" w:type="dxa"/>
            <w:vAlign w:val="bottom"/>
          </w:tcPr>
          <w:p>
            <w:pPr>
              <w:spacing w:after="0"/>
              <w:rPr>
                <w:sz w:val="14"/>
                <w:szCs w:val="14"/>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amendment, alteration or repeal of our obligation to redeem all</w:t>
            </w:r>
          </w:p>
        </w:tc>
      </w:tr>
      <w:tr>
        <w:trPr>
          <w:trHeight w:val="169"/>
        </w:trPr>
        <w:tc>
          <w:tcPr>
            <w:tcW w:w="1820" w:type="dxa"/>
            <w:vAlign w:val="bottom"/>
          </w:tcPr>
          <w:p>
            <w:pPr>
              <w:spacing w:after="0"/>
              <w:rPr>
                <w:sz w:val="14"/>
                <w:szCs w:val="14"/>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of the 8.25% Series 2031 Term Preferred Shares on March 20,</w:t>
            </w:r>
          </w:p>
        </w:tc>
      </w:tr>
      <w:tr>
        <w:trPr>
          <w:trHeight w:val="169"/>
        </w:trPr>
        <w:tc>
          <w:tcPr>
            <w:tcW w:w="1820" w:type="dxa"/>
            <w:vAlign w:val="bottom"/>
          </w:tcPr>
          <w:p>
            <w:pPr>
              <w:spacing w:after="0"/>
              <w:rPr>
                <w:sz w:val="14"/>
                <w:szCs w:val="14"/>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2031 without the prior unanimous vote or consent of holders of</w:t>
            </w:r>
          </w:p>
        </w:tc>
      </w:tr>
      <w:tr>
        <w:trPr>
          <w:trHeight w:val="169"/>
        </w:trPr>
        <w:tc>
          <w:tcPr>
            <w:tcW w:w="1820" w:type="dxa"/>
            <w:vAlign w:val="bottom"/>
          </w:tcPr>
          <w:p>
            <w:pPr>
              <w:spacing w:after="0"/>
              <w:rPr>
                <w:sz w:val="14"/>
                <w:szCs w:val="14"/>
                <w:color w:val="auto"/>
              </w:rPr>
            </w:pPr>
          </w:p>
        </w:tc>
        <w:tc>
          <w:tcPr>
            <w:tcW w:w="438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the 8.25% Series 2031 Term Preferred Shares. See “Description</w:t>
            </w:r>
          </w:p>
        </w:tc>
      </w:tr>
      <w:tr>
        <w:trPr>
          <w:trHeight w:val="169"/>
        </w:trPr>
        <w:tc>
          <w:tcPr>
            <w:tcW w:w="1820" w:type="dxa"/>
            <w:vAlign w:val="bottom"/>
          </w:tcPr>
          <w:p>
            <w:pPr>
              <w:spacing w:after="0"/>
              <w:rPr>
                <w:sz w:val="14"/>
                <w:szCs w:val="14"/>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of</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8.25%</w:t>
            </w:r>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Series</w:t>
            </w: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2031</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Term</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Preferred</w:t>
            </w:r>
          </w:p>
        </w:tc>
      </w:tr>
      <w:tr>
        <w:trPr>
          <w:trHeight w:val="184"/>
        </w:trPr>
        <w:tc>
          <w:tcPr>
            <w:tcW w:w="1820" w:type="dxa"/>
            <w:vAlign w:val="bottom"/>
          </w:tcPr>
          <w:p>
            <w:pPr>
              <w:spacing w:after="0"/>
              <w:rPr>
                <w:sz w:val="15"/>
                <w:szCs w:val="15"/>
                <w:color w:val="auto"/>
              </w:rPr>
            </w:pPr>
          </w:p>
        </w:tc>
        <w:tc>
          <w:tcPr>
            <w:tcW w:w="3680" w:type="dxa"/>
            <w:vAlign w:val="bottom"/>
            <w:gridSpan w:val="6"/>
          </w:tcPr>
          <w:p>
            <w:pPr>
              <w:ind w:left="720"/>
              <w:spacing w:after="0"/>
              <w:rPr>
                <w:sz w:val="20"/>
                <w:szCs w:val="20"/>
                <w:color w:val="auto"/>
              </w:rPr>
            </w:pPr>
            <w:r>
              <w:rPr>
                <w:rFonts w:ascii="Times New Roman" w:cs="Times New Roman" w:eastAsia="Times New Roman" w:hAnsi="Times New Roman"/>
                <w:sz w:val="14"/>
                <w:szCs w:val="14"/>
                <w:color w:val="auto"/>
              </w:rPr>
              <w:t>Shares — Redemption” and “— Voting Rights.”</w:t>
            </w:r>
          </w:p>
        </w:tc>
        <w:tc>
          <w:tcPr>
            <w:tcW w:w="700" w:type="dxa"/>
            <w:vAlign w:val="bottom"/>
          </w:tcPr>
          <w:p>
            <w:pPr>
              <w:spacing w:after="0"/>
              <w:rPr>
                <w:sz w:val="15"/>
                <w:szCs w:val="15"/>
                <w:color w:val="auto"/>
              </w:rPr>
            </w:pPr>
          </w:p>
        </w:tc>
      </w:tr>
    </w:tbl>
    <w:p>
      <w:pPr>
        <w:spacing w:after="0" w:line="1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Mandatory Redemption for Asset</w:t>
      </w:r>
    </w:p>
    <w:p>
      <w:pPr>
        <w:spacing w:after="0" w:line="25" w:lineRule="exact"/>
        <w:rPr>
          <w:sz w:val="20"/>
          <w:szCs w:val="20"/>
          <w:color w:val="auto"/>
        </w:rPr>
      </w:pPr>
    </w:p>
    <w:p>
      <w:pPr>
        <w:jc w:val="both"/>
        <w:ind w:left="3940" w:right="1419" w:hanging="2399"/>
        <w:spacing w:after="0" w:line="253" w:lineRule="auto"/>
        <w:tabs>
          <w:tab w:leader="none" w:pos="3920" w:val="left"/>
        </w:tabs>
        <w:rPr>
          <w:sz w:val="20"/>
          <w:szCs w:val="20"/>
          <w:color w:val="auto"/>
        </w:rPr>
      </w:pPr>
      <w:r>
        <w:rPr>
          <w:rFonts w:ascii="Times New Roman" w:cs="Times New Roman" w:eastAsia="Times New Roman" w:hAnsi="Times New Roman"/>
          <w:sz w:val="14"/>
          <w:szCs w:val="14"/>
          <w:b w:val="1"/>
          <w:bCs w:val="1"/>
          <w:color w:val="auto"/>
        </w:rPr>
        <w:t>Coverage</w:t>
      </w:r>
      <w:r>
        <w:rPr>
          <w:sz w:val="20"/>
          <w:szCs w:val="20"/>
          <w:color w:val="auto"/>
        </w:rPr>
        <w:tab/>
      </w:r>
      <w:r>
        <w:rPr>
          <w:rFonts w:ascii="Times New Roman" w:cs="Times New Roman" w:eastAsia="Times New Roman" w:hAnsi="Times New Roman"/>
          <w:sz w:val="14"/>
          <w:szCs w:val="14"/>
          <w:color w:val="auto"/>
        </w:rPr>
        <w:t>If we fail to maintain an asset coverage ratio (as defined below) of at least 200% as of the close of business on any Business Day on which asset coverage is required to be calculated, and such failure is not cured by the close of business on the date that is 30 calendar days following such Business Day (referred to in this prospectus supplement as an Asset Coverage Cure Date), then we are required to redeem, within 90 calendar days of the Asset Coverage Cure Date, shares of Preferred Stock equal to the lesser of (1) the minimum number of shares of Preferred Stock that will result in our having an asset coverage ratio of at least 200% and (2) the maximum number of shares of Preferred Stock that can be redeemed out of funds legally available for such redemption. Also, at our sole discretion, we may redeem such number of shares of Preferred Stock (including shares of Preferred Stock required to be redeemed) that will result in our having an asset coverage ratio of up to and including 285%. The Preferred Stock to be redeemed may include, at our sole option, any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7" w:name="page18"/>
    <w:bookmarkEnd w:id="17"/>
    <w:p>
      <w:pPr>
        <w:ind w:left="1320"/>
        <w:spacing w:after="0"/>
        <w:rPr>
          <w:sz w:val="20"/>
          <w:szCs w:val="20"/>
          <w:color w:val="auto"/>
        </w:rPr>
      </w:pPr>
      <w:r>
        <w:rPr>
          <w:rFonts w:ascii="Times New Roman" w:cs="Times New Roman" w:eastAsia="Times New Roman" w:hAnsi="Times New Roman"/>
          <w:sz w:val="14"/>
          <w:szCs w:val="14"/>
          <w:color w:val="0000EE"/>
        </w:rPr>
        <w:t>Table of Contents</w:t>
      </w:r>
    </w:p>
    <w:tbl>
      <w:tblPr>
        <w:tblLayout w:type="fixed"/>
        <w:tblInd w:w="1330" w:type="dxa"/>
        <w:tblCellMar>
          <w:top w:w="0" w:type="dxa"/>
          <w:left w:w="0" w:type="dxa"/>
          <w:bottom w:w="0" w:type="dxa"/>
          <w:right w:w="0" w:type="dxa"/>
        </w:tblCellMar>
      </w:tblPr>
      <w:tr>
        <w:trPr>
          <w:trHeight w:val="463"/>
        </w:trPr>
        <w:tc>
          <w:tcPr>
            <w:tcW w:w="2000" w:type="dxa"/>
            <w:vAlign w:val="bottom"/>
            <w:tcBorders>
              <w:top w:val="single" w:sz="8" w:color="auto"/>
              <w:left w:val="single" w:sz="8" w:color="auto"/>
            </w:tcBorders>
          </w:tcPr>
          <w:p>
            <w:pPr>
              <w:spacing w:after="0"/>
              <w:rPr>
                <w:sz w:val="24"/>
                <w:szCs w:val="24"/>
                <w:color w:val="auto"/>
              </w:rPr>
            </w:pPr>
          </w:p>
        </w:tc>
        <w:tc>
          <w:tcPr>
            <w:tcW w:w="4360" w:type="dxa"/>
            <w:vAlign w:val="bottom"/>
            <w:tcBorders>
              <w:top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number or proportion of the 8.25% Series 2031 Term Preferred</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Shares and other series of Preferred Stock. If the 8.25%</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Series 2031 Term Preferred Shares are to be redeemed in such</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an event, they will be redeemed at a redemption price equal to</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their liquidation preference per share plus accumulated but</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unpaid  dividends,  if  any,  on  such  liquidation  preference</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(whether or not declared, but excluding, interest on accrued but</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unpaid dividends, if any) to, but excluding, the date fixed for</w:t>
            </w:r>
          </w:p>
        </w:tc>
      </w:tr>
      <w:tr>
        <w:trPr>
          <w:trHeight w:val="184"/>
        </w:trPr>
        <w:tc>
          <w:tcPr>
            <w:tcW w:w="2000" w:type="dxa"/>
            <w:vAlign w:val="bottom"/>
            <w:tcBorders>
              <w:left w:val="single" w:sz="8" w:color="auto"/>
            </w:tcBorders>
          </w:tcPr>
          <w:p>
            <w:pPr>
              <w:spacing w:after="0"/>
              <w:rPr>
                <w:sz w:val="15"/>
                <w:szCs w:val="15"/>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such redemption.</w:t>
            </w:r>
          </w:p>
        </w:tc>
      </w:tr>
      <w:tr>
        <w:trPr>
          <w:trHeight w:val="261"/>
        </w:trPr>
        <w:tc>
          <w:tcPr>
            <w:tcW w:w="2000" w:type="dxa"/>
            <w:vAlign w:val="bottom"/>
            <w:tcBorders>
              <w:left w:val="single" w:sz="8" w:color="auto"/>
            </w:tcBorders>
          </w:tcPr>
          <w:p>
            <w:pPr>
              <w:spacing w:after="0"/>
              <w:rPr>
                <w:sz w:val="22"/>
                <w:szCs w:val="22"/>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Asset coverage for purposes of our Preferred Stock is a ratio</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calculated under Section 18(h) of the 1940 Act. We estimate</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that, on the Date of Original Issue (as such term is defined in the</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Articles Supplementary), our asset coverage, based on the</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composition and value of our portfolio as of December 31,</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2025, and after giving effect to (1) the issuance of 8.25%</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Series 2031 Term Preferred Shares in this offering and (2) the</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payment of estimated offering costs payable by us of $292,000</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in connection with this offering, will be 290%. See “Description</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of the 8.25% Series 2031 Term Preferred Shares — Asset</w:t>
            </w:r>
          </w:p>
        </w:tc>
      </w:tr>
      <w:tr>
        <w:trPr>
          <w:trHeight w:val="184"/>
        </w:trPr>
        <w:tc>
          <w:tcPr>
            <w:tcW w:w="2000" w:type="dxa"/>
            <w:vAlign w:val="bottom"/>
            <w:tcBorders>
              <w:left w:val="single" w:sz="8" w:color="auto"/>
            </w:tcBorders>
          </w:tcPr>
          <w:p>
            <w:pPr>
              <w:spacing w:after="0"/>
              <w:rPr>
                <w:sz w:val="15"/>
                <w:szCs w:val="15"/>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Coverage.”</w:t>
            </w:r>
          </w:p>
        </w:tc>
      </w:tr>
      <w:tr>
        <w:trPr>
          <w:trHeight w:val="303"/>
        </w:trPr>
        <w:tc>
          <w:tcPr>
            <w:tcW w:w="20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Optional Redemption</w:t>
            </w: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At any time on or after March 20, 2028 at our sole option, we</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may redeem, from time to time, the 8.25% Series 2031 Term</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Preferred Shares in whole or in part, out of funds legally</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available for such redemption, at a price per share equal to the</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sum of the Liquidation Preference plus an amount equal to</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accumulated but unpaid dividends, if any, on such shares</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(whether or not earned or declared, but excluding interest on</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such dividends) to, but excluding, the date fixed for such</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redemption. See “Description of the 8.25% Series 2031 Term</w:t>
            </w:r>
          </w:p>
        </w:tc>
      </w:tr>
      <w:tr>
        <w:trPr>
          <w:trHeight w:val="184"/>
        </w:trPr>
        <w:tc>
          <w:tcPr>
            <w:tcW w:w="2000" w:type="dxa"/>
            <w:vAlign w:val="bottom"/>
            <w:tcBorders>
              <w:left w:val="single" w:sz="8" w:color="auto"/>
            </w:tcBorders>
          </w:tcPr>
          <w:p>
            <w:pPr>
              <w:spacing w:after="0"/>
              <w:rPr>
                <w:sz w:val="15"/>
                <w:szCs w:val="15"/>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Preferred Shares — Redemption — Optional Redemption.”</w:t>
            </w:r>
          </w:p>
        </w:tc>
      </w:tr>
      <w:tr>
        <w:trPr>
          <w:trHeight w:val="303"/>
        </w:trPr>
        <w:tc>
          <w:tcPr>
            <w:tcW w:w="20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Voting Rights</w:t>
            </w: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Except as otherwise provided in our Articles of Amendment and</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Restatement to the Articles of Incorporation (as amended, the</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“Articles of Incorporation”) or as otherwise required by law,</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(1)  each  holder  of  Preferred  Stock  (including  the  8.25%</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Series 2031 Term Preferred Shares, the Series 2027 Term</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Preferred Shares, the 6.00% Series 2029 Term Preferred Shares</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and the 7.125% Series 2029 Term Preferred Shares) will be</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entitled to one vote for each share of Preferred Stock held by</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such  holder  on  each  matter  submitted  to  a  vote  of  our</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stockholders and (2) the holders of all outstanding Preferred</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Stock and our common stock will vote together as a single class;</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provided that holders of Preferred Stock, voting separately as a</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class, will elect two of our directors and will be entitled to elect</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a majority of our directors if we fail to pay dividends on any</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outstanding shares of Preferred Stock in an amount equal to two</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full years of dividends and continuing during that period until</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we correct that failure. Holders of Preferred Stock will also vote</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separately as a class on any matter that materially and adversely</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affects any preference, right or power of holders of Preferred</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Stock.  See  “Description  of  the  8.25%  Series  2031  Term</w:t>
            </w:r>
          </w:p>
        </w:tc>
      </w:tr>
      <w:tr>
        <w:trPr>
          <w:trHeight w:val="184"/>
        </w:trPr>
        <w:tc>
          <w:tcPr>
            <w:tcW w:w="2000" w:type="dxa"/>
            <w:vAlign w:val="bottom"/>
            <w:tcBorders>
              <w:left w:val="single" w:sz="8" w:color="auto"/>
            </w:tcBorders>
          </w:tcPr>
          <w:p>
            <w:pPr>
              <w:spacing w:after="0"/>
              <w:rPr>
                <w:sz w:val="15"/>
                <w:szCs w:val="15"/>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Preferred Shares — Voting Rights.”</w:t>
            </w:r>
          </w:p>
        </w:tc>
      </w:tr>
      <w:tr>
        <w:trPr>
          <w:trHeight w:val="303"/>
        </w:trPr>
        <w:tc>
          <w:tcPr>
            <w:tcW w:w="20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Conversion Rights</w:t>
            </w: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The 8.25% Series 2031 Term Preferred Shares will have no</w:t>
            </w:r>
          </w:p>
        </w:tc>
      </w:tr>
      <w:tr>
        <w:trPr>
          <w:trHeight w:val="184"/>
        </w:trPr>
        <w:tc>
          <w:tcPr>
            <w:tcW w:w="2000" w:type="dxa"/>
            <w:vAlign w:val="bottom"/>
            <w:tcBorders>
              <w:left w:val="single" w:sz="8" w:color="auto"/>
            </w:tcBorders>
          </w:tcPr>
          <w:p>
            <w:pPr>
              <w:spacing w:after="0"/>
              <w:rPr>
                <w:sz w:val="15"/>
                <w:szCs w:val="15"/>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conversion rights.</w:t>
            </w:r>
          </w:p>
        </w:tc>
      </w:tr>
      <w:tr>
        <w:trPr>
          <w:trHeight w:val="303"/>
        </w:trPr>
        <w:tc>
          <w:tcPr>
            <w:tcW w:w="20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We intend to use the net proceeds from this offering (after the</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payment of estimated expenses of the offering of approximately</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$292,000) to redeem a portion of our outstanding Preferred</w:t>
            </w:r>
          </w:p>
        </w:tc>
      </w:tr>
      <w:tr>
        <w:trPr>
          <w:trHeight w:val="169"/>
        </w:trPr>
        <w:tc>
          <w:tcPr>
            <w:tcW w:w="2000" w:type="dxa"/>
            <w:vAlign w:val="bottom"/>
            <w:tcBorders>
              <w:left w:val="single" w:sz="8" w:color="auto"/>
            </w:tcBorders>
          </w:tcPr>
          <w:p>
            <w:pPr>
              <w:spacing w:after="0"/>
              <w:rPr>
                <w:sz w:val="14"/>
                <w:szCs w:val="14"/>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Stock and/or for general working capital purposes. See “Use of</w:t>
            </w:r>
          </w:p>
        </w:tc>
      </w:tr>
      <w:tr>
        <w:trPr>
          <w:trHeight w:val="184"/>
        </w:trPr>
        <w:tc>
          <w:tcPr>
            <w:tcW w:w="2000" w:type="dxa"/>
            <w:vAlign w:val="bottom"/>
            <w:tcBorders>
              <w:left w:val="single" w:sz="8" w:color="auto"/>
            </w:tcBorders>
          </w:tcPr>
          <w:p>
            <w:pPr>
              <w:spacing w:after="0"/>
              <w:rPr>
                <w:sz w:val="15"/>
                <w:szCs w:val="15"/>
                <w:color w:val="auto"/>
              </w:rPr>
            </w:pPr>
          </w:p>
        </w:tc>
        <w:tc>
          <w:tcPr>
            <w:tcW w:w="43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Proceeds.”</w:t>
            </w:r>
          </w:p>
        </w:tc>
      </w:tr>
      <w:tr>
        <w:trPr>
          <w:trHeight w:val="324"/>
        </w:trPr>
        <w:tc>
          <w:tcPr>
            <w:tcW w:w="2000" w:type="dxa"/>
            <w:vAlign w:val="bottom"/>
            <w:tcBorders>
              <w:left w:val="single" w:sz="8" w:color="auto"/>
              <w:bottom w:val="single" w:sz="8" w:color="auto"/>
            </w:tcBorders>
          </w:tcPr>
          <w:p>
            <w:pPr>
              <w:spacing w:after="0"/>
              <w:rPr>
                <w:sz w:val="24"/>
                <w:szCs w:val="24"/>
                <w:color w:val="auto"/>
              </w:rPr>
            </w:pPr>
          </w:p>
        </w:tc>
        <w:tc>
          <w:tcPr>
            <w:tcW w:w="4360" w:type="dxa"/>
            <w:vAlign w:val="bottom"/>
            <w:tcBorders>
              <w:bottom w:val="single" w:sz="8" w:color="auto"/>
              <w:right w:val="single" w:sz="8" w:color="auto"/>
            </w:tcBorders>
          </w:tcPr>
          <w:p>
            <w:pPr>
              <w:spacing w:after="0"/>
              <w:rPr>
                <w:sz w:val="24"/>
                <w:szCs w:val="24"/>
                <w:color w:val="auto"/>
              </w:rPr>
            </w:pPr>
          </w:p>
        </w:tc>
      </w:tr>
      <w:tr>
        <w:trPr>
          <w:trHeight w:val="302"/>
        </w:trPr>
        <w:tc>
          <w:tcPr>
            <w:tcW w:w="20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S-12</w:t>
            </w:r>
          </w:p>
        </w:tc>
      </w:tr>
    </w:tbl>
    <w:p>
      <w:pPr>
        <w:sectPr>
          <w:pgSz w:w="11900" w:h="16838" w:orient="portrait"/>
          <w:cols w:equalWidth="0" w:num="1">
            <w:col w:w="9019"/>
          </w:cols>
          <w:pgMar w:left="1440" w:top="232" w:right="1440" w:bottom="1440" w:gutter="0" w:footer="0" w:header="0"/>
        </w:sectPr>
      </w:pPr>
    </w:p>
    <w:bookmarkStart w:id="18" w:name="page19"/>
    <w:bookmarkEnd w:id="18"/>
    <w:p>
      <w:pPr>
        <w:ind w:left="1320"/>
        <w:spacing w:after="0"/>
        <w:rPr>
          <w:sz w:val="20"/>
          <w:szCs w:val="20"/>
          <w:color w:val="auto"/>
        </w:rPr>
      </w:pPr>
      <w:r>
        <w:rPr>
          <w:rFonts w:ascii="Times New Roman" w:cs="Times New Roman" w:eastAsia="Times New Roman" w:hAnsi="Times New Roman"/>
          <w:sz w:val="14"/>
          <w:szCs w:val="14"/>
          <w:color w:val="0000EE"/>
        </w:rPr>
        <w:t>Table of Contents</w:t>
      </w:r>
    </w:p>
    <w:tbl>
      <w:tblPr>
        <w:tblLayout w:type="fixed"/>
        <w:tblInd w:w="1330" w:type="dxa"/>
        <w:tblCellMar>
          <w:top w:w="0" w:type="dxa"/>
          <w:left w:w="0" w:type="dxa"/>
          <w:bottom w:w="0" w:type="dxa"/>
          <w:right w:w="0" w:type="dxa"/>
        </w:tblCellMar>
      </w:tblPr>
      <w:tr>
        <w:trPr>
          <w:trHeight w:val="463"/>
        </w:trPr>
        <w:tc>
          <w:tcPr>
            <w:tcW w:w="228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Leverage</w:t>
            </w:r>
          </w:p>
        </w:tc>
        <w:tc>
          <w:tcPr>
            <w:tcW w:w="408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We may use leverage as, and to the extent, permitted by the</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1940  Act.  Instruments  that  create  leverage  are  generally</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considered to be senior securities under the 1940 Act. With</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respect to senior securities that are stocks (i.e., the Preferred</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Stock), we are required to have an asset coverage of at least</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200%, as measured at the time of the issuance of any such</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shares of preferred stock and calculated as the ratio of our total</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assets (less all liabilities and indebtedness not represented by</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senior securities) over the aggregate amount of our outstanding</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senior securities representing indebtedness plus the aggregate</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liquidation preference of any outstanding shares of Preferred</w:t>
            </w:r>
          </w:p>
        </w:tc>
      </w:tr>
      <w:tr>
        <w:trPr>
          <w:trHeight w:val="184"/>
        </w:trPr>
        <w:tc>
          <w:tcPr>
            <w:tcW w:w="2280" w:type="dxa"/>
            <w:vAlign w:val="bottom"/>
            <w:tcBorders>
              <w:left w:val="single" w:sz="8" w:color="auto"/>
            </w:tcBorders>
          </w:tcPr>
          <w:p>
            <w:pPr>
              <w:spacing w:after="0"/>
              <w:rPr>
                <w:sz w:val="15"/>
                <w:szCs w:val="15"/>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stock.</w:t>
            </w:r>
          </w:p>
        </w:tc>
      </w:tr>
      <w:tr>
        <w:trPr>
          <w:trHeight w:val="261"/>
        </w:trPr>
        <w:tc>
          <w:tcPr>
            <w:tcW w:w="2280" w:type="dxa"/>
            <w:vAlign w:val="bottom"/>
            <w:tcBorders>
              <w:left w:val="single" w:sz="8" w:color="auto"/>
            </w:tcBorders>
          </w:tcPr>
          <w:p>
            <w:pPr>
              <w:spacing w:after="0"/>
              <w:rPr>
                <w:sz w:val="22"/>
                <w:szCs w:val="22"/>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With respect to senior securities representing indebtedness (i.e.,</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the Notes), other than temporary borrowings as defined under</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the 1940 Act, we are required to have an asset coverage of at</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least 300%, as measured at the time of borrowing and calculated</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as  the  ratio  of  our  total  assets  (less  all  liabilities  and</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indebtedness not represented by senior securities) over the</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aggregate  amount  of  our  outstanding  senior  securities</w:t>
            </w:r>
          </w:p>
        </w:tc>
      </w:tr>
      <w:tr>
        <w:trPr>
          <w:trHeight w:val="184"/>
        </w:trPr>
        <w:tc>
          <w:tcPr>
            <w:tcW w:w="2280" w:type="dxa"/>
            <w:vAlign w:val="bottom"/>
            <w:tcBorders>
              <w:left w:val="single" w:sz="8" w:color="auto"/>
            </w:tcBorders>
          </w:tcPr>
          <w:p>
            <w:pPr>
              <w:spacing w:after="0"/>
              <w:rPr>
                <w:sz w:val="15"/>
                <w:szCs w:val="15"/>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representing indebtedness.</w:t>
            </w:r>
          </w:p>
        </w:tc>
      </w:tr>
      <w:tr>
        <w:trPr>
          <w:trHeight w:val="303"/>
        </w:trPr>
        <w:tc>
          <w:tcPr>
            <w:tcW w:w="22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U.S. Federal Income Taxes</w:t>
            </w: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Prospective investors are urged to consult their own tax advisors</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regarding these matters in light of their personal investment</w:t>
            </w:r>
          </w:p>
        </w:tc>
      </w:tr>
      <w:tr>
        <w:trPr>
          <w:trHeight w:val="184"/>
        </w:trPr>
        <w:tc>
          <w:tcPr>
            <w:tcW w:w="2280" w:type="dxa"/>
            <w:vAlign w:val="bottom"/>
            <w:tcBorders>
              <w:left w:val="single" w:sz="8" w:color="auto"/>
            </w:tcBorders>
          </w:tcPr>
          <w:p>
            <w:pPr>
              <w:spacing w:after="0"/>
              <w:rPr>
                <w:sz w:val="15"/>
                <w:szCs w:val="15"/>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circumstances.</w:t>
            </w:r>
          </w:p>
        </w:tc>
      </w:tr>
      <w:tr>
        <w:trPr>
          <w:trHeight w:val="271"/>
        </w:trPr>
        <w:tc>
          <w:tcPr>
            <w:tcW w:w="2280" w:type="dxa"/>
            <w:vAlign w:val="bottom"/>
            <w:tcBorders>
              <w:left w:val="single" w:sz="8" w:color="auto"/>
            </w:tcBorders>
          </w:tcPr>
          <w:p>
            <w:pPr>
              <w:spacing w:after="0"/>
              <w:rPr>
                <w:sz w:val="23"/>
                <w:szCs w:val="23"/>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We have elected to be treated for tax purposes, and intend to</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continue to so qualify each year, as a RIC under Subchapter M</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of the Code, and we generally do not expect to be subject to</w:t>
            </w:r>
          </w:p>
        </w:tc>
      </w:tr>
      <w:tr>
        <w:trPr>
          <w:trHeight w:val="184"/>
        </w:trPr>
        <w:tc>
          <w:tcPr>
            <w:tcW w:w="2280" w:type="dxa"/>
            <w:vAlign w:val="bottom"/>
            <w:tcBorders>
              <w:left w:val="single" w:sz="8" w:color="auto"/>
            </w:tcBorders>
          </w:tcPr>
          <w:p>
            <w:pPr>
              <w:spacing w:after="0"/>
              <w:rPr>
                <w:sz w:val="15"/>
                <w:szCs w:val="15"/>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U.S. federal income tax.</w:t>
            </w:r>
          </w:p>
        </w:tc>
      </w:tr>
      <w:tr>
        <w:trPr>
          <w:trHeight w:val="292"/>
        </w:trPr>
        <w:tc>
          <w:tcPr>
            <w:tcW w:w="22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Investing in the 8.25% Series 2031 Term Preferred Shares</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involves risks. You should carefully consider the information set</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forth  in  the  sections  of  this  prospectus  supplement,  the</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accompanying prospectus and any documents incorporated by</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reference into this prospectus supplement and the accompanying</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prospectus entitled “Risk Factors” before deciding whether to</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invest in our 8.25% Series 2031 Term Preferred Shares. See</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“Risk Factors” beginning on page S-16 of this prospectus</w:t>
            </w:r>
          </w:p>
        </w:tc>
      </w:tr>
      <w:tr>
        <w:trPr>
          <w:trHeight w:val="184"/>
        </w:trPr>
        <w:tc>
          <w:tcPr>
            <w:tcW w:w="2280" w:type="dxa"/>
            <w:vAlign w:val="bottom"/>
            <w:tcBorders>
              <w:left w:val="single" w:sz="8" w:color="auto"/>
            </w:tcBorders>
          </w:tcPr>
          <w:p>
            <w:pPr>
              <w:spacing w:after="0"/>
              <w:rPr>
                <w:sz w:val="15"/>
                <w:szCs w:val="15"/>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supplement and page 15 of the accompanying prospectus.</w:t>
            </w:r>
          </w:p>
        </w:tc>
      </w:tr>
      <w:tr>
        <w:trPr>
          <w:trHeight w:val="303"/>
        </w:trPr>
        <w:tc>
          <w:tcPr>
            <w:tcW w:w="22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Information Rights</w:t>
            </w: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During any period in which we are not subject to the reporting</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requirements  of  the  Securities  Exchange Act  of  1934,  as</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amended (the “Exchange Act”), and any 8.25% Series 2031</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Term Preferred Shares are outstanding, we will provide holders</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of 8.25% Series 2031 Term Preferred Shares, without cost,</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copies of our annual and semi-annual reports, proxy statements</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and other information that we would have been required to file</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with the SEC pursuant to the Exchange Act if we were subject to</w:t>
            </w:r>
          </w:p>
        </w:tc>
      </w:tr>
      <w:tr>
        <w:trPr>
          <w:trHeight w:val="184"/>
        </w:trPr>
        <w:tc>
          <w:tcPr>
            <w:tcW w:w="2280" w:type="dxa"/>
            <w:vAlign w:val="bottom"/>
            <w:tcBorders>
              <w:left w:val="single" w:sz="8" w:color="auto"/>
            </w:tcBorders>
          </w:tcPr>
          <w:p>
            <w:pPr>
              <w:spacing w:after="0"/>
              <w:rPr>
                <w:sz w:val="15"/>
                <w:szCs w:val="15"/>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such requirements.</w:t>
            </w:r>
          </w:p>
        </w:tc>
      </w:tr>
      <w:tr>
        <w:trPr>
          <w:trHeight w:val="303"/>
        </w:trPr>
        <w:tc>
          <w:tcPr>
            <w:tcW w:w="22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Redemption and Paying Agent</w:t>
            </w: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We have entered into an amendment to our Transfer Agency and</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Service Agreement with Computershare Trust Company, N.A.,</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which we refer to as the Redemption and Paying Agent in this</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prospectus supplement. Under this amendment, the Redemption</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and Paying Agent serves as transfer agent and registrar, dividend</w:t>
            </w:r>
          </w:p>
        </w:tc>
      </w:tr>
      <w:tr>
        <w:trPr>
          <w:trHeight w:val="169"/>
        </w:trPr>
        <w:tc>
          <w:tcPr>
            <w:tcW w:w="2280" w:type="dxa"/>
            <w:vAlign w:val="bottom"/>
            <w:tcBorders>
              <w:left w:val="single" w:sz="8" w:color="auto"/>
            </w:tcBorders>
          </w:tcPr>
          <w:p>
            <w:pPr>
              <w:spacing w:after="0"/>
              <w:rPr>
                <w:sz w:val="14"/>
                <w:szCs w:val="14"/>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disbursing agent and redemption and paying agent with respect</w:t>
            </w:r>
          </w:p>
        </w:tc>
      </w:tr>
      <w:tr>
        <w:trPr>
          <w:trHeight w:val="184"/>
        </w:trPr>
        <w:tc>
          <w:tcPr>
            <w:tcW w:w="2280" w:type="dxa"/>
            <w:vAlign w:val="bottom"/>
            <w:tcBorders>
              <w:left w:val="single" w:sz="8" w:color="auto"/>
            </w:tcBorders>
          </w:tcPr>
          <w:p>
            <w:pPr>
              <w:spacing w:after="0"/>
              <w:rPr>
                <w:sz w:val="15"/>
                <w:szCs w:val="15"/>
                <w:color w:val="auto"/>
              </w:rPr>
            </w:pPr>
          </w:p>
        </w:tc>
        <w:tc>
          <w:tcPr>
            <w:tcW w:w="40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to the 8.25% Series 2031 Term Preferred Shares.</w:t>
            </w:r>
          </w:p>
        </w:tc>
      </w:tr>
      <w:tr>
        <w:trPr>
          <w:trHeight w:val="324"/>
        </w:trPr>
        <w:tc>
          <w:tcPr>
            <w:tcW w:w="2280" w:type="dxa"/>
            <w:vAlign w:val="bottom"/>
            <w:tcBorders>
              <w:left w:val="single" w:sz="8" w:color="auto"/>
              <w:bottom w:val="single" w:sz="8" w:color="auto"/>
            </w:tcBorders>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4"/>
                <w:szCs w:val="24"/>
                <w:color w:val="auto"/>
              </w:rPr>
            </w:pPr>
          </w:p>
        </w:tc>
      </w:tr>
      <w:tr>
        <w:trPr>
          <w:trHeight w:val="302"/>
        </w:trPr>
        <w:tc>
          <w:tcPr>
            <w:tcW w:w="2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S-13</w:t>
            </w:r>
          </w:p>
        </w:tc>
      </w:tr>
    </w:tbl>
    <w:p>
      <w:pPr>
        <w:sectPr>
          <w:pgSz w:w="11900" w:h="16838" w:orient="portrait"/>
          <w:cols w:equalWidth="0" w:num="1">
            <w:col w:w="9019"/>
          </w:cols>
          <w:pgMar w:left="1440" w:top="232" w:right="1440" w:bottom="1440" w:gutter="0" w:footer="0" w:header="0"/>
        </w:sectPr>
      </w:pPr>
    </w:p>
    <w:bookmarkStart w:id="19" w:name="page20"/>
    <w:bookmarkEnd w:id="19"/>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16"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including the documents incorporated by reference herein and therein, contain forward-looking statements that involve substantial risks and uncertainties. These forward-looking statements are not historical facts, but rather are based on current expectations, estimates and projections about our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90"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supplement and the accompanying prospectus, including the documents incorporated by reference herein and therein, involve risks and uncertainties, including statements as to:</w:t>
      </w:r>
    </w:p>
    <w:p>
      <w:pPr>
        <w:spacing w:after="0" w:line="83" w:lineRule="exact"/>
        <w:rPr>
          <w:sz w:val="20"/>
          <w:szCs w:val="20"/>
          <w:color w:val="auto"/>
        </w:rPr>
      </w:pPr>
    </w:p>
    <w:p>
      <w:pPr>
        <w:ind w:left="2000" w:hanging="332"/>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 including our ability to achieve objectives;</w:t>
      </w:r>
    </w:p>
    <w:p>
      <w:pPr>
        <w:spacing w:after="0" w:line="11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a CLO vehicle’s portfolio companies;</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11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71"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and our ability to access alternative debt markets and additional debt and equity capital;</w:t>
      </w:r>
    </w:p>
    <w:p>
      <w:pPr>
        <w:spacing w:after="0" w:line="71"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a CLO vehicle’s portfolio companies to achieve their objectives;</w:t>
      </w:r>
    </w:p>
    <w:p>
      <w:pPr>
        <w:spacing w:after="0" w:line="11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CLOs, particularly those having no liquid trading market;</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w:t>
      </w:r>
    </w:p>
    <w:p>
      <w:pPr>
        <w:spacing w:after="0" w:line="12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Oxford Lane Management to locate suitable investments for us and to monitor and administer our investments;</w:t>
      </w:r>
    </w:p>
    <w:p>
      <w:pPr>
        <w:spacing w:after="0" w:line="60"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 and</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our investments.</w:t>
      </w:r>
    </w:p>
    <w:p>
      <w:pPr>
        <w:spacing w:after="0" w:line="125" w:lineRule="exact"/>
        <w:rPr>
          <w:sz w:val="20"/>
          <w:szCs w:val="20"/>
          <w:color w:val="auto"/>
        </w:rPr>
      </w:pPr>
    </w:p>
    <w:p>
      <w:pPr>
        <w:jc w:val="both"/>
        <w:ind w:left="1320" w:right="1339" w:firstLine="339"/>
        <w:spacing w:after="0" w:line="266" w:lineRule="auto"/>
        <w:rPr>
          <w:sz w:val="20"/>
          <w:szCs w:val="20"/>
          <w:color w:val="auto"/>
        </w:rPr>
      </w:pPr>
      <w:r>
        <w:rPr>
          <w:rFonts w:ascii="Times New Roman" w:cs="Times New Roman" w:eastAsia="Times New Roman" w:hAnsi="Times New Roman"/>
          <w:sz w:val="14"/>
          <w:szCs w:val="14"/>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248" w:lineRule="exact"/>
        <w:rPr>
          <w:sz w:val="20"/>
          <w:szCs w:val="20"/>
          <w:color w:val="auto"/>
        </w:rPr>
      </w:pPr>
    </w:p>
    <w:p>
      <w:pPr>
        <w:jc w:val="both"/>
        <w:ind w:left="2000" w:right="1339" w:hanging="332"/>
        <w:spacing w:after="0" w:line="269" w:lineRule="auto"/>
        <w:tabs>
          <w:tab w:leader="none" w:pos="19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political and industry trends and other external factors, including government shutdowns and uncertainty surrounding the financial and political stability of the United States and other countries;</w:t>
      </w:r>
    </w:p>
    <w:p>
      <w:pPr>
        <w:spacing w:after="0" w:line="82"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contraction of available credit and/or an inability to access the equity markets could impair our investment activities;</w:t>
      </w:r>
    </w:p>
    <w:p>
      <w:pPr>
        <w:spacing w:after="0" w:line="60"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volatility could adversely affect our results, particularly if we elect to use leverage as part of our investment strategy;</w:t>
      </w:r>
    </w:p>
    <w:p>
      <w:pPr>
        <w:spacing w:after="0" w:line="71"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fluctuations could adversely affect the results of our investments in foreign companies, particularly to the extent that we receive payments denominated in foreign currency rather than U.S. dollars;</w:t>
      </w:r>
    </w:p>
    <w:p>
      <w:pPr>
        <w:spacing w:after="0" w:line="82"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information technology system failures, data security breaches, data privacy compliance, network disruptions and cybersecurity attacks; and</w:t>
      </w:r>
    </w:p>
    <w:p>
      <w:pPr>
        <w:spacing w:after="0" w:line="60"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uncertainties and other factors we identify in “Supplementary Risk Factors” in this prospectus supplement and “Risk Factors” in the accompanying prospectus and in our filings with the SEC.</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20" w:name="page21"/>
    <w:bookmarkEnd w:id="20"/>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those described or identified in “Supplementary Risk Factors” in this prospectus supplement and “Risk Factors” in the accompanying prospectus and elsewhere in this prospectus supplement and the accompanying prospectus, including any subsequent SEC filings incorporated by reference to this prospectus supplement or the accompanying prospectus. You should not place undue reliance on these forward-looking statements, which are based on information available to us as of the applicable dates of this prospectus supplement and the accompanying prospectus, including any documents incorporated by reference to this prospectus supplement or the accompanying prospectus,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w:t>
      </w:r>
    </w:p>
    <w:p>
      <w:pPr>
        <w:spacing w:after="0" w:line="267"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However, we will update this prospectus supplement and the documents incorporated by reference herein to reflect any material changes to the information contained herein. The forward-looking statements contained in this prospectus supplement and the accompanying prospectus, including the documents incorporated by reference herein and therein, are excluded from the safe harbor protection provided by Section 27A of the Securities Act of 1933, as amended (the “Securities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21" w:name="page22"/>
    <w:bookmarkEnd w:id="21"/>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SUPPLEMENTARY RISK FACTORS</w:t>
      </w:r>
    </w:p>
    <w:p>
      <w:pPr>
        <w:spacing w:after="0" w:line="114"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i w:val="1"/>
          <w:iCs w:val="1"/>
          <w:color w:val="auto"/>
        </w:rPr>
        <w:t>Investing in our securities involves a number of significant risks. Before you invest in our 8.25% Series 2031 Term Preferred Shares, you should be aware of various risks, including those described below and those set forth in the accompanying prospectus, as well as those risks described in any documents incorporated by reference in this prospectus supplement and the accompanying prospectus. The risks set out below are not the only risks we face. Additional risks and uncertainties not presently known to us or not presently deemed material by us may also impair our operations and performance and the value of the 8.25% Series 2031 Term Preferred Shares. If any of the following events occur, our business, financial condition, results of operations and cash flows could be materially and adversely affected, and the value of the 8.25% Series 2031 Term Preferred Shares may be impaired. In such case, our net asset value and the trading price of the 8.25% Series 2031 Term Preferred Shares could decline, and you may lose all or part of your investment. The risk factors described below, together with those set forth in the accompanying prospectus and the documents incorporated by reference in this prospectus supplement and the accompanying prospectus, are the principal risk factors associated with an investment in our 8.25% Series 2031 Term Preferred Shares as well as those factors generally associated with an investment company with investment objectives, investment policies, capital structure, or trading markets similar to ours.</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the 8.25% Series 2031 Term Preferred Shares</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An investment in Term Preferred Shares with a fixed interest rate bears interest rate risk.</w:t>
      </w:r>
    </w:p>
    <w:p>
      <w:pPr>
        <w:spacing w:after="0" w:line="127"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Term Preferred Shares pay dividends at a fixed dividend rate. Prices of fixed income investments vary inversely with changes in market yields. The market yields on securities comparable to the 8.25% Series 2031 Term Preferred Shares may increase, which would likely result in a decline in the secondary market price of the 8.25% Series 2031 Term Preferred Shares prior to the Term Redemption Date. For additional information concerning dividends on the 8.25% Series 2031 Term Preferred Shares, see “Description of the 8.25% Series 2031 Term Preferred Shares — Dividends and Dividend Periods.”</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 liquid secondary trading market may not develop for the 8.25% Series 2031 Term Preferred Shares.</w:t>
      </w:r>
    </w:p>
    <w:p>
      <w:pPr>
        <w:spacing w:after="0" w:line="127"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Although the Series 2027 Term Preferred Shares, the 6.00% Series 2029 Term Preferred Shares and the 7.125% Series 2029 Term Preferred Shares are, and the 8.25% Series 2031 Term Preferred Shares will be, traded on the NASDAQ Global Select Market, they have and will have a limited trading market. As a result, we cannot predict the trading patterns of the 8.25% Series 2031 Term Preferred Shares, and a liquid secondary market may not develop. Holders of the 8.25% Series 2031 Term Preferred Shares may be able to sell such shares only at substantial discounts from the Liquidation Preference. There is a risk that the 8.25% Series 2031 Term Preferred Shares may be thinly traded, and the market for such shares may be relatively illiquid compared to the market for other types of securities, with the spread between the bid and asked prices considerably greater than the spreads of other securities with comparable terms and features.</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The 8.25% Series 2031 Term Preferred Shares bear a risk of early redemption by us.</w:t>
      </w:r>
    </w:p>
    <w:p>
      <w:pPr>
        <w:spacing w:after="0" w:line="116"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We may voluntarily redeem some or all of the 8.25% Series 2031 Term Preferred Shares on or after March 20, 2028 and we may be forced to redeem some or all of the 8.25% Series 2031 Term Preferred Shares to meet regulatory requirements and the asset coverage requirements of such shares. Any such redemptions may occur at a time that is unfavorable to holders of the 8.25% Series 2031 Term Preferred Shares. We may have an incentive to redeem the 8.25% Series 2031 Term Preferred Shares voluntarily before the Term Redemption Date if market conditions allow us to issue other Preferred Stock or debt securities at a rate that is lower than the Fixed Dividend Rate on the 8.25% Series 2031 Term Preferred Shares. For further information regarding our ability to redeem the 8.25% Series 2031 Term Preferred Shares, see “Description of the 8.25% Series 2031 Term Preferred Shares — Redemption” and “— Asset Coverage.”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22" w:name="page23"/>
    <w:bookmarkEnd w:id="22"/>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both"/>
        <w:ind w:left="1320" w:right="133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Claims of holders of the 8.25% Series 2031 Term Preferred Shares are subject to a risk of subordination relative to holders of our debt instruments, including the Notes.</w:t>
      </w:r>
    </w:p>
    <w:p>
      <w:pPr>
        <w:spacing w:after="0" w:line="59"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Rights of holders of 8.25% Series 2031 Term Preferred Shares will be equal to the rights of holders of the Series 2027 Term Preferred Shares, 6.00% Series 2029 Term Preferred Shares and the 7.125% Series 2029 Term Preferred Shares. However, rights of holders of the 8.25% Series 2031 Term Preferred Shares, the Series 2027 Term Preferred Shares, the 6.00% Series 2029 Term Preferred Shares and the 7.125% Series 2029 Term Preferred Shares will be subordinated to the rights of holders of our indebtedness, including holders of our Notes. Therefore, dividends, distributions and other payments to holders of Term Preferred Shares in liquidation or otherwise may be subject to prior payments due to the holders of our indebtedness, including holders of our Notes. In addition, under some circumstances the 1940 Act may provide debt holders with voting rights that are superior to the voting rights of holders of the 8.25% Series 2031 Term Preferred Shares.</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related to a general credit crisis and related liquidity risks.</w:t>
      </w:r>
    </w:p>
    <w:p>
      <w:pPr>
        <w:spacing w:after="0" w:line="127"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General market uncertainty and extraordinary conditions in the credit markets may impact the liquidity of our investment portfolio. In turn, during extraordinary circumstances, this uncertainty could impact our distributions and/or ability to redeem the 8.25% Series 2031 Term Preferred Shares in accordance with their terms. Further, there may be market imbalances of sellers and buyers of 8.25% Series 2031 Term Preferred Shares during periods of extreme illiquidity and volatility in the credit markets. Such market conditions may lead to periods of thin trading in any secondary market for the 8.25% Series 2031 Term Preferred Shares and may make valuation of the 8.25% Series 2031 Term Preferred Shares uncertain. As a result, the spread between bid and ask prices is likely to increase significantly such that an investor in the 8.25% Series 2031 Term Preferred Shares may have difficulty selling his or her shares. Less liquid and more volatile trading environments could also result in sudden and significant valuation declines in the 8.25% Series 2031 Term Preferred Shares.</w:t>
      </w:r>
    </w:p>
    <w:p>
      <w:pPr>
        <w:spacing w:after="0" w:line="3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Holders of the 8.25% Series 2031 Term Preferred Shares bear reinvestment risk.</w:t>
      </w:r>
    </w:p>
    <w:p>
      <w:pPr>
        <w:spacing w:after="0" w:line="127"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Given the five year term and potential for early redemption of the 8.25% Series 2031 Term Preferred Shares, holders of such shares may face an increased reinvestment risk, which is the risk that the return on an investment purchased with proceeds from the sale or redemption of the 8.25% Series 2031 Term Preferred Shares may be lower than the return previously obtained from the investment in such shares.</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Holders of 8.25% Series 2031 Term Preferred Shares bear dividend risk.</w:t>
      </w:r>
    </w:p>
    <w:p>
      <w:pPr>
        <w:spacing w:after="0" w:line="116"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We may be unable to pay dividends on the 8.25% Series 2031 Term Preferred Shares under some circumstances. The Series 2027 Term Preferred Shares became subject to redemption by us on February 28, 2023, the 6.00% Series 2029 Term Preferred Shares became subject to redemption by us on August 31, 2024 and the 7.125% Series 2029 Term Preferred Shares became subject to redemption by us on June 30, 2024. As a result, any redemption of the Series 2027 Term Preferred Shares, the 6.00% Series 2029 Term Preferred Shares and the 7.125% Series 2029 Term Preferred Shares may impact our ability to continue to pay dividends on the 8.25% Series 2031 Term Preferred Shares. In addition, the terms of any future indebtedness we may incur could preclude the payment of dividends in respect of equity securities, including the 8.25% Series 2031 Term Preferred Shares, under certain conditions.</w:t>
      </w:r>
    </w:p>
    <w:p>
      <w:pPr>
        <w:spacing w:after="0" w:line="145" w:lineRule="exact"/>
        <w:rPr>
          <w:sz w:val="20"/>
          <w:szCs w:val="20"/>
          <w:color w:val="auto"/>
        </w:rPr>
      </w:pPr>
    </w:p>
    <w:p>
      <w:pPr>
        <w:jc w:val="both"/>
        <w:ind w:left="1320" w:right="133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There is a risk of delay in our redemption of the 8.25% Series 2031 Term Preferred Shares, and we may fail to redeem such securities as required by their terms.</w:t>
      </w:r>
    </w:p>
    <w:p>
      <w:pPr>
        <w:spacing w:after="0" w:line="69"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We will generally make investments in CLO vehicles whose securities are not traded in any public market. Substantially all of the investments we presently hold and the investments we expect to acquire in the future are, and will be, subject to legal and other restrictions on resale and will otherwise be less liquid than publicly traded securities. The illiquidity of our investments may make it difficult for us to obtain cash equal to the value at which we record our investments quickly if a need arises. Additionally, our Series 2027 Term Preferred Shares, 6.00% Series 2029 Term Preferred Shares and the 7.125% Series 2029 Term Preferred Shares are subject to the mandatory redemption provisions described in “Description of the 8.25% Series 2031 Term Preferred Shares — Mandatory Redemption for Asset Coverage” prior to a mandatory redemption date. If we are unable to obtain sufficient liquidity prior to the Term Redemption Date, we may be forced to engage in a partial redemption or to delay a required redemption. If such a partial redemption or delay were to occur, the market price of the 8.25% Series 2031 Term Preferred Shares might be adversely affected.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23" w:name="page24"/>
    <w:bookmarkEnd w:id="23"/>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 downgrade, suspension or withdrawal of the credit rating assigned by a rating agency to us or the 8.25%</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Series 2031 Term Preferred Shares, if any, could cause the liquidity or market value of the 8.25% Series 2031</w:t>
      </w:r>
    </w:p>
    <w:p>
      <w:pPr>
        <w:spacing w:after="0" w:line="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Term Preferred Shares to decline significantly.</w:t>
      </w:r>
    </w:p>
    <w:p>
      <w:pPr>
        <w:spacing w:after="0" w:line="100"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Our credit ratings, if any, are an assessment by rating agencies of our ability to pay our debts when due. Consequently, real or anticipated changes in our credit ratings will generally affect the market value of the 8.25% Series 2031 Term Preferred Shares. These credit ratings may not reflect the potential impact of risks relating to the structure or marketing of the 8.25% Series 2031 Term Preferred Shares. Credit ratings are paid for by the issuer and are not a recommendation to buy, sell or hold any security, and may be revised or withdrawn at any time by the issuing organization in its sole discretion. An explanation of the significance of ratings may be obtained from the rating agency. Generally, rating agencies base their ratings on such material and information, and such of their own investigations, studies and assumptions, as they deem appropriate. Neither we nor any underwriter undertakes any obligation to maintain our credit ratings or to advise holders of the 8.25% Series 2031 Term Preferred Shares of any changes in our credit ratings. There can be no assurance that our credit ratings will remain for any given period of time or that such credit ratings will not be lowered or withdrawn entirely by the rating agency if in their judgment future circumstances relating to the basis of the credit ratings, such as adverse changes in our company, so warrant.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24" w:name="page25"/>
    <w:bookmarkEnd w:id="24"/>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16"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We estimate that the net proceeds to us from this offering will be approximately $57,833,000 (or approximately $66,551,750 if the underwriters fully exercise their overallotment option), after deducting the payment of underwriting discounts and commissions of $1,875,000 (or approximately $2,156,250 if the underwriters fully exercise their overallotment option) and estimated offering expenses of approximately $292,000 payable by us.</w:t>
      </w:r>
    </w:p>
    <w:p>
      <w:pPr>
        <w:spacing w:after="0" w:line="91" w:lineRule="exact"/>
        <w:rPr>
          <w:sz w:val="20"/>
          <w:szCs w:val="20"/>
          <w:color w:val="auto"/>
        </w:rPr>
      </w:pPr>
    </w:p>
    <w:p>
      <w:pPr>
        <w:jc w:val="both"/>
        <w:ind w:left="1320" w:right="1359" w:firstLine="339"/>
        <w:spacing w:after="0" w:line="286" w:lineRule="auto"/>
        <w:rPr>
          <w:sz w:val="20"/>
          <w:szCs w:val="20"/>
          <w:color w:val="auto"/>
        </w:rPr>
      </w:pPr>
      <w:r>
        <w:rPr>
          <w:rFonts w:ascii="Times New Roman" w:cs="Times New Roman" w:eastAsia="Times New Roman" w:hAnsi="Times New Roman"/>
          <w:sz w:val="14"/>
          <w:szCs w:val="14"/>
          <w:color w:val="auto"/>
        </w:rPr>
        <w:t>We intend to use all of the net proceeds from this offering to redeem a portion of our outstanding Preferred Stock and/or for general working capital purposes.</w:t>
      </w:r>
    </w:p>
    <w:p>
      <w:pPr>
        <w:spacing w:after="0" w:line="71"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We anticipate that substantially all of the net proceeds of this offering will be used for the above purposes within approximately three to six months from the consummation of such offering, depending on the availability of appropriate investment opportunities consistent with our investment objective and market conditions. We cannot assure you we will achieve our targeted investment pace.</w:t>
      </w:r>
    </w:p>
    <w:p>
      <w:pPr>
        <w:spacing w:after="0" w:line="77"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Pending such investments, we will invest the net proceeds primarily in cash, cash equivalents, U.S. government securities and other high-quality investments that mature in one year or less from the date of investment. The management fee payable by us will not be reduced while our assets are invested in such securities. See “Regulation as a Closed-End Management Investment Company — Temporary Investments” in the accompanying prospectus for additional information about temporary investments we may make while waiting to make longer-term investments in pursuit of our investment objective.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25" w:name="page26"/>
    <w:bookmarkEnd w:id="25"/>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following table sets forth our capitalization:</w:t>
      </w:r>
    </w:p>
    <w:p>
      <w:pPr>
        <w:spacing w:after="0" w:line="125" w:lineRule="exact"/>
        <w:rPr>
          <w:sz w:val="20"/>
          <w:szCs w:val="20"/>
          <w:color w:val="auto"/>
        </w:rPr>
      </w:pPr>
    </w:p>
    <w:p>
      <w:pPr>
        <w:ind w:left="2000" w:hanging="332"/>
        <w:spacing w:after="0"/>
        <w:tabs>
          <w:tab w:leader="none" w:pos="20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on an actual basis as of December 31, 2025; and</w:t>
      </w:r>
    </w:p>
    <w:p>
      <w:pPr>
        <w:spacing w:after="0" w:line="124"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on an as adjusted basis to give effect to the offering of the 8.25% Series 2031 Term Preferred Shares at a public offering price of $25 per share, after deducting the underwriting discounts and commissions of approximately $1,875,000 and estimated offering expenses of approximately $292,000 payable by us and the application of the proceeds thereof.</w:t>
      </w:r>
    </w:p>
    <w:p>
      <w:pPr>
        <w:spacing w:after="0" w:line="77" w:lineRule="exact"/>
        <w:rPr>
          <w:sz w:val="20"/>
          <w:szCs w:val="20"/>
          <w:color w:val="auto"/>
        </w:rPr>
      </w:pPr>
    </w:p>
    <w:p>
      <w:pPr>
        <w:jc w:val="both"/>
        <w:ind w:left="1320" w:right="1339" w:firstLine="339"/>
        <w:spacing w:after="0" w:line="279" w:lineRule="auto"/>
        <w:rPr>
          <w:sz w:val="20"/>
          <w:szCs w:val="20"/>
          <w:color w:val="auto"/>
        </w:rPr>
      </w:pPr>
      <w:r>
        <w:rPr>
          <w:rFonts w:ascii="Times New Roman" w:cs="Times New Roman" w:eastAsia="Times New Roman" w:hAnsi="Times New Roman"/>
          <w:sz w:val="14"/>
          <w:szCs w:val="14"/>
          <w:color w:val="auto"/>
        </w:rPr>
        <w:t>This table should be read in conjunction with “Use of Proceeds” and financial statements and notes thereto included in this prospectus supplement and our “Business” section included in the accompanying prospectus.</w:t>
      </w:r>
    </w:p>
    <w:p>
      <w:pPr>
        <w:spacing w:after="0" w:line="315"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480"/>
              <w:spacing w:after="0" w:line="138" w:lineRule="exact"/>
              <w:rPr>
                <w:sz w:val="20"/>
                <w:szCs w:val="20"/>
                <w:color w:val="auto"/>
              </w:rPr>
            </w:pPr>
            <w:r>
              <w:rPr>
                <w:rFonts w:ascii="Times New Roman" w:cs="Times New Roman" w:eastAsia="Times New Roman" w:hAnsi="Times New Roman"/>
                <w:sz w:val="13"/>
                <w:szCs w:val="13"/>
                <w:b w:val="1"/>
                <w:bCs w:val="1"/>
                <w:color w:val="auto"/>
              </w:rPr>
              <w:t>As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Adjusted</w:t>
            </w:r>
            <w:r>
              <w:rPr>
                <w:rFonts w:ascii="Times New Roman" w:cs="Times New Roman" w:eastAsia="Times New Roman" w:hAnsi="Times New Roman"/>
                <w:sz w:val="16"/>
                <w:szCs w:val="16"/>
                <w:b w:val="1"/>
                <w:bCs w:val="1"/>
                <w:color w:val="auto"/>
                <w:vertAlign w:val="superscript"/>
              </w:rPr>
              <w:t>(2)(3)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2,312,519,870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2,312,519,870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40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Mandatorily redeemable preferred stock, par value $0.01 per share, net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unamortized deferred issuance costs of $2,755,811 (50,000,000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40" w:type="dxa"/>
            <w:vAlign w:val="bottom"/>
            <w:shd w:val="clear" w:color="auto" w:fill="CCEEFF"/>
          </w:tcPr>
          <w:p>
            <w:pPr>
              <w:ind w:left="140"/>
              <w:spacing w:after="0" w:line="169" w:lineRule="exact"/>
              <w:rPr>
                <w:sz w:val="20"/>
                <w:szCs w:val="20"/>
                <w:color w:val="auto"/>
              </w:rPr>
            </w:pPr>
            <w:r>
              <w:rPr>
                <w:rFonts w:ascii="Times New Roman" w:cs="Times New Roman" w:eastAsia="Times New Roman" w:hAnsi="Times New Roman"/>
                <w:sz w:val="14"/>
                <w:szCs w:val="14"/>
                <w:color w:val="auto"/>
              </w:rPr>
              <w:t>shares authorized, 8,761,706 shares issued and outstanding) actual</w:t>
            </w:r>
            <w:r>
              <w:rPr>
                <w:rFonts w:ascii="Times New Roman" w:cs="Times New Roman" w:eastAsia="Times New Roman" w:hAnsi="Times New Roman"/>
                <w:sz w:val="16"/>
                <w:szCs w:val="16"/>
                <w:color w:val="auto"/>
                <w:vertAlign w:val="superscript"/>
              </w:rPr>
              <w:t>(1)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net of unamortized deferred issuance costs of $4,594,282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(8,848,386 shares issued and outstanding), as adjusted</w:t>
            </w:r>
            <w:r>
              <w:rPr>
                <w:rFonts w:ascii="Times New Roman" w:cs="Times New Roman" w:eastAsia="Times New Roman" w:hAnsi="Times New Roman"/>
                <w:sz w:val="16"/>
                <w:szCs w:val="16"/>
                <w:color w:val="auto"/>
                <w:vertAlign w:val="superscript"/>
              </w:rPr>
              <w:t>(2)(3)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216,286,839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216,615,368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Notes payable – 7.95% unsecured notes, net of unamortized deferred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costs of $5,663,307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179,336,693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179,336,693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40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Notes payable – 8.75% unsecured notes, net of unamortized deferred</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costs of $3,023,343</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111,976,657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111,976,657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Notes payable – 5.00% unsecured notes, net of unamortized deferred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costs of $731,769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99,268,231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99,268,231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40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Notes payable – 6.75% unsecured notes, net of unamortized deferred</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costs of $1,865,872</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98,134,128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98,134,128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97,448,061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97,448,061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802,450,609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802,779,138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1,510,069,261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1,509,740,732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Assets consist of:</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40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973,592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973,592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in excess of par 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2,778,250,278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2,778,250,278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40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distributable earnings/(accumulated losses)</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(1,269,154,609)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(1,269,483,138)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net assets</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1,510,069,261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1,509,740,732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____________</w:t>
      </w:r>
    </w:p>
    <w:p>
      <w:pPr>
        <w:spacing w:after="0" w:line="73" w:lineRule="exact"/>
        <w:rPr>
          <w:sz w:val="20"/>
          <w:szCs w:val="20"/>
          <w:color w:val="auto"/>
        </w:rPr>
      </w:pPr>
    </w:p>
    <w:p>
      <w:pPr>
        <w:jc w:val="both"/>
        <w:ind w:left="1660" w:right="1339" w:hanging="330"/>
        <w:spacing w:after="0" w:line="258" w:lineRule="auto"/>
        <w:tabs>
          <w:tab w:leader="none" w:pos="16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amount represents 3,524,806 shares of Series 2027 Term Preferred Shares, 2,686,900 shares of 6.00% Series 2029 Term Preferred Shares and 2,550,000 shares of the 7.125% Series 2029 Term Preferred Shares outstanding as of December 31, 2025.</w:t>
      </w:r>
    </w:p>
    <w:p>
      <w:pPr>
        <w:jc w:val="both"/>
        <w:ind w:left="1660" w:right="1339" w:hanging="330"/>
        <w:spacing w:after="0" w:line="254" w:lineRule="auto"/>
        <w:tabs>
          <w:tab w:leader="none" w:pos="16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in the “As Adjusted” column reflect the estimated net proceeds from this offering, after giving effect to capitalized debt issuance costs, and the partial redemption of 2,313,320 of the 3,524,806 outstanding 6.25% Series 2027 Term Preferred Shares as of December 31, 2025.</w:t>
      </w:r>
    </w:p>
    <w:p>
      <w:pPr>
        <w:spacing w:after="0" w:line="1" w:lineRule="exact"/>
        <w:rPr>
          <w:rFonts w:ascii="Times New Roman" w:cs="Times New Roman" w:eastAsia="Times New Roman" w:hAnsi="Times New Roman"/>
          <w:sz w:val="13"/>
          <w:szCs w:val="13"/>
          <w:color w:val="auto"/>
        </w:rPr>
      </w:pPr>
    </w:p>
    <w:p>
      <w:pPr>
        <w:ind w:left="1660" w:right="1339" w:hanging="330"/>
        <w:spacing w:after="0" w:line="269" w:lineRule="auto"/>
        <w:tabs>
          <w:tab w:leader="none" w:pos="16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pro rata portion of deferred offering costs associated with the partial redemption of the 6.25% Series 2027 Term Preferred Shares, recorded as a reduction to Total distributable earnings (accumulated losses).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26" w:name="page27"/>
    <w:bookmarkEnd w:id="26"/>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THE 8.25% SERIES 2031 TERM PREFERRED SHARES</w:t>
      </w:r>
    </w:p>
    <w:p>
      <w:pPr>
        <w:spacing w:after="0" w:line="114"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i w:val="1"/>
          <w:iCs w:val="1"/>
          <w:color w:val="auto"/>
        </w:rPr>
        <w:t>The following is a brief description of the terms of our Term Preferred Shares, including specific terms of the 8.25% Series 2031 Term Preferred Shares. This is not a complete description and is subject to, and entirely qualified by reference to, the Articles of Incorporation, the Articles Supplementary, Appendix A to the Articles Supplementary, Appendix B to the Articles Supplementary, Appendix C to the Articles Supplementary and Appendix D to the Articles Supplementary, dated as of March 13, 2026 (the “Articles Supplementary). The form of Articles Supplementary and appendices thereto are attached to this prospectus supplement as Exhibit A, including Appendix C which establishes the terms for the 8.25% Series 2031 Term Preferred Shares. The final Articles Supplementary dated as of March 13, 2026 and Appendix A, Appendix B, Appendix C and Appendix D will be filed with the SEC as an exhibit to our registration statement of which this prospectus supplement and the accompanying prospectus are a part. You may obtain copies of these documents as described under “Available Information.”</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7"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We are authorized to issue 50,000,000 shares of Term Preferred Shares. We are designating 2,760,000 of these shares as additional 8.25% Series 2031 Term Preferred Shares. As of March 9, 2026, we had 3,524,806 shares of Series 2027 Term Preferred Shares, 2,686,900 shares of 6.00% Series 2029 Term Preferred Shares and 2,550,000 shares of 7.125% Series 2029 Term Preferred Shares issued and outstanding. Terms of the Term Preferred Shares are set forth in the Articles Supplementary. Terms of the 8.25% Series 2031 Term Preferred Shares are the same as those of the Series 2027 Term Preferred Shares, the 6.00% Series 2029 Term Preferred Shares, the 7.125% Series 2029 Term Preferred Shares, except as set forth in Appendix A, Appendix B, Appendix C and Appendix D to the Articles Supplementary dated as of March 13, 2026.</w:t>
      </w:r>
    </w:p>
    <w:p>
      <w:pPr>
        <w:spacing w:after="0" w:line="92"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At the time of issuance, any Term Preferred Shares, including the 8.25% Series 2031 Term Preferred Shares, will be fully paid and non-assessable and will have no preemptive, conversion, or exchange rights or rights to cumulative voting. The 8.25% Series 2031 Term Preferred Shares will rank equally with shares of the Series 2027 Term Preferred Shares, the 6.00% Series 2029 Term Preferred Shares and the 7.125% Series 2029 Term Preferred Shares, and all our other Preferred Stock that might be issued in the future, as to payment of dividends and the distribution of our assets upon dissolution, liquidation or winding up of our affairs. The Term Preferred Shares are, and all other Preferred Stock that we may issue in the future will be, senior as to dividends and distributions to the common stock and subordinated in the right of payment to senior indebtedness, including the Notes. We may issue additional series of Term Preferred Shares or other Preferred Stock in the future.</w:t>
      </w:r>
    </w:p>
    <w:p>
      <w:pPr>
        <w:spacing w:after="0" w:line="253"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Except in certain limited circumstances, holders of the Term Preferred Shares will not receive certificates representing their ownership interest in such shares, and the shares of Term Preferred Shares will be represented by a global certificate to be held by the Securities Depository for the Term Preferred Shares. The Depository Trust Company will initially act as Securities Depository with respect to the Term Preferred Shares.</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Dividends and Dividend Periods</w:t>
      </w:r>
    </w:p>
    <w:p>
      <w:pPr>
        <w:spacing w:after="0" w:line="125"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The holders of the Term Preferred Shares will be entitled to receive cumulative cash dividends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distributions on such shares, when, as and if declared by, or under authority granted by, our Board of Directors out of funds legally available for payment and in preference to dividends and distributions on Common Stock, calculated separately for each dividend period, or the “Dividend Period,” for such Term Preferred Shares at the dividend rate, or the “Dividend Rate,” for such Term Preferred Shares in effect during such Dividend Period, in an amount equal to 8.25% of the Liquidation Preference per annum for such Term Preferred Shares. The Dividend Rate is computed on the basis of a 360-day year consisting of twelve 30-day months. Dividends so declared and payable will be paid to the extent permitted under state law and our Articles of Incorporation, and to the extent available, in preference to and priority over any dividend declared and payable on the Common Stock. If we are unable to distribute the full dividend amount due in a Dividend Period on the 8.25% Series 2031 Term Preferred Shares, the Series 2027 Term Preferred Shares, the 6.00% Series 2029 Term Preferred Shares and the 7.125% Series 2029 Term Preferred Shares, the dividends will be distributed on a pro rata basis among the holders of the 8.25% Series 2031 Term Preferred Shares, the Series 2027 Term Preferred Shares, the 6.00% Series 2029 Term Preferred Shares and the 7.125% Series 2029 Term Preferred Shares.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27" w:name="page28"/>
    <w:bookmarkEnd w:id="27"/>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2" w:lineRule="exact"/>
        <w:rPr>
          <w:sz w:val="20"/>
          <w:szCs w:val="20"/>
          <w:color w:val="auto"/>
        </w:rPr>
      </w:pPr>
    </w:p>
    <w:p>
      <w:pPr>
        <w:jc w:val="both"/>
        <w:ind w:left="1320" w:right="1339" w:firstLine="339"/>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Fixed Dividend Rate. </w:t>
      </w:r>
      <w:r>
        <w:rPr>
          <w:rFonts w:ascii="Times New Roman" w:cs="Times New Roman" w:eastAsia="Times New Roman" w:hAnsi="Times New Roman"/>
          <w:sz w:val="14"/>
          <w:szCs w:val="14"/>
          <w:color w:val="auto"/>
        </w:rPr>
        <w:t>The Fixed Dividend Rate is an annual rate of 8.25% for the 8.25% Series 2031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 Preferred Shares. The Fixed Dividend Rate for Term Preferred Shares may be adjusted in certain circumstances, including upon the occurrence of certain events resulting in a Default Period (as defined below).</w:t>
      </w:r>
    </w:p>
    <w:p>
      <w:pPr>
        <w:spacing w:after="0" w:line="81"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Payment of Dividends and Dividend Periods. </w:t>
      </w:r>
      <w:r>
        <w:rPr>
          <w:rFonts w:ascii="Times New Roman" w:cs="Times New Roman" w:eastAsia="Times New Roman" w:hAnsi="Times New Roman"/>
          <w:sz w:val="14"/>
          <w:szCs w:val="14"/>
          <w:color w:val="auto"/>
        </w:rPr>
        <w:t>The first Dividend Period for the 8.25% Series 2031 Term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Preferred Shares will commence on March 20, 2026, to, but including, the initial dividend payment date (April 30, 2026) and each subsequent Dividend Period will be a calendar month (or the portion thereof occurring prior to the redemption of such 8.25% Series 2031 Term Preferred Shares). Dividends will be payable monthly in arrears on the Dividend Payment Date — the last Business Day of the month of the Dividend Period and upon redemption of the Term Preferred Shares. Except for the first Dividend Period, dividends with respect to any monthly Dividend Period will be declared and paid to holders of record of Term Preferred Shares as their names shall appear on our registration books at the close of business on the applicable record date, which shall be such date designated by our Board of Directors that is not more than 20, nor less than 10, calendar days prior to such Dividend Payment Date. Dividends with respect to the 8.25% Series 2031 Term Preferred Shares offered pursuant to this prospectus supplement will be paid on April 30, 2026 to holders of record of such 8.25% Series 2031 Term Preferred Shares as their names appear on our registration books at the close of business on April 16, 2026.</w:t>
      </w:r>
    </w:p>
    <w:p>
      <w:pPr>
        <w:spacing w:after="0" w:line="95"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Only holders of Term Preferred Shares on the record date for a Dividend Period will be entitled to receive dividends and distributions payable with respect to such Dividend Period, and holders of Term Preferred Shares who sell shares before such a record date and purchasers of Term Preferred Shares who purchase shares after such a record date should take the effect of the foregoing provisions into account in evaluating the price to be received or paid for such Term Preferred Shares.</w:t>
      </w:r>
    </w:p>
    <w:p>
      <w:pPr>
        <w:spacing w:after="0" w:line="80"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Although dividends will accrue and be paid monthly, the record date for holders of Term Preferred Shares entitled to receive dividend payments may vary from month-to-month. We will notify holders of the Term Preferred Shares of each record date by issuance of a quarterly press release.</w:t>
      </w:r>
    </w:p>
    <w:p>
      <w:pPr>
        <w:spacing w:after="0" w:line="81"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Mechanics of Payment of Dividends. </w:t>
      </w:r>
      <w:r>
        <w:rPr>
          <w:rFonts w:ascii="Times New Roman" w:cs="Times New Roman" w:eastAsia="Times New Roman" w:hAnsi="Times New Roman"/>
          <w:sz w:val="14"/>
          <w:szCs w:val="14"/>
          <w:color w:val="auto"/>
        </w:rPr>
        <w:t>Not later than 12:00 noon, New York City time, on a Dividend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 Date, we are required to deposit with the Redemption and Paying Agent sufficient funds for the payment of dividends in the form of Deposit Securities. Deposit Securities will generally consist of (1) cash or cash equivalents; (2) direct obligations of the United States or its agencies or instrumentalities that are entitled to the full faith and credit of the United States, which we refer to as the U.S. Government Obligations;</w:t>
      </w:r>
    </w:p>
    <w:p>
      <w:pPr>
        <w:spacing w:after="0" w:line="1" w:lineRule="exact"/>
        <w:rPr>
          <w:sz w:val="20"/>
          <w:szCs w:val="20"/>
          <w:color w:val="auto"/>
        </w:rPr>
      </w:pPr>
    </w:p>
    <w:p>
      <w:pPr>
        <w:jc w:val="both"/>
        <w:ind w:left="1320" w:right="1339" w:firstLine="10"/>
        <w:spacing w:after="0" w:line="254" w:lineRule="auto"/>
        <w:tabs>
          <w:tab w:leader="none" w:pos="153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money market funds registered under the 1940 Act that qualify under Rule 2a-7 under the 1940 Act and certain similar investment vehicles that invest in U.S. Government Obligations or any combination thereof; or (4) any letter of credit from a bank or other financial institution that has a credit rating from at least one ratings agency that is the highest applicable rating generally ascribed by such ratings agency to bank deposits or short-term debt of similar banks or other financial institutions, in each case either that is a demand obligation payable to the holder on any Business Day or that has a maturity date, mandatory redemption date or mandatory payment date, preceding the relevant Redemption Date, Dividend Payment Date or other payment date. We do not intend to establish any reserves for the payment of dividends.</w:t>
      </w:r>
    </w:p>
    <w:p>
      <w:pPr>
        <w:spacing w:after="0" w:line="93"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All Deposit Securities paid to the Redemption and Payment Agent for the payment of dividends will be held in trust for the payment of such dividends to the holders of Term Preferred Shares. Dividends will be paid by the Redemption and Payment Agent to the holders of Term Preferred Shares as their names appear on our registration books. Dividends that are in arrears for any past Dividend Period may be declared and paid at any time, without reference to any regular Dividend Payment Date. Such payments are made to holders of Term Preferred Shares as their names appear on our registration books on such date, not exceeding 20 nor less than 10 calendar days preceding the payment date thereof, as may be fixed by our Board of Directors. Any payment of dividends in arrears will first be credited against the earliest accumulated but unpaid dividends. No interest or sum of money in lieu of interest will be payable in respect of any dividend payment or payments on any Term Preferred Shares which may be in arrears. See “— Adjustment to Fixed Dividend Rate — Default Period.”</w:t>
      </w:r>
    </w:p>
    <w:p>
      <w:pPr>
        <w:spacing w:after="0" w:line="81"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Upon failure to pay dividends for at least two years, the holders of Term Preferred Shares will acquire certain additional voting rights. See “— Voting Rights” below. Such rights shall be the exclusive remedy of the holders of Term Preferred Shares upon any failure to pay dividends on Term Preferred Shares.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28" w:name="page29"/>
    <w:bookmarkEnd w:id="28"/>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2"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Adjustment to Fixed Dividend Rate — Default Period. </w:t>
      </w:r>
      <w:r>
        <w:rPr>
          <w:rFonts w:ascii="Times New Roman" w:cs="Times New Roman" w:eastAsia="Times New Roman" w:hAnsi="Times New Roman"/>
          <w:sz w:val="14"/>
          <w:szCs w:val="14"/>
          <w:color w:val="auto"/>
        </w:rPr>
        <w:t>Subject to the cure provisions below, a default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 with respect to Term Preferred Shares will commence on a date we fail to deposit the Deposit Securities as required as described above, or the “Default Period.” A Default Period with respect to a Dividend Default (as defined in the Articles Supplementary) or a Redemption Default (as defined in the Articles Supplementary) shall end on the Business Day on which, by 12:00 noon, New York City time, an amount equal to all unpaid dividends and any unpaid redemption price shall have been deposited irrevocably in trust in same-day funds with the Redemption and Paying Agent. In the case of a Default (as defined in the Articles Supplementary), the applicable dividend rate for each day during the Default Period will be equal to the Default Rate. The “Default Rate” for any calendar day will be equal to the applicable Dividend Rate in effect on such day plus two percent (2%) per annum.</w:t>
      </w:r>
    </w:p>
    <w:p>
      <w:pPr>
        <w:spacing w:after="0" w:line="94"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No Default Period with respect to a Dividend Default or Redemption Default will be deemed to commence if the amount of any dividend or any redemption price due (if such Default is not solely due to our willful failure) is deposited irrevocably in trust, in same-day funds with the Redemption and Paying Agent by 12:00 noon, New York City time, on a Business Day that is not later than three Business Days after the applicable Dividend Payment Date or Redemption Date, together with an amount equal to the Default Rate applied to the amount and period of such non-payment based on the actual number of calendar days comprising such period divided by 360.</w:t>
      </w:r>
    </w:p>
    <w:p>
      <w:pPr>
        <w:spacing w:after="0" w:line="3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Restrictions on Dividend, Redemption, Other Payments and Issuance of Debt</w:t>
      </w:r>
    </w:p>
    <w:p>
      <w:pPr>
        <w:spacing w:after="0" w:line="127"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No full dividends and distributions will be declared or paid on Term Preferred Shares for any Dividend Period, or a part of a Dividend Period, unless the full cumulative dividends and distributions due through the most recent dividend payment dates for all outstanding shares of Preferred Stock (including shares of other series of Term Preferred Shares, if any) have been, or contemporaneously are, declared and paid through the most recent dividend payment dates for each share of Preferred Stock. If full cumulative dividends and distributions due have not been paid on all outstanding shares of Preferred Stock of any series, any dividends and distributions being declared and paid on Term Preferred Shares will be declared and paid as nearly pro rata as possible in proportion to the respective amounts of dividends and distributions accumulated but unpaid on the shares of each such series of Preferred Stock on the relevant dividend payment date. No holders of Term Preferred Shares will be entitled to any dividends and distributions in excess of full cumulative dividends and distributions as provided in the Articles Supplementary.</w:t>
      </w:r>
    </w:p>
    <w:p>
      <w:pPr>
        <w:spacing w:after="0" w:line="86"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For so long as any shares of Term Preferred Shares are outstanding, we will not: (x) declare any dividend or other distribution (other than a dividend or distribution paid in Common Stock) in respect of the Common Stock, (y) call for redemption, redeem, purchase or otherwise acquire for consideration any such Common Stock, or (z) pay any proceeds of the liquidation of the Company in respect of such Common Stock, unless, in each case, (A) immediately thereafter, we will be in compliance with the 200% asset coverage limitations set forth under the 1940 Act with respect to a class of senior security which is stock, after deducting the amount of such dividend or distribution or redemption or purchasing price or liquidation proceeds, (B) all cumulative dividends and distributions of shares of all series of Term Preferred Shares and all other series of Preferred Stock, if any, ranking on parity with the Term Preferred Shares due on or prior to the date of the applicable dividend, distribution, redemption, purchase or acquisition shall have been declared and paid (or shall have been declared and sufficient funds or Deposit Securities as permitted by the terms of such Preferred Stock for the payment thereof shall have been deposited irrevocably with the applicable paying agent) and (C) we have deposited Deposit Securities with the Redemption and Paying Agent in accordance with the requirements described herein with respect to outstanding Term Preferred Shares of any series to be redeemed pursuant to a Term Redemption (as defined below) or asset coverage mandatory redemption resulting from the failure to comply with the asset coverage requirements as described below for which a Notice of Redemption shall have been given or shall have been required to be given in accordance with the terms described herein on or prior to the date of the applicable dividend, distribution, redemption, purchase or acquisition.</w:t>
      </w:r>
    </w:p>
    <w:p>
      <w:pPr>
        <w:spacing w:after="0" w:line="97"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Except as required by law, we will not redeem any shares of Term Preferred Shares unless all accumulated and unpaid dividends and distributions on all outstanding shares of Term Preferred Shares and other series of Preferred Stock, if any, ranking on parity with the Term Preferred Shares with respect to dividends and distributions for all applicable past dividend periods (whether or not earned or declared by us) (x) will have been or are contemporaneously paid or (y) will have been or are contemporaneously declared and Deposit Securities or sufficient funds (in accordance with the terms of such Preferred Stock) for the payment of such dividends and distributions will have been or are contemporaneously deposited with the Redemption and Paying Agent or other applicable paying agent, provided, however, that the foregoing will not prevent the purchase or acquisition of outstanding shares of Term Preferred Shares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29" w:name="page30"/>
    <w:bookmarkEnd w:id="29"/>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69" w:lineRule="auto"/>
        <w:rPr>
          <w:sz w:val="20"/>
          <w:szCs w:val="20"/>
          <w:color w:val="auto"/>
        </w:rPr>
      </w:pPr>
      <w:r>
        <w:rPr>
          <w:rFonts w:ascii="Times New Roman" w:cs="Times New Roman" w:eastAsia="Times New Roman" w:hAnsi="Times New Roman"/>
          <w:sz w:val="14"/>
          <w:szCs w:val="14"/>
          <w:color w:val="auto"/>
        </w:rPr>
        <w:t>pursuant to an otherwise lawful purchase or exchange offer made on the same terms to holders of all outstanding shares of Term Preferred Shares and any other series of Preferred Stock, if any, for which all accumulated and unpaid dividends and distributions have not been paid.</w:t>
      </w:r>
    </w:p>
    <w:p>
      <w:pPr>
        <w:spacing w:after="0" w:line="83" w:lineRule="exact"/>
        <w:rPr>
          <w:sz w:val="20"/>
          <w:szCs w:val="20"/>
          <w:color w:val="auto"/>
        </w:rPr>
      </w:pPr>
    </w:p>
    <w:p>
      <w:pPr>
        <w:jc w:val="both"/>
        <w:ind w:left="1320" w:right="1339" w:firstLine="339"/>
        <w:spacing w:after="0" w:line="253" w:lineRule="auto"/>
        <w:rPr>
          <w:sz w:val="20"/>
          <w:szCs w:val="20"/>
          <w:color w:val="auto"/>
        </w:rPr>
      </w:pPr>
      <w:r>
        <w:rPr>
          <w:rFonts w:ascii="Times New Roman" w:cs="Times New Roman" w:eastAsia="Times New Roman" w:hAnsi="Times New Roman"/>
          <w:sz w:val="14"/>
          <w:szCs w:val="14"/>
          <w:color w:val="auto"/>
        </w:rPr>
        <w:t>We may issue debt in one or more classes or series. Under the 1940 Act, we may not (1) declare any dividend with respect to any Preferred Stock if, at the time of such declaration (and after giving effect thereto), our asset coverage with respect to any of our borrowings that are senior securities representing indebtedness (as determined in accordance with Section 18(h) under the 1940 Act), would be less than 200% (or such other percentage as may in the future be specified in or under the 1940 Act as the minimum asset coverage for senior securities representing indebtedness of a closed-end investment company as a condition of declaring dividends on its Preferred Stock) or (2) declare any other distribution on the Preferred Stock or purchase or redeem Preferred Stock if at the time of the declaration or redemption (and after giving effect thereto), asset coverage with respect to such borrowings that are senior securities representing indebtedness would be less than 200% (or such higher percentage as may in the future be specified in or under the 1940 Act as the minimum asset coverage for senior securities representing indebtedness of a closed-end investment company as a condition of declaring distributions, purchases or redemptions of its shares). “Senior securities representing indebtedness” generally means any bond, debenture, note or similar obligation or instrument constituting a security (other than shares of capital stock) and evidencing indebtedness and could include our obligations under any borrowings. For purposes of determining our asset coverage for senior securities representing indebtedness in connection with the payment of dividends or other distributions on or purchases or redemptions of stock, the term senior security does not include any promissory note or other evidence of indebtedness issued in consideration of any loan, extension or renewal thereof, made by a bank or other person and privately arranged, and not intended to be publicly distributed. The term senior security also does not include any such promissory note or other evidence of indebtedness in any case where such a loan is for temporary purposes only and in an amount not exceeding 5% of the value of our total assets at the time when the loan is made; a loan is presumed under the 1940 Act to be for temporary purposes if it is repaid within 60 calendar days and is not extended or renewed; otherwise such loan is presumed not to be for temporary purposes.</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Asset Coverage</w:t>
      </w:r>
    </w:p>
    <w:p>
      <w:pPr>
        <w:spacing w:after="0" w:line="127"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If we fail to maintain asset coverage of at least 200% as of the close of business on the last Business Day of a Calendar Quarter, the Term Preferred Shares may become subject to mandatory redemption as provided below. “Asset coverage” means asset coverage of a class of senior security which is a stock, as defined for purposes of Section 18(h) of the 1940 Act as in effect on the date of the Articles Supplementary. For purposes of this determination, no shares of Term Preferred Shares or other Preferred Stock, if any, will be deemed to be outstanding for purposes of the computation of asset coverage if, prior to or concurrently with such determination, either sufficient Deposit Securities or other sufficient funds (in accordance with the terms of such Preferred Stock) to pay the full redemption price for such Preferred Stock (or the portion thereof to be redeemed) will have been deposited in trust with the paying agent for such Preferred Stock and the requisite notice of redemption for such Preferred Stock (or the portion thereof to be redeemed) will have been given or sufficient Deposit Securities or other sufficient funds (in accordance with the terms of such Preferred Stock) to pay the full redemption price for such Preferred Stock (or the portion thereof to be redeemed) will have been segregated by us and our custodian, or Custodian, from our assets, by means of appropriate identification on the Custodian’s books and records or otherwise in accordance with the Custodian’s normal procedures. In such event, the Deposit Securities or other sufficient funds so deposited or segregated will not be included as our assets for purposes of the computation of asset coverage.</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Redemption</w:t>
      </w:r>
    </w:p>
    <w:p>
      <w:pPr>
        <w:spacing w:after="0" w:line="114" w:lineRule="exact"/>
        <w:rPr>
          <w:sz w:val="20"/>
          <w:szCs w:val="20"/>
          <w:color w:val="auto"/>
        </w:rPr>
      </w:pPr>
    </w:p>
    <w:p>
      <w:pPr>
        <w:jc w:val="both"/>
        <w:ind w:left="1320" w:right="1339" w:firstLine="339"/>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Term Redemption. </w:t>
      </w:r>
      <w:r>
        <w:rPr>
          <w:rFonts w:ascii="Times New Roman" w:cs="Times New Roman" w:eastAsia="Times New Roman" w:hAnsi="Times New Roman"/>
          <w:sz w:val="14"/>
          <w:szCs w:val="14"/>
          <w:color w:val="auto"/>
        </w:rPr>
        <w:t>We are required to provide for the mandatory redemption, or the Term Redemption,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all of the 8.25% Series 2031 Term Preferred Shares on March 20, 2031 at a redemption price equal to the Liquidation Preference per share plus an amount equal to accumulated but unpaid dividends thereon (whether or not earned or declared but excluding interest thereon) to (but excluding) the Term Redemption Date, which we refer to as the Term Redemption Price.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30" w:name="page31"/>
    <w:bookmarkEnd w:id="30"/>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Mandatory Redemption for Asset Coverage</w:t>
      </w:r>
    </w:p>
    <w:p>
      <w:pPr>
        <w:spacing w:after="0" w:line="114" w:lineRule="exact"/>
        <w:rPr>
          <w:sz w:val="20"/>
          <w:szCs w:val="20"/>
          <w:color w:val="auto"/>
        </w:rPr>
      </w:pPr>
    </w:p>
    <w:p>
      <w:pPr>
        <w:jc w:val="both"/>
        <w:ind w:left="1320" w:right="1339" w:firstLine="339"/>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Asset Coverage. </w:t>
      </w:r>
      <w:r>
        <w:rPr>
          <w:rFonts w:ascii="Times New Roman" w:cs="Times New Roman" w:eastAsia="Times New Roman" w:hAnsi="Times New Roman"/>
          <w:sz w:val="14"/>
          <w:szCs w:val="14"/>
          <w:color w:val="auto"/>
        </w:rPr>
        <w:t>If we fail to have asset coverage of at least 200% as provided in the Articles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Supplementary and such failure is not cured as of the close of business on the Asset Coverage Cure Date, we will fix a redemption date and proceed to redeem the number of shares of Preferred Stock as described below at a price per share equal to the liquidation price per share of the applicable Preferred Stock, which in the case of the Term Preferred Shares is equal to the Liquidation Preference per share plus accumulated but unpaid dividends and distributions thereon (whether or not earned or declared but excluding interest thereon) to (but excluding) the date fixed for redemption by our Board of Directors. We will redeem out of funds legally available the number of shares of Preferred Stock (which may include at our sole option any number or proportion of Term Preferred Shares) equal to the lesser of (i) the minimum number of shares of Preferred Stock, the redemption of which, if deemed to have occurred immediately prior to the opening of business on the Asset Coverage Cure Date, would result in us having asset coverage of at least 200% and (ii) the maximum number of shares of Preferred Stock that can be redeemed out of funds expected to be legally available in accordance with our Articles of Incorporation and applicable law. Notwithstanding the foregoing sentence, in the event that shares of Preferred Stock are redeemed pursuant to the Articles Supplementary, we may at our sole option, but are not required to, redeem a sufficient number of shares of Term Preferred Shares that, when aggregated with other shares of Preferred Stock redeemed by us, permits us to have with respect to the shares of Preferred Stock (including Term Preferred Shares) remaining outstanding after such redemption, asset coverage on such Asset Coverage Cure Date of as much as 285%. We will effect a redemption on the date fixed by us, which date will not be later than 90 calendar days after the Asset Coverage Cure Date, except that if we do not have funds legally available for the redemption of all of the required number of shares of Term Preferred Shares and other shares of Preferred Stock which have been designated to be redeemed or we otherwise are unable to effect such redemption on or prior to 90 calendar days after the Asset Coverage Cure Date, we will redeem those shares of Term Preferred Shares and other shares of Preferred Stock which we were unable to redeem on the earliest practicable date on which we are able to effect such redemption.</w:t>
      </w:r>
    </w:p>
    <w:p>
      <w:pPr>
        <w:spacing w:after="0" w:line="106" w:lineRule="exact"/>
        <w:rPr>
          <w:sz w:val="20"/>
          <w:szCs w:val="20"/>
          <w:color w:val="auto"/>
        </w:rPr>
      </w:pPr>
    </w:p>
    <w:p>
      <w:pPr>
        <w:jc w:val="both"/>
        <w:ind w:left="1320" w:right="1339" w:firstLine="339"/>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Optional Redemption. </w:t>
      </w:r>
      <w:r>
        <w:rPr>
          <w:rFonts w:ascii="Times New Roman" w:cs="Times New Roman" w:eastAsia="Times New Roman" w:hAnsi="Times New Roman"/>
          <w:sz w:val="14"/>
          <w:szCs w:val="14"/>
          <w:color w:val="auto"/>
        </w:rPr>
        <w:t>On or after March 20, 2028 or, any such date, an “Optional Redemption 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may redeem in whole or from time to time in part outstanding 8.25% Series 2031 Term Preferred Shares, at a redemption price equal to the Liquidation Preference, plus an amount equal to all unpaid dividends and distributions accumulated to (but excluding) the Optional Redemption Date (whether or not earned or declared by us, but excluding interest thereon) or, the “Optional Redemption Price.”</w:t>
      </w:r>
    </w:p>
    <w:p>
      <w:pPr>
        <w:spacing w:after="0" w:line="89"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Subject to the provisions of the Articles Supplementary and applicable law, our Board of Directors will have the full power and authority to prescribe the terms and conditions upon which shares of Term Preferred Shares will be redeemed from time to time.</w:t>
      </w:r>
    </w:p>
    <w:p>
      <w:pPr>
        <w:spacing w:after="0" w:line="72"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We may not on any date deliver a notice of redemption to redeem any shares of Term Preferred Shares pursuant to the optional redemption provisions described above unless on such date we have available Deposit Securities for the Optional Redemption Date contemplated by such notice of redemption having a Market Value not less than the amount (including any applicable premium) due to holders of shares of Term Preferred Shares by reason of the redemption of such shares of Term Preferred Shares on such Optional Redemption Date.</w:t>
      </w:r>
    </w:p>
    <w:p>
      <w:pPr>
        <w:spacing w:after="0" w:line="89" w:lineRule="exact"/>
        <w:rPr>
          <w:sz w:val="20"/>
          <w:szCs w:val="20"/>
          <w:color w:val="auto"/>
        </w:rPr>
      </w:pPr>
    </w:p>
    <w:p>
      <w:pPr>
        <w:jc w:val="both"/>
        <w:ind w:left="1320" w:right="1339" w:firstLine="339"/>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Redemption Procedures. </w:t>
      </w:r>
      <w:r>
        <w:rPr>
          <w:rFonts w:ascii="Times New Roman" w:cs="Times New Roman" w:eastAsia="Times New Roman" w:hAnsi="Times New Roman"/>
          <w:sz w:val="14"/>
          <w:szCs w:val="14"/>
          <w:color w:val="auto"/>
        </w:rPr>
        <w:t>We will file a notice of our intention to redeem with the SEC so as to provide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30 calendar day notice period contemplated by Rule 23c-2 under the 1940 Act, or such shorter notice period as may be permitted by the SEC or its staff.</w:t>
      </w:r>
    </w:p>
    <w:p>
      <w:pPr>
        <w:spacing w:after="0" w:line="83"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If we shall determine or be required to redeem, in whole or in part, shares of a series of Term Preferred Shares, we will deliver a notice of redemption, or a Notice of Redemption, by overnight delivery, by first class mail, postage prepaid or by electronic means to the holders of such series of shares of Term Preferred Shares to be redeemed, or request the Redemption and Paying Agent, on our behalf, to promptly do so by overnight delivery, by first class mail or by electronic means. A Notice of Redemption will be provided not more than 45 calendar days prior to the date fixed for redemption in such Notice of Redemption, which we refer to as the Redemption Date. If fewer than all of the outstanding shares of such series of Term Preferred Shares are to be redeemed pursuant to either the asset coverage mandatory redemption provisions or the optional redemption provisions, the shares of such series of Term Preferred Shares to be redeemed will be selected either (1) pro rata among such series of Term Preferred Shares, (2) by lot or (3) in such other manner as our Board of Directors may determine to be fair and equitable. If fewer than all shares of a series of Term Preferred Shares held by any holder are to be redeemed, the Notice of Redemption mailed to such</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31" w:name="page32"/>
    <w:bookmarkEnd w:id="31"/>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59" w:lineRule="auto"/>
        <w:rPr>
          <w:sz w:val="20"/>
          <w:szCs w:val="20"/>
          <w:color w:val="auto"/>
        </w:rPr>
      </w:pPr>
      <w:r>
        <w:rPr>
          <w:rFonts w:ascii="Times New Roman" w:cs="Times New Roman" w:eastAsia="Times New Roman" w:hAnsi="Times New Roman"/>
          <w:sz w:val="14"/>
          <w:szCs w:val="14"/>
          <w:color w:val="auto"/>
        </w:rPr>
        <w:t>holder shall also specify the number of shares of such series of Term Preferred Shares to be redeemed from such holder or the method of determining such number. We may provide in any Notice of Redemption relating to a redemption contemplated to be effected pursuant to the Articles Supplementary that such redemption is subject to one or more conditions precedent and that we will not be required to effect such redemption unless each such condition has been satisfied. No defect in any Notice of Redemption or delivery thereof will affect the validity of redemption proceedings except as required by applicable law.</w:t>
      </w:r>
    </w:p>
    <w:p>
      <w:pPr>
        <w:spacing w:after="0" w:line="90"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If we give a Notice of Redemption, then at any time from and after the giving of such Notice of Redemption and prior to 12:00 noon, New York City time, on the Redemption Date (so long as any conditions precedent to such redemption have been met or waived by us), we will (i) deposit with the Redemption and Paying Agent Deposit Securities having an aggregate Market Value at the time of deposit no less than the redemption price of the shares of such series of Term Preferred Shares to be redeemed on the Redemption Date and (ii) give the Redemption and Paying Agent irrevocable instructions and authority to pay the applicable redemption price to the holders of shares of such series of Term Preferred Shares called for redemption on the Redemption Date. Notwithstanding the foregoing, if the Redemption Date is the Term Redemption Date, then such deposit of Deposit Securities will be made no later than 15 calendar days prior to the Term Redemption Date.</w:t>
      </w:r>
    </w:p>
    <w:p>
      <w:pPr>
        <w:spacing w:after="0" w:line="92"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Upon the date of the deposit of Deposit Securities by us for purposes of redemption of shares of a series of Term Preferred Shares, all rights of the holders of such series of Term Preferred Shares so called for redemption shall cease and terminate except the right of the holders thereof to receive the Term Redemption Price, Mandatory Redemption Price or Optional Redemption Price thereof, as applicable (any of the foregoing referred to in this prospectus supplement as the Redemption Price, and such shares of such series of Term Preferred Shares will no longer be deemed outstanding for any purpose whatsoever (other than the transfer thereof prior to the applicable Redemption Date and other than the accumulation of dividends on such stock in accordance with the terms of the such series of Term Preferred Shares up to (but excluding) the applicable Redemption Date). We will be entitled to receive, promptly after the Redemption Date, any Deposit Securities in excess of the aggregate Redemption Price of shares of such series of Term Preferred Shares called for redemption on the Redemption Date. Any Deposit Securities so deposited that are unclaimed at the end of 90 calendar days from the Redemption Date will, to the extent permitted by law, be repaid to us, after which the holders of shares of such series of Term Preferred Shares so called for redemption shall look only to us for payment of the Redemption Price. We will be entitled to receive, from time to time after the Redemption Date, any interest on the Deposit Securities so deposited.</w:t>
      </w:r>
    </w:p>
    <w:p>
      <w:pPr>
        <w:spacing w:after="0" w:line="89"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On or after a Redemption Date, each holder of shares of such series of Term Preferred Shares in certificated form (if any) that are subject to redemption will surrender the certificate(s) evidencing such shares of such series of Term Preferred Shares to us at the place designated in the Notice of Redemption and will then be entitled to receive the Redemption Price, without interest, and in the case of a redemption of fewer than all shares of such series of Term Preferred Shares represented by such certificate(s), a new certificate representing shares of such series of Term Preferred Shares that were not redeemed.</w:t>
      </w:r>
    </w:p>
    <w:p>
      <w:pPr>
        <w:spacing w:after="0" w:line="90"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If any redemption for which a Notice of Redemption has been provided is not made by reason of the absence of our legally available funds in accordance with the Articles Supplementary and applicable law, such redemption shall be made as soon as practicable to the extent such funds become available. No Redemption Default will be deemed to have occurred if we have failed to deposit in trust with the Redemption and Paying Agent the applicable Redemption Price with respect to any shares where (1) the Notice of Redemption relating to such redemption provided that such redemption was subject to one or more conditions precedent and (2) any such condition precedent has not been satisfied at the time or times and in the manner specified in such Notice of Redemption. Notwithstanding the fact that a Notice of Redemption has been provided with respect to any shares of a series of Term Preferred Shares, dividends may be declared and paid on such shares of such series of Term Preferred Shares in accordance with their terms if Deposit Securities for the payment of the Redemption Price of such shares of such series of Term Preferred Shares shall not have been deposited in trust with the Redemption and Paying Agent for that purpose.</w:t>
      </w:r>
    </w:p>
    <w:p>
      <w:pPr>
        <w:spacing w:after="0" w:line="95"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We may, in our sole discretion and without a stockholder vote, modify the redemption procedures with respect to notification of redemption for a series of Term Preferred Shares, provided that such modification does not materially and adversely affect the holders of such series of Term Preferred Shares or cause us to violate any applicable law, rule or regulation.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32" w:name="page33"/>
    <w:bookmarkEnd w:id="32"/>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Liquidation Rights</w:t>
      </w:r>
    </w:p>
    <w:p>
      <w:pPr>
        <w:spacing w:after="0" w:line="116"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In the event of any liquidation, dissolution or winding up of our affairs, whether voluntary or involuntary, the holders of the 8.25% Series 2031 Term Preferred Shares will be entitled to receive, pari passu, or equally, with the holders of the Series 2027 Term Preferred Shares, the 6.00% Series 2029 Term Preferred Shares and the 7.125% Series 2029 Term Preferred Shares, out of our assets available for distribution to stockholders, after satisfying claims of creditors but before any distribution or payment will be made in respect of the Common Stock, a liquidation distribution equal to the Liquidation Preference of $25 per share, plus an amount equal to all unpaid dividends and distributions accumulated to (but excluding) the date fixed for such distribution or payment (whether or not earned or declared by us, but excluding interest thereon), and such holders will be entitled to no further participation in any distribution or payment in connection with any such liquidation, dissolution or winding up. If, upon any liquidation, dissolution or winding up of our affairs, whether voluntary or involuntary, our assets available for distribution among the holders of all Term Preferred Shares, and any other outstanding shares of Preferred Stock, if any, will be insufficient to permit the payment in full to such holders of Term Preferred Shares of the Liquidation Preference plus accumulated and unpaid dividends and distributions and the amounts due upon liquidation with respect to such other shares of Preferred Stock, then the available assets will be distributed among the holders of such Term Preferred Shares and such other series of Preferred Stock ratably in proportion to the respective preferential liquidation amounts to which they are entitled. In connection with any liquidation, dissolution or winding up of our affairs whether voluntary or involuntary, unless and until the Liquidation Preference on each outstanding share of Term Preferred Shares plus accumulated and unpaid dividends and distributions has been paid in full to the holders of Term Preferred Shares, no dividends, distributions or other payments will be made on, and no redemption, repurchase or other acquisition by us will be made by us in respect of, the Common Stock.</w:t>
      </w:r>
    </w:p>
    <w:p>
      <w:pPr>
        <w:spacing w:after="0" w:line="93"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Neither the sale of all or substantially all of the property or business of the Company, nor the merger, consolidation or our reorganization into or with any other business or corporation, statutory trust or other entity, nor the merger, consolidation or reorganization of any other business or corporation, statutory trust or other entity into or with us will be a dissolution, liquidation or winding up, whether voluntary or involuntary, for purposes of the provisions relating to liquidation set forth in the Articles Supplementary.</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27"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Except as otherwise provided in our Articles of Incorporation, the Articles Supplementary, or as otherwise required by applicable law, each holder of Term Preferred Shares will be entitled to one vote for each share of Term Preferred Shares held by such holder on each matter submitted to a vote of our stockholders and the holders of outstanding shares of any Preferred Stock, including the Term Preferred Shares, will vote together with holders of Common Stock as a single class. Under applicable rules of NASDAQ, we are currently required to hold annual meetings of stockholders.</w:t>
      </w:r>
    </w:p>
    <w:p>
      <w:pPr>
        <w:spacing w:after="0" w:line="79"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In addition, the holders of outstanding shares of any Preferred Stock, including the Term Preferred Shares, will be entitled, as a class, to the exclusion of the holders of all other securities and classes of Common Stock, to elect two of our directors at all times (regardless of the total number of directors serving on the Board of Directors). We refer to these directors as the Preferred Directors. The holders of outstanding shares of Common Stock and Preferred Stock, including Term Preferred Shares, voting together as a single class, will elect the balance of our directors. Under our bylaws, our directors are divided into three classes. Each class consists, as nearly as possible, of one-third of the total number of directors, and each class has a three year term. At each annual meeting of our stockholders, the successors to the class of directors whose term expires at such meeting will be elected to hold office for a term expiring at the annual meeting of stockholders held in the third year following the year of their election. One of the Preferred Directors was elected in 2025, and the other Preferred Director will be up for re-election in 2027.</w:t>
      </w:r>
    </w:p>
    <w:p>
      <w:pPr>
        <w:spacing w:after="0" w:line="97"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In the event we owe accumulated dividends (whether or not earned or declared) on our Preferred Stock equal to at least two full years of dividends (and sufficient cash or securities have not been deposited with a paying agent for the payment of the accumulated dividends) the number of directors constituting the board will be increased by the number of directors, which we refer to as the New Preferred Directors, that when added to the Preferred Directors will constitute a majority. We will then call a special meeting of shareholders to permit the election of the New Preferred Directors. The term of the New Preferred Directors will last for so long as we are in arrears on our dividends as described above. The ability of the Term Preferred Shareholders to elect the New Preferred Directors will also terminate, subject to reinstatement, once we have a Dividend Payment Date on which we are no longer in arrears on our dividends to the extent described above.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33" w:name="page34"/>
    <w:bookmarkEnd w:id="33"/>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3" w:lineRule="auto"/>
        <w:rPr>
          <w:sz w:val="20"/>
          <w:szCs w:val="20"/>
          <w:color w:val="auto"/>
        </w:rPr>
      </w:pPr>
      <w:r>
        <w:rPr>
          <w:rFonts w:ascii="Times New Roman" w:cs="Times New Roman" w:eastAsia="Times New Roman" w:hAnsi="Times New Roman"/>
          <w:sz w:val="14"/>
          <w:szCs w:val="14"/>
          <w:color w:val="auto"/>
        </w:rPr>
        <w:t>Notwithstanding the foregoing, if (1) at the close of business on any dividend payment date for dividends on any outstanding share of any Preferred Stock, including any outstanding shares of Term Preferred Shares, accumulated dividends (whether or not earned or declared) on the shares of Preferred Stock, including the Term Preferred Shares, equal to at least two full years’ dividends shall be due and unpaid and sufficient cash or specified securities shall not have been deposited with the Redemption and Paying Agent or other applicable paying agent for the payment of such accumulated dividends; or (2) at any time holders of any shares of Preferred Stock are entitled under the 1940 Act to elect a majority of our directors (a period when either of the foregoing conditions exists, a Voting Period), then the number of members constituting our Board of Directors will automatically be increased by the smallest number that, when added to the two directors elected exclusively by the holders of shares of any Preferred Stock, including the Term Preferred Shares, as described above, would constitute a majority of our Board of Directors as so increased by such smallest number; and the holders of the shares of Preferred Stock, including the Term Preferred Shares, will be entitled as a class on a one-vote-per-share basis, to elect such additional directors. The terms of office of the persons who are directors at the time of that election will not be affected by the election of the additional directors. If we thereafter shall pay, or declare and set apart for payment, in full all dividends payable on all outstanding shares of Preferred Stock, including Term Preferred Shares, for all past dividend periods, or the Voting Period is otherwise terminated, (1) the voting rights stated above shall cease, subject always, however, to the revesting of such voting rights in the holders of shares of Preferred Stock upon the further occurrence of any of the events described herein, and (2) the terms of office of all of the additional directors so elected will terminate automatically. Any Preferred Stock, including Term Preferred Shares, issued after the date hereof will vote with Term Preferred Shares as a single class on the matters described above, and the issuance of any other Preferred Stock, including Term Preferred Shares, by us may reduce the voting power of the holders of Term Preferred Shares.</w:t>
      </w:r>
    </w:p>
    <w:p>
      <w:pPr>
        <w:spacing w:after="0" w:line="107"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As soon as practicable after the accrual of any right of the holders of shares of Preferred Stock to elect additional directors as described above, we will call a special meeting of such holders and notify the Redemption and Paying Agent and/or such other person as is specified in the terms of such Preferred Stock to receive notice, (i) by mailing or delivery by electronic means or (ii) in such other manner and by such other means as are specified in the terms of such Preferred Stock, a notice of such special meeting to such holders, such meeting to be held not less than 10 nor more than 30 calendar days after the date of the delivery by electronic means or mailing of such notice. If we fail to call such a special meeting, it may be called at our expense by any such holder on like notice. The record date for determining the holders of shares of Preferred Stock entitled to notice of and to vote at such special meeting shall be the close of business on the fifth Business Day preceding the calendar day on which such notice is mailed. At any such special meeting and at each meeting of holders of shares of Preferred Stock held during a Voting Period at which directors are to be elected, such holders, voting together as a class (to the exclusion of the holders of all our other securities and classes of capital stock), will be entitled to elect the number of additional directors prescribed above on a one-vote-per-share basis.</w:t>
      </w:r>
    </w:p>
    <w:p>
      <w:pPr>
        <w:spacing w:after="0" w:line="263"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Except as otherwise permitted by the terms of the Articles Supplementary, so long as any shares of Term Preferred Shares are outstanding, we will not, without the affirmative vote or consent of the holders of at least two-thirds of shares of Term Preferred Shares, voting as a separate class, amend, alter or repeal the provisions of the Articles of Incorporation or the Articles Supplementary, whether by merger, consolidation or otherwise, so as to materially and adversely affect any preference, right or power of the Term Preferred Shares or the holders thereof; provided, however, that (i) a change in our capitalization as described under the heading “— Issuance of Additional Preferred Stock” will not be considered to materially and adversely affect the rights and preferences of Term Preferred Shares, and (ii) a division of a share of Term Preferred Shares will be deemed to affect such preferences, rights or powers only if the terms of such division materially and adversely affect the holders of Term Preferred Shares. For purposes of the foregoing, no matter shall be deemed to adversely affect any preference, right or power of a share of Term Preferred Shares of such series or the holder thereof unless such matter (i) alters or abolishes any preferential right of such share of Term Preferred Shares, or (ii) creates, alters or abolishes any right in respect of redemption of such Term Preferred Shares (other than as a result of a division of such Term Preferred Shares). So long as any shares of Term Preferred Shares are outstanding, we will not, without the affirmative vote or consent of at least 662/3% of the holders of the shares of Term Preferred Shares outstanding at the time, voting as a separate class, file a voluntary application for relief under federal bankruptcy law or any similar application under state law for so long as we are solvent and does not foresee becoming insolvent.</w:t>
      </w:r>
    </w:p>
    <w:p>
      <w:pPr>
        <w:spacing w:after="0" w:line="86"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The affirmative vote of the holders of at least a “majority of the shares of Preferred Stock,” including the shares of Term Preferred Shares outstanding at the time, voting as a separate class, will be required (i) to approve us ceasing to be, or to withdraw our election as, a registered investment company, or (ii) to approve any plan of “reorganization”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34" w:name="page35"/>
    <w:bookmarkEnd w:id="34"/>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60" w:lineRule="auto"/>
        <w:rPr>
          <w:sz w:val="20"/>
          <w:szCs w:val="20"/>
          <w:color w:val="auto"/>
        </w:rPr>
      </w:pPr>
      <w:r>
        <w:rPr>
          <w:rFonts w:ascii="Times New Roman" w:cs="Times New Roman" w:eastAsia="Times New Roman" w:hAnsi="Times New Roman"/>
          <w:sz w:val="14"/>
          <w:szCs w:val="14"/>
          <w:color w:val="auto"/>
        </w:rPr>
        <w:t>(as such term is defined in Section 2(a)(33) of the 1940 Act) adversely affecting such shares of Preferred Stock. For purposes of the foregoing, the vote of a “majority of the outstanding shares of Preferred Stock” means the vote at an annual or special meeting duly called of (a) 67% or more of such shares present at a meeting, if the holders of more than 50% of such outstanding shares are present or represented by proxy at such meeting, or (b) more than 50% of such outstanding shares, whichever is less.</w:t>
      </w:r>
    </w:p>
    <w:p>
      <w:pPr>
        <w:spacing w:after="0" w:line="91"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For purposes of determining any rights of the holders of Term Preferred Shares to vote on any matter, whether such right is created by the Articles Supplementary, by the provisions of the Articles of Incorporation, by statute or otherwise, no holder of Term Preferred Shares will be entitled to vote any shares of Term Preferred Shares and no share of Term Preferred Shares will be deemed to be “outstanding” for the purpose of voting or determining the number of shares required to constitute a quorum if, prior to or concurrently with the time of determination of shares entitled to vote or the time of the actual vote on the matter, as the case may be, the requisite Notice of Redemption with respect to such Term Preferred Shares will have been given in accordance with the Articles Supplementary, and the Redemption Price for the redemption of such shares of Term Preferred Shares will have been irrevocably deposited with the Redemption and Paying Agent for that purpose. No shares of Term Preferred Shares held by us will have any voting rights or be deemed to be outstanding for voting or for calculating the voting percentage required on any other matter or other purposes.</w:t>
      </w:r>
    </w:p>
    <w:p>
      <w:pPr>
        <w:spacing w:after="0" w:line="97"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Unless otherwise required by law or the Articles of Incorporation, holders of Term Preferred Shares will not have any relative rights or preferences or other special rights with respect to voting other than those specifically set forth in the “Voting Rights” section of the Articles Supplementary. The holders of shares of Term Preferred Shares will have no rights to cumulative voting. In the event that we fail to declare or pay any dividends on Term Preferred Shares, the exclusive remedy of the holders will be the right to vote for additional directors as discussed above; provided that the foregoing does not affect our obligation to accumulate and, if permitted by applicable law and the Articles Supplementary, pay dividends at the Default Rate as discussed above.</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Issuance of Additional Preferred Stock</w:t>
      </w:r>
    </w:p>
    <w:p>
      <w:pPr>
        <w:spacing w:after="0" w:line="116"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So long as any shares of Term Preferred Shares are outstanding, we may, without the vote or consent of the holders thereof, authorize, establish and create and issue and sell shares of one or more series of a class of our senior securities representing stock under Section 18 of the 1940 Act, ranking on parity with the Term Preferred Shares as to payment of dividends and distribution of assets upon dissolution, liquidation or the winding up of our affairs, in addition to then outstanding shares of Term Preferred Shares, including additional series of Term Preferred Shares, and authorize, issue and sell additional shares of any such series of Preferred Stock then outstanding or so established and created, including additional Term Preferred Shares, in each case in accordance with applicable law, provided that we will, immediately after giving effect to the issuance of such additional Preferred Stock and to its receipt and application of the proceeds thereof, including to the redemption of Preferred Stock with such proceeds, have asset coverage of at least 200%.</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Actions on Other than Business Days</w:t>
      </w:r>
    </w:p>
    <w:p>
      <w:pPr>
        <w:spacing w:after="0" w:line="127"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Unless otherwise provided in the Articles Supplementary, if the date for making any payment, performing any act or exercising any right is not a Business Day, such payment will be made, act performed or right exercised on the next succeeding Business Day, with the same force and effect as if made or done on the nominal date provided therefor, and, with respect to any payment so made, no dividends, interest or other amount will accrue for the period between such nominal date and the date of payment.</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Modification</w:t>
      </w:r>
    </w:p>
    <w:p>
      <w:pPr>
        <w:spacing w:after="0" w:line="127"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The Board of Directors, without the vote of the holders of Term Preferred Shares, may interpret, supplement or amend the provisions of the Articles Supplementary or any appendix thereto to supply any omission, resolve any inconsistency or ambiguity or to cure, correct or supplement any defective or inconsistent provision, including any provision that becomes defective after the date hereof because of impossibility of performance or any provision that is inconsistent with any provision of any other Preferred Stock.</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35" w:name="page36"/>
    <w:bookmarkEnd w:id="35"/>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CERTAIN ADDITIONAL U.S. FEDERAL INCOME TAX CONSIDERATIONS</w:t>
      </w:r>
    </w:p>
    <w:p>
      <w:pPr>
        <w:spacing w:after="0" w:line="116"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The following discussion is a general summary of certain U.S. federal income tax considerations applicable to us and to an investment in our shares of Term Preferred Shares and serves as a supplement to the discussion in the accompanying prospectus under the heading “Certain U.S. Federal Income Tax Considerations.” This summary does not purport to be a complete description of the U.S. federal income tax considerations applicable to such an investment. For example, we have not described tax consequences that may be relevant to certain types of holders subject to special treatment under U.S. federal income tax laws, including stockholders subject to the alternative minimum tax, tax-exempt organizations, insurance companies, dealers in securities, a trader in securities that elects to use a market-to-market method of accounting for its securities holdings, pension plans and trusts, and financial institutions. This summary assumes that investors hold our Term Preferred Shares as capital assets (within the meaning of the Internal Revenue Code of 1986, as amended, the “Code”). The discussion is based upon the Code, Treasury Regulations, and administrative and judicial interpretations, each as of the date of this prospectus and all of which are subject to change, potentially with retroactive effect. You should consult your own tax advisor with respect to tax considerations that pertain to your purchase, ownership and disposition of our 8.25% Series 2031 Term Preferred Shares.</w:t>
      </w:r>
    </w:p>
    <w:p>
      <w:pPr>
        <w:spacing w:after="0" w:line="101"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This discussion deals only with 8.25% Series 2031 Term Preferred Shares held as capital assets within the meaning of Section 1221 of the Code (generally, property held for investment) and does not purport to deal with persons in special tax situations, such as financial institutions, insurance companies, controlled foreign corporations, passive foreign investment companies and RICs (and shareholders of such corporations), dealers in securities or currencies, traders in securities, former citizens of the United States, persons holding the 8.25% Series 2031 Term Preferred Shares as a hedge against currency risks or as a position in a “straddle,” “hedge,” “constructive sale transaction” or “conversion transaction” for tax purposes, entities that are tax-exempt for U.S. federal income tax purposes, retirement plans, individual retirement accounts, tax-deferred accounts, persons subject to the alternative minimum tax, pass-through entities (including partnerships and entities and arrangements classified as partnerships for U.S. federal income tax purposes) and beneficial owners of pass-through entities, or persons whose functional currency is not the U.S. dollar. It also does not address the U.S. federal income tax consequences to beneficial owners of the 8.25% Series 2031 Term Preferred Shares subject to the special tax accounting rules under Section 451(b) of the Code. In addition, this summary only addresses U.S. federal income tax consequences, and, except as otherwise noted below, does not address any U.S. state or local or non-U.S. tax consequences. If you are considering purchasing the 8.25% Series 2031 Term Preferred Shares, you should consult your own tax advisor concerning the application of the U.S. federal tax laws to you in light of your particular situation, as well as any consequences to you of purchasing, owning and disposing of the 8.25% Series 2031 Term Preferred Shares under the laws of any other taxing jurisdiction.</w:t>
      </w:r>
    </w:p>
    <w:p>
      <w:pPr>
        <w:spacing w:after="0" w:line="97"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For purposes of this discussion, the term “U.S. preferred stockholder” means a beneficial owner of shares of our Term Preferred Shares that is, for U.S. federal income tax purposes, (i) an individual citizen or resident of the United States, (ii) a corporation or other entity treated as a corporation for U.S. federal income tax purposes, created or organized in or under the laws of the United States or any State thereof or the District of Columbia,</w:t>
      </w:r>
    </w:p>
    <w:p>
      <w:pPr>
        <w:spacing w:after="0" w:line="2" w:lineRule="exact"/>
        <w:rPr>
          <w:sz w:val="20"/>
          <w:szCs w:val="20"/>
          <w:color w:val="auto"/>
        </w:rPr>
      </w:pPr>
    </w:p>
    <w:p>
      <w:pPr>
        <w:jc w:val="both"/>
        <w:ind w:left="1320" w:right="1339" w:firstLine="10"/>
        <w:spacing w:after="0" w:line="253" w:lineRule="auto"/>
        <w:tabs>
          <w:tab w:leader="none" w:pos="157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(a) subject to the control of one or more U.S. persons and the primary supervision of a court in the United States, or (b) that existed on August 20, 1996 and has made a valid election (under applicable Treasury Regulations) to be treated as a domestic trust, or (iv) an estate the income of which is subject to U.S. federal income taxation regardless of its source. The term “Non-U.S. preferred stockholder” means a beneficial owner of shares of our Term Preferred Shares that is neither a U.S. preferred stockholder nor a partnership (including an entity or arrangement treated as a partnership for U.S. federal income tax purposes). An individual may, subject to exceptions, be deemed to be a resident alien,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Resident aliens are subject to U.S. federal income tax as if they were U.S. citizens.</w:t>
      </w:r>
    </w:p>
    <w:p>
      <w:pPr>
        <w:spacing w:after="0" w:line="86"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If a partnership (including an entity or arrangement treated as a partnership for U.S. federal income tax purposes) holds shares of our Term Preferred Shares, the U.S. federal income tax treatment of a partner of the partnership generally will depend upon the status of the partner, the activities of the partnership and certain determinations made at the partner level. Partners of partnerships holding shares of our Term Preferred Shares should consult their own tax advisers.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36" w:name="page37"/>
    <w:bookmarkEnd w:id="36"/>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Election to be Taxed as a RIC</w:t>
      </w:r>
    </w:p>
    <w:p>
      <w:pPr>
        <w:spacing w:after="0" w:line="116"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We have elected to be treated as a RIC under Subchapter M of the Code. As a RIC, we generally will not have to pay corporate-level U.S. federal income taxes on any income that we distribute to our stockholders (including preferred stockholders) as dividends. The requirements to qualify as a RIC are described in the accompanying prospectus under the heading “Certain U.S. Federal Income Tax Considerations.” The remainder of this discussion assumes that we qualify as a RIC.</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Taxation of U.S. Preferred Stockholders</w:t>
      </w:r>
    </w:p>
    <w:p>
      <w:pPr>
        <w:spacing w:after="0" w:line="127"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Distributions by us generally are taxable to U.S. preferred stockholders as ordinary income or capital gains. Distributions of our “investment company taxable income” (which is, generally, our net ordinary income plus realized net short-term capital gains in excess of realized net long-term capital losses) will be taxable as ordinary income to U.S. preferred stockholders to the extent of our current or accumulated earnings and profits. To the extent such distributions paid by us to non-corporate U.S. preferred stockholders (including individuals) are attributable to dividends from U.S. corporations and certain qualified foreign corporations, such distributions (“Qualifying Dividends”) may be eligible for a maximum tax rate of 20%. In this regard, it is anticipated that distributions paid by us will generally not be attributable to dividends and, therefore, generally will not qualify for the 20% maximum rate applicable to Qualifying Dividends. Distributions of our net capital gains (which are generally our realized net long-term capital gains in excess of realized net short-term capital losses) and properly reported by us as “capital gain dividends” will be taxable to a U.S. preferred stockholder as long-term capital gains that are currently taxable at a maximum rate of 20% in the case of individuals, trusts or estates, regardless of the U.S. preferred stockholder’s holding period for his, her or its Term Preferred Shares. Distributions in excess of our earnings and profits first will reduce a U.S. preferred stockholder’s adjusted tax basis in such stockholder’s Term Preferred Shares and, after the adjusted basis is reduced to zero, will constitute capital gains to such U.S. preferred stockholder and will increase the stockholder’s potential gain or reduce the stockholder’s potential loss on the subsequent sale or other disposition of such Term Preferred Shares. In determining the extent to which a distribution will be treated as being made from our earnings and profits, our earnings and profits will be allocated, on a pro rata basis, first to distributions with respect to our Term Preferred Shares, and then to shares of our common stock.</w:t>
      </w:r>
    </w:p>
    <w:p>
      <w:pPr>
        <w:spacing w:after="0" w:line="95"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The Internal Revenue Service (“IRS”) currently requires that a RIC that has two or more classes of stock allocate to each such class proportionate amounts of each type of its income (such as ordinary income and capital gains) based upon the percentage of total dividends paid to each class for the tax year. Accordingly, we intend to allocate capital gain dividends, if any, between shares of our common stock and our Term Preferred Shares in proportion to the total dividends paid to each class with respect to such tax year.</w:t>
      </w:r>
    </w:p>
    <w:p>
      <w:pPr>
        <w:spacing w:after="0" w:line="80"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Any dividend declared by us in October, November or December of any calendar year, payable to stockholders of record on a specified date in such a month and actually paid during January of the following year, will be treated as if it had been received by our U.S. preferred stockholders on December 31 of the year in which the dividend was declared.</w:t>
      </w:r>
    </w:p>
    <w:p>
      <w:pPr>
        <w:spacing w:after="0" w:line="88"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A U.S. preferred stockholder generally will recognize taxable gain or loss if the stockholder sells or otherwise disposes of his, her or its shares of our Term Preferred Shares. The amount of gain or loss will be measured by the difference between such stockholder’s adjusted tax basis in the Term Preferred Shares sold and the amount of the proceeds received in exchange. Any gain arising from such sale or disposition generally will be treated as long-term capital gain or loss if the stockholder has held his, her or its shares for more than one year. Otherwise, it will be classified as short-term capital gain or loss. However, any capital loss arising from the sale or disposition of shares of our Term Preferred Shares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Term Preferred Shares may be disallowed if other shares of our stock are purchased (whether through reinvestment of distributions or otherwise) within 30 days before or after the disposition.</w:t>
      </w:r>
    </w:p>
    <w:p>
      <w:pPr>
        <w:spacing w:after="0" w:line="97"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Gain or loss, if any, resulting from our redemption of the Term Preferred Shares will generally be taxed as gain or loss from a sale or exchange of the Term Preferred Shares rather than as a dividend, but only if the redemption distribution (a) is deemed not to be essentially equivalent to a dividend, (b) is in complete redemption of a holder’s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37" w:name="page38"/>
    <w:bookmarkEnd w:id="37"/>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69" w:lineRule="auto"/>
        <w:rPr>
          <w:sz w:val="20"/>
          <w:szCs w:val="20"/>
          <w:color w:val="auto"/>
        </w:rPr>
      </w:pPr>
      <w:r>
        <w:rPr>
          <w:rFonts w:ascii="Times New Roman" w:cs="Times New Roman" w:eastAsia="Times New Roman" w:hAnsi="Times New Roman"/>
          <w:sz w:val="14"/>
          <w:szCs w:val="14"/>
          <w:color w:val="auto"/>
        </w:rPr>
        <w:t>interest in us, (c) is substantially disproportionate with respect to the holder, or (d) with respect to non-corporate holders, is in partial liquidation of us. For purposes of (a), (b) and (c) above, a U.S. preferred stockholder’s ownership of our common stock will be taken into account.</w:t>
      </w:r>
    </w:p>
    <w:p>
      <w:pPr>
        <w:spacing w:after="0" w:line="83"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A portion of the amount received by a U.S. preferred stockholder on either the sale, or our redemption, of the Term Preferred Shares may be characterized as dividend income to the extent it is attributable to declared but unpaid dividends.</w:t>
      </w:r>
    </w:p>
    <w:p>
      <w:pPr>
        <w:spacing w:after="0" w:line="83"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The maximum rate of tax on long-term capital gains for non-corporate U.S. preferred stockholders is currently 20%, which is less than the maximum rate of tax as ordinary income for such stockholders. In addition, non-corporate U.S. preferred stockholders that are individuals with income in excess of $200,000 ($250,000 in the case of married individuals filing jointly) and certain estates and trusts are subject to an additional 3.8% tax on their “net investment income,” which generally includes net income from interest, dividends, annuities, royalties, and rents, and net capital gains (other than certain amounts earned from trades or businesses). Corporate U.S. preferred stockholders currently are subject to U.S. federal income tax on net capital gain at the maximum 21% rate also applied to ordinary income. Non-corporate U.S. preferred stockholders with net capital losses for a year (i.e., capital losses in excess of capital gains) generally may deduct up to $3,000 of such losses against their ordinary income each year; any net capital losses of a non-corporate U.S. preferred stockholder in excess of $3,000 generally may be carried forward and used in subsequent years as provided in the Code. Corporate U.S. preferred stockholders generally may not deduct any net capital losses for a year against ordinary income, but may carry back such losses for three years or carry forward such losses for five years so as to use them as offsets to capital gains.</w:t>
      </w:r>
    </w:p>
    <w:p>
      <w:pPr>
        <w:spacing w:after="0" w:line="91"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We or the applicable withholding agent will report to each of our U.S. preferred stockholders, as promptly as possible after the end of each calendar year, the amounts includible in such U.S. preferred stockholder’s taxable income for such year as ordinary income and as long-term capital gain. In addition, the federal tax status of each year’s distributions generally will be reported to the IRS (including the amount of dividends, if any, eligible for the 20% maximum rate). Dividends paid by us generally will not be eligible for the dividends-received deduction or the preferential tax rate applicable to Qualifying Dividends because our income generally will not consist of dividends. Distributions may also be subject to additional state, local and foreign taxes depending on a U.S. preferred stockholder’s particular situation.</w:t>
      </w:r>
    </w:p>
    <w:p>
      <w:pPr>
        <w:spacing w:after="0" w:line="92"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We or the applicable withholding agent may be required to withhold U.S. federal income tax (“backup withholding”) from all distributions to any U.S. preferred stockholder (other than a corporation, a financial institution, or a stockholder that otherwise qualifies for, and furnishes with us a certificate (generally on Form W-9) claiming entitlement to, an exemption) (1) who fails to furnish us with a correct taxpayer identification number or a certificate that such stockholder is exempt from backup withholding (generally on Form W-9) or (2) with respect to whom the IRS notifies us that such stockholder has failed to properly report certain interest and dividend income to the IRS and to respond to notices to that effect. An individual’s taxpayer identification number is his or her social security number. Any amount withheld under backup withholding is allowed as a credit against the U.S. preferred stockholder’s U.S. federal income tax liability, provided that proper information is provided to the IRS.</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Taxation of Non-U.S. Preferred Stockholders</w:t>
      </w:r>
    </w:p>
    <w:p>
      <w:pPr>
        <w:spacing w:after="0" w:line="127"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Whether an investment in our Term Preferred Shares is appropriate for a Non-U.S. preferred stockholder will depend upon that person’s particular circumstances. An investment in our Term Preferred Shares by a Non-U.S. preferred stockholder may have adverse tax consequences. Non-U.S. preferred stockholders should consult their tax advisers before investing in our Term Preferred Shares.</w:t>
      </w:r>
    </w:p>
    <w:p>
      <w:pPr>
        <w:spacing w:after="0" w:line="77"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Distributions (whether actual or constructive distributions) of our “investment company taxable income” to Non-U.S. preferred stockholders (including interest income and realized net short-term capital gains in excess of realized long-term capital losses, which generally would be free of withholding if received directly by Non-U.S. preferred stockholders) will generally be subject to withholding of U.S. federal tax at a 30% rate (or lower rate provided by an applicable treaty) to the extent of our current and accumulated earnings and profits unless an applicable exception applies. However, we are generally not required to withhold any amounts with respect to certain distributions to Non-U.S. preferred stockholders to the extent that we properly report such distributions as “interest-related dividends” or “short-term capital gain dividends” and certain other requirements are satisfied. No assurance can be given whether any of our distributions will be reported as eligible for this exemption from withholding tax.</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38" w:name="page39"/>
    <w:bookmarkEnd w:id="38"/>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If the distributions are effectively connected with a U.S. trade or business of the Non-U.S. preferred stockholder, we will not be required to withhold federal tax if the Non-U.S. preferred stockholder complies with applicable certification and disclosure requirements, although the distributions will be subject to U.S. federal income tax at the rates applicable to U.S. persons. (Special certification requirements apply to a Non-U.S. preferred stockholder that is a foreign partnership or a foreign trust, and such entities are urged to consult their own tax advisers).</w:t>
      </w:r>
    </w:p>
    <w:p>
      <w:pPr>
        <w:spacing w:after="0" w:line="90"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Distributions of our net capital gains to a stockholder that is a Non-U.S. preferred stockholder, and gains realized by a Non-U.S. preferred stockholder upon the sale or redemption of our Term Preferred Shares, will not be subject to U.S. federal income tax unless the distributions or gains, as the case may be, are effectively connected with a U.S. trade or business of the Non-U.S. preferred stockholder (and, if an income tax treaty applies, are attributable to a permanent establishment maintained by the Non-U.S. preferred stockholder in the United States,) or, in the case of an individual, the Non-U.S. preferred stockholder was present in the United States for 183 days or more during the taxable year and certain other conditions are met. However, to the extent that a redemption or sale of our Term Preferred Shares would be treated as a dividend pursuant to the rules discussed above with respect to U.S. preferred stockholders, such amounts will be dividends for purposes of the withholding tax rules discussed above.</w:t>
      </w:r>
    </w:p>
    <w:p>
      <w:pPr>
        <w:spacing w:after="0" w:line="92"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For a corporate Non-U.S. preferred stockholder, distributions (both actual and deemed), and gains realized upon the sale or redemption of our Term Preferred Shares that are effectively connected to a U.S. trade or business may, under certain circumstances, be subject to an additional “branch profits tax” at a 30% rate (or at a lower rate if provided for by an applicable treaty).</w:t>
      </w:r>
    </w:p>
    <w:p>
      <w:pPr>
        <w:spacing w:after="0" w:line="77"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A Non-U.S. preferred stockholder who is a non-resident alien individual, and who is otherwise subject to withholding of federal tax, may be subject to information reporting and backup withholding of U.S. federal income tax on dividends unless the Non-U.S. preferred stockholder provides us or the dividend paying agent with an IRS Form W-8BEN, IRS Form W-8BEN-E, or an acceptable substitute form or otherwise meets documentary evidence requirements for establishing that it is a Non-U.S. preferred stockholder or otherwise establishes an exemption from backup withholding.</w:t>
      </w:r>
    </w:p>
    <w:p>
      <w:pPr>
        <w:spacing w:after="0" w:line="90" w:lineRule="exact"/>
        <w:rPr>
          <w:sz w:val="20"/>
          <w:szCs w:val="20"/>
          <w:color w:val="auto"/>
        </w:rPr>
      </w:pPr>
    </w:p>
    <w:p>
      <w:pPr>
        <w:jc w:val="both"/>
        <w:ind w:left="1320" w:right="1359" w:firstLine="339"/>
        <w:spacing w:after="0" w:line="286" w:lineRule="auto"/>
        <w:rPr>
          <w:sz w:val="20"/>
          <w:szCs w:val="20"/>
          <w:color w:val="auto"/>
        </w:rPr>
      </w:pPr>
      <w:r>
        <w:rPr>
          <w:rFonts w:ascii="Times New Roman" w:cs="Times New Roman" w:eastAsia="Times New Roman" w:hAnsi="Times New Roman"/>
          <w:sz w:val="14"/>
          <w:szCs w:val="14"/>
          <w:color w:val="auto"/>
        </w:rPr>
        <w:t>Non-U.S. persons should consult their own tax advisers with respect to the U.S. federal income tax and withholding tax, and state, local and foreign tax consequences of an investment in the shares.</w:t>
      </w:r>
    </w:p>
    <w:p>
      <w:pPr>
        <w:spacing w:after="0" w:line="1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u w:val="single" w:color="auto"/>
          <w:color w:val="auto"/>
        </w:rPr>
        <w:t>Foreign Account Tax Compliance Act</w:t>
      </w:r>
    </w:p>
    <w:p>
      <w:pPr>
        <w:spacing w:after="0" w:line="127"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withholding under FATCA would have also been required on payments of the gross proceeds from the sale of any property occurring after December 31, 2018 that could produce U.S.-source interest or dividends, such as the Term Preferred Shares, the U.S. Treasury Department has indicated its intent to eliminate this requirement in proposed regulations, which state that taxpayers may rely on the proposed regulations until final regulations are issued.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FFIs unless the foreign entity certifies that it does not have a greater than 10% U.S. owner or provides the withholding agent with identifying information on each greater than 10% U.S. owner. Depending on the status of a Non-U.S. preferred stockholder and the status of the intermediaries through which they hold their shares of our Term Preferred Shares, Non-U.S. preferred stockholders could be subject to this 30% withholding tax with respect to distributions on their shares of our Term Preferred Shares and potentially proceeds from the sale of their shares of our Term Preferred Shares. Under certain circumstances, a Non-U.S. preferred stockholder might be eligible for refunds or credits of such taxes.</w:t>
      </w:r>
    </w:p>
    <w:p>
      <w:pPr>
        <w:spacing w:after="0" w:line="81" w:lineRule="exact"/>
        <w:rPr>
          <w:sz w:val="20"/>
          <w:szCs w:val="20"/>
          <w:color w:val="auto"/>
        </w:rPr>
      </w:pPr>
    </w:p>
    <w:p>
      <w:pPr>
        <w:jc w:val="both"/>
        <w:ind w:left="1320" w:right="1359" w:firstLine="3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You should consult your own tax advisor with respect to the particular tax consequences to you of an investment in our Term Preferred Shares, including the possible effect of any pending legislation or proposed regulations.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39" w:name="page40"/>
    <w:bookmarkEnd w:id="39"/>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16"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Lucid Capital Markets, LLC is acting as representative of the underwriters named below. Subject to the terms and conditions stated in the underwriting agreement dated March 12, 2026, each underwriter named below has agreed to purchase, and we have agreed to sell to that underwriter, the number of 8.25% Series 2031 Term Preferred Shares set forth opposite the underwriter’s name.</w:t>
      </w:r>
    </w:p>
    <w:p>
      <w:pPr>
        <w:spacing w:after="0" w:line="122" w:lineRule="exact"/>
        <w:rPr>
          <w:sz w:val="20"/>
          <w:szCs w:val="20"/>
          <w:color w:val="auto"/>
        </w:rPr>
      </w:pPr>
    </w:p>
    <w:tbl>
      <w:tblPr>
        <w:tblLayout w:type="fixed"/>
        <w:tblInd w:w="1320" w:type="dxa"/>
        <w:tblCellMar>
          <w:top w:w="0" w:type="dxa"/>
          <w:left w:w="0" w:type="dxa"/>
          <w:bottom w:w="0" w:type="dxa"/>
          <w:right w:w="0" w:type="dxa"/>
        </w:tblCellMar>
      </w:tblPr>
      <w:tr>
        <w:trPr>
          <w:trHeight w:val="159"/>
        </w:trPr>
        <w:tc>
          <w:tcPr>
            <w:tcW w:w="5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6"/>
              </w:rPr>
              <w:t>8.25% Series</w:t>
            </w:r>
          </w:p>
        </w:tc>
      </w:tr>
      <w:tr>
        <w:trPr>
          <w:trHeight w:val="159"/>
        </w:trPr>
        <w:tc>
          <w:tcPr>
            <w:tcW w:w="5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6"/>
              </w:rPr>
              <w:t>2031 Term</w:t>
            </w:r>
          </w:p>
        </w:tc>
      </w:tr>
      <w:tr>
        <w:trPr>
          <w:trHeight w:val="159"/>
        </w:trPr>
        <w:tc>
          <w:tcPr>
            <w:tcW w:w="5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5"/>
              </w:rPr>
              <w:t>Preferred</w:t>
            </w:r>
          </w:p>
        </w:tc>
      </w:tr>
      <w:tr>
        <w:trPr>
          <w:trHeight w:val="167"/>
        </w:trPr>
        <w:tc>
          <w:tcPr>
            <w:tcW w:w="5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Underwriter</w:t>
            </w:r>
          </w:p>
        </w:tc>
        <w:tc>
          <w:tcPr>
            <w:tcW w:w="100" w:type="dxa"/>
            <w:vAlign w:val="bottom"/>
          </w:tcPr>
          <w:p>
            <w:pPr>
              <w:spacing w:after="0"/>
              <w:rPr>
                <w:sz w:val="14"/>
                <w:szCs w:val="14"/>
                <w:color w:val="auto"/>
              </w:rPr>
            </w:pP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rPr>
              <w:t>Shares</w:t>
            </w:r>
          </w:p>
        </w:tc>
      </w:tr>
      <w:tr>
        <w:trPr>
          <w:trHeight w:val="36"/>
        </w:trPr>
        <w:tc>
          <w:tcPr>
            <w:tcW w:w="5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Lucid Capital Markets, LLC</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1,115,840</w:t>
            </w:r>
          </w:p>
        </w:tc>
      </w:tr>
      <w:tr>
        <w:trPr>
          <w:trHeight w:val="190"/>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Piper Sandler &amp; Co.</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551,650</w:t>
            </w:r>
          </w:p>
        </w:tc>
      </w:tr>
      <w:tr>
        <w:trPr>
          <w:trHeight w:val="32"/>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2"/>
        </w:trPr>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Clear Street LLC</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349,565</w:t>
            </w:r>
          </w:p>
        </w:tc>
      </w:tr>
      <w:tr>
        <w:trPr>
          <w:trHeight w:val="190"/>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InspereX LLC</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269,900</w:t>
            </w:r>
          </w:p>
        </w:tc>
      </w:tr>
      <w:tr>
        <w:trPr>
          <w:trHeight w:val="32"/>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2"/>
        </w:trPr>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Wedbush Securities Inc.</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60,870</w:t>
            </w:r>
          </w:p>
        </w:tc>
      </w:tr>
      <w:tr>
        <w:trPr>
          <w:trHeight w:val="201"/>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William Blair &amp; Company L.L.C.</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52,175</w:t>
            </w:r>
          </w:p>
        </w:tc>
      </w:tr>
      <w:tr>
        <w:trPr>
          <w:trHeight w:val="21"/>
        </w:trPr>
        <w:tc>
          <w:tcPr>
            <w:tcW w:w="5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6"/>
        </w:trPr>
        <w:tc>
          <w:tcPr>
            <w:tcW w:w="5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2,400,000</w:t>
            </w:r>
          </w:p>
        </w:tc>
      </w:tr>
      <w:tr>
        <w:trPr>
          <w:trHeight w:val="20"/>
        </w:trPr>
        <w:tc>
          <w:tcPr>
            <w:tcW w:w="5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The underwriting agreement provides that the obligations of the underwriters to purchase the 8.25% Series 2031 Term Preferred Shares included in this offering are subject to approval of legal matters by counsel and to other conditions. The underwriters are obligated to purchase all the 8.25% Series 2031 Term Preferred Shares (other than those covered by the overallotment option described below) if they purchase any of the 8.25% Series 2031 Term Preferred Shares.</w:t>
      </w:r>
    </w:p>
    <w:p>
      <w:pPr>
        <w:spacing w:after="0" w:line="91"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The underwriters propose to offer some of the 8.25% Series 2031 Term Preferred Shares directly to the public at the public offering price set forth on the cover page of this prospectus supplement and some of the 8.25% Series 2031 Term Preferred Shares to dealers at the public offering price less a concession not to exceed $0.50 per 8.25% Series 2031 Term Preferred Share, and the dealers may reallow a concession not to exceed $0.50 per 8.25% Series 2031 Term Preferred Share. The underwriting discount of $0.78125 per 8.25% Series 2031 Term Preferred Share is equal to 96.875% of the initial offering price. If all of the 8.25% Series 2031 Term Preferred Shares are not sold at the initial offering price, the representatives may change the public offering price and other selling terms. Investors must pay for any 8.25% Series 2031 Term Preferred Shares purchased on or before March 20, 2026. The representatives have advised us that the underwriters do not intend to confirm any sales to any accounts over which they exercise discretionary authority.</w:t>
      </w:r>
    </w:p>
    <w:p>
      <w:pPr>
        <w:spacing w:after="0" w:line="81"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The underwriters hold an option, exercisable for 30 days from the date of this prospectus, to purchase up to an additional 360,000 of 8.25% Series 2031 Term Preferred Shares at the public offering price less the underwriting discount; provided, however, that the price of any such option shares will be reduced by the amount of any distributions declared and payable on the shares sold on the initial closing date but not payable on such option shares. The underwriters may exercise the option solely for the purpose of covering overallotments, if any, in connection with this offering. To the extent such option is exercised, each underwriter must purchase a number of additional 8.25% Series 2031 Term Preferred Shares approximately proportionate to that underwriter’s initial purchase commitment.</w:t>
      </w:r>
    </w:p>
    <w:p>
      <w:pPr>
        <w:spacing w:after="0" w:line="92"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We have agreed that, for a period of 90 days from the date of this prospectus supplement, we will not, without the prior written consent of Lucid Capital Markets, LLC on behalf of the underwriters, offer, pledge, sell, contract to sell or otherwise dispose of or agree to sell or otherwise dispose of, directly or indirectly or hedge any 8.25% Series 2031 Term Preferred Shares or any securities convertible into or exchangeable for 8.25% Series 2031 Term Preferred Shares. Lucid Capital Markets, LLC in its sole discretion may release any of the securities subject to this lock-up agreement at any time without notice.</w:t>
      </w:r>
    </w:p>
    <w:p>
      <w:pPr>
        <w:spacing w:after="0" w:line="90"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We have applied to list the 8.25% Series 2031 Term Preferred Shares on the NASDAQ Global Select Market and we expect trading to commence thereon within 30 days after the date of initial delivery of the 8.25% Series 2031 Term Preferred Shares under the symbol “OXLCM.” The Series 2027 Term Preferred Shares are listed on the NASDAQ</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40" w:name="page41"/>
    <w:bookmarkEnd w:id="40"/>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69" w:lineRule="auto"/>
        <w:rPr>
          <w:sz w:val="20"/>
          <w:szCs w:val="20"/>
          <w:color w:val="auto"/>
        </w:rPr>
      </w:pPr>
      <w:r>
        <w:rPr>
          <w:rFonts w:ascii="Times New Roman" w:cs="Times New Roman" w:eastAsia="Times New Roman" w:hAnsi="Times New Roman"/>
          <w:sz w:val="14"/>
          <w:szCs w:val="14"/>
          <w:color w:val="auto"/>
        </w:rPr>
        <w:t>Global Select Market under the symbol “OXLCP.” The 6.00% Series 2029 Term Preferred Shares are listed on the NASDAQ Global Select Market under the symbol “OXLCO.” The 7.125% Series 2029 Term Preferred Shares are listed on the NASDAQ Global Select Market under the symbol “OXLCN.”</w:t>
      </w:r>
    </w:p>
    <w:p>
      <w:pPr>
        <w:spacing w:after="0" w:line="83"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The following table shows the underwriting discounts to be paid to the underwriters in connection with this offering. These amounts are shown assuming both no exercise and full exercise of the underwriters’ option to purchase additional 8.25% Series 2031 Term Preferred Shares. In addition, we have agreed to reimburse Lucid Capital Markets, LLC an aggregate amount up to $25,000 for its out-of-pocket accountable expenses (including the reasonable fees and disbursements of its counsel) actually incurred by it in connection with this offering. This offering will conform with the requirements set forth in Financial Industry Regulatory Authority Rule 5110. The sum of all compensation to the underwriters in connection with this offering of 8.25% Series 2031 Term Preferred Shares, including the underwriting discount, will not exceed 8% of the total public offering price of the 8.25% Series 2031 Term Preferred Shares sold in this offering.</w:t>
      </w:r>
    </w:p>
    <w:p>
      <w:pPr>
        <w:spacing w:after="0" w:line="149"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No Exercise</w:t>
            </w:r>
          </w:p>
        </w:tc>
        <w:tc>
          <w:tcPr>
            <w:tcW w:w="100" w:type="dxa"/>
            <w:vAlign w:val="bottom"/>
          </w:tcPr>
          <w:p>
            <w:pPr>
              <w:spacing w:after="0"/>
              <w:rPr>
                <w:sz w:val="14"/>
                <w:szCs w:val="14"/>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w w:val="96"/>
              </w:rPr>
              <w:t>Full Exercise</w:t>
            </w:r>
          </w:p>
        </w:tc>
      </w:tr>
      <w:tr>
        <w:trPr>
          <w:trHeight w:val="36"/>
        </w:trPr>
        <w:tc>
          <w:tcPr>
            <w:tcW w:w="44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2"/>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8.25% Series 2031 Term Preferred Share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0.78125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0.78125</w:t>
            </w:r>
          </w:p>
        </w:tc>
      </w:tr>
      <w:tr>
        <w:trPr>
          <w:trHeight w:val="190"/>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1,875,000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2,156,250</w:t>
            </w:r>
          </w:p>
        </w:tc>
      </w:tr>
    </w:tbl>
    <w:p>
      <w:pPr>
        <w:spacing w:after="0" w:line="165"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We and our investment adviser have each agreed to indemnify the underwriters against certain liabilities, including liabilities under the Securities Act of 1933, or to contribute to payments the underwriters may be required to make because of any of those liabilities.</w:t>
      </w:r>
    </w:p>
    <w:p>
      <w:pPr>
        <w:spacing w:after="0" w:line="72"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Certain underwriters may make a market in the 8.25% Series 2031 Term Preferred Shares. No underwriter is, however, obligated to conduct market-making activities and any such activities may be discontinued at any time without notice, at the sole discretion of the underwriter. No assurance can be given as to the liquidity of, or the trading market for, the shares as a result of any market-making activities undertaken by any underwriter. This prospectus supplement and the accompanying prospectus are to be used by any underwriter in connection with the offering and, during the period in which a prospectus must be delivered, with offers and sales of the 8.25% Series 2031 Term Preferred Shares in market-making transactions in the over-the-counter market at negotiated prices related to prevailing market prices at the time of the sale.</w:t>
      </w:r>
    </w:p>
    <w:p>
      <w:pPr>
        <w:spacing w:after="0" w:line="92"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In connection with the offering, Lucid Capital Markets, LLC, on behalf of the underwriters, may purchase and sell 8.25% Series 2031 Term Preferred Shares in the open market. These transactions may include short sales, syndicate covering transactions and stabilizing transactions. Short sales involve syndicate sales of 8.25% Series 2031 Term Preferred Shares in excess of the number of 8.25% Series 2031 Term Preferred Shares to be purchased by the underwriters in the offering, which creates a syndicate short position. “Covered” short sales are sales of 8.25% Series 2031 Term Preferred Shares made in an amount up to the number of 8.25% Series 2031 Term Preferred Shares represented by the underwriters’ overallotment option. In determining the source of 8.25% Series 2031 Term Preferred Shares to close out the covered syndicate short position, the underwriters will consider, among other things, the price of 8.25% Series 2031 Term Preferred Shares available for purchase in the open market as compared to the price at which they may purchase 8.25% Series 2031 Term Preferred Shares through the overallotment option. Transactions to close out the covered syndicate short position involve either purchases of 8.25% Series 2031 Term Preferred Shares in the open market after the distribution has been completed or the exercise of the overallotment option. The underwriters may also make “naked” short sales of 8.25% Series 2031 Term Preferred Shares in excess of the overallotment option. The underwriters must close out any naked short position by purchasing 8.25% Series 2031 Term Preferred Shares in the open market. A naked short position is more likely to be created if the underwriters are concerned that there may be downward pressure on the price of shares in the open market after pricing that could adversely affect investors who purchase in the offering. Stabilizing transactions consist of bids for or purchases of 8.25% Series 2031 Term Preferred Shares in the open market while the offering is in progress.</w:t>
      </w:r>
    </w:p>
    <w:p>
      <w:pPr>
        <w:spacing w:after="0" w:line="96"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The underwriters also may impose a penalty bid. Penalty bids permit the underwriters to reclaim a selling concession from a syndicate member when Lucid Capital Markets, LLC repurchases 8.25% Series 2031 Term Preferred Shares originally sold by that syndicate member in order to cover syndicate short positions or make stabilizing purchases.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41" w:name="page42"/>
    <w:bookmarkEnd w:id="41"/>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Any of these activities may have the effect of preventing or retarding a decline in the market price of 8.25% Series 2031 Term Preferred Shares. They may also cause the price of 8.25% Series 2031 Term Preferred Shares to be higher than the price that would otherwise exist in the open market in the absence of these transactions. The underwriters may conduct these transactions on the NASDAQ Global Select Market, or in the over-the-counter market, or otherwise. Trading is expected to commence on the NASDAQ Global Select Market within 30 days after the date of initial delivery of the 8.25% Series 2031 Term Preferred Shares. If the underwriters commence any of these transactions, they may discontinue them at any time.</w:t>
      </w:r>
    </w:p>
    <w:p>
      <w:pPr>
        <w:spacing w:after="0" w:line="90"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We estimate that our portion of the total expenses of this offering, excluding the underwriting discounts and commissions, will be approximately $292,000.</w:t>
      </w:r>
    </w:p>
    <w:p>
      <w:pPr>
        <w:spacing w:after="0" w:line="71"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A prospectus in electronic format may be made available on the websites maintained by one or more of the underwriters. The representative may agree to allocate a number of 8.25% Series 2031 Term Preferred Shares to underwriters for sale to their online brokerage account holders.</w:t>
      </w:r>
    </w:p>
    <w:p>
      <w:pPr>
        <w:spacing w:after="0" w:line="72"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We anticipate that, from time to time, certain underwriters may act as brokers or dealers in connection with the execution of our portfolio transactions after they have ceased to be underwriters and, subject to certain restrictions, may act as brokers while they are underwriters.</w:t>
      </w:r>
    </w:p>
    <w:p>
      <w:pPr>
        <w:spacing w:after="0" w:line="83"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Certain underwriters may have performed investment banking and advisory services for us, our investment adviser and our affiliates from time to time, for which they have received customary fees and expenses. Certain underwriters may, from time to time, engage in transactions with or perform services for us, our investment adviser and our affiliates in the ordinary course of business.</w:t>
      </w:r>
    </w:p>
    <w:p>
      <w:pPr>
        <w:spacing w:after="0" w:line="88"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Since our initial public offering in 2011, Lucid Capital Markets, LLC and its affiliates, as well as certain of the other underwriters, have provided, and may in the future continue to provide, various investment banking, commercial banking, financial advisory, brokerage and other services to us and our affiliates for which services they have received, and may in the future receive, customary fees and expense reimbursement. Lucid Capital Markets, LLC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Lucid Capital Markets, LLC and its affiliates may in the future perform, various financial advisory and investment banking services for us, for which they will receive customary fees and reimbursement of expenses, including acting as underwriters for our securities offerings. In the ordinary course of its various business activities, Lucid Capital Markets, LLC and its affiliates may make or hold a broad array of investments and actively trade debt and equity securities (or related derivative securities) and financial instruments (including bank loans) for its own account and for the accounts of its customers and such investment and securities activities may involve securities and/or instruments of our company. Lucid Capital Markets, LLC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87" w:lineRule="exact"/>
        <w:rPr>
          <w:sz w:val="20"/>
          <w:szCs w:val="20"/>
          <w:color w:val="auto"/>
        </w:rPr>
      </w:pPr>
    </w:p>
    <w:p>
      <w:pPr>
        <w:jc w:val="both"/>
        <w:ind w:left="1320" w:right="1359" w:firstLine="339"/>
        <w:spacing w:after="0" w:line="251" w:lineRule="auto"/>
        <w:rPr>
          <w:sz w:val="20"/>
          <w:szCs w:val="20"/>
          <w:color w:val="auto"/>
        </w:rPr>
      </w:pPr>
      <w:r>
        <w:rPr>
          <w:rFonts w:ascii="Times New Roman" w:cs="Times New Roman" w:eastAsia="Times New Roman" w:hAnsi="Times New Roman"/>
          <w:sz w:val="14"/>
          <w:szCs w:val="14"/>
          <w:color w:val="auto"/>
        </w:rPr>
        <w:t>The principal business address of Lucid Capital Markets, LLC is 570 Lexington Avenue, 40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4"/>
          <w:szCs w:val="14"/>
          <w:color w:val="auto"/>
        </w:rPr>
        <w:t xml:space="preserve"> Floor, New York, New York 10022.</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Settlement</w:t>
      </w:r>
    </w:p>
    <w:p>
      <w:pPr>
        <w:spacing w:after="0" w:line="127"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We expect that delivery of the 8.25% Series 2031 Term Preferred Shares will be made against payment therefor on or about March 20, 2026, which will be the fifth business day following the date of the pricing of the 8.25% Series 2031 Term Preferred Shares. Under Rule 15c6-1 under the Exchange Act, trades in the secondary market generally are required to settle in one business day, unless the parties to any such trade expressly agree otherwise. Accordingly, purchasers who wish to trade the 8.25% Series 2031 Term Preferred Shares prior to the business day before the delivery of the 8.25% Series 2031 Term Preferred Shares will be required, by virtue of the fact that the 8.25% Series 2031 Term Preferred Shares offered hereby initially settle in T+5 business days, to specify an alternate settlement arrangement at the time of any such trade to prevent a failed settlement and should consult their own advisors.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42" w:name="page43"/>
    <w:bookmarkEnd w:id="42"/>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Other Jurisdictions</w:t>
      </w:r>
    </w:p>
    <w:p>
      <w:pPr>
        <w:spacing w:after="0" w:line="116"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The 8.25% Series 2031 Term Preferred Shares offered by this prospectus may not be offered or sold, directly or indirectly, nor may this prospectus or any other offering material or advertisements in connection with the offer and sale of any such 8.25% Series 2031 Term Preferred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 relating to the offering and the distribution of this prospectus. This prospectus does not constitute an offer to sell or a solicitation of an offer to buy the 8.25% Series 2031 Term Preferred Shares offered by this prospectus in any jurisdiction in which such an offer or a solicitation is unlawful.</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43" w:name="page44"/>
    <w:bookmarkEnd w:id="43"/>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CUSTODIAN, TRANSFER AGENT, DIVIDEND DISBURSING AGENT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REDEMPTION AND PAYING AGENT</w:t>
      </w:r>
    </w:p>
    <w:p>
      <w:pPr>
        <w:spacing w:after="0" w:line="100"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Our securities are held under a custody agreement by U.S. Bank National Association. The address of the custodian is 8 Greenway Plaza Suite 1100, Houston, TX 77046. Computershare Trust Company, N.A., acts as our transfer agent, dividend disbursing agent and redemption and paying agent. The principal business address of our transfer agent is 250 Royall Street, Canton, MA 02021.</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27"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To the extent that a holder of Term Preferred Shares is directly or indirectly a beneficial owner of more than 10% of any class of our outstanding shares (meaning, for purposes of holders of Term Preferred Shares, more than 10% of our outstanding Preferred Stock), such 10% beneficial owner would be subject to the short-swing profit rules that are imposed pursuant to Section 16 of the Exchange Act (and related reporting requirements). These rules generally provide that such a 10% beneficial owner may have to disgorge any profits made on purchases and sales, or sales and purchases, of our equity securities (including the Series 2027 Term Preferred Shares, the 6.00% Series 2029 Term Preferred Shares, the 7.125% Series 2029 Term Preferred Shares, the 8.25% Series 2031 Term Preferred Shares and Common Stock) within any six-month time period. Investors should consult with their own counsel to determine the applicability of these rules.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BROKERAGE ALLOCATION AND OTHER PRACTICES</w:t>
      </w:r>
    </w:p>
    <w:p>
      <w:pPr>
        <w:spacing w:after="0" w:line="127"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To the extent a broker-dealer is involved in a transaction that we participate in, the price paid or received by us may reflect a mark-up or mark-down. Subject to policies established by our Board of Directors, our investment adviser is responsible for the execution of securities transactions in our portfolio. The investment adviser in making decisions regarding the selection of broker-dealers used to find a buyer or seller for transactions, takes into account the following factors: (i) whether the broker-dealer has any special knowledge of the security; (ii) whether the broker-dealer originally underwrote or sponsored the security (iii) the ability of the broker-dealer to find a natural buyer or seller for the security (iv) the operational efficiency with which transactions are effected (such as prompt and accurate confirmation and delivery), taking into account the size of order and difficulty of execution; (v) the financial strength, integrity and stability of the broker-dealer;</w:t>
      </w:r>
    </w:p>
    <w:p>
      <w:pPr>
        <w:spacing w:after="0" w:line="5" w:lineRule="exact"/>
        <w:rPr>
          <w:sz w:val="20"/>
          <w:szCs w:val="20"/>
          <w:color w:val="auto"/>
        </w:rPr>
      </w:pPr>
    </w:p>
    <w:p>
      <w:pPr>
        <w:ind w:left="1320" w:right="1339" w:firstLine="10"/>
        <w:spacing w:after="0" w:line="264" w:lineRule="auto"/>
        <w:tabs>
          <w:tab w:leader="none" w:pos="157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brokerage services over and above trade execution provided to the Company; and (vii) any other factors the investment adviser considers to be in the best interest of the Company.</w:t>
      </w:r>
    </w:p>
    <w:p>
      <w:pPr>
        <w:spacing w:after="0" w:line="76"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Neither the investment adviser nor the Company has any “soft dollars” arrangement in which a broker-dealer for commissions contracts with and pays a third party on behalf of the investment adviser so that the third party may provide research or brokerage services to the investment adviser. The investment adviser may receive research directly from the broker-dealers with whom it transacts. However, the investment adviser does not “pay up” for such information nor is receipt of the information a primary consideration in broker-dealer selection.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44" w:name="page45"/>
    <w:bookmarkEnd w:id="44"/>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16"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Certain legal matters in connection with the securities offered by this prospectus supplement will be passed upon for us by Dechert LLP, Washington, D.C. Certain legal matters in connection with this offering will be passed upon for the underwriters by Blank Rome LLP, New York, New York.</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7"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The financial statements incorporated in this Prospectus, by reference to the Annual Report on Form N-CSR for the year ended March 31, 2025 have been so incorporated in reliance on the reports of PricewaterhouseCoopers LLP, an independent registered public accounting firm, given on the authority of said firm as experts in auditing and accounting.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27"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N-2 together with all amendments and related exhibits under the Securities Act. The registration statement contains additional information about us and the securities being offered by this prospectus supplement and the accompanying prospectus.</w:t>
      </w:r>
    </w:p>
    <w:p>
      <w:pPr>
        <w:spacing w:after="0" w:line="72"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 xml:space="preserve">We are required to file with or submit to the SEC annual and semi-annual reports, proxy statements and other information meeting the informational requirements of the Exchange Act. The SEC maintains an Internet site that contains reports, proxy and information statements and other information filed electronically by us with the SEC which are available on the SEC’s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xml:space="preserve"> Copies of these reports, proxy and information statements and other information may be obtained, after paying a duplicating fee, by electronic request at the following e-mail address: </w:t>
      </w:r>
      <w:r>
        <w:rPr>
          <w:rFonts w:ascii="Times New Roman" w:cs="Times New Roman" w:eastAsia="Times New Roman" w:hAnsi="Times New Roman"/>
          <w:sz w:val="14"/>
          <w:szCs w:val="14"/>
          <w:i w:val="1"/>
          <w:iCs w:val="1"/>
          <w:color w:val="auto"/>
        </w:rPr>
        <w:t>publicinfo@sec.gov</w:t>
      </w:r>
      <w:r>
        <w:rPr>
          <w:rFonts w:ascii="Times New Roman" w:cs="Times New Roman" w:eastAsia="Times New Roman" w:hAnsi="Times New Roman"/>
          <w:sz w:val="14"/>
          <w:szCs w:val="14"/>
          <w:color w:val="auto"/>
        </w:rPr>
        <w:t xml:space="preserve">. This information is also available free of charge by contacting us at Oxford Lane Capital Corp., 8 Sound Shore Drive, Suite 255, Greenwich, CT 06830, by telephone at (203) 983-5275, or on our website at </w:t>
      </w:r>
      <w:r>
        <w:rPr>
          <w:rFonts w:ascii="Times New Roman" w:cs="Times New Roman" w:eastAsia="Times New Roman" w:hAnsi="Times New Roman"/>
          <w:sz w:val="14"/>
          <w:szCs w:val="14"/>
          <w:i w:val="1"/>
          <w:iCs w:val="1"/>
          <w:color w:val="auto"/>
        </w:rPr>
        <w:t>http://www.oxfordlanecapital.com</w:t>
      </w:r>
      <w:r>
        <w:rPr>
          <w:rFonts w:ascii="Times New Roman" w:cs="Times New Roman" w:eastAsia="Times New Roman" w:hAnsi="Times New Roman"/>
          <w:sz w:val="14"/>
          <w:szCs w:val="14"/>
          <w:color w:val="auto"/>
        </w:rPr>
        <w:t>. Information contained on our website or on the SEC’s website about us is not incorporated into this prospectus supplement and you should not consider information contained on our website or on the SEC’s website to be part of this prospectus, except for documents incorporated by reference to this prospectus supplement or the accompanying prospectus.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45" w:name="page46"/>
    <w:bookmarkEnd w:id="45"/>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16"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This prospectus supplement is part of a registration statement that we have filed with the SEC (File Nos. 333-283109 and 811-22432). We are permitted to “incorporate by reference” the information in documents that we file with the SEC, which means that we can disclose important information to you by referring you to those documents. The information incorporated by reference herein is considered to be part of this prospectus supplement, and later information that we file with the SEC will automatically update and supersede this information.</w:t>
      </w:r>
    </w:p>
    <w:p>
      <w:pPr>
        <w:spacing w:after="0" w:line="90"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We incorporate by reference the documents listed below, and any reports and other documents we subsequently file with the SEC, pursuant to Section 30(b)(2) of the 1940 Act and Sections 13(a), 13(c), 14 or 15(d) of the Exchange Act, after the date of this prospectus supplement until all of the securities offered by this prospectus supplement and the accompanying prospectus have been sold or we otherwise terminate the offering of these securities; provided, however, that any document, report, exhibit (or portion of any of the foregoing) or other information “furnished” to the SEC pursuant to the Exchange Act shall not be incorporated by reference into this prospectus supplement (unless specifically set forth in such filing):</w:t>
      </w:r>
    </w:p>
    <w:p>
      <w:pPr>
        <w:spacing w:after="0" w:line="90" w:lineRule="exact"/>
        <w:rPr>
          <w:sz w:val="20"/>
          <w:szCs w:val="20"/>
          <w:color w:val="auto"/>
        </w:rPr>
      </w:pPr>
    </w:p>
    <w:p>
      <w:pPr>
        <w:ind w:left="2000" w:right="1339" w:hanging="332"/>
        <w:spacing w:after="0" w:line="286" w:lineRule="auto"/>
        <w:tabs>
          <w:tab w:leader="none" w:pos="19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61">
        <w:r>
          <w:rPr>
            <w:rFonts w:ascii="Times New Roman" w:cs="Times New Roman" w:eastAsia="Times New Roman" w:hAnsi="Times New Roman"/>
            <w:sz w:val="14"/>
            <w:szCs w:val="14"/>
            <w:u w:val="single" w:color="auto"/>
            <w:color w:val="0000EE"/>
          </w:rPr>
          <w:t>Annual Report on Form N-CSR</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March 31, 2025, filed with the SEC on May 20, 2025;</w:t>
      </w:r>
    </w:p>
    <w:p>
      <w:pPr>
        <w:spacing w:after="0" w:line="60"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62">
        <w:r>
          <w:rPr>
            <w:rFonts w:ascii="Times New Roman" w:cs="Times New Roman" w:eastAsia="Times New Roman" w:hAnsi="Times New Roman"/>
            <w:sz w:val="14"/>
            <w:szCs w:val="14"/>
            <w:u w:val="single" w:color="auto"/>
            <w:color w:val="0000EE"/>
          </w:rPr>
          <w:t>Semi-Annual Report on Form N-CSRS</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six months ended September 30, 2025, filed with the SEC on November 5, 2025;</w:t>
      </w:r>
    </w:p>
    <w:p>
      <w:pPr>
        <w:spacing w:after="0" w:line="71"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w:t>
      </w:r>
      <w:hyperlink r:id="rId63">
        <w:r>
          <w:rPr>
            <w:rFonts w:ascii="Times New Roman" w:cs="Times New Roman" w:eastAsia="Times New Roman" w:hAnsi="Times New Roman"/>
            <w:sz w:val="14"/>
            <w:szCs w:val="14"/>
            <w:u w:val="single" w:color="auto"/>
            <w:color w:val="0000EE"/>
          </w:rPr>
          <w:t>Form DEF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annual meeting of the stockholders, filed with the SEC on September 4, 2025;</w:t>
      </w:r>
    </w:p>
    <w:p>
      <w:pPr>
        <w:spacing w:after="0" w:line="71"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referenced in our Registration Statement on </w:t>
      </w:r>
      <w:hyperlink r:id="rId64">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as filed with the SEC on January 19, 2011, including any amendment or report filed for the purpose of updating such description prior to the termination of the offering of the common stock registered hereby;</w:t>
      </w:r>
    </w:p>
    <w:p>
      <w:pPr>
        <w:spacing w:after="0" w:line="77"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Series 2027 Term Preferred Shares referenced in our Registration Statement on </w:t>
      </w:r>
      <w:hyperlink r:id="rId65">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as filed with the SEC on February 7, 2020, including any amendment or report filed for the purpose of updating such description prior to the termination of the offering of the preferred stock registered hereby;</w:t>
      </w:r>
    </w:p>
    <w:p>
      <w:pPr>
        <w:spacing w:after="0" w:line="87"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6.75% Notes due 2031 referenced in our Registration Statement on </w:t>
      </w:r>
      <w:hyperlink r:id="rId66">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as filed with the SEC on March 16, 2021, including any amendment or report filed for the purpose of updating such description prior to the termination of the offering of the notes registered hereby;</w:t>
      </w:r>
    </w:p>
    <w:p>
      <w:pPr>
        <w:spacing w:after="0" w:line="82"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6.00% Series 2029 Term Preferred Shares referenced in our Registration Statement on </w:t>
      </w:r>
      <w:hyperlink r:id="rId67">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as filed with the SEC on August 17, 2021, including any amendment or report filed for the purpose of updating such description prior to the termination of the offering of the preferred stock registered hereby;</w:t>
      </w:r>
    </w:p>
    <w:p>
      <w:pPr>
        <w:spacing w:after="0" w:line="77"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5.00% Notes due 2027 referenced in our Registration Statement on </w:t>
      </w:r>
      <w:hyperlink r:id="rId68">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as filed with the SEC on January 13, 2022, including any amendment or report filed for the purpose of updating such description prior to the termination of the offering of the notes registered hereby;</w:t>
      </w:r>
    </w:p>
    <w:p>
      <w:pPr>
        <w:spacing w:after="0" w:line="82"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7.125% Series 2029 Term Preferred Shares referenced in our Registration Statement on </w:t>
      </w:r>
      <w:hyperlink r:id="rId69">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as filed with the SEC on June 16, 2022, including any amendment or report filed for the purpose of updating such description prior to the termination of the offering of the preferred stock registered hereby;</w:t>
      </w:r>
    </w:p>
    <w:p>
      <w:pPr>
        <w:spacing w:after="0" w:line="87"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8.75% Notes due 2030 referenced in our Registration Statement on </w:t>
      </w:r>
      <w:hyperlink r:id="rId70">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as filed with the SEC on July 8, 2024, including any amendment or report filed for the purpose of updating such description prior to the termination of the offering of the preferred stock registered hereby; and</w:t>
      </w:r>
    </w:p>
    <w:p>
      <w:pPr>
        <w:spacing w:after="0" w:line="77"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7.95% Notes due 2032 referenced in our Registration Statement on </w:t>
      </w:r>
      <w:hyperlink r:id="rId71">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as filed with the SEC on February 27, 2025, including any amendment or report filed for the purpose of updating such description prior to the termination of the offering of the preferred stock registered hereby.</w:t>
      </w:r>
    </w:p>
    <w:p>
      <w:pPr>
        <w:spacing w:after="0" w:line="120"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S-40</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46" w:name="page47"/>
    <w:bookmarkEnd w:id="46"/>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 xml:space="preserve">Our periodic reports filed pursuant to Section 30(b)(2) of the 1940 Act and Sections 13 or 15(d) of the Exchange Act, as well as this prospectus supplement and the accompanying prospectus, are available on our website at </w:t>
      </w:r>
      <w:r>
        <w:rPr>
          <w:rFonts w:ascii="Times New Roman" w:cs="Times New Roman" w:eastAsia="Times New Roman" w:hAnsi="Times New Roman"/>
          <w:sz w:val="14"/>
          <w:szCs w:val="14"/>
          <w:i w:val="1"/>
          <w:iCs w:val="1"/>
          <w:color w:val="auto"/>
        </w:rPr>
        <w:t>www.oxfordlanecapital.com.</w:t>
      </w:r>
      <w:r>
        <w:rPr>
          <w:rFonts w:ascii="Times New Roman" w:cs="Times New Roman" w:eastAsia="Times New Roman" w:hAnsi="Times New Roman"/>
          <w:sz w:val="14"/>
          <w:szCs w:val="14"/>
          <w:color w:val="auto"/>
        </w:rPr>
        <w:t xml:space="preserve"> Information contained on our website is not incorporated into this prospectus supplement and you should not consider information contained on our website to be part of this prospectus supplement, except for documents specifically incorporated by reference into this prospectus supplement or the accompanying prospectus. You may also request a copy of these filings (other than exhibits, unless the exhibits are specifically incorporated by reference into these documents) at no cost by writing or calling Investor Relations at the following address and telephone number:</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 Sound Shore Drive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Suite 255</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Greenwich, Connecticut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(203) 983-5275</w:t>
      </w:r>
    </w:p>
    <w:p>
      <w:pPr>
        <w:spacing w:after="0" w:line="110"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You should rely only on the information incorporated by reference into or provided in this prospectus supplement or the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the accompanying prospectus or in the documents incorporated by reference herein is accurate as of any date other than the date on the front of this prospectus supplement, the accompanying prospectus or those documents.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47" w:name="page48"/>
    <w:bookmarkEnd w:id="47"/>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OXFORD LANE CAPITAL CORP.</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OF ARTICLES SUPPLEMENTARY</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ESTABLISHING AND FIXING THE RIGHTS AND PREFERENCES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TERM PREFERRED SHARES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DATED AS OF MARCH 13, 2026</w:t>
      </w:r>
    </w:p>
    <w:p>
      <w:pPr>
        <w:spacing w:after="0" w:line="110" w:lineRule="exact"/>
        <w:rPr>
          <w:sz w:val="20"/>
          <w:szCs w:val="20"/>
          <w:color w:val="auto"/>
        </w:rPr>
      </w:pPr>
    </w:p>
    <w:p>
      <w:pPr>
        <w:jc w:val="both"/>
        <w:ind w:left="1320" w:right="1359" w:firstLine="508"/>
        <w:spacing w:after="0" w:line="286" w:lineRule="auto"/>
        <w:rPr>
          <w:sz w:val="20"/>
          <w:szCs w:val="20"/>
          <w:color w:val="auto"/>
        </w:rPr>
      </w:pPr>
      <w:r>
        <w:rPr>
          <w:rFonts w:ascii="Times New Roman" w:cs="Times New Roman" w:eastAsia="Times New Roman" w:hAnsi="Times New Roman"/>
          <w:sz w:val="14"/>
          <w:szCs w:val="14"/>
          <w:color w:val="auto"/>
        </w:rPr>
        <w:t>Oxford Lane Capital Corp. (the “</w:t>
      </w:r>
      <w:r>
        <w:rPr>
          <w:rFonts w:ascii="Times New Roman" w:cs="Times New Roman" w:eastAsia="Times New Roman" w:hAnsi="Times New Roman"/>
          <w:sz w:val="14"/>
          <w:szCs w:val="14"/>
          <w:u w:val="single" w:color="auto"/>
          <w:color w:val="auto"/>
        </w:rPr>
        <w:t>Corporation</w:t>
      </w:r>
      <w:r>
        <w:rPr>
          <w:rFonts w:ascii="Times New Roman" w:cs="Times New Roman" w:eastAsia="Times New Roman" w:hAnsi="Times New Roman"/>
          <w:sz w:val="14"/>
          <w:szCs w:val="14"/>
          <w:color w:val="auto"/>
        </w:rPr>
        <w:t>”), a Maryland corporation, certifies to the State Department of Assessments and Taxation of Maryland that:</w:t>
      </w:r>
    </w:p>
    <w:p>
      <w:pPr>
        <w:spacing w:after="0" w:line="6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14" w:lineRule="exact"/>
        <w:rPr>
          <w:sz w:val="20"/>
          <w:szCs w:val="20"/>
          <w:color w:val="auto"/>
        </w:rPr>
      </w:pPr>
    </w:p>
    <w:p>
      <w:pPr>
        <w:jc w:val="both"/>
        <w:ind w:left="1320" w:right="1339" w:firstLine="508"/>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FIRST: </w:t>
      </w:r>
      <w:r>
        <w:rPr>
          <w:rFonts w:ascii="Times New Roman" w:cs="Times New Roman" w:eastAsia="Times New Roman" w:hAnsi="Times New Roman"/>
          <w:sz w:val="14"/>
          <w:szCs w:val="14"/>
          <w:color w:val="auto"/>
        </w:rPr>
        <w:t>The Corporation is authorized under Article V of the Corporation’s Articles of Amendment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Restatement to the Articles of Incorporation of the Corporation (which, as amended or hereafter restated or amended from time to time, are herein called the “</w:t>
      </w:r>
      <w:r>
        <w:rPr>
          <w:rFonts w:ascii="Times New Roman" w:cs="Times New Roman" w:eastAsia="Times New Roman" w:hAnsi="Times New Roman"/>
          <w:sz w:val="14"/>
          <w:szCs w:val="14"/>
          <w:u w:val="single" w:color="auto"/>
          <w:color w:val="auto"/>
        </w:rPr>
        <w:t>Articles</w:t>
      </w:r>
      <w:r>
        <w:rPr>
          <w:rFonts w:ascii="Times New Roman" w:cs="Times New Roman" w:eastAsia="Times New Roman" w:hAnsi="Times New Roman"/>
          <w:sz w:val="14"/>
          <w:szCs w:val="14"/>
          <w:color w:val="auto"/>
        </w:rPr>
        <w:t>”), to issue up to 950,000,000 shares of capital stock, with a par value of one cent ($0.01) per share (“</w:t>
      </w:r>
      <w:r>
        <w:rPr>
          <w:rFonts w:ascii="Times New Roman" w:cs="Times New Roman" w:eastAsia="Times New Roman" w:hAnsi="Times New Roman"/>
          <w:sz w:val="14"/>
          <w:szCs w:val="14"/>
          <w:u w:val="single" w:color="auto"/>
          <w:color w:val="auto"/>
        </w:rPr>
        <w:t>Capital Stock</w:t>
      </w:r>
      <w:r>
        <w:rPr>
          <w:rFonts w:ascii="Times New Roman" w:cs="Times New Roman" w:eastAsia="Times New Roman" w:hAnsi="Times New Roman"/>
          <w:sz w:val="14"/>
          <w:szCs w:val="14"/>
          <w:color w:val="auto"/>
        </w:rPr>
        <w:t>”).</w:t>
      </w:r>
    </w:p>
    <w:p>
      <w:pPr>
        <w:spacing w:after="0" w:line="85" w:lineRule="exact"/>
        <w:rPr>
          <w:sz w:val="20"/>
          <w:szCs w:val="20"/>
          <w:color w:val="auto"/>
        </w:rPr>
      </w:pPr>
    </w:p>
    <w:p>
      <w:pPr>
        <w:jc w:val="both"/>
        <w:ind w:left="1320" w:right="1339" w:firstLine="508"/>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SECOND: </w:t>
      </w:r>
      <w:r>
        <w:rPr>
          <w:rFonts w:ascii="Times New Roman" w:cs="Times New Roman" w:eastAsia="Times New Roman" w:hAnsi="Times New Roman"/>
          <w:sz w:val="14"/>
          <w:szCs w:val="14"/>
          <w:color w:val="auto"/>
        </w:rPr>
        <w:t>Pursuant to Article V of the Articles, 900,000,000 such shares of Capital Stock were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classified as Common Stock (as defined in the Articles) and 50,000,000 shares of Capital Stock were classified as Preferred Stock (as defined in the Articles); and</w:t>
      </w:r>
    </w:p>
    <w:p>
      <w:pPr>
        <w:spacing w:after="0" w:line="81" w:lineRule="exact"/>
        <w:rPr>
          <w:sz w:val="20"/>
          <w:szCs w:val="20"/>
          <w:color w:val="auto"/>
        </w:rPr>
      </w:pPr>
    </w:p>
    <w:p>
      <w:pPr>
        <w:jc w:val="both"/>
        <w:ind w:left="1320" w:right="1339" w:firstLine="50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THIRD: </w:t>
      </w:r>
      <w:r>
        <w:rPr>
          <w:rFonts w:ascii="Times New Roman" w:cs="Times New Roman" w:eastAsia="Times New Roman" w:hAnsi="Times New Roman"/>
          <w:sz w:val="14"/>
          <w:szCs w:val="14"/>
          <w:color w:val="auto"/>
        </w:rPr>
        <w:t>Pursuant to the authority expressly vested in the Board of Directors of the Corporation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which term as used herein shall include any duly authorized committee of the Board of Directors) by Article V of the Articles, the Board of Directors has, by resolution, authorized the issuance of 50,000,000 Preferred Shares, par value $0.01 per share, in the aggregate, such class of stock to be classified as “Term Preferred Shares,” and such Term Preferred Shares to be issued in one or more series.</w:t>
      </w:r>
    </w:p>
    <w:p>
      <w:pPr>
        <w:spacing w:after="0" w:line="77" w:lineRule="exact"/>
        <w:rPr>
          <w:sz w:val="20"/>
          <w:szCs w:val="20"/>
          <w:color w:val="auto"/>
        </w:rPr>
      </w:pPr>
    </w:p>
    <w:p>
      <w:pPr>
        <w:jc w:val="both"/>
        <w:ind w:left="1320" w:right="1339" w:firstLine="508"/>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FOURTH: </w:t>
      </w:r>
      <w:r>
        <w:rPr>
          <w:rFonts w:ascii="Times New Roman" w:cs="Times New Roman" w:eastAsia="Times New Roman" w:hAnsi="Times New Roman"/>
          <w:sz w:val="14"/>
          <w:szCs w:val="14"/>
          <w:color w:val="auto"/>
        </w:rPr>
        <w:t>The preferences, voting powers, restrictions, limitations as to dividends, qualifications,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terms and conditions of redemption, of each Series of Term Preferred Shares are set forth in these Articles Supplementary, as modified, amended or supplemented from time to time in any Appendix (each an “</w:t>
      </w:r>
      <w:r>
        <w:rPr>
          <w:rFonts w:ascii="Times New Roman" w:cs="Times New Roman" w:eastAsia="Times New Roman" w:hAnsi="Times New Roman"/>
          <w:sz w:val="14"/>
          <w:szCs w:val="14"/>
          <w:u w:val="single" w:color="auto"/>
          <w:color w:val="auto"/>
        </w:rPr>
        <w:t>Appendix</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Appendices</w:t>
      </w:r>
      <w:r>
        <w:rPr>
          <w:rFonts w:ascii="Times New Roman" w:cs="Times New Roman" w:eastAsia="Times New Roman" w:hAnsi="Times New Roman"/>
          <w:sz w:val="14"/>
          <w:szCs w:val="14"/>
          <w:color w:val="auto"/>
        </w:rPr>
        <w:t>”) to these Articles Supplementary specifically relating to such Series (each such Series being referred to herein as a “</w:t>
      </w:r>
      <w:r>
        <w:rPr>
          <w:rFonts w:ascii="Times New Roman" w:cs="Times New Roman" w:eastAsia="Times New Roman" w:hAnsi="Times New Roman"/>
          <w:sz w:val="14"/>
          <w:szCs w:val="14"/>
          <w:u w:val="single" w:color="auto"/>
          <w:color w:val="auto"/>
        </w:rPr>
        <w:t>Series of Term Preferred Shares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Term Preferred Shares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of a Series</w:t>
      </w:r>
      <w:r>
        <w:rPr>
          <w:rFonts w:ascii="Times New Roman" w:cs="Times New Roman" w:eastAsia="Times New Roman" w:hAnsi="Times New Roman"/>
          <w:sz w:val="14"/>
          <w:szCs w:val="14"/>
          <w:color w:val="auto"/>
        </w:rPr>
        <w:t>” or a “</w:t>
      </w:r>
      <w:r>
        <w:rPr>
          <w:rFonts w:ascii="Times New Roman" w:cs="Times New Roman" w:eastAsia="Times New Roman" w:hAnsi="Times New Roman"/>
          <w:sz w:val="14"/>
          <w:szCs w:val="14"/>
          <w:u w:val="single" w:color="auto"/>
          <w:color w:val="auto"/>
        </w:rPr>
        <w:t>Series</w:t>
      </w:r>
      <w:r>
        <w:rPr>
          <w:rFonts w:ascii="Times New Roman" w:cs="Times New Roman" w:eastAsia="Times New Roman" w:hAnsi="Times New Roman"/>
          <w:sz w:val="14"/>
          <w:szCs w:val="14"/>
          <w:color w:val="auto"/>
        </w:rPr>
        <w:t>” and shares of all such Series being referred to herein individually as a “</w:t>
      </w:r>
      <w:r>
        <w:rPr>
          <w:rFonts w:ascii="Times New Roman" w:cs="Times New Roman" w:eastAsia="Times New Roman" w:hAnsi="Times New Roman"/>
          <w:sz w:val="14"/>
          <w:szCs w:val="14"/>
          <w:u w:val="single" w:color="auto"/>
          <w:color w:val="auto"/>
        </w:rPr>
        <w:t>Term Preferred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Share</w:t>
      </w:r>
      <w:r>
        <w:rPr>
          <w:rFonts w:ascii="Times New Roman" w:cs="Times New Roman" w:eastAsia="Times New Roman" w:hAnsi="Times New Roman"/>
          <w:sz w:val="14"/>
          <w:szCs w:val="14"/>
          <w:color w:val="auto"/>
        </w:rPr>
        <w:t>” and collectively as the “</w:t>
      </w:r>
      <w:r>
        <w:rPr>
          <w:rFonts w:ascii="Times New Roman" w:cs="Times New Roman" w:eastAsia="Times New Roman" w:hAnsi="Times New Roman"/>
          <w:sz w:val="14"/>
          <w:szCs w:val="14"/>
          <w:u w:val="single" w:color="auto"/>
          <w:color w:val="auto"/>
        </w:rPr>
        <w:t>Term Preferred Shares</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jc w:val="both"/>
        <w:ind w:left="1320" w:right="133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FIFTH: </w:t>
      </w:r>
      <w:r>
        <w:rPr>
          <w:rFonts w:ascii="Times New Roman" w:cs="Times New Roman" w:eastAsia="Times New Roman" w:hAnsi="Times New Roman"/>
          <w:sz w:val="14"/>
          <w:szCs w:val="14"/>
          <w:color w:val="auto"/>
        </w:rPr>
        <w:t>These Articles Supplementary shall become effective as of 3:00 p.m. Eastern time on March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16, 2026.</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25" w:lineRule="exact"/>
        <w:rPr>
          <w:sz w:val="20"/>
          <w:szCs w:val="20"/>
          <w:color w:val="auto"/>
        </w:rPr>
      </w:pPr>
    </w:p>
    <w:p>
      <w:pPr>
        <w:jc w:val="both"/>
        <w:ind w:left="1320" w:right="1339" w:firstLine="508"/>
        <w:spacing w:after="0" w:line="264" w:lineRule="auto"/>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Unless the context or use indicates another or different meaning or intent and except with respect to any Series as specifically provided in the Appendix applicable to such Series, each of the following terms when used in these Articles Supplementary shall have the meaning ascribed to it below, whether such term is used in the singular or plural and regardless of tense:</w:t>
      </w:r>
    </w:p>
    <w:p>
      <w:pPr>
        <w:spacing w:after="0" w:line="8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1940 Act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the Investment Company Act of 1940, as amended, or any successor statute.</w:t>
      </w:r>
    </w:p>
    <w:p>
      <w:pPr>
        <w:spacing w:after="0" w:line="114" w:lineRule="exact"/>
        <w:rPr>
          <w:sz w:val="20"/>
          <w:szCs w:val="20"/>
          <w:color w:val="auto"/>
        </w:rPr>
      </w:pPr>
    </w:p>
    <w:p>
      <w:pPr>
        <w:jc w:val="both"/>
        <w:ind w:left="1320" w:right="133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1940 Act Asset Coverage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the Asset Coverage specified in Section 18(a)(2)(B) of the 1940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 as in effect on the date hereof.</w:t>
      </w:r>
    </w:p>
    <w:p>
      <w:pPr>
        <w:spacing w:after="0" w:line="67" w:lineRule="exact"/>
        <w:rPr>
          <w:sz w:val="20"/>
          <w:szCs w:val="20"/>
          <w:color w:val="auto"/>
        </w:rPr>
      </w:pPr>
    </w:p>
    <w:p>
      <w:pPr>
        <w:jc w:val="both"/>
        <w:ind w:left="1320" w:right="135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Appendices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auto"/>
        </w:rPr>
        <w:t>Appendix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respective meanings as set forth in the Recitals of these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Articles Supplementary.</w:t>
      </w:r>
    </w:p>
    <w:p>
      <w:pPr>
        <w:spacing w:after="0" w:line="6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Articles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 the Recitals of these Articles Supplementary.</w:t>
      </w:r>
    </w:p>
    <w:p>
      <w:pPr>
        <w:spacing w:after="0" w:line="114" w:lineRule="exact"/>
        <w:rPr>
          <w:sz w:val="20"/>
          <w:szCs w:val="20"/>
          <w:color w:val="auto"/>
        </w:rPr>
      </w:pPr>
    </w:p>
    <w:p>
      <w:pPr>
        <w:jc w:val="both"/>
        <w:ind w:left="1320" w:right="1339" w:firstLine="508"/>
        <w:spacing w:after="0" w:line="270"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Articles Supplementary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these Oxford Lane Capital Corp. Articles Supplementary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Establishing and Fixing the Rights and Preferences of Term Preferred Shares, as they may be amended from time to time in accordance with their terms.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48" w:name="page49"/>
    <w:bookmarkEnd w:id="48"/>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2" w:lineRule="exact"/>
        <w:rPr>
          <w:sz w:val="20"/>
          <w:szCs w:val="20"/>
          <w:color w:val="auto"/>
        </w:rPr>
      </w:pPr>
    </w:p>
    <w:p>
      <w:pPr>
        <w:jc w:val="both"/>
        <w:ind w:left="1320" w:right="135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Asset Coverage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mean the “asset coverage” of a class of senior security which is stock,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specified in Section 18 of the 1940 Act as in effect on the date hereof.</w:t>
      </w:r>
    </w:p>
    <w:p>
      <w:pPr>
        <w:spacing w:after="0" w:line="67" w:lineRule="exact"/>
        <w:rPr>
          <w:sz w:val="20"/>
          <w:szCs w:val="20"/>
          <w:color w:val="auto"/>
        </w:rPr>
      </w:pPr>
    </w:p>
    <w:p>
      <w:pPr>
        <w:jc w:val="both"/>
        <w:ind w:left="1320" w:right="1339" w:firstLine="508"/>
        <w:spacing w:after="0" w:line="270"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Asset Coverage Cure 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the failure by the Corporation to maintain Asset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Coverage as of the close of business on the last Business Day of a Calendar Quarter (as required by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2.4(a)</w:t>
      </w:r>
      <w:r>
        <w:rPr>
          <w:rFonts w:ascii="Times New Roman" w:cs="Times New Roman" w:eastAsia="Times New Roman" w:hAnsi="Times New Roman"/>
          <w:sz w:val="14"/>
          <w:szCs w:val="14"/>
          <w:color w:val="auto"/>
        </w:rPr>
        <w:t>), the date that is thirty (30) calendar days following the Filing Date with respect to such Calendar Quarter.</w:t>
      </w:r>
    </w:p>
    <w:p>
      <w:pPr>
        <w:spacing w:after="0" w:line="81" w:lineRule="exact"/>
        <w:rPr>
          <w:sz w:val="20"/>
          <w:szCs w:val="20"/>
          <w:color w:val="auto"/>
        </w:rPr>
      </w:pPr>
    </w:p>
    <w:p>
      <w:pPr>
        <w:jc w:val="both"/>
        <w:ind w:left="1320" w:right="135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Board of Directors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 the Recitals of these Articles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Supplementary.</w:t>
      </w:r>
    </w:p>
    <w:p>
      <w:pPr>
        <w:spacing w:after="0" w:line="5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Business Day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any calendar day on which the New York Stock Exchange is open for trading.</w:t>
      </w:r>
    </w:p>
    <w:p>
      <w:pPr>
        <w:spacing w:after="0" w:line="125" w:lineRule="exact"/>
        <w:rPr>
          <w:sz w:val="20"/>
          <w:szCs w:val="20"/>
          <w:color w:val="auto"/>
        </w:rPr>
      </w:pPr>
    </w:p>
    <w:p>
      <w:pPr>
        <w:jc w:val="both"/>
        <w:ind w:left="1320" w:right="133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Calendar Quarter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mean any of the three-month periods ending March 31, June 30, September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30, or December 31, of each year.</w:t>
      </w:r>
    </w:p>
    <w:p>
      <w:pPr>
        <w:spacing w:after="0" w:line="6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Capital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 the Recitals of these Articles Supplementary.</w:t>
      </w:r>
    </w:p>
    <w:p>
      <w:pPr>
        <w:spacing w:after="0" w:line="11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u w:val="single" w:color="auto"/>
          <w:color w:val="auto"/>
        </w:rPr>
        <w:t>Commission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means the U.S. Securities and Exchange Commission.</w:t>
      </w:r>
    </w:p>
    <w:p>
      <w:pPr>
        <w:spacing w:after="0" w:line="125" w:lineRule="exact"/>
        <w:rPr>
          <w:sz w:val="20"/>
          <w:szCs w:val="20"/>
          <w:color w:val="auto"/>
        </w:rPr>
      </w:pPr>
    </w:p>
    <w:p>
      <w:pPr>
        <w:jc w:val="both"/>
        <w:ind w:left="1320" w:right="135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the shares of common stock, with a par value of one cent ($0.01) per share,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Corporation.</w:t>
      </w:r>
    </w:p>
    <w:p>
      <w:pPr>
        <w:spacing w:after="0" w:line="6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Corporation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 the Preamble to these Articles Supplementary.</w:t>
      </w:r>
    </w:p>
    <w:p>
      <w:pPr>
        <w:spacing w:after="0" w:line="114" w:lineRule="exact"/>
        <w:rPr>
          <w:sz w:val="20"/>
          <w:szCs w:val="20"/>
          <w:color w:val="auto"/>
        </w:rPr>
      </w:pPr>
    </w:p>
    <w:p>
      <w:pPr>
        <w:jc w:val="both"/>
        <w:ind w:left="1320" w:right="1339" w:firstLine="508"/>
        <w:spacing w:after="0" w:line="264"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Custodian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a bank, as defined in Section 2(a)(5) of the 1940 Act, that has the qualifications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prescribed in paragraph 1 of Section 26(a) of the 1940 Act, or such other entity as shall be providing custodian services to the Corporation as permitted by the 1940 Act or any rule, regulation, or order thereunder, and shall include, as appropriate, any similarly qualified sub-custodian duly appointed by the Custodian.</w:t>
      </w:r>
    </w:p>
    <w:p>
      <w:pPr>
        <w:spacing w:after="0" w:line="85" w:lineRule="exact"/>
        <w:rPr>
          <w:sz w:val="20"/>
          <w:szCs w:val="20"/>
          <w:color w:val="auto"/>
        </w:rPr>
      </w:pPr>
    </w:p>
    <w:p>
      <w:pPr>
        <w:jc w:val="both"/>
        <w:ind w:left="1320" w:right="135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Custodian Agreement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the Custodian Agreement by and among the Custodian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Corporation.</w:t>
      </w:r>
    </w:p>
    <w:p>
      <w:pPr>
        <w:spacing w:after="0" w:line="67" w:lineRule="exact"/>
        <w:rPr>
          <w:sz w:val="20"/>
          <w:szCs w:val="20"/>
          <w:color w:val="auto"/>
        </w:rPr>
      </w:pPr>
    </w:p>
    <w:p>
      <w:pPr>
        <w:jc w:val="both"/>
        <w:ind w:left="1320" w:right="133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Date of Original Issue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any Series, the date specified as the Date of Original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Issue for such Series in the Appendix for such Series.</w:t>
      </w:r>
    </w:p>
    <w:p>
      <w:pPr>
        <w:spacing w:after="0" w:line="5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Default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2.2(g)(i)</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Default Period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2.2(g)(i)</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Default Rate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2.2(g)(i)</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jc w:val="both"/>
        <w:ind w:left="1320" w:right="1339" w:firstLine="508"/>
        <w:spacing w:after="0" w:line="261"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Deposit 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as of any date, any United States dollar-denominated security or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 of a type described below that either (i) is a demand obligation payable to the holder thereof on any Business Day or (ii) has a maturity date, mandatory redemption date or mandatory payment date, on its face or at the option of the holder, preceding the relevant Redemption Date, Dividend Payment Date or other payment date in respect of which such security or other investment has been deposited or set aside as a Deposit Security:</w:t>
      </w:r>
    </w:p>
    <w:p>
      <w:pPr>
        <w:spacing w:after="0" w:line="89" w:lineRule="exact"/>
        <w:rPr>
          <w:sz w:val="20"/>
          <w:szCs w:val="20"/>
          <w:color w:val="auto"/>
        </w:rPr>
      </w:pPr>
    </w:p>
    <w:p>
      <w:pPr>
        <w:ind w:left="2840" w:hanging="494"/>
        <w:spacing w:after="0"/>
        <w:tabs>
          <w:tab w:leader="none" w:pos="2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or any cash equivalent;</w:t>
      </w:r>
    </w:p>
    <w:p>
      <w:pPr>
        <w:spacing w:after="0" w:line="114" w:lineRule="exact"/>
        <w:rPr>
          <w:rFonts w:ascii="Times New Roman" w:cs="Times New Roman" w:eastAsia="Times New Roman" w:hAnsi="Times New Roman"/>
          <w:sz w:val="14"/>
          <w:szCs w:val="14"/>
          <w:color w:val="auto"/>
        </w:rPr>
      </w:pPr>
    </w:p>
    <w:p>
      <w:pPr>
        <w:ind w:left="2840" w:hanging="494"/>
        <w:spacing w:after="0"/>
        <w:tabs>
          <w:tab w:leader="none" w:pos="2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U.S. Government Obligation;</w:t>
      </w:r>
    </w:p>
    <w:p>
      <w:pPr>
        <w:spacing w:after="0" w:line="124" w:lineRule="exact"/>
        <w:rPr>
          <w:rFonts w:ascii="Times New Roman" w:cs="Times New Roman" w:eastAsia="Times New Roman" w:hAnsi="Times New Roman"/>
          <w:sz w:val="14"/>
          <w:szCs w:val="14"/>
          <w:color w:val="auto"/>
        </w:rPr>
      </w:pPr>
    </w:p>
    <w:p>
      <w:pPr>
        <w:ind w:left="2840" w:hanging="494"/>
        <w:spacing w:after="0"/>
        <w:tabs>
          <w:tab w:leader="none" w:pos="2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Short-Term Money Market Instrument;</w:t>
      </w:r>
    </w:p>
    <w:p>
      <w:pPr>
        <w:spacing w:after="0" w:line="124" w:lineRule="exact"/>
        <w:rPr>
          <w:rFonts w:ascii="Times New Roman" w:cs="Times New Roman" w:eastAsia="Times New Roman" w:hAnsi="Times New Roman"/>
          <w:sz w:val="14"/>
          <w:szCs w:val="14"/>
          <w:color w:val="auto"/>
        </w:rPr>
      </w:pPr>
    </w:p>
    <w:p>
      <w:pPr>
        <w:jc w:val="both"/>
        <w:ind w:left="1840" w:right="1339" w:firstLine="506"/>
        <w:spacing w:after="0" w:line="263" w:lineRule="auto"/>
        <w:tabs>
          <w:tab w:leader="none" w:pos="283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investment in any money market fund registered under the 1940 Act that qualifies under Rule 2a-7 under the 1940 Act, or similar investment vehicle described in Rule 12d1-1(b)(2) under the 1940 Act, that invests principally in Short-Term Money Market Instruments or U.S. Government Obligations or any combination thereof; or</w:t>
      </w:r>
    </w:p>
    <w:p>
      <w:pPr>
        <w:spacing w:after="0" w:line="77" w:lineRule="exact"/>
        <w:rPr>
          <w:rFonts w:ascii="Times New Roman" w:cs="Times New Roman" w:eastAsia="Times New Roman" w:hAnsi="Times New Roman"/>
          <w:sz w:val="14"/>
          <w:szCs w:val="14"/>
          <w:color w:val="auto"/>
        </w:rPr>
      </w:pPr>
    </w:p>
    <w:p>
      <w:pPr>
        <w:jc w:val="both"/>
        <w:ind w:left="1840" w:right="1339" w:firstLine="506"/>
        <w:spacing w:after="0" w:line="263" w:lineRule="auto"/>
        <w:tabs>
          <w:tab w:leader="none" w:pos="283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letter of credit from a bank or other financial institution that has a credit rating from at least one rating agency that is the highest applicable rating generally ascribed by such rating agency to bank deposits or short-term debt of similar banks or other financial institutions as of the date of these Articles Supplementary (or such rating’s future equivalent).</w:t>
      </w:r>
    </w:p>
    <w:p>
      <w:pPr>
        <w:spacing w:after="0" w:line="8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Dividend Default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2.2(g)(i)</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S-A-2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49" w:name="page50"/>
    <w:bookmarkEnd w:id="49"/>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2" w:lineRule="exact"/>
        <w:rPr>
          <w:sz w:val="20"/>
          <w:szCs w:val="20"/>
          <w:color w:val="auto"/>
        </w:rPr>
      </w:pPr>
    </w:p>
    <w:p>
      <w:pPr>
        <w:jc w:val="both"/>
        <w:ind w:left="1320" w:right="133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Dividend Payment 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any Series, each of the Dividend Payment Dates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such Series set forth in the Appendix for such Series.</w:t>
      </w:r>
    </w:p>
    <w:p>
      <w:pPr>
        <w:spacing w:after="0" w:line="67" w:lineRule="exact"/>
        <w:rPr>
          <w:sz w:val="20"/>
          <w:szCs w:val="20"/>
          <w:color w:val="auto"/>
        </w:rPr>
      </w:pPr>
    </w:p>
    <w:p>
      <w:pPr>
        <w:jc w:val="both"/>
        <w:ind w:left="1320" w:right="133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Dividend Period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any Series, the Dividend Period for such Series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Appendix for such Series.</w:t>
      </w:r>
    </w:p>
    <w:p>
      <w:pPr>
        <w:spacing w:after="0" w:line="67" w:lineRule="exact"/>
        <w:rPr>
          <w:sz w:val="20"/>
          <w:szCs w:val="20"/>
          <w:color w:val="auto"/>
        </w:rPr>
      </w:pPr>
    </w:p>
    <w:p>
      <w:pPr>
        <w:jc w:val="both"/>
        <w:ind w:left="1320" w:right="1339" w:firstLine="508"/>
        <w:spacing w:after="0" w:line="270"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Dividend Rate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any Series and as of any date, the Fixed Dividend Rate for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Series as adjusted, if a Default Period shall be in existence on such date, in accordance with the provisions of </w:t>
      </w:r>
      <w:r>
        <w:rPr>
          <w:rFonts w:ascii="Times New Roman" w:cs="Times New Roman" w:eastAsia="Times New Roman" w:hAnsi="Times New Roman"/>
          <w:sz w:val="14"/>
          <w:szCs w:val="14"/>
          <w:u w:val="single" w:color="auto"/>
          <w:color w:val="auto"/>
        </w:rPr>
        <w:t>Section 2.2(g)</w:t>
      </w:r>
      <w:r>
        <w:rPr>
          <w:rFonts w:ascii="Times New Roman" w:cs="Times New Roman" w:eastAsia="Times New Roman" w:hAnsi="Times New Roman"/>
          <w:sz w:val="14"/>
          <w:szCs w:val="14"/>
          <w:color w:val="auto"/>
        </w:rPr>
        <w:t>.</w:t>
      </w:r>
    </w:p>
    <w:p>
      <w:pPr>
        <w:spacing w:after="0" w:line="70" w:lineRule="exact"/>
        <w:rPr>
          <w:sz w:val="20"/>
          <w:szCs w:val="20"/>
          <w:color w:val="auto"/>
        </w:rPr>
      </w:pPr>
    </w:p>
    <w:p>
      <w:pPr>
        <w:jc w:val="both"/>
        <w:ind w:left="1320" w:right="1339" w:firstLine="508"/>
        <w:spacing w:after="0" w:line="258"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Electronic Means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email transmission, facsimile transmission or other similar electronic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of communication providing evidence of transmission (but excluding online communications systems covered by a separate agreement) acceptable to the sending party and the receiving party, in any case if operative as between any two parties, or, if not operative, by telephone (promptly confirmed by any other method set forth in this definition), which, in the case of notices to the Redemption and Paying Agent and the Custodian, shall be sent by such means to each of its representatives set forth in the Redemption and Paying Agent Agreement and the Custodian Agreement, respectively.</w:t>
      </w:r>
    </w:p>
    <w:p>
      <w:pPr>
        <w:spacing w:after="0" w:line="90" w:lineRule="exact"/>
        <w:rPr>
          <w:sz w:val="20"/>
          <w:szCs w:val="20"/>
          <w:color w:val="auto"/>
        </w:rPr>
      </w:pPr>
    </w:p>
    <w:p>
      <w:pPr>
        <w:jc w:val="both"/>
        <w:ind w:left="1320" w:right="133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Filing 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any Calendar Quarter, the date of filing of the Corporation’s SEC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Report with respect to such Calendar Quarter.</w:t>
      </w:r>
    </w:p>
    <w:p>
      <w:pPr>
        <w:spacing w:after="0" w:line="67" w:lineRule="exact"/>
        <w:rPr>
          <w:sz w:val="20"/>
          <w:szCs w:val="20"/>
          <w:color w:val="auto"/>
        </w:rPr>
      </w:pPr>
    </w:p>
    <w:p>
      <w:pPr>
        <w:jc w:val="both"/>
        <w:ind w:left="1320" w:right="133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Fixed Dividend Rate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any Series, the rate per annum specified as the Fixed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 Rate for such Series in the Appendix for such Series.</w:t>
      </w:r>
    </w:p>
    <w:p>
      <w:pPr>
        <w:spacing w:after="0" w:line="57" w:lineRule="exact"/>
        <w:rPr>
          <w:sz w:val="20"/>
          <w:szCs w:val="20"/>
          <w:color w:val="auto"/>
        </w:rPr>
      </w:pPr>
    </w:p>
    <w:p>
      <w:pPr>
        <w:jc w:val="both"/>
        <w:ind w:left="1320" w:right="1339" w:firstLine="508"/>
        <w:spacing w:after="0" w:line="270"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Holder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the Term Preferred Shares of any Series or any other security issued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the Corporation, a Person in whose name such security is registered in the registration books of the Corporation maintained by the Redemption and Paying Agent or otherwise.</w:t>
      </w:r>
    </w:p>
    <w:p>
      <w:pPr>
        <w:spacing w:after="0" w:line="81" w:lineRule="exact"/>
        <w:rPr>
          <w:sz w:val="20"/>
          <w:szCs w:val="20"/>
          <w:color w:val="auto"/>
        </w:rPr>
      </w:pPr>
    </w:p>
    <w:p>
      <w:pPr>
        <w:jc w:val="both"/>
        <w:ind w:left="1320" w:right="133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Liquidation Preference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any Series, the amount specified as the liquidation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preference per share for that Series in the Appendix for such Series.</w:t>
      </w:r>
    </w:p>
    <w:p>
      <w:pPr>
        <w:spacing w:after="0" w:line="6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Mandatory Redemption Price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2.5(b)(i)</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jc w:val="both"/>
        <w:ind w:left="1320" w:right="1339" w:firstLine="508"/>
        <w:spacing w:after="0" w:line="256"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Market Value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any asset of the Corporation means, for securities for which market quotations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readily available, the market value thereof determined by an independent third-party pricing service designated from time to time by the Board of Directors. Market Value of any asset shall include any interest accrued thereon. The pricing service shall value portfolio securities at the mean between the quoted bid and asked price or the yield equivalent when quotations are readily available. Securities for which quotations are not readily available shall be valued at fair value as determined by the pricing service using methods that include consideration of: yields or prices of securities of comparable quality, type of issue, coupon, maturity and rating; indications as to value from dealers; and general market conditions. The pricing service may employ electronic data processing techniques or a matrix system, or both, to determine recommended valuations.</w:t>
      </w:r>
    </w:p>
    <w:p>
      <w:pPr>
        <w:spacing w:after="0" w:line="95" w:lineRule="exact"/>
        <w:rPr>
          <w:sz w:val="20"/>
          <w:szCs w:val="20"/>
          <w:color w:val="auto"/>
        </w:rPr>
      </w:pPr>
    </w:p>
    <w:p>
      <w:pPr>
        <w:jc w:val="both"/>
        <w:ind w:left="1320" w:right="133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Non-Call Period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any Series, the period (if any) during which such Series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not be subject to redemption at the option of the Corporation, as set forth in the Appendix for such Series.</w:t>
      </w:r>
    </w:p>
    <w:p>
      <w:pPr>
        <w:spacing w:after="0" w:line="6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Notice of Redemption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2.5(d)</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Optional Redemption 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2.5(c)(i)</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ind w:left="1320" w:right="1339" w:firstLine="508"/>
        <w:spacing w:after="0" w:line="264"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Optional Redemption Premium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any Series, the premium (expressed 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percentage of the Liquidation Preference of the shares of such Series), if any, payable by the Corporation upon the redemption of Term Preferred Shares of such Series at the option of the Corporation, as set forth in the Appendix for such Series.</w:t>
      </w:r>
    </w:p>
    <w:p>
      <w:pPr>
        <w:spacing w:after="0" w:line="8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Optional Redemption Price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2.5(c)(i)</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jc w:val="both"/>
        <w:ind w:left="1320" w:right="135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Outstanding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as of any date with respect to Term Preferred Shares of any Series, the number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Term Preferred Shares of such Series theretofore issued by the Corporation except (without duplication):</w:t>
      </w:r>
    </w:p>
    <w:p>
      <w:pPr>
        <w:spacing w:after="0" w:line="69" w:lineRule="exact"/>
        <w:rPr>
          <w:sz w:val="20"/>
          <w:szCs w:val="20"/>
          <w:color w:val="auto"/>
        </w:rPr>
      </w:pPr>
    </w:p>
    <w:p>
      <w:pPr>
        <w:ind w:left="1840" w:right="1339" w:firstLine="506"/>
        <w:spacing w:after="0" w:line="286" w:lineRule="auto"/>
        <w:tabs>
          <w:tab w:leader="none" w:pos="285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such Series theretofore cancelled or redeemed or delivered to the Redemption and Paying Agent for cancellation or redemption in accordance with the terms hereof;</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50" w:name="page51"/>
    <w:bookmarkEnd w:id="50"/>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840" w:right="1339" w:firstLine="506"/>
        <w:spacing w:after="0" w:line="269" w:lineRule="auto"/>
        <w:tabs>
          <w:tab w:leader="none" w:pos="283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shares of such Series as to which the Corporation shall have given a Notice of Redemption and irrevocably deposited with the Redemption and Paying Agent sufficient Deposit Securities to redeem such shares in accordance with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hereof;</w:t>
      </w:r>
    </w:p>
    <w:p>
      <w:pPr>
        <w:spacing w:after="0" w:line="82" w:lineRule="exact"/>
        <w:rPr>
          <w:rFonts w:ascii="Times New Roman" w:cs="Times New Roman" w:eastAsia="Times New Roman" w:hAnsi="Times New Roman"/>
          <w:sz w:val="14"/>
          <w:szCs w:val="14"/>
          <w:color w:val="auto"/>
        </w:rPr>
      </w:pPr>
    </w:p>
    <w:p>
      <w:pPr>
        <w:ind w:left="1840" w:right="1339" w:firstLine="506"/>
        <w:spacing w:after="0" w:line="286" w:lineRule="auto"/>
        <w:tabs>
          <w:tab w:leader="none" w:pos="284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such Series as to which the Corporation shall be the Holder or the beneficial owner; and</w:t>
      </w:r>
    </w:p>
    <w:p>
      <w:pPr>
        <w:spacing w:after="0" w:line="71" w:lineRule="exact"/>
        <w:rPr>
          <w:rFonts w:ascii="Times New Roman" w:cs="Times New Roman" w:eastAsia="Times New Roman" w:hAnsi="Times New Roman"/>
          <w:sz w:val="14"/>
          <w:szCs w:val="14"/>
          <w:color w:val="auto"/>
        </w:rPr>
      </w:pPr>
    </w:p>
    <w:p>
      <w:pPr>
        <w:ind w:left="1840" w:right="1339" w:firstLine="506"/>
        <w:spacing w:after="0" w:line="286" w:lineRule="auto"/>
        <w:tabs>
          <w:tab w:leader="none" w:pos="283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such Series represented by any certificate in lieu of which any new certificate has been executed and delivered by the Corporation.</w:t>
      </w:r>
    </w:p>
    <w:p>
      <w:pPr>
        <w:spacing w:after="0" w:line="59" w:lineRule="exact"/>
        <w:rPr>
          <w:sz w:val="20"/>
          <w:szCs w:val="20"/>
          <w:color w:val="auto"/>
        </w:rPr>
      </w:pPr>
    </w:p>
    <w:p>
      <w:pPr>
        <w:jc w:val="both"/>
        <w:ind w:left="1320" w:right="1339" w:firstLine="508"/>
        <w:spacing w:after="0" w:line="270"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Person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and includes an individual, a partnership, a trust, a corporation, a limited liability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an unincorporated association, a joint venture or other entity or a government or any agency or political subdivision thereof.</w:t>
      </w:r>
    </w:p>
    <w:p>
      <w:pPr>
        <w:spacing w:after="0" w:line="81" w:lineRule="exact"/>
        <w:rPr>
          <w:sz w:val="20"/>
          <w:szCs w:val="20"/>
          <w:color w:val="auto"/>
        </w:rPr>
      </w:pPr>
    </w:p>
    <w:p>
      <w:pPr>
        <w:jc w:val="both"/>
        <w:ind w:left="1320" w:right="1339" w:firstLine="508"/>
        <w:spacing w:after="0" w:line="264"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Preferred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any Capital Stock of the Corporation classified as preferred stock,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of each Series of Term Preferred Shares, shares of any other series of such preferred stock now or hereafter issued by the Corporation, and any other shares of Capital Stock hereafter authorized and issued by the Corporation of a class having priority over any other class as to distribution of assets or payments of dividends.</w:t>
      </w:r>
    </w:p>
    <w:p>
      <w:pPr>
        <w:spacing w:after="0" w:line="85" w:lineRule="exact"/>
        <w:rPr>
          <w:sz w:val="20"/>
          <w:szCs w:val="20"/>
          <w:color w:val="auto"/>
        </w:rPr>
      </w:pPr>
    </w:p>
    <w:p>
      <w:pPr>
        <w:jc w:val="both"/>
        <w:ind w:left="1320" w:right="1339" w:firstLine="508"/>
        <w:spacing w:after="0" w:line="270"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Redemption and Paying Agent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any Series, Computershare Trust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N.A. and its successors or any other redemption and paying agent appointed by the Corporation with respect to such Series.</w:t>
      </w:r>
    </w:p>
    <w:p>
      <w:pPr>
        <w:spacing w:after="0" w:line="70" w:lineRule="exact"/>
        <w:rPr>
          <w:sz w:val="20"/>
          <w:szCs w:val="20"/>
          <w:color w:val="auto"/>
        </w:rPr>
      </w:pPr>
    </w:p>
    <w:p>
      <w:pPr>
        <w:jc w:val="both"/>
        <w:ind w:left="1320" w:right="1339" w:firstLine="508"/>
        <w:spacing w:after="0" w:line="270"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Redemption and Paying Agent Agreement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any Series, the Redemption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Paying Agent Agreement or other similarly titled agreement by and among the Redemption and Paying Agent for such Series and the Corporation with respect to such Series.</w:t>
      </w:r>
    </w:p>
    <w:p>
      <w:pPr>
        <w:spacing w:after="0" w:line="8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Redemption 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2.5(d)</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Redemption Default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2.2(g)(i)</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jc w:val="both"/>
        <w:ind w:left="1320" w:right="133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Redemption Price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mean the Term Redemption Price, the Mandatory Redemption Price 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Optional Redemption Price, as applicable.</w:t>
      </w:r>
    </w:p>
    <w:p>
      <w:pPr>
        <w:spacing w:after="0" w:line="67" w:lineRule="exact"/>
        <w:rPr>
          <w:sz w:val="20"/>
          <w:szCs w:val="20"/>
          <w:color w:val="auto"/>
        </w:rPr>
      </w:pPr>
    </w:p>
    <w:p>
      <w:pPr>
        <w:jc w:val="both"/>
        <w:ind w:left="1320" w:right="1339" w:firstLine="508"/>
        <w:spacing w:after="0" w:line="264"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SEC Report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any Calendar Quarter, the Corporation’s Annual Report or Semi-Annual Report on Form N-CSR, as applicable, and the applicable monthly report on Form N-PORT filed by the Corporation with the Securities and Exchange Commission with respect to the fiscal period ending as of the last day of such Calendar Quarter.</w:t>
      </w:r>
    </w:p>
    <w:p>
      <w:pPr>
        <w:spacing w:after="0" w:line="85" w:lineRule="exact"/>
        <w:rPr>
          <w:sz w:val="20"/>
          <w:szCs w:val="20"/>
          <w:color w:val="auto"/>
        </w:rPr>
      </w:pPr>
    </w:p>
    <w:p>
      <w:pPr>
        <w:jc w:val="both"/>
        <w:ind w:left="1320" w:right="1339" w:firstLine="508"/>
        <w:spacing w:after="0" w:line="264"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Securities Depository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mean The Depository Trust Company and its successors and assigns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other securities depository selected by the Corporation that agrees to follow the procedures required to be followed by such securities depository as set forth in these Articles Supplementary with respect to the Term Preferred Shares.</w:t>
      </w:r>
    </w:p>
    <w:p>
      <w:pPr>
        <w:spacing w:after="0" w:line="75" w:lineRule="exact"/>
        <w:rPr>
          <w:sz w:val="20"/>
          <w:szCs w:val="20"/>
          <w:color w:val="auto"/>
        </w:rPr>
      </w:pPr>
    </w:p>
    <w:p>
      <w:pPr>
        <w:jc w:val="both"/>
        <w:ind w:left="1320" w:right="133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Senior Security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specified in Section 18 under the 1940 Act, as in effect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date hereof.</w:t>
      </w:r>
    </w:p>
    <w:p>
      <w:pPr>
        <w:spacing w:after="0" w:line="6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Series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 the Recitals of these Articles Supplementary.</w:t>
      </w:r>
    </w:p>
    <w:p>
      <w:pPr>
        <w:spacing w:after="0" w:line="125" w:lineRule="exact"/>
        <w:rPr>
          <w:sz w:val="20"/>
          <w:szCs w:val="20"/>
          <w:color w:val="auto"/>
        </w:rPr>
      </w:pPr>
    </w:p>
    <w:p>
      <w:pPr>
        <w:jc w:val="both"/>
        <w:ind w:left="1320" w:right="1339" w:firstLine="508"/>
        <w:spacing w:after="0" w:line="270"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Short-Term Money Market Instruments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the following types of instruments if, on the date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purchase or other acquisition thereof by the Corporation, the remaining term to maturity thereof is not in excess of 180 days:</w:t>
      </w:r>
    </w:p>
    <w:p>
      <w:pPr>
        <w:spacing w:after="0" w:line="72" w:lineRule="exact"/>
        <w:rPr>
          <w:sz w:val="20"/>
          <w:szCs w:val="20"/>
          <w:color w:val="auto"/>
        </w:rPr>
      </w:pPr>
    </w:p>
    <w:p>
      <w:pPr>
        <w:ind w:left="1840" w:right="1339" w:firstLine="506"/>
        <w:spacing w:after="0" w:line="286" w:lineRule="auto"/>
        <w:tabs>
          <w:tab w:leader="none" w:pos="2834"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paper rated A-1 if such commercial paper matures in 30 days or A-1+ if such commercial paper matures in over 30 days;</w:t>
      </w:r>
    </w:p>
    <w:p>
      <w:pPr>
        <w:spacing w:after="0" w:line="71" w:lineRule="exact"/>
        <w:rPr>
          <w:rFonts w:ascii="Times New Roman" w:cs="Times New Roman" w:eastAsia="Times New Roman" w:hAnsi="Times New Roman"/>
          <w:sz w:val="14"/>
          <w:szCs w:val="14"/>
          <w:color w:val="auto"/>
        </w:rPr>
      </w:pPr>
    </w:p>
    <w:p>
      <w:pPr>
        <w:ind w:left="2840" w:hanging="494"/>
        <w:spacing w:after="0"/>
        <w:tabs>
          <w:tab w:leader="none" w:pos="284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or time deposits in, and banker’s acceptances and certificates of deposit of</w:t>
      </w:r>
    </w:p>
    <w:p>
      <w:pPr>
        <w:spacing w:after="0" w:line="22" w:lineRule="exact"/>
        <w:rPr>
          <w:rFonts w:ascii="Times New Roman" w:cs="Times New Roman" w:eastAsia="Times New Roman" w:hAnsi="Times New Roman"/>
          <w:sz w:val="14"/>
          <w:szCs w:val="14"/>
          <w:color w:val="auto"/>
        </w:rPr>
      </w:pPr>
    </w:p>
    <w:p>
      <w:pPr>
        <w:jc w:val="both"/>
        <w:ind w:left="1840" w:right="1339" w:hanging="2"/>
        <w:spacing w:after="0" w:line="255" w:lineRule="auto"/>
        <w:tabs>
          <w:tab w:leader="none" w:pos="209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depository institution or trust company incorporated under the laws of the United States of America or any state thereof or the District of Columbia or (B) a United States branch office or agency of a foreign depository institution (provided that such branch office or agency is subject to banking regulation under the laws of the United States, any state thereof or the District of Columbia); and (iii) overnight funds.</w:t>
      </w:r>
    </w:p>
    <w:p>
      <w:pPr>
        <w:spacing w:after="0" w:line="81" w:lineRule="exact"/>
        <w:rPr>
          <w:sz w:val="20"/>
          <w:szCs w:val="20"/>
          <w:color w:val="auto"/>
        </w:rPr>
      </w:pPr>
    </w:p>
    <w:p>
      <w:pPr>
        <w:ind w:left="1320" w:right="133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Term Preferred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 the Recitals of these Articles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Supplementary.</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51" w:name="page52"/>
    <w:bookmarkEnd w:id="51"/>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2" w:lineRule="exact"/>
        <w:rPr>
          <w:sz w:val="20"/>
          <w:szCs w:val="20"/>
          <w:color w:val="auto"/>
        </w:rPr>
      </w:pPr>
    </w:p>
    <w:p>
      <w:pPr>
        <w:jc w:val="both"/>
        <w:ind w:left="1320" w:right="1359" w:firstLine="508"/>
        <w:spacing w:after="0" w:line="289"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Term Redemption 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any Series, the date specified as the Term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Redemption Date in the Appendix for such Series.</w:t>
      </w:r>
    </w:p>
    <w:p>
      <w:pPr>
        <w:spacing w:after="0" w:line="6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Term Redemption Price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2.5(a)</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ind w:left="1320" w:right="1339" w:firstLine="508"/>
        <w:spacing w:after="0" w:line="264"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U.S. Government Obligations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direct obligations of the United States or of its agencies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instrumentalities that are entitled to the full faith and credit of the United States and that, other than United States Treasury Bills, provide for the periodic payment of interest and the full payment of principal at maturity or call for redemption.</w:t>
      </w:r>
    </w:p>
    <w:p>
      <w:pPr>
        <w:spacing w:after="0" w:line="7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Voting Period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shall have the meaning as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2.6(b)(i)</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left="1320" w:right="1339" w:firstLine="508"/>
        <w:spacing w:after="0" w:line="263" w:lineRule="auto"/>
        <w:rPr>
          <w:sz w:val="20"/>
          <w:szCs w:val="20"/>
          <w:color w:val="auto"/>
        </w:rPr>
      </w:pPr>
      <w:r>
        <w:rPr>
          <w:rFonts w:ascii="Times New Roman" w:cs="Times New Roman" w:eastAsia="Times New Roman" w:hAnsi="Times New Roman"/>
          <w:sz w:val="14"/>
          <w:szCs w:val="14"/>
          <w:color w:val="auto"/>
        </w:rPr>
        <w:t>With respect to any Series, any additional definitions specifically set forth in the Appendix relating to such Series and any amendments to any definitions specifically set forth in the Appendix relating to such Series, as such Appendix may be amended from time to time, shall be incorporated herein and made part hereof by reference thereto, but only with respect to such Series.</w:t>
      </w:r>
    </w:p>
    <w:p>
      <w:pPr>
        <w:spacing w:after="0" w:line="86" w:lineRule="exact"/>
        <w:rPr>
          <w:sz w:val="20"/>
          <w:szCs w:val="20"/>
          <w:color w:val="auto"/>
        </w:rPr>
      </w:pPr>
    </w:p>
    <w:p>
      <w:pPr>
        <w:jc w:val="both"/>
        <w:ind w:left="1320" w:right="1339" w:firstLine="508"/>
        <w:spacing w:after="0" w:line="254" w:lineRule="auto"/>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headings preceding the text of Articles and Sections included in these Articles Supplementary are for convenience only and shall not be deemed part of these Articles Supplementary or be given any effect in interpreting these Articles Supplementary. The use of the masculine, feminine or neuter gender or the singular or plural form of words herein shall not limit any provision of these Articles Supplementary. The use of the terms “including” or “include” shall in all cases herein mean “including, without limitation” or “include, without limitation,” respectively. Reference to any Person includes such Person’s successors and assigns to the extent such successors and assigns are permitted by the terms of any applicable agreement, and reference to a Person in a particular capacity excludes such Person in any other capacity or individually. Reference to any agreement (including these Articles Supplementary), document or instrument means such agreement, document or instrument as amended or modified and in effect from time to time in accordance with the terms thereof and, if applicable, the terms hereof. Except as otherwise expressly set forth herein, reference to any law means such law as amended, modified, codified, replaced or re-enacted, in whole or in part, including rules, regulations, enforcement procedures and any interpretations promulgated thereunder. Underscored references to Articles or Sections shall refer to those portions of these Articles Supplementary. The use of the terms “hereunder,” “hereof,” “hereto” and words of similar import shall refer to these Articles Supplementary as a whole and not to any particular Article, Section or clause of these Articles Supplementary.</w:t>
      </w:r>
    </w:p>
    <w:p>
      <w:pPr>
        <w:spacing w:after="0" w:line="8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1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TERMS APPLICABLE TO ALL SERIES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TERM PREFERRED SHARES</w:t>
      </w:r>
    </w:p>
    <w:p>
      <w:pPr>
        <w:spacing w:after="0" w:line="110" w:lineRule="exact"/>
        <w:rPr>
          <w:sz w:val="20"/>
          <w:szCs w:val="20"/>
          <w:color w:val="auto"/>
        </w:rPr>
      </w:pPr>
    </w:p>
    <w:p>
      <w:pPr>
        <w:jc w:val="both"/>
        <w:ind w:left="1320" w:right="1339" w:firstLine="508"/>
        <w:spacing w:after="0" w:line="269" w:lineRule="auto"/>
        <w:rPr>
          <w:sz w:val="20"/>
          <w:szCs w:val="20"/>
          <w:color w:val="auto"/>
        </w:rPr>
      </w:pPr>
      <w:r>
        <w:rPr>
          <w:rFonts w:ascii="Times New Roman" w:cs="Times New Roman" w:eastAsia="Times New Roman" w:hAnsi="Times New Roman"/>
          <w:sz w:val="14"/>
          <w:szCs w:val="14"/>
          <w:color w:val="auto"/>
        </w:rPr>
        <w:t>Except for such changes and amendments hereto with respect to a Series of Term Preferred Shares that are specifically contemplated by the Appendix relating to such Series, each Series of Term Preferred Shares shall have the following terms:</w:t>
      </w:r>
    </w:p>
    <w:p>
      <w:pPr>
        <w:spacing w:after="0" w:line="72" w:lineRule="exact"/>
        <w:rPr>
          <w:sz w:val="20"/>
          <w:szCs w:val="20"/>
          <w:color w:val="auto"/>
        </w:rPr>
      </w:pPr>
    </w:p>
    <w:p>
      <w:pPr>
        <w:ind w:left="1840"/>
        <w:spacing w:after="0"/>
        <w:tabs>
          <w:tab w:leader="none" w:pos="232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3"/>
          <w:szCs w:val="13"/>
          <w:u w:val="single" w:color="auto"/>
          <w:color w:val="auto"/>
        </w:rPr>
        <w:t>Number of Shares; Ranking</w:t>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jc w:val="both"/>
        <w:ind w:left="1320" w:right="1339" w:firstLine="1026"/>
        <w:spacing w:after="0" w:line="269" w:lineRule="auto"/>
        <w:tabs>
          <w:tab w:leader="none" w:pos="281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authorized shares constituting any Series of Term Preferred Shares shall be as set forth with respect to such Series in the Appendix hereto relating to such Series. No fractional Term Preferred Shares shall be issued.</w:t>
      </w:r>
    </w:p>
    <w:p>
      <w:pPr>
        <w:spacing w:after="0" w:line="82" w:lineRule="exact"/>
        <w:rPr>
          <w:rFonts w:ascii="Times New Roman" w:cs="Times New Roman" w:eastAsia="Times New Roman" w:hAnsi="Times New Roman"/>
          <w:sz w:val="14"/>
          <w:szCs w:val="14"/>
          <w:color w:val="auto"/>
        </w:rPr>
      </w:pPr>
    </w:p>
    <w:p>
      <w:pPr>
        <w:jc w:val="both"/>
        <w:ind w:left="1320" w:right="1339" w:firstLine="1026"/>
        <w:spacing w:after="0" w:line="259" w:lineRule="auto"/>
        <w:tabs>
          <w:tab w:leader="none" w:pos="281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Preferred Shares of each Series shall rank on parity with shares of each other Series of Term Preferred Shares and with shares of any other series of Preferred Stock as to the payment of dividends and the distribution of assets upon dissolution, liquidation or winding up of the affairs of the Corporation. The Term Preferred Shares of each Series shall have preference with respect to the payment of dividends and as to distribution of assets upon dissolution, liquidation or winding up of the affairs of the Corporation over the Common Stock as set forth herein.</w:t>
      </w:r>
    </w:p>
    <w:p>
      <w:pPr>
        <w:spacing w:after="0" w:line="79" w:lineRule="exact"/>
        <w:rPr>
          <w:rFonts w:ascii="Times New Roman" w:cs="Times New Roman" w:eastAsia="Times New Roman" w:hAnsi="Times New Roman"/>
          <w:sz w:val="14"/>
          <w:szCs w:val="14"/>
          <w:color w:val="auto"/>
        </w:rPr>
      </w:pPr>
    </w:p>
    <w:p>
      <w:pPr>
        <w:jc w:val="both"/>
        <w:ind w:left="1320" w:right="1339" w:firstLine="1026"/>
        <w:spacing w:after="0" w:line="269" w:lineRule="auto"/>
        <w:tabs>
          <w:tab w:leader="none" w:pos="281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Holder of Term Preferred Shares shall have, solely by reason of being such a Holder, any preemptive or other right to acquire, purchase or subscribe for any Term Preferred Shares or shares of Common Stock or other securities of the Corporation which it may hereafter issue or sell.</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52" w:name="page53"/>
    <w:bookmarkEnd w:id="52"/>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ind w:left="1840"/>
        <w:spacing w:after="0"/>
        <w:tabs>
          <w:tab w:leader="none" w:pos="232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color w:val="auto"/>
        </w:rPr>
        <w:t>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-5080</wp:posOffset>
            </wp:positionV>
            <wp:extent cx="100965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009650" cy="6985"/>
                    </a:xfrm>
                    <a:prstGeom prst="rect">
                      <a:avLst/>
                    </a:prstGeom>
                    <a:noFill/>
                  </pic:spPr>
                </pic:pic>
              </a:graphicData>
            </a:graphic>
          </wp:anchor>
        </w:drawing>
      </w:r>
    </w:p>
    <w:p>
      <w:pPr>
        <w:spacing w:after="0" w:line="105" w:lineRule="exact"/>
        <w:rPr>
          <w:sz w:val="20"/>
          <w:szCs w:val="20"/>
          <w:color w:val="auto"/>
        </w:rPr>
      </w:pPr>
    </w:p>
    <w:p>
      <w:pPr>
        <w:jc w:val="both"/>
        <w:ind w:left="1320" w:right="1339" w:firstLine="1026"/>
        <w:spacing w:after="0" w:line="255" w:lineRule="auto"/>
        <w:tabs>
          <w:tab w:leader="none" w:pos="281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Holders of any Term Preferred Shares of any Series shall be entitled to receive, when, as and if declared by, or under authority granted by, the Board of Directors, out of funds legally available therefor and in preference to dividends and distributions on the Common Stock, cumulative cash dividends and distributions on each share of such Series, calculated separately for each Dividend Period for such Series at the Dividend Rate in effect from time to time for such Series during such Dividend Period, computed on the basis of a 360-day year consisting of twelve 30-day months, on an amount equal to the Liquidation Preference for a share of such Series, and no more. Dividends and distributions on the Term Preferred Shares of any Series shall accumulate from the Date of Original Issue with respect to such Series and shall be payable monthly in arrears as provided in </w:t>
      </w:r>
      <w:r>
        <w:rPr>
          <w:rFonts w:ascii="Times New Roman" w:cs="Times New Roman" w:eastAsia="Times New Roman" w:hAnsi="Times New Roman"/>
          <w:sz w:val="14"/>
          <w:szCs w:val="14"/>
          <w:u w:val="single" w:color="auto"/>
          <w:color w:val="auto"/>
        </w:rPr>
        <w:t>Section 2.2(f)</w:t>
      </w:r>
      <w:r>
        <w:rPr>
          <w:rFonts w:ascii="Times New Roman" w:cs="Times New Roman" w:eastAsia="Times New Roman" w:hAnsi="Times New Roman"/>
          <w:sz w:val="14"/>
          <w:szCs w:val="14"/>
          <w:color w:val="auto"/>
        </w:rPr>
        <w:t>. Dividends payable on any Term Preferred Shares of any Series for any period of less than a full monthly Dividend Period, upon any redemption of such shares on any Redemption Date other than on a Dividend Payment Date, or, in the case of the first Dividend Period, more than a full monthly period, shall be computed on the basis of a 360-day year consisting of twelve 30-day months and the actual number of days elapsed for any period of less than, or, in the case of the first Dividend Period, greater than, one month.</w:t>
      </w:r>
    </w:p>
    <w:p>
      <w:pPr>
        <w:spacing w:after="0" w:line="93" w:lineRule="exact"/>
        <w:rPr>
          <w:rFonts w:ascii="Times New Roman" w:cs="Times New Roman" w:eastAsia="Times New Roman" w:hAnsi="Times New Roman"/>
          <w:sz w:val="14"/>
          <w:szCs w:val="14"/>
          <w:color w:val="auto"/>
        </w:rPr>
      </w:pPr>
    </w:p>
    <w:p>
      <w:pPr>
        <w:jc w:val="both"/>
        <w:ind w:left="1320" w:right="1339" w:firstLine="1026"/>
        <w:spacing w:after="0" w:line="259" w:lineRule="auto"/>
        <w:tabs>
          <w:tab w:leader="none" w:pos="281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Dividends on shares of each Series of Term Preferred Shares with respect to any Dividend Period shall be declared to the Holders of record of such shares as their names shall appear on the registration books of the Corporation at the close of business on the applicable record date, which shall be such date designated by the Board of Directors that is not more than twenty (20) nor less than ten (10) calendar days prior to the Dividend Payment Date with respect to such Dividend Period, and shall be paid as provided further in </w:t>
      </w:r>
      <w:r>
        <w:rPr>
          <w:rFonts w:ascii="Times New Roman" w:cs="Times New Roman" w:eastAsia="Times New Roman" w:hAnsi="Times New Roman"/>
          <w:sz w:val="14"/>
          <w:szCs w:val="14"/>
          <w:u w:val="single" w:color="auto"/>
          <w:color w:val="auto"/>
        </w:rPr>
        <w:t>Section 2.2(f)</w:t>
      </w:r>
      <w:r>
        <w:rPr>
          <w:rFonts w:ascii="Times New Roman" w:cs="Times New Roman" w:eastAsia="Times New Roman" w:hAnsi="Times New Roman"/>
          <w:sz w:val="14"/>
          <w:szCs w:val="14"/>
          <w:color w:val="auto"/>
        </w:rPr>
        <w:t xml:space="preserve"> hereof.</w:t>
      </w:r>
    </w:p>
    <w:p>
      <w:pPr>
        <w:spacing w:after="0" w:line="79" w:lineRule="exact"/>
        <w:rPr>
          <w:rFonts w:ascii="Times New Roman" w:cs="Times New Roman" w:eastAsia="Times New Roman" w:hAnsi="Times New Roman"/>
          <w:sz w:val="14"/>
          <w:szCs w:val="14"/>
          <w:color w:val="auto"/>
        </w:rPr>
      </w:pPr>
    </w:p>
    <w:p>
      <w:pPr>
        <w:jc w:val="both"/>
        <w:ind w:left="1320" w:right="1339" w:firstLine="1026"/>
        <w:spacing w:after="0" w:line="255" w:lineRule="auto"/>
        <w:tabs>
          <w:tab w:leader="none" w:pos="281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No full dividends and distributions shall be declared or paid on shares of a Series of Term Preferred Shares for any Dividend Period or part thereof unless full cumulative dividends and distributions due through the most recent dividend payment dates therefor for all outstanding shares of Preferred Stock (including shares of other Series of Term Preferred Shares) have been or contemporaneously are declared and paid through the most recent dividend payment dates therefor. If full cumulative dividends and distributions due have not been declared and paid on all outstanding Preferred Stock of any series, any dividends and distributions being declared and paid on a Series of Term Preferred Shares will be declared and paid as nearly pro rata as possible in proportion to the respective amounts of dividends and distributions accumulated but unpaid on each such series of Preferred Stock on the relevant dividend payment date for such series. No Holders of Term Preferred Shares shall be entitled to any dividends and distributions, whether payable in cash, property or shares, in excess of full cumulative dividends and distributions as provided in this </w:t>
      </w:r>
      <w:r>
        <w:rPr>
          <w:rFonts w:ascii="Times New Roman" w:cs="Times New Roman" w:eastAsia="Times New Roman" w:hAnsi="Times New Roman"/>
          <w:sz w:val="14"/>
          <w:szCs w:val="14"/>
          <w:u w:val="single" w:color="auto"/>
          <w:color w:val="auto"/>
        </w:rPr>
        <w:t>Section 2.2(c)(i)</w:t>
      </w:r>
      <w:r>
        <w:rPr>
          <w:rFonts w:ascii="Times New Roman" w:cs="Times New Roman" w:eastAsia="Times New Roman" w:hAnsi="Times New Roman"/>
          <w:sz w:val="14"/>
          <w:szCs w:val="14"/>
          <w:color w:val="auto"/>
        </w:rPr>
        <w:t xml:space="preserve"> on such Term Preferred Shares.</w:t>
      </w:r>
    </w:p>
    <w:p>
      <w:pPr>
        <w:spacing w:after="0" w:line="95" w:lineRule="exact"/>
        <w:rPr>
          <w:rFonts w:ascii="Times New Roman" w:cs="Times New Roman" w:eastAsia="Times New Roman" w:hAnsi="Times New Roman"/>
          <w:sz w:val="14"/>
          <w:szCs w:val="14"/>
          <w:color w:val="auto"/>
        </w:rPr>
      </w:pPr>
    </w:p>
    <w:p>
      <w:pPr>
        <w:jc w:val="both"/>
        <w:ind w:left="1320" w:right="1339" w:firstLine="1533"/>
        <w:spacing w:after="0" w:line="254" w:lineRule="auto"/>
        <w:tabs>
          <w:tab w:leader="none" w:pos="3333"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so long as any Term Preferred Shares are Outstanding, the Corporation shall not: (x) declare any dividend or other distribution (other than a dividend or distribution paid in shares of Common Stock) in respect of the Common Stock, (y) call for redemption, redeem, purchase or otherwise acquire for consideration any Common Stock, or (z) pay any proceeds of the liquidation of the Corporation in respect of the Common Stock, unless, in each case, (A) immediately thereafter, the Corporation shall have 1940 Act Asset Coverage after deducting the amount of such dividend or distribution or redemption or purchase price or liquidation proceeds, (B) all cumulative dividends and distributions on all Term Preferred Shares and all other Preferred Stock ranking on a parity with the Term Preferred Shares due on or prior to the earlier of the declaration, record or payment date, as applicable, of the applicable dividend, distribution, redemption, purchase or acquisition shall have been declared and paid (or shall have been declared and Deposit Securities or sufficient funds (in accordance with the terms of such Preferred Stock) for the payment thereof shall have been deposited irrevocably with the paying agent for such Preferred Stock) and (C) the Corporation shall have deposited Deposit Securities pursuant to and in accordance with the requirements of </w:t>
      </w:r>
      <w:r>
        <w:rPr>
          <w:rFonts w:ascii="Times New Roman" w:cs="Times New Roman" w:eastAsia="Times New Roman" w:hAnsi="Times New Roman"/>
          <w:sz w:val="14"/>
          <w:szCs w:val="14"/>
          <w:u w:val="single" w:color="auto"/>
          <w:color w:val="auto"/>
        </w:rPr>
        <w:t>Section 2.5(d)(ii)</w:t>
      </w:r>
      <w:r>
        <w:rPr>
          <w:rFonts w:ascii="Times New Roman" w:cs="Times New Roman" w:eastAsia="Times New Roman" w:hAnsi="Times New Roman"/>
          <w:sz w:val="14"/>
          <w:szCs w:val="14"/>
          <w:color w:val="auto"/>
        </w:rPr>
        <w:t xml:space="preserve"> hereof with respect to Outstanding Term Preferred Shares of any Series to be redeemed pursuant to </w:t>
      </w:r>
      <w:r>
        <w:rPr>
          <w:rFonts w:ascii="Times New Roman" w:cs="Times New Roman" w:eastAsia="Times New Roman" w:hAnsi="Times New Roman"/>
          <w:sz w:val="14"/>
          <w:szCs w:val="14"/>
          <w:u w:val="single" w:color="auto"/>
          <w:color w:val="auto"/>
        </w:rPr>
        <w:t>Section 2.5(a)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2.5(b)</w:t>
      </w:r>
      <w:r>
        <w:rPr>
          <w:rFonts w:ascii="Times New Roman" w:cs="Times New Roman" w:eastAsia="Times New Roman" w:hAnsi="Times New Roman"/>
          <w:sz w:val="14"/>
          <w:szCs w:val="14"/>
          <w:color w:val="auto"/>
        </w:rPr>
        <w:t xml:space="preserve"> hereof for which a Notice of Redemption shall have been given or shall have been required to be given in accordance with the terms hereof on or prior to the date of the applicable dividend, distribution, redemption, purchase or acquisition.</w:t>
      </w:r>
    </w:p>
    <w:p>
      <w:pPr>
        <w:spacing w:after="0" w:line="97" w:lineRule="exact"/>
        <w:rPr>
          <w:rFonts w:ascii="Times New Roman" w:cs="Times New Roman" w:eastAsia="Times New Roman" w:hAnsi="Times New Roman"/>
          <w:sz w:val="14"/>
          <w:szCs w:val="14"/>
          <w:color w:val="auto"/>
        </w:rPr>
      </w:pPr>
    </w:p>
    <w:p>
      <w:pPr>
        <w:jc w:val="both"/>
        <w:ind w:left="1320" w:right="1339" w:firstLine="1533"/>
        <w:spacing w:after="0" w:line="263" w:lineRule="auto"/>
        <w:tabs>
          <w:tab w:leader="none" w:pos="3341"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dividend payment made on shares of a Series of Term Preferred Shares shall be credited against the dividends and distributions accumulated with respect to the Dividend Period or Dividend Periods for such Series for which dividends and distributions have not been paid, in chronological order.</w:t>
      </w:r>
    </w:p>
    <w:p>
      <w:pPr>
        <w:spacing w:after="0" w:line="77" w:lineRule="exact"/>
        <w:rPr>
          <w:rFonts w:ascii="Times New Roman" w:cs="Times New Roman" w:eastAsia="Times New Roman" w:hAnsi="Times New Roman"/>
          <w:sz w:val="14"/>
          <w:szCs w:val="14"/>
          <w:color w:val="auto"/>
        </w:rPr>
      </w:pPr>
    </w:p>
    <w:p>
      <w:pPr>
        <w:jc w:val="both"/>
        <w:ind w:left="1320" w:right="1339" w:firstLine="1026"/>
        <w:spacing w:after="0" w:line="263" w:lineRule="auto"/>
        <w:tabs>
          <w:tab w:leader="none" w:pos="281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later than 12:00 noon, New York City time, on the Dividend Payment Date for a Series of Term Preferred Shares, the Corporation shall deposit with the Redemption and Paying Agent Deposit Securities having an aggregate Market Value on such date sufficient to pay the dividends and distributions that are payable 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53" w:name="page54"/>
    <w:bookmarkEnd w:id="53"/>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60" w:lineRule="auto"/>
        <w:rPr>
          <w:sz w:val="20"/>
          <w:szCs w:val="20"/>
          <w:color w:val="auto"/>
        </w:rPr>
      </w:pPr>
      <w:r>
        <w:rPr>
          <w:rFonts w:ascii="Times New Roman" w:cs="Times New Roman" w:eastAsia="Times New Roman" w:hAnsi="Times New Roman"/>
          <w:sz w:val="14"/>
          <w:szCs w:val="14"/>
          <w:color w:val="auto"/>
        </w:rPr>
        <w:t>such Dividend Payment Date in respect of such Series. The Corporation may direct the Redemption and Paying Agent with respect to the investment or reinvestment of any such Deposit Securities prior to the Dividend Payment Date, provided that such investment or reinvestment consists exclusively of Deposit Securities and provided further that the proceeds of any such investment will be available as same day funds at the opening of business on such Dividend Payment Date.</w:t>
      </w:r>
    </w:p>
    <w:p>
      <w:pPr>
        <w:spacing w:after="0" w:line="91" w:lineRule="exact"/>
        <w:rPr>
          <w:sz w:val="20"/>
          <w:szCs w:val="20"/>
          <w:color w:val="auto"/>
        </w:rPr>
      </w:pPr>
    </w:p>
    <w:p>
      <w:pPr>
        <w:jc w:val="both"/>
        <w:ind w:left="1320" w:right="1339" w:firstLine="1026"/>
        <w:spacing w:after="0" w:line="257" w:lineRule="auto"/>
        <w:tabs>
          <w:tab w:leader="none" w:pos="281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Deposit Securities paid to the Redemption and Paying Agent for the payment of dividends payable on a Series of Term Preferred Shares shall be held in trust for the payment of such dividends by the Redemption and Paying Agent for the benefit of the Holders of such Series entitled to the payment of such dividends pursuant to </w:t>
      </w:r>
      <w:r>
        <w:rPr>
          <w:rFonts w:ascii="Times New Roman" w:cs="Times New Roman" w:eastAsia="Times New Roman" w:hAnsi="Times New Roman"/>
          <w:sz w:val="14"/>
          <w:szCs w:val="14"/>
          <w:u w:val="single" w:color="auto"/>
          <w:color w:val="auto"/>
        </w:rPr>
        <w:t>Section 2.2(f)</w:t>
      </w:r>
      <w:r>
        <w:rPr>
          <w:rFonts w:ascii="Times New Roman" w:cs="Times New Roman" w:eastAsia="Times New Roman" w:hAnsi="Times New Roman"/>
          <w:sz w:val="14"/>
          <w:szCs w:val="14"/>
          <w:color w:val="auto"/>
        </w:rPr>
        <w:t>. Any moneys paid to the Redemption and Paying Agent in accordance with the foregoing but not applied by the Redemption and Paying Agent to the payment of dividends, including interest earned on such moneys while so held, will, to the extent permitted by law, be repaid to the Corporation as soon as possible after the date on which such moneys were to have been so applied, upon request of the Corporation.</w:t>
      </w:r>
    </w:p>
    <w:p>
      <w:pPr>
        <w:spacing w:after="0" w:line="91" w:lineRule="exact"/>
        <w:rPr>
          <w:rFonts w:ascii="Times New Roman" w:cs="Times New Roman" w:eastAsia="Times New Roman" w:hAnsi="Times New Roman"/>
          <w:sz w:val="14"/>
          <w:szCs w:val="14"/>
          <w:color w:val="auto"/>
        </w:rPr>
      </w:pPr>
    </w:p>
    <w:p>
      <w:pPr>
        <w:jc w:val="both"/>
        <w:ind w:left="1320" w:right="1339" w:firstLine="1026"/>
        <w:spacing w:after="0" w:line="256" w:lineRule="auto"/>
        <w:tabs>
          <w:tab w:leader="none" w:pos="285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Dividends on shares of a Series of Term Preferred Shares shall be paid on each Dividend Payment Date for such Series to the Holders of shares of such Series as their names appear on the registration books of the Corporation at the close of business on the applicable record date for such dividend, which record date shall be determined as set forth in </w:t>
      </w:r>
      <w:r>
        <w:rPr>
          <w:rFonts w:ascii="Times New Roman" w:cs="Times New Roman" w:eastAsia="Times New Roman" w:hAnsi="Times New Roman"/>
          <w:sz w:val="14"/>
          <w:szCs w:val="14"/>
          <w:u w:val="single" w:color="auto"/>
          <w:color w:val="auto"/>
        </w:rPr>
        <w:t>Section 2.2(b)</w:t>
      </w:r>
      <w:r>
        <w:rPr>
          <w:rFonts w:ascii="Times New Roman" w:cs="Times New Roman" w:eastAsia="Times New Roman" w:hAnsi="Times New Roman"/>
          <w:sz w:val="14"/>
          <w:szCs w:val="14"/>
          <w:color w:val="auto"/>
        </w:rPr>
        <w:t>. Dividends in arrears on shares of a Series of Term Preferred Shares for any past Dividend Period may be declared and paid at any time, without reference to any regular Dividend Payment Date, to the Holders of shares of such Series as their names appear on the registration books of the Corporation on such date, not exceeding twenty (20) nor less than ten (10) calendar days preceding the payment date thereof, as may be fixed by the Board of Directors. No interest or sum of money in lieu of interest will be payable in respect of any dividend payment or payments on shares of any Series of Term Preferred Shares which may be in arrears.</w:t>
      </w:r>
    </w:p>
    <w:p>
      <w:pPr>
        <w:spacing w:after="0" w:line="81" w:lineRule="exact"/>
        <w:rPr>
          <w:rFonts w:ascii="Times New Roman" w:cs="Times New Roman" w:eastAsia="Times New Roman" w:hAnsi="Times New Roman"/>
          <w:sz w:val="14"/>
          <w:szCs w:val="14"/>
          <w:color w:val="auto"/>
        </w:rPr>
      </w:pPr>
    </w:p>
    <w:p>
      <w:pPr>
        <w:jc w:val="both"/>
        <w:ind w:left="1320" w:right="1339" w:firstLine="1026"/>
        <w:spacing w:after="0" w:line="254" w:lineRule="auto"/>
        <w:tabs>
          <w:tab w:leader="none" w:pos="281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Dividend Rate on a Series of Term Preferred Shares shall be adjusted to the Default Rate (as defined below) in the following circumstances. Subject to the cure provisions below, a “</w:t>
      </w:r>
      <w:r>
        <w:rPr>
          <w:rFonts w:ascii="Times New Roman" w:cs="Times New Roman" w:eastAsia="Times New Roman" w:hAnsi="Times New Roman"/>
          <w:sz w:val="14"/>
          <w:szCs w:val="14"/>
          <w:u w:val="single" w:color="auto"/>
          <w:color w:val="auto"/>
        </w:rPr>
        <w:t>Default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Period</w:t>
      </w:r>
      <w:r>
        <w:rPr>
          <w:rFonts w:ascii="Times New Roman" w:cs="Times New Roman" w:eastAsia="Times New Roman" w:hAnsi="Times New Roman"/>
          <w:sz w:val="14"/>
          <w:szCs w:val="14"/>
          <w:color w:val="auto"/>
        </w:rPr>
        <w:t>” with respect to a Series of Term Preferred Shares shall commence on any date the Corporation fails to deposit with the Redemption and Paying Agent by 12:00 noon, New York City time, on (A) a Dividend Payment Date for such Series, Deposit Securities that will provide funds available to the Redemption and Paying Agent on such Dividend Payment Date sufficient to pay the full amount of any dividend on such Series payable on such Dividend Payment Date (a “</w:t>
      </w:r>
      <w:r>
        <w:rPr>
          <w:rFonts w:ascii="Times New Roman" w:cs="Times New Roman" w:eastAsia="Times New Roman" w:hAnsi="Times New Roman"/>
          <w:sz w:val="14"/>
          <w:szCs w:val="14"/>
          <w:u w:val="single" w:color="auto"/>
          <w:color w:val="auto"/>
        </w:rPr>
        <w:t>Dividend Default</w:t>
      </w:r>
      <w:r>
        <w:rPr>
          <w:rFonts w:ascii="Times New Roman" w:cs="Times New Roman" w:eastAsia="Times New Roman" w:hAnsi="Times New Roman"/>
          <w:sz w:val="14"/>
          <w:szCs w:val="14"/>
          <w:color w:val="auto"/>
        </w:rPr>
        <w:t>”) or (B) an applicable Redemption Date for such Series, Deposit Securities that will provide funds available to the Redemption and Paying Agent on such Redemption Date sufficient to pay the full amount of the Redemption Price payable in respect of such Series on such Redemption Date (a “</w:t>
      </w:r>
      <w:r>
        <w:rPr>
          <w:rFonts w:ascii="Times New Roman" w:cs="Times New Roman" w:eastAsia="Times New Roman" w:hAnsi="Times New Roman"/>
          <w:sz w:val="14"/>
          <w:szCs w:val="14"/>
          <w:u w:val="single" w:color="auto"/>
          <w:color w:val="auto"/>
        </w:rPr>
        <w:t>Redemption Default</w:t>
      </w:r>
      <w:r>
        <w:rPr>
          <w:rFonts w:ascii="Times New Roman" w:cs="Times New Roman" w:eastAsia="Times New Roman" w:hAnsi="Times New Roman"/>
          <w:sz w:val="14"/>
          <w:szCs w:val="14"/>
          <w:color w:val="auto"/>
        </w:rPr>
        <w:t>” and together with a Dividend Default, hereinafter referred to as “</w:t>
      </w:r>
      <w:r>
        <w:rPr>
          <w:rFonts w:ascii="Times New Roman" w:cs="Times New Roman" w:eastAsia="Times New Roman" w:hAnsi="Times New Roman"/>
          <w:sz w:val="14"/>
          <w:szCs w:val="14"/>
          <w:u w:val="single" w:color="auto"/>
          <w:color w:val="auto"/>
        </w:rPr>
        <w:t>Default</w:t>
      </w:r>
      <w:r>
        <w:rPr>
          <w:rFonts w:ascii="Times New Roman" w:cs="Times New Roman" w:eastAsia="Times New Roman" w:hAnsi="Times New Roman"/>
          <w:sz w:val="14"/>
          <w:szCs w:val="14"/>
          <w:color w:val="auto"/>
        </w:rPr>
        <w:t xml:space="preserve">”). Subject to the cure provisions of </w:t>
      </w:r>
      <w:r>
        <w:rPr>
          <w:rFonts w:ascii="Times New Roman" w:cs="Times New Roman" w:eastAsia="Times New Roman" w:hAnsi="Times New Roman"/>
          <w:sz w:val="14"/>
          <w:szCs w:val="14"/>
          <w:u w:val="single" w:color="auto"/>
          <w:color w:val="auto"/>
        </w:rPr>
        <w:t>Section 2.2(g)(ii)</w:t>
      </w:r>
      <w:r>
        <w:rPr>
          <w:rFonts w:ascii="Times New Roman" w:cs="Times New Roman" w:eastAsia="Times New Roman" w:hAnsi="Times New Roman"/>
          <w:sz w:val="14"/>
          <w:szCs w:val="14"/>
          <w:color w:val="auto"/>
        </w:rPr>
        <w:t xml:space="preserve"> below, a Default Period with respect to a Dividend Default or a Redemption Default on a Series of Term Preferred Shares shall end on the Business Day on which, by 12:00 noon, New York City time, an amount equal to all unpaid dividends on such Series and any unpaid Redemption Price on such Series shall have been deposited irrevocably in trust in same-day funds with the Redemption and Paying Agent. In the case of any Default on a Series of Term Preferred Shares, the Dividend Rate for such Series for each calendar day during the Default Period will be equal to the Default Rate. The “</w:t>
      </w:r>
      <w:r>
        <w:rPr>
          <w:rFonts w:ascii="Times New Roman" w:cs="Times New Roman" w:eastAsia="Times New Roman" w:hAnsi="Times New Roman"/>
          <w:sz w:val="14"/>
          <w:szCs w:val="14"/>
          <w:u w:val="single" w:color="auto"/>
          <w:color w:val="auto"/>
        </w:rPr>
        <w:t>Default Rate</w:t>
      </w:r>
      <w:r>
        <w:rPr>
          <w:rFonts w:ascii="Times New Roman" w:cs="Times New Roman" w:eastAsia="Times New Roman" w:hAnsi="Times New Roman"/>
          <w:sz w:val="14"/>
          <w:szCs w:val="14"/>
          <w:color w:val="auto"/>
        </w:rPr>
        <w:t>” on a Series of Term Preferred Shares for any calendar day shall be equal to the Fixed Dividend Rate for such Series plus two percent (2%) per annum.</w:t>
      </w:r>
    </w:p>
    <w:p>
      <w:pPr>
        <w:spacing w:after="0" w:line="96" w:lineRule="exact"/>
        <w:rPr>
          <w:rFonts w:ascii="Times New Roman" w:cs="Times New Roman" w:eastAsia="Times New Roman" w:hAnsi="Times New Roman"/>
          <w:sz w:val="14"/>
          <w:szCs w:val="14"/>
          <w:color w:val="auto"/>
        </w:rPr>
      </w:pPr>
    </w:p>
    <w:p>
      <w:pPr>
        <w:jc w:val="both"/>
        <w:ind w:left="1320" w:right="1339" w:firstLine="1533"/>
        <w:spacing w:after="0" w:line="257" w:lineRule="auto"/>
        <w:tabs>
          <w:tab w:leader="none" w:pos="3333"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Period for a Series of Term Preferred Shares with respect to any Default on such Series shall be deemed to commence if the amount of any dividend or any Redemption Price due in respect of such Series (if such Default is not solely due to the willful failure of the Corporation) is deposited irrevocably in trust, in same-day funds, with the Redemption and Paying Agent by 12:00 noon, New York City time, on a Business Day that is not later than three (3) Business Days after the applicable Dividend Payment Date or Redemption Date for such Series with respect to which such Default occurred, together with an amount equal to the Default Rate on such Series applied to the amount and period of such non-payment on such Series, based on the actual number of calendar days comprising such period divided by 360.</w:t>
      </w:r>
    </w:p>
    <w:p>
      <w:pPr>
        <w:spacing w:after="0" w:line="92" w:lineRule="exact"/>
        <w:rPr>
          <w:sz w:val="20"/>
          <w:szCs w:val="20"/>
          <w:color w:val="auto"/>
        </w:rPr>
      </w:pPr>
    </w:p>
    <w:p>
      <w:pPr>
        <w:ind w:left="1840"/>
        <w:spacing w:after="0"/>
        <w:tabs>
          <w:tab w:leader="none" w:pos="232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3"/>
          <w:szCs w:val="13"/>
          <w:color w:val="auto"/>
        </w:rPr>
        <w:t>Liquidation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-5080</wp:posOffset>
            </wp:positionV>
            <wp:extent cx="67437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674370" cy="6985"/>
                    </a:xfrm>
                    <a:prstGeom prst="rect">
                      <a:avLst/>
                    </a:prstGeom>
                    <a:noFill/>
                  </pic:spPr>
                </pic:pic>
              </a:graphicData>
            </a:graphic>
          </wp:anchor>
        </w:drawing>
      </w:r>
    </w:p>
    <w:p>
      <w:pPr>
        <w:spacing w:after="0" w:line="94" w:lineRule="exact"/>
        <w:rPr>
          <w:sz w:val="20"/>
          <w:szCs w:val="20"/>
          <w:color w:val="auto"/>
        </w:rPr>
      </w:pPr>
    </w:p>
    <w:p>
      <w:pPr>
        <w:jc w:val="both"/>
        <w:ind w:left="1320" w:right="1339" w:firstLine="1026"/>
        <w:spacing w:after="0" w:line="259" w:lineRule="auto"/>
        <w:tabs>
          <w:tab w:leader="none" w:pos="281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any liquidation, dissolution or winding up of the affairs of the Corporation, whether voluntary or involuntary, the Holders of Term Preferred Shares shall be entitled to receive out of the assets of the Corporation available for distribution to shareholders, after satisfying claims of creditors but before any distribution or payment shall be made in respect of the Common Stock, a liquidation distribution equal to the Liquidation Preference for such shares, plus an amount equal to all unpaid dividends and distributions on such shares accumulated to (but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54" w:name="page55"/>
    <w:bookmarkEnd w:id="54"/>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69" w:lineRule="auto"/>
        <w:rPr>
          <w:sz w:val="20"/>
          <w:szCs w:val="20"/>
          <w:color w:val="auto"/>
        </w:rPr>
      </w:pPr>
      <w:r>
        <w:rPr>
          <w:rFonts w:ascii="Times New Roman" w:cs="Times New Roman" w:eastAsia="Times New Roman" w:hAnsi="Times New Roman"/>
          <w:sz w:val="14"/>
          <w:szCs w:val="14"/>
          <w:color w:val="auto"/>
        </w:rPr>
        <w:t>excluding) the date fixed for such distribution or payment on such shares (whether or not earned or declared by the Corporation, but excluding interest thereon), and such Holders shall be entitled to no further participation in any distribution or payment in connection with any such liquidation, dissolution or winding up.</w:t>
      </w:r>
    </w:p>
    <w:p>
      <w:pPr>
        <w:spacing w:after="0" w:line="83" w:lineRule="exact"/>
        <w:rPr>
          <w:sz w:val="20"/>
          <w:szCs w:val="20"/>
          <w:color w:val="auto"/>
        </w:rPr>
      </w:pPr>
    </w:p>
    <w:p>
      <w:pPr>
        <w:jc w:val="both"/>
        <w:ind w:left="1320" w:right="1339" w:firstLine="1026"/>
        <w:spacing w:after="0" w:line="254" w:lineRule="auto"/>
        <w:tabs>
          <w:tab w:leader="none" w:pos="2818"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upon any liquidation, dissolution or winding up of the affairs of the Corporation, whether voluntary or involuntary, the assets of the Corporation available for distribution among the Holders of all Outstanding Term Preferred Shares and any other outstanding Preferred Stock shall be insufficient to permit the payment in full to such Holders of the Liquidation Preference of such Term Preferred Shares plus accumulated and unpaid dividends and distributions on such shares as provided in </w:t>
      </w:r>
      <w:r>
        <w:rPr>
          <w:rFonts w:ascii="Times New Roman" w:cs="Times New Roman" w:eastAsia="Times New Roman" w:hAnsi="Times New Roman"/>
          <w:sz w:val="14"/>
          <w:szCs w:val="14"/>
          <w:u w:val="single" w:color="auto"/>
          <w:color w:val="auto"/>
        </w:rPr>
        <w:t>Section 2.3(a)</w:t>
      </w:r>
      <w:r>
        <w:rPr>
          <w:rFonts w:ascii="Times New Roman" w:cs="Times New Roman" w:eastAsia="Times New Roman" w:hAnsi="Times New Roman"/>
          <w:sz w:val="14"/>
          <w:szCs w:val="14"/>
          <w:color w:val="auto"/>
        </w:rPr>
        <w:t xml:space="preserve"> above and the amounts due upon liquidation with respect to such other Preferred Stock, then such available assets shall be distributed among the Holders of such Term Preferred Shares and such other Preferred Stock ratably in proportion to the respective preferential liquidation amounts to which they are entitled. In connection with any liquidation, dissolution or winding up of the affairs of the Corporation, whether voluntary or involuntary, unless and until the Liquidation Preference on each Outstanding Term Preferred Share plus accumulated and unpaid dividends and distributions on such shares as provided in </w:t>
      </w:r>
      <w:r>
        <w:rPr>
          <w:rFonts w:ascii="Times New Roman" w:cs="Times New Roman" w:eastAsia="Times New Roman" w:hAnsi="Times New Roman"/>
          <w:sz w:val="14"/>
          <w:szCs w:val="14"/>
          <w:u w:val="single" w:color="auto"/>
          <w:color w:val="auto"/>
        </w:rPr>
        <w:t>Section 2.3(a)</w:t>
      </w:r>
      <w:r>
        <w:rPr>
          <w:rFonts w:ascii="Times New Roman" w:cs="Times New Roman" w:eastAsia="Times New Roman" w:hAnsi="Times New Roman"/>
          <w:sz w:val="14"/>
          <w:szCs w:val="14"/>
          <w:color w:val="auto"/>
        </w:rPr>
        <w:t xml:space="preserve"> above have been paid in full to the Holders of such shares, no dividends, distributions or other payments will be made on, and no redemption, purchase or other acquisition by the Corporation will be made by the Corporation in respect of, shares of the Common Stock.</w:t>
      </w:r>
    </w:p>
    <w:p>
      <w:pPr>
        <w:spacing w:after="0" w:line="101" w:lineRule="exact"/>
        <w:rPr>
          <w:rFonts w:ascii="Times New Roman" w:cs="Times New Roman" w:eastAsia="Times New Roman" w:hAnsi="Times New Roman"/>
          <w:sz w:val="14"/>
          <w:szCs w:val="14"/>
          <w:color w:val="auto"/>
        </w:rPr>
      </w:pPr>
    </w:p>
    <w:p>
      <w:pPr>
        <w:jc w:val="both"/>
        <w:ind w:left="1320" w:right="1339" w:firstLine="1026"/>
        <w:spacing w:after="0" w:line="260" w:lineRule="auto"/>
        <w:tabs>
          <w:tab w:leader="none" w:pos="281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the sale of all or substantially all of the property or business of the Corporation, nor the merger, consolidation or reorganization of the Corporation into or with any other business or statutory trust, corporation or other entity, nor the merger, consolidation or reorganization of any other business or statutory trust, corporation or other entity into or with the Corporation shall be a dissolution, liquidation or winding up, whether voluntary or involuntary, for the purpose of this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ind w:left="1840"/>
        <w:spacing w:after="0"/>
        <w:tabs>
          <w:tab w:leader="none" w:pos="232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3"/>
          <w:szCs w:val="13"/>
          <w:color w:val="auto"/>
        </w:rPr>
        <w:t>Coverage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-5080</wp:posOffset>
            </wp:positionV>
            <wp:extent cx="51308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513080" cy="6985"/>
                    </a:xfrm>
                    <a:prstGeom prst="rect">
                      <a:avLst/>
                    </a:prstGeom>
                    <a:noFill/>
                  </pic:spPr>
                </pic:pic>
              </a:graphicData>
            </a:graphic>
          </wp:anchor>
        </w:drawing>
      </w:r>
    </w:p>
    <w:p>
      <w:pPr>
        <w:spacing w:after="0" w:line="103" w:lineRule="exact"/>
        <w:rPr>
          <w:sz w:val="20"/>
          <w:szCs w:val="20"/>
          <w:color w:val="auto"/>
        </w:rPr>
      </w:pPr>
    </w:p>
    <w:p>
      <w:pPr>
        <w:jc w:val="both"/>
        <w:ind w:left="1320" w:right="1339" w:firstLine="1026"/>
        <w:spacing w:after="0" w:line="259" w:lineRule="auto"/>
        <w:tabs>
          <w:tab w:leader="none" w:pos="281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Asset Coverage Requirement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so long as any shares of a Series of Term Preferred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Shares are Outstanding, the Corporation shall have Asset Coverage of at least 200% as of the close of business on the last Business Day of each Calendar Quarter. If the Corporation shall fail to maintain such Asset Coverage as of any time as of which such compliance is required to be determined as aforesaid, the provisions of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2.5(b)(i)</w:t>
      </w:r>
      <w:r>
        <w:rPr>
          <w:rFonts w:ascii="Times New Roman" w:cs="Times New Roman" w:eastAsia="Times New Roman" w:hAnsi="Times New Roman"/>
          <w:sz w:val="14"/>
          <w:szCs w:val="14"/>
          <w:color w:val="auto"/>
        </w:rPr>
        <w:t xml:space="preserve"> shall be applicable, which provisions shall constitute the sole remedy for the Corporation’s failure to comply with the provisions of this </w:t>
      </w:r>
      <w:r>
        <w:rPr>
          <w:rFonts w:ascii="Times New Roman" w:cs="Times New Roman" w:eastAsia="Times New Roman" w:hAnsi="Times New Roman"/>
          <w:sz w:val="14"/>
          <w:szCs w:val="14"/>
          <w:u w:val="single" w:color="auto"/>
          <w:color w:val="auto"/>
        </w:rPr>
        <w:t>Section 2.4(a)</w:t>
      </w:r>
      <w:r>
        <w:rPr>
          <w:rFonts w:ascii="Times New Roman" w:cs="Times New Roman" w:eastAsia="Times New Roman" w:hAnsi="Times New Roman"/>
          <w:sz w:val="14"/>
          <w:szCs w:val="14"/>
          <w:color w:val="auto"/>
        </w:rPr>
        <w:t>.</w:t>
      </w:r>
    </w:p>
    <w:p>
      <w:pPr>
        <w:spacing w:after="0" w:line="89" w:lineRule="exact"/>
        <w:rPr>
          <w:rFonts w:ascii="Times New Roman" w:cs="Times New Roman" w:eastAsia="Times New Roman" w:hAnsi="Times New Roman"/>
          <w:sz w:val="14"/>
          <w:szCs w:val="14"/>
          <w:color w:val="auto"/>
        </w:rPr>
      </w:pPr>
    </w:p>
    <w:p>
      <w:pPr>
        <w:jc w:val="both"/>
        <w:ind w:left="1320" w:right="1339" w:firstLine="1026"/>
        <w:spacing w:after="0" w:line="255" w:lineRule="auto"/>
        <w:tabs>
          <w:tab w:leader="none" w:pos="2818"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Calculation of Asset Coverage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purposes of determining whether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requirements of </w:t>
      </w:r>
      <w:r>
        <w:rPr>
          <w:rFonts w:ascii="Times New Roman" w:cs="Times New Roman" w:eastAsia="Times New Roman" w:hAnsi="Times New Roman"/>
          <w:sz w:val="14"/>
          <w:szCs w:val="14"/>
          <w:u w:val="single" w:color="auto"/>
          <w:color w:val="auto"/>
        </w:rPr>
        <w:t>Section 2.4(a)</w:t>
      </w:r>
      <w:r>
        <w:rPr>
          <w:rFonts w:ascii="Times New Roman" w:cs="Times New Roman" w:eastAsia="Times New Roman" w:hAnsi="Times New Roman"/>
          <w:sz w:val="14"/>
          <w:szCs w:val="14"/>
          <w:color w:val="auto"/>
        </w:rPr>
        <w:t xml:space="preserve"> are satisfied, (i) no Term Preferred Shares of any Series or other Preferred Stock shall be deemed to be Outstanding for purposes of any computation required by </w:t>
      </w:r>
      <w:r>
        <w:rPr>
          <w:rFonts w:ascii="Times New Roman" w:cs="Times New Roman" w:eastAsia="Times New Roman" w:hAnsi="Times New Roman"/>
          <w:sz w:val="14"/>
          <w:szCs w:val="14"/>
          <w:u w:val="single" w:color="auto"/>
          <w:color w:val="auto"/>
        </w:rPr>
        <w:t>Section 2.4(a)</w:t>
      </w:r>
      <w:r>
        <w:rPr>
          <w:rFonts w:ascii="Times New Roman" w:cs="Times New Roman" w:eastAsia="Times New Roman" w:hAnsi="Times New Roman"/>
          <w:sz w:val="14"/>
          <w:szCs w:val="14"/>
          <w:color w:val="auto"/>
        </w:rPr>
        <w:t xml:space="preserve"> if, prior to or concurrently with such determination, either (x) sufficient Deposit Securities or other sufficient funds (in accordance with the terms of such Series or other Preferred Stock) to pay the full redemption price for such Series or other Preferred Stock (or the portion thereof to be redeemed) shall have been deposited in trust with the paying agent for such Series or other Preferred Stock and the requisite notice of redemption for such Series or other Preferred Stock (or the portion thereof to be redeemed) shall have been given or (y) sufficient Deposit Securities or other sufficient funds (in accordance with the terms of such Series or other Preferred Stock) to pay the full redemption price for such Series or other Preferred Stock (or the portion thereof to be redeemed) shall have been segregated by the Custodian and the Corporation from the assets of the Corporation, by means of appropriate identification on the Custodian’s books and records or otherwise in accordance with the Custodian’s normal procedures, and (ii) the Deposit Securities or other sufficient funds that shall have been deposited with the applicable paying agent and/or segregated by the Custodian, as applicable, as provided in clause (i) of this sentence shall not be included as assets of the Corporation for purposes of such computation.</w:t>
      </w:r>
    </w:p>
    <w:p>
      <w:pPr>
        <w:spacing w:after="0" w:line="79" w:lineRule="exact"/>
        <w:rPr>
          <w:sz w:val="20"/>
          <w:szCs w:val="20"/>
          <w:color w:val="auto"/>
        </w:rPr>
      </w:pPr>
    </w:p>
    <w:p>
      <w:pPr>
        <w:ind w:left="1840"/>
        <w:spacing w:after="0"/>
        <w:tabs>
          <w:tab w:leader="none" w:pos="232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u w:val="single" w:color="auto"/>
          <w:color w:val="auto"/>
        </w:rPr>
        <w:t>Redemption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Each Series of Term Preferred Shares shall be subject to redemption by the</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Corporation as provided below:</w:t>
      </w:r>
    </w:p>
    <w:p>
      <w:pPr>
        <w:spacing w:after="0" w:line="108" w:lineRule="exact"/>
        <w:rPr>
          <w:sz w:val="20"/>
          <w:szCs w:val="20"/>
          <w:color w:val="auto"/>
        </w:rPr>
      </w:pPr>
    </w:p>
    <w:p>
      <w:pPr>
        <w:jc w:val="both"/>
        <w:ind w:left="1320" w:right="1339" w:firstLine="1026"/>
        <w:spacing w:after="0" w:line="261" w:lineRule="auto"/>
        <w:tabs>
          <w:tab w:leader="none" w:pos="281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Term Redemption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Corporation shall redeem all shares of a Series of Term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Preferred Shares on the Term Redemption Date for such Series, at a price per share equal to the Liquidation Preference per share of such Series plus an amount equal to all unpaid dividends and distributions on such share of such Series accumulated to (but excluding) the Term Redemption Date for such Series (whether or not earned or declared by the Corporation, but excluding interest thereon) (the “</w:t>
      </w:r>
      <w:r>
        <w:rPr>
          <w:rFonts w:ascii="Times New Roman" w:cs="Times New Roman" w:eastAsia="Times New Roman" w:hAnsi="Times New Roman"/>
          <w:sz w:val="14"/>
          <w:szCs w:val="14"/>
          <w:u w:val="single" w:color="auto"/>
          <w:color w:val="auto"/>
        </w:rPr>
        <w:t>Term Redemption Price</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55" w:name="page56"/>
    <w:bookmarkEnd w:id="55"/>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ind w:left="2820" w:hanging="474"/>
        <w:spacing w:after="0"/>
        <w:tabs>
          <w:tab w:leader="none" w:pos="28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Coverage Mandatory Redemption.</w:t>
      </w:r>
    </w:p>
    <w:p>
      <w:pPr>
        <w:spacing w:after="0" w:line="124" w:lineRule="exact"/>
        <w:rPr>
          <w:rFonts w:ascii="Times New Roman" w:cs="Times New Roman" w:eastAsia="Times New Roman" w:hAnsi="Times New Roman"/>
          <w:sz w:val="14"/>
          <w:szCs w:val="14"/>
          <w:color w:val="auto"/>
        </w:rPr>
      </w:pPr>
    </w:p>
    <w:p>
      <w:pPr>
        <w:jc w:val="both"/>
        <w:ind w:left="1320" w:right="1339" w:firstLine="1533"/>
        <w:spacing w:after="0" w:line="255" w:lineRule="auto"/>
        <w:tabs>
          <w:tab w:leader="none" w:pos="3340" w:val="left"/>
        </w:tabs>
        <w:numPr>
          <w:ilvl w:val="2"/>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Corporation fails to comply with the Asset Coverage requirement as provided in </w:t>
      </w:r>
      <w:r>
        <w:rPr>
          <w:rFonts w:ascii="Times New Roman" w:cs="Times New Roman" w:eastAsia="Times New Roman" w:hAnsi="Times New Roman"/>
          <w:sz w:val="14"/>
          <w:szCs w:val="14"/>
          <w:u w:val="single" w:color="auto"/>
          <w:color w:val="auto"/>
        </w:rPr>
        <w:t>Section 2.4(a)</w:t>
      </w:r>
      <w:r>
        <w:rPr>
          <w:rFonts w:ascii="Times New Roman" w:cs="Times New Roman" w:eastAsia="Times New Roman" w:hAnsi="Times New Roman"/>
          <w:sz w:val="14"/>
          <w:szCs w:val="14"/>
          <w:color w:val="auto"/>
        </w:rPr>
        <w:t xml:space="preserve"> as of the last Business Day of any Calendar Quarter and such failure is not cured as of the Asset Coverage Cure Date, the Corporation shall, to the extent permitted by the 1940 Act and Maryland law, by the close of business on such Asset Coverage Cure Date, fix a redemption date and proceed to redeem in accordance with the terms of such Preferred Stock, a sufficient number of shares of Preferred Stock, which at the Corporation’s sole option (to the extent permitted by the 1940 Act and Maryland law) may include any number or proportion of Term Preferred Shares of any Series, to enable it to meet the requirements of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2.5(b)(ii)</w:t>
      </w:r>
      <w:r>
        <w:rPr>
          <w:rFonts w:ascii="Times New Roman" w:cs="Times New Roman" w:eastAsia="Times New Roman" w:hAnsi="Times New Roman"/>
          <w:sz w:val="14"/>
          <w:szCs w:val="14"/>
          <w:color w:val="auto"/>
        </w:rPr>
        <w:t xml:space="preserve">. In the event that any shares of a Series of Term Preferred Shares then Outstanding are to be redeemed pursuant to this </w:t>
      </w:r>
      <w:r>
        <w:rPr>
          <w:rFonts w:ascii="Times New Roman" w:cs="Times New Roman" w:eastAsia="Times New Roman" w:hAnsi="Times New Roman"/>
          <w:sz w:val="14"/>
          <w:szCs w:val="14"/>
          <w:u w:val="single" w:color="auto"/>
          <w:color w:val="auto"/>
        </w:rPr>
        <w:t>Section 2.5(b)(i)</w:t>
      </w:r>
      <w:r>
        <w:rPr>
          <w:rFonts w:ascii="Times New Roman" w:cs="Times New Roman" w:eastAsia="Times New Roman" w:hAnsi="Times New Roman"/>
          <w:sz w:val="14"/>
          <w:szCs w:val="14"/>
          <w:color w:val="auto"/>
        </w:rPr>
        <w:t>, the Corporation shall redeem such shares at a price per share equal to the Liquidation Preference per share of such Series plus an amount equal to all unpaid dividends and distributions on such share of such Series accumulated to (but excluding) the date fixed for such redemption by the Board of Directors (whether or not earned or declared by the Corporation, but excluding interest thereon) (the “</w:t>
      </w:r>
      <w:r>
        <w:rPr>
          <w:rFonts w:ascii="Times New Roman" w:cs="Times New Roman" w:eastAsia="Times New Roman" w:hAnsi="Times New Roman"/>
          <w:sz w:val="14"/>
          <w:szCs w:val="14"/>
          <w:u w:val="single" w:color="auto"/>
          <w:color w:val="auto"/>
        </w:rPr>
        <w:t>Mandatory Redemption Price</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3340" w:hanging="487"/>
        <w:spacing w:after="0"/>
        <w:tabs>
          <w:tab w:leader="none" w:pos="3340" w:val="left"/>
        </w:tabs>
        <w:numPr>
          <w:ilvl w:val="2"/>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the Redemption Date for a redemption contemplated by </w:t>
      </w:r>
      <w:r>
        <w:rPr>
          <w:rFonts w:ascii="Times New Roman" w:cs="Times New Roman" w:eastAsia="Times New Roman" w:hAnsi="Times New Roman"/>
          <w:sz w:val="14"/>
          <w:szCs w:val="14"/>
          <w:u w:val="single" w:color="auto"/>
          <w:color w:val="auto"/>
        </w:rPr>
        <w:t>Section 2.5(b)</w:t>
      </w:r>
    </w:p>
    <w:p>
      <w:pPr>
        <w:spacing w:after="0" w:line="22" w:lineRule="exact"/>
        <w:rPr>
          <w:rFonts w:ascii="Times New Roman" w:cs="Times New Roman" w:eastAsia="Times New Roman" w:hAnsi="Times New Roman"/>
          <w:sz w:val="14"/>
          <w:szCs w:val="14"/>
          <w:color w:val="auto"/>
        </w:rPr>
      </w:pPr>
    </w:p>
    <w:p>
      <w:pPr>
        <w:jc w:val="both"/>
        <w:ind w:left="1320" w:right="133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xml:space="preserve">, the Corporation shall redeem, out of funds legally available therefor, such number of shares of Preferred Stock (which may include at the sole option of the Corporation any number or proportion of Term Preferred Shares of any Series) as shall be equal to the lesser of (x) the minimum number of shares of Preferred Stock, the redemption of which, if deemed to have occurred immediately prior to the opening of business on the Asset Coverage Cure Date, would result in the Corporation having Asset Coverage on such Asset Coverage Cure Date of at least 200% (provided, however, that if there is no such minimum number of Term Preferred Shares and other shares of Preferred Stock the redemption or retirement of which would have such result, all Term Preferred Shares and other shares of Preferred Stock then outstanding shall be redeemed), and (y) the maximum number of shares of Preferred Stock that can be redeemed out of funds expected to be legally available therefor in accordance with the Articles and applicable law. Notwithstanding the foregoing, in the event that shares of Preferred Stock are redeemed pursuant to this </w:t>
      </w:r>
      <w:r>
        <w:rPr>
          <w:rFonts w:ascii="Times New Roman" w:cs="Times New Roman" w:eastAsia="Times New Roman" w:hAnsi="Times New Roman"/>
          <w:sz w:val="14"/>
          <w:szCs w:val="14"/>
          <w:u w:val="single" w:color="auto"/>
          <w:color w:val="auto"/>
        </w:rPr>
        <w:t>Section 2.5(b)</w:t>
      </w:r>
      <w:r>
        <w:rPr>
          <w:rFonts w:ascii="Times New Roman" w:cs="Times New Roman" w:eastAsia="Times New Roman" w:hAnsi="Times New Roman"/>
          <w:sz w:val="14"/>
          <w:szCs w:val="14"/>
          <w:color w:val="auto"/>
        </w:rPr>
        <w:t xml:space="preserve">, the Corporation may at its sole option, but is not required to, redeem a sufficient number of shares of any Series of Term Preferred Shares pursuant to this </w:t>
      </w:r>
      <w:r>
        <w:rPr>
          <w:rFonts w:ascii="Times New Roman" w:cs="Times New Roman" w:eastAsia="Times New Roman" w:hAnsi="Times New Roman"/>
          <w:sz w:val="14"/>
          <w:szCs w:val="14"/>
          <w:u w:val="single" w:color="auto"/>
          <w:color w:val="auto"/>
        </w:rPr>
        <w:t>Section 2.5(b)</w:t>
      </w:r>
      <w:r>
        <w:rPr>
          <w:rFonts w:ascii="Times New Roman" w:cs="Times New Roman" w:eastAsia="Times New Roman" w:hAnsi="Times New Roman"/>
          <w:sz w:val="14"/>
          <w:szCs w:val="14"/>
          <w:color w:val="auto"/>
        </w:rPr>
        <w:t xml:space="preserve"> that, when aggregated with other shares of Preferred Stock redeemed by the Corporation, would result, if deemed to have occurred immediately prior to the opening of business on the Asset Coverage Cure Date, in the Corporation having Asset Coverage on such Asset Coverage Cure Date of up to and including 285%. The Corporation shall effect such redemption on the date fixed by the Corporation therefor, which date shall not be later than ninety (90) calendar days after such Asset Coverage Cure Date, except that if the Corporation does not have funds legally available for the redemption of all of the required number of Term Preferred Shares and other shares of Preferred Stock which have been designated to be redeemed or the Corporation otherwise is unable to effect such redemption on or prior to ninety (90) calendar days after such Asset Coverage Cure Date, the Corporation shall redeem those Term Preferred Shares and other shares of Preferred Stock which it was unable to redeem on the earliest practicable date on which it is able to effect such redemption. If fewer than all of the Outstanding Term Preferred Shares of a Series are to be redeemed pursuant to this </w:t>
      </w:r>
      <w:r>
        <w:rPr>
          <w:rFonts w:ascii="Times New Roman" w:cs="Times New Roman" w:eastAsia="Times New Roman" w:hAnsi="Times New Roman"/>
          <w:sz w:val="14"/>
          <w:szCs w:val="14"/>
          <w:u w:val="single" w:color="auto"/>
          <w:color w:val="auto"/>
        </w:rPr>
        <w:t>Section 2.5(b)</w:t>
      </w:r>
      <w:r>
        <w:rPr>
          <w:rFonts w:ascii="Times New Roman" w:cs="Times New Roman" w:eastAsia="Times New Roman" w:hAnsi="Times New Roman"/>
          <w:sz w:val="14"/>
          <w:szCs w:val="14"/>
          <w:color w:val="auto"/>
        </w:rPr>
        <w:t>, the number of Term Preferred Shares of such Series to be redeemed shall be redeemed</w:t>
      </w:r>
    </w:p>
    <w:p>
      <w:pPr>
        <w:spacing w:after="0" w:line="6" w:lineRule="exact"/>
        <w:rPr>
          <w:rFonts w:ascii="Times New Roman" w:cs="Times New Roman" w:eastAsia="Times New Roman" w:hAnsi="Times New Roman"/>
          <w:sz w:val="14"/>
          <w:szCs w:val="14"/>
          <w:color w:val="auto"/>
        </w:rPr>
      </w:pPr>
    </w:p>
    <w:p>
      <w:pPr>
        <w:ind w:left="1560" w:hanging="230"/>
        <w:spacing w:after="0"/>
        <w:tabs>
          <w:tab w:leader="none" w:pos="15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each Holder pro rata based upon the number of Outstanding shares of such Series held by such Holder,</w:t>
      </w:r>
    </w:p>
    <w:p>
      <w:pPr>
        <w:spacing w:after="0" w:line="8" w:lineRule="exact"/>
        <w:rPr>
          <w:rFonts w:ascii="Times New Roman" w:cs="Times New Roman" w:eastAsia="Times New Roman" w:hAnsi="Times New Roman"/>
          <w:sz w:val="14"/>
          <w:szCs w:val="14"/>
          <w:color w:val="auto"/>
        </w:rPr>
      </w:pPr>
    </w:p>
    <w:p>
      <w:pPr>
        <w:ind w:left="1560" w:hanging="230"/>
        <w:spacing w:after="0"/>
        <w:tabs>
          <w:tab w:leader="none" w:pos="15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lot or (C) in such other manner as the Board of Directors may determine to be fair and equitable.</w:t>
      </w:r>
    </w:p>
    <w:p>
      <w:pPr>
        <w:spacing w:after="0" w:line="99" w:lineRule="exact"/>
        <w:rPr>
          <w:rFonts w:ascii="Times New Roman" w:cs="Times New Roman" w:eastAsia="Times New Roman" w:hAnsi="Times New Roman"/>
          <w:sz w:val="14"/>
          <w:szCs w:val="14"/>
          <w:color w:val="auto"/>
        </w:rPr>
      </w:pPr>
    </w:p>
    <w:p>
      <w:pPr>
        <w:ind w:left="2820" w:hanging="474"/>
        <w:spacing w:after="0"/>
        <w:tabs>
          <w:tab w:leader="none" w:pos="282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Optional Redemption.</w:t>
      </w:r>
    </w:p>
    <w:p>
      <w:pPr>
        <w:spacing w:after="0" w:line="124" w:lineRule="exact"/>
        <w:rPr>
          <w:rFonts w:ascii="Times New Roman" w:cs="Times New Roman" w:eastAsia="Times New Roman" w:hAnsi="Times New Roman"/>
          <w:sz w:val="14"/>
          <w:szCs w:val="14"/>
          <w:color w:val="auto"/>
        </w:rPr>
      </w:pPr>
    </w:p>
    <w:p>
      <w:pPr>
        <w:jc w:val="both"/>
        <w:ind w:left="1320" w:right="1339" w:firstLine="1533"/>
        <w:spacing w:after="0" w:line="256" w:lineRule="auto"/>
        <w:tabs>
          <w:tab w:leader="none" w:pos="3372" w:val="left"/>
        </w:tabs>
        <w:numPr>
          <w:ilvl w:val="2"/>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provisions of </w:t>
      </w:r>
      <w:r>
        <w:rPr>
          <w:rFonts w:ascii="Times New Roman" w:cs="Times New Roman" w:eastAsia="Times New Roman" w:hAnsi="Times New Roman"/>
          <w:sz w:val="14"/>
          <w:szCs w:val="14"/>
          <w:u w:val="single" w:color="auto"/>
          <w:color w:val="auto"/>
        </w:rPr>
        <w:t>Section 2.5(c)(ii)</w:t>
      </w:r>
      <w:r>
        <w:rPr>
          <w:rFonts w:ascii="Times New Roman" w:cs="Times New Roman" w:eastAsia="Times New Roman" w:hAnsi="Times New Roman"/>
          <w:sz w:val="14"/>
          <w:szCs w:val="14"/>
          <w:color w:val="auto"/>
        </w:rPr>
        <w:t>, on any Business Day following the expiration of the Non-Call Period (if any) for a Series of Term Preferred Shares (any such Business Day referred to in this sentence, an “</w:t>
      </w:r>
      <w:r>
        <w:rPr>
          <w:rFonts w:ascii="Times New Roman" w:cs="Times New Roman" w:eastAsia="Times New Roman" w:hAnsi="Times New Roman"/>
          <w:sz w:val="14"/>
          <w:szCs w:val="14"/>
          <w:u w:val="single" w:color="auto"/>
          <w:color w:val="auto"/>
        </w:rPr>
        <w:t>Optional Redemption Date</w:t>
      </w:r>
      <w:r>
        <w:rPr>
          <w:rFonts w:ascii="Times New Roman" w:cs="Times New Roman" w:eastAsia="Times New Roman" w:hAnsi="Times New Roman"/>
          <w:sz w:val="14"/>
          <w:szCs w:val="14"/>
          <w:color w:val="auto"/>
        </w:rPr>
        <w:t>”), the Corporation may redeem in whole or from time to time in part the Outstanding Term Preferred Shares of such Series, at a redemption price per Term Preferred Share (the “</w:t>
      </w:r>
      <w:r>
        <w:rPr>
          <w:rFonts w:ascii="Times New Roman" w:cs="Times New Roman" w:eastAsia="Times New Roman" w:hAnsi="Times New Roman"/>
          <w:sz w:val="14"/>
          <w:szCs w:val="14"/>
          <w:u w:val="single" w:color="auto"/>
          <w:color w:val="auto"/>
        </w:rPr>
        <w:t>Optional Redemption Price</w:t>
      </w:r>
      <w:r>
        <w:rPr>
          <w:rFonts w:ascii="Times New Roman" w:cs="Times New Roman" w:eastAsia="Times New Roman" w:hAnsi="Times New Roman"/>
          <w:sz w:val="14"/>
          <w:szCs w:val="14"/>
          <w:color w:val="auto"/>
        </w:rPr>
        <w:t xml:space="preserve">”) equal to (x) the Liquidation Preference per Term Preferred Share of such Series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(y) an amount equal to all unpaid dividends and distributions on such Term Preferred Share of such Series accumulated to (but excluding) the Optional Redemption Date (whether or not earned or declared by the Corporation, but excluding interest thereon)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(z) the Optional Redemption Premium per share (if any) with respect to an optional redemption of Term Preferred Shares of such Series that is effected on such Optional Redemption Date.</w:t>
      </w:r>
    </w:p>
    <w:p>
      <w:pPr>
        <w:spacing w:after="0" w:line="92" w:lineRule="exact"/>
        <w:rPr>
          <w:rFonts w:ascii="Times New Roman" w:cs="Times New Roman" w:eastAsia="Times New Roman" w:hAnsi="Times New Roman"/>
          <w:sz w:val="14"/>
          <w:szCs w:val="14"/>
          <w:color w:val="auto"/>
        </w:rPr>
      </w:pPr>
    </w:p>
    <w:p>
      <w:pPr>
        <w:jc w:val="both"/>
        <w:ind w:left="1320" w:right="1339" w:firstLine="1533"/>
        <w:spacing w:after="0" w:line="263" w:lineRule="auto"/>
        <w:tabs>
          <w:tab w:leader="none" w:pos="3333" w:val="left"/>
        </w:tabs>
        <w:numPr>
          <w:ilvl w:val="2"/>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fewer than all of the outstanding shares of a Series of Term Preferred Shares are to be redeemed pursuant to </w:t>
      </w:r>
      <w:r>
        <w:rPr>
          <w:rFonts w:ascii="Times New Roman" w:cs="Times New Roman" w:eastAsia="Times New Roman" w:hAnsi="Times New Roman"/>
          <w:sz w:val="14"/>
          <w:szCs w:val="14"/>
          <w:u w:val="single" w:color="auto"/>
          <w:color w:val="auto"/>
        </w:rPr>
        <w:t>Section 2.5(c)(i)</w:t>
      </w:r>
      <w:r>
        <w:rPr>
          <w:rFonts w:ascii="Times New Roman" w:cs="Times New Roman" w:eastAsia="Times New Roman" w:hAnsi="Times New Roman"/>
          <w:sz w:val="14"/>
          <w:szCs w:val="14"/>
          <w:color w:val="auto"/>
        </w:rPr>
        <w:t>, the shares of such Series to be redeemed shall be selected either (A) from each Holder pro rata based upon the number of Outstanding shares of such Series held by such Holder, (B) by lot or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56" w:name="page57"/>
    <w:bookmarkEnd w:id="56"/>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10"/>
        <w:spacing w:after="0" w:line="263" w:lineRule="auto"/>
        <w:tabs>
          <w:tab w:leader="none" w:pos="156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such other manner as the Board of Directors may determine to be fair and equitable. Subject to the provisions of these Articles Supplementary and applicable law, the Board of Directors will have the full power and authority to prescribe the terms and conditions upon which Term Preferred Shares will be redeemed pursuant to this </w:t>
      </w:r>
      <w:r>
        <w:rPr>
          <w:rFonts w:ascii="Times New Roman" w:cs="Times New Roman" w:eastAsia="Times New Roman" w:hAnsi="Times New Roman"/>
          <w:sz w:val="14"/>
          <w:szCs w:val="14"/>
          <w:u w:val="single" w:color="auto"/>
          <w:color w:val="auto"/>
        </w:rPr>
        <w:t>Section 2.5(c)</w:t>
      </w:r>
      <w:r>
        <w:rPr>
          <w:rFonts w:ascii="Times New Roman" w:cs="Times New Roman" w:eastAsia="Times New Roman" w:hAnsi="Times New Roman"/>
          <w:sz w:val="14"/>
          <w:szCs w:val="14"/>
          <w:color w:val="auto"/>
        </w:rPr>
        <w:t xml:space="preserve"> from time to time.</w:t>
      </w:r>
    </w:p>
    <w:p>
      <w:pPr>
        <w:spacing w:after="0" w:line="87" w:lineRule="exact"/>
        <w:rPr>
          <w:rFonts w:ascii="Times New Roman" w:cs="Times New Roman" w:eastAsia="Times New Roman" w:hAnsi="Times New Roman"/>
          <w:sz w:val="14"/>
          <w:szCs w:val="14"/>
          <w:color w:val="auto"/>
        </w:rPr>
      </w:pPr>
    </w:p>
    <w:p>
      <w:pPr>
        <w:jc w:val="both"/>
        <w:ind w:left="1320" w:right="1339" w:firstLine="1533"/>
        <w:spacing w:after="0" w:line="259" w:lineRule="auto"/>
        <w:tabs>
          <w:tab w:leader="none" w:pos="3341" w:val="left"/>
        </w:tabs>
        <w:numPr>
          <w:ilvl w:val="2"/>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Corporation may not on any date deliver a Notice of Redemption pursuant to </w:t>
      </w:r>
      <w:r>
        <w:rPr>
          <w:rFonts w:ascii="Times New Roman" w:cs="Times New Roman" w:eastAsia="Times New Roman" w:hAnsi="Times New Roman"/>
          <w:sz w:val="14"/>
          <w:szCs w:val="14"/>
          <w:u w:val="single" w:color="auto"/>
          <w:color w:val="auto"/>
        </w:rPr>
        <w:t>Section 2.5(d)</w:t>
      </w:r>
      <w:r>
        <w:rPr>
          <w:rFonts w:ascii="Times New Roman" w:cs="Times New Roman" w:eastAsia="Times New Roman" w:hAnsi="Times New Roman"/>
          <w:sz w:val="14"/>
          <w:szCs w:val="14"/>
          <w:color w:val="auto"/>
        </w:rPr>
        <w:t xml:space="preserve"> in respect of a redemption contemplated to be effected pursuant to this </w:t>
      </w:r>
      <w:r>
        <w:rPr>
          <w:rFonts w:ascii="Times New Roman" w:cs="Times New Roman" w:eastAsia="Times New Roman" w:hAnsi="Times New Roman"/>
          <w:sz w:val="14"/>
          <w:szCs w:val="14"/>
          <w:u w:val="single" w:color="auto"/>
          <w:color w:val="auto"/>
        </w:rPr>
        <w:t>Section 2.5(c)</w:t>
      </w:r>
      <w:r>
        <w:rPr>
          <w:rFonts w:ascii="Times New Roman" w:cs="Times New Roman" w:eastAsia="Times New Roman" w:hAnsi="Times New Roman"/>
          <w:sz w:val="14"/>
          <w:szCs w:val="14"/>
          <w:color w:val="auto"/>
        </w:rPr>
        <w:t xml:space="preserve"> unless on such date the Corporation has available Deposit Securities for the Optional Redemption Date contemplated by such Notice of Redemption having a Market Value not less than the amount (including any applicable premium) due to Holders of Term Preferred Shares by reason of the redemption of such Term Preferred Shares on such Optional Redemption Date.</w:t>
      </w:r>
    </w:p>
    <w:p>
      <w:pPr>
        <w:spacing w:after="0" w:line="89" w:lineRule="exact"/>
        <w:rPr>
          <w:rFonts w:ascii="Times New Roman" w:cs="Times New Roman" w:eastAsia="Times New Roman" w:hAnsi="Times New Roman"/>
          <w:sz w:val="14"/>
          <w:szCs w:val="14"/>
          <w:color w:val="auto"/>
        </w:rPr>
      </w:pPr>
    </w:p>
    <w:p>
      <w:pPr>
        <w:ind w:left="2820" w:hanging="474"/>
        <w:spacing w:after="0"/>
        <w:tabs>
          <w:tab w:leader="none" w:pos="28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Procedures for Redemption.</w:t>
      </w:r>
    </w:p>
    <w:p>
      <w:pPr>
        <w:spacing w:after="0" w:line="114" w:lineRule="exact"/>
        <w:rPr>
          <w:rFonts w:ascii="Times New Roman" w:cs="Times New Roman" w:eastAsia="Times New Roman" w:hAnsi="Times New Roman"/>
          <w:sz w:val="14"/>
          <w:szCs w:val="14"/>
          <w:color w:val="auto"/>
        </w:rPr>
      </w:pPr>
    </w:p>
    <w:p>
      <w:pPr>
        <w:jc w:val="both"/>
        <w:ind w:left="1320" w:right="1339" w:firstLine="1533"/>
        <w:spacing w:after="0" w:line="254" w:lineRule="auto"/>
        <w:tabs>
          <w:tab w:leader="none" w:pos="3329" w:val="left"/>
        </w:tabs>
        <w:numPr>
          <w:ilvl w:val="2"/>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Corporation shall determine or be required to redeem, in whole or in part, Term Preferred Shares of a Series pursuant to </w:t>
      </w:r>
      <w:r>
        <w:rPr>
          <w:rFonts w:ascii="Times New Roman" w:cs="Times New Roman" w:eastAsia="Times New Roman" w:hAnsi="Times New Roman"/>
          <w:sz w:val="14"/>
          <w:szCs w:val="14"/>
          <w:u w:val="single" w:color="auto"/>
          <w:color w:val="auto"/>
        </w:rPr>
        <w:t>Section 2.5(a), (b) or (c)</w:t>
      </w:r>
      <w:r>
        <w:rPr>
          <w:rFonts w:ascii="Times New Roman" w:cs="Times New Roman" w:eastAsia="Times New Roman" w:hAnsi="Times New Roman"/>
          <w:sz w:val="14"/>
          <w:szCs w:val="14"/>
          <w:color w:val="auto"/>
        </w:rPr>
        <w:t>, the Corporation shall deliver a notice of redemption (the “</w:t>
      </w:r>
      <w:r>
        <w:rPr>
          <w:rFonts w:ascii="Times New Roman" w:cs="Times New Roman" w:eastAsia="Times New Roman" w:hAnsi="Times New Roman"/>
          <w:sz w:val="14"/>
          <w:szCs w:val="14"/>
          <w:u w:val="single" w:color="auto"/>
          <w:color w:val="auto"/>
        </w:rPr>
        <w:t>Notice of Redemption</w:t>
      </w:r>
      <w:r>
        <w:rPr>
          <w:rFonts w:ascii="Times New Roman" w:cs="Times New Roman" w:eastAsia="Times New Roman" w:hAnsi="Times New Roman"/>
          <w:sz w:val="14"/>
          <w:szCs w:val="14"/>
          <w:color w:val="auto"/>
        </w:rPr>
        <w:t>”), by overnight delivery, by first class mail, postage prepaid or by Electronic Means to Holders thereof, or request the Redemption and Paying Agent, on behalf of the Corporation, to promptly do so by overnight delivery, by first class mail, postage prepaid or by Electronic Means. A Notice of Redemption shall be provided not more than forty-five (45) calendar days prior to the date fixed for redemption in such Notice of Redemption (the “</w:t>
      </w:r>
      <w:r>
        <w:rPr>
          <w:rFonts w:ascii="Times New Roman" w:cs="Times New Roman" w:eastAsia="Times New Roman" w:hAnsi="Times New Roman"/>
          <w:sz w:val="14"/>
          <w:szCs w:val="14"/>
          <w:u w:val="single" w:color="auto"/>
          <w:color w:val="auto"/>
        </w:rPr>
        <w:t>Redemption Date</w:t>
      </w:r>
      <w:r>
        <w:rPr>
          <w:rFonts w:ascii="Times New Roman" w:cs="Times New Roman" w:eastAsia="Times New Roman" w:hAnsi="Times New Roman"/>
          <w:sz w:val="14"/>
          <w:szCs w:val="14"/>
          <w:color w:val="auto"/>
        </w:rPr>
        <w:t>”). Each such Notice of Redemption shall state: (A) the Redemption Date; (B) the Series and number of Term Preferred Shares to be redeemed; (C) the CUSIP number for Term Preferred Shares of such Series; (D) the applicable Redemption Price on a per share basis; (E) if applicable, the place or places where the certificate(s) for such shares (properly endorsed or assigned for transfer, if the Board of Directors requires and the Notice of Redemption states) are to be surrendered for payment of the Redemption Price; (F) that dividends on the Term Preferred Shares to be redeemed will cease to accumulate from and after such Redemption Date; and (G) the provisions of these Articles Supplementary under which such redemption is made. If fewer than all Term Preferred Shares held by any Holder are to be redeemed, the Notice of Redemption delivered to such Holder shall also specify the number of Term Preferred Shares to be redeemed from such Holder or the method of determining such number. The Corporation may provide in any Notice of Redemption relating to a redemption contemplated to be effected pursuant to these Articles Supplementary that such redemption is subject to one or more conditions precedent and that the Corporation shall not be required to effect such redemption unless each such condition has been satisfied at the time or times and in the manner specified in such Notice of Redemption. No defect in the Notice of Redemption or delivery thereof shall affect the validity of redemption proceedings, except as required by applicable law.</w:t>
      </w:r>
    </w:p>
    <w:p>
      <w:pPr>
        <w:spacing w:after="0" w:line="263" w:lineRule="exact"/>
        <w:rPr>
          <w:sz w:val="20"/>
          <w:szCs w:val="20"/>
          <w:color w:val="auto"/>
        </w:rPr>
      </w:pPr>
    </w:p>
    <w:p>
      <w:pPr>
        <w:jc w:val="both"/>
        <w:ind w:left="1320" w:right="1339" w:firstLine="1533"/>
        <w:spacing w:after="0" w:line="255" w:lineRule="auto"/>
        <w:tabs>
          <w:tab w:leader="none" w:pos="3333"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Corporation shall give a Notice of Redemption, then at any time from and after the giving of such Notice of Redemption and prior to 12:00 noon, New York City time, on the Redemption Date (so long as any conditions precedent to such redemption have been met or waived by the Corporation), the Corporation shall (A) deposit with the Redemption and Paying Agent Deposit Securities having an aggregate Market Value on the date thereof no less than the Redemption Price of the Term Preferred Shares to be redeemed on the Redemption Date and (B) give the Redemption and Paying Agent irrevocable instructions and authority to pay the applicable Redemption Price to the Holders of the Term Preferred Shares called for redemption on the Redemption Date. The Corporation may direct the Redemption and Paying Agent with respect to the investment or reinvestment of any Deposit Securities prior to the Redemption Date, provided that such investment or reinvestment consists exclusively of Deposit Securities and provided further that the proceeds of any such investment shall be available at the opening of business on the Redemption Date as same day funds.</w:t>
      </w:r>
    </w:p>
    <w:p>
      <w:pPr>
        <w:spacing w:after="0" w:line="95" w:lineRule="exact"/>
        <w:rPr>
          <w:rFonts w:ascii="Times New Roman" w:cs="Times New Roman" w:eastAsia="Times New Roman" w:hAnsi="Times New Roman"/>
          <w:sz w:val="14"/>
          <w:szCs w:val="14"/>
          <w:color w:val="auto"/>
        </w:rPr>
      </w:pPr>
    </w:p>
    <w:p>
      <w:pPr>
        <w:jc w:val="both"/>
        <w:ind w:left="1320" w:right="1339" w:firstLine="1533"/>
        <w:spacing w:after="0" w:line="255" w:lineRule="auto"/>
        <w:tabs>
          <w:tab w:leader="none" w:pos="334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date of the deposit of such Deposit Securities, all rights of the Holders of the Term Preferred Shares so called for redemption shall cease and terminate except the right of the Holders thereof to receive the Redemption Price thereof and such Term Preferred Shares shall no longer be deemed Outstanding for any purpose whatsoever (other than (A) the transfer thereof prior to the applicable Redemption Date and (B) the accumulation of dividends thereon in accordance with the terms hereof up to (but excluding) the applicable Redemption Date, which accumulated dividends shall be payable only as part of the applicable Redemption Price on the Redemption Date). The Corporation shall be entitled to receive, promptly after the Redemption Date, any Deposit Securities in excess of the aggregate Redemption Price of the Term Preferred Shares called for redemption on the Redemption Date. Any Deposit Securities so deposited that are unclaimed at the end of ninety (90) calendar days from the Redemption Date shall, to the extent permitted by law, be repaid to the Corporation, after which the Holders of</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57" w:name="page58"/>
    <w:bookmarkEnd w:id="57"/>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69" w:lineRule="auto"/>
        <w:rPr>
          <w:sz w:val="20"/>
          <w:szCs w:val="20"/>
          <w:color w:val="auto"/>
        </w:rPr>
      </w:pPr>
      <w:r>
        <w:rPr>
          <w:rFonts w:ascii="Times New Roman" w:cs="Times New Roman" w:eastAsia="Times New Roman" w:hAnsi="Times New Roman"/>
          <w:sz w:val="14"/>
          <w:szCs w:val="14"/>
          <w:color w:val="auto"/>
        </w:rPr>
        <w:t>the Term Preferred Shares so called for redemption shall look only to the Corporation for payment of the Redemption Price thereof. The Corporation shall be entitled to receive, from time to time after the Redemption Date, any interest on the Deposit Securities so deposited.</w:t>
      </w:r>
    </w:p>
    <w:p>
      <w:pPr>
        <w:spacing w:after="0" w:line="83" w:lineRule="exact"/>
        <w:rPr>
          <w:sz w:val="20"/>
          <w:szCs w:val="20"/>
          <w:color w:val="auto"/>
        </w:rPr>
      </w:pPr>
    </w:p>
    <w:p>
      <w:pPr>
        <w:jc w:val="both"/>
        <w:ind w:left="1320" w:right="1339" w:firstLine="1533"/>
        <w:spacing w:after="0" w:line="259" w:lineRule="auto"/>
        <w:tabs>
          <w:tab w:leader="none" w:pos="3333"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the Redemption Date, each Holder of Term Preferred Shares in certificated form (if any) that are subject to redemption shall surrender the certificate(s) evidencing such Term Preferred Shares to the Corporation at the place designated in the Notice of Redemption and shall then be entitled to receive the Redemption Price for such Term Preferred Shares, without interest, and in the case of a redemption of fewer than all the Term Preferred Shares represented by such certificate(s), a new certificate representing the Term Preferred Shares that were not redeemed.</w:t>
      </w:r>
    </w:p>
    <w:p>
      <w:pPr>
        <w:spacing w:after="0" w:line="89" w:lineRule="exact"/>
        <w:rPr>
          <w:rFonts w:ascii="Times New Roman" w:cs="Times New Roman" w:eastAsia="Times New Roman" w:hAnsi="Times New Roman"/>
          <w:sz w:val="14"/>
          <w:szCs w:val="14"/>
          <w:color w:val="auto"/>
        </w:rPr>
      </w:pPr>
    </w:p>
    <w:p>
      <w:pPr>
        <w:jc w:val="both"/>
        <w:ind w:left="1320" w:right="1339" w:firstLine="1533"/>
        <w:spacing w:after="0" w:line="255" w:lineRule="auto"/>
        <w:tabs>
          <w:tab w:leader="none" w:pos="3325"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other provisions of this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except as otherwise required by law, the Corporation shall not redeem any Term Preferred Shares unless all accumulated and unpaid dividends and distributions on all Outstanding Term Preferred Shares and other series of Preferred Shares ranking on a parity with the Term Preferred Shares with respect to dividends and distributions for all applicable past dividend periods (whether or not earned or declared by the Corporation) (x) shall have been or are contemporaneously paid or (y) shall have been or are contemporaneously declared and Deposit Securities or sufficient funds (in accordance with the terms of such Preferred Stock) for the payment of such dividends and distributions shall have been or are contemporaneously deposited with the Redemption and Paying Agent or other applicable paying agent for such Preferred Stock in accordance with the terms of such Preferred Stock,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foregoing shall not prevent the purchase or acquisition of Outstanding Term Preferred Shares pursuant to an otherwise lawful purchase or exchange offer made on the same terms to Holders of all Outstanding Term Preferred Shares and any other series of Preferred Stock for which all accumulated and unpaid dividends and distributions have not been paid.</w:t>
      </w:r>
    </w:p>
    <w:p>
      <w:pPr>
        <w:spacing w:after="0" w:line="82" w:lineRule="exact"/>
        <w:rPr>
          <w:rFonts w:ascii="Times New Roman" w:cs="Times New Roman" w:eastAsia="Times New Roman" w:hAnsi="Times New Roman"/>
          <w:sz w:val="14"/>
          <w:szCs w:val="14"/>
          <w:color w:val="auto"/>
        </w:rPr>
      </w:pPr>
    </w:p>
    <w:p>
      <w:pPr>
        <w:jc w:val="both"/>
        <w:ind w:left="1320" w:right="1339" w:firstLine="1533"/>
        <w:spacing w:after="0" w:line="255" w:lineRule="auto"/>
        <w:tabs>
          <w:tab w:leader="none" w:pos="3333"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any redemption for which Notice of Redemption has been provided is not made by reason of the absence of legally available funds therefor in accordance with the Articles and applicable law, such redemption shall be made as soon as practicable to the extent such funds become available. No Redemption Default shall be deemed to have occurred if the Corporation shall fail to deposit in trust with the Redemption and Paying Agent the Redemption Price with respect to any shares where (1) the Notice of Redemption relating to such redemption provided that such redemption was subject to one or more conditions precedent and (2) any such condition precedent shall not have been satisfied at the time or times and in the manner specified in such Notice of Redemption. Notwithstanding the fact that a Notice of Redemption has been provided with respect to any Term Preferred Shares, dividends may be declared and paid on such Term Preferred Shares in accordance with their terms if Deposit Securities for the payment of the Redemption Price of such Term Preferred Shares shall not have been deposited in trust with the Redemption and Paying Agent for that purpose.</w:t>
      </w:r>
    </w:p>
    <w:p>
      <w:pPr>
        <w:spacing w:after="0" w:line="93" w:lineRule="exact"/>
        <w:rPr>
          <w:rFonts w:ascii="Times New Roman" w:cs="Times New Roman" w:eastAsia="Times New Roman" w:hAnsi="Times New Roman"/>
          <w:sz w:val="14"/>
          <w:szCs w:val="14"/>
          <w:color w:val="auto"/>
        </w:rPr>
      </w:pPr>
    </w:p>
    <w:p>
      <w:pPr>
        <w:jc w:val="both"/>
        <w:ind w:left="1320" w:right="1339" w:firstLine="1026"/>
        <w:spacing w:after="0" w:line="261" w:lineRule="auto"/>
        <w:tabs>
          <w:tab w:leader="none" w:pos="281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Redemption and Paying Agent as Trustee of Redemption Payments by Corporation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All Deposit Securities transferred to the Redemption and Paying Agent for payment of the Redemption Price of Term Preferred Shares called for redemption shall be held in trust by the Redemption and Paying Agent for the benefit of Holders of Term Preferred Shares so to be redeemed until paid to such Holders in accordance with the terms hereof or returned to the Corporation in accordance with the provisions of </w:t>
      </w:r>
      <w:r>
        <w:rPr>
          <w:rFonts w:ascii="Times New Roman" w:cs="Times New Roman" w:eastAsia="Times New Roman" w:hAnsi="Times New Roman"/>
          <w:sz w:val="14"/>
          <w:szCs w:val="14"/>
          <w:u w:val="single" w:color="auto"/>
          <w:color w:val="auto"/>
        </w:rPr>
        <w:t>Section 2.5(d)(iii)</w:t>
      </w:r>
      <w:r>
        <w:rPr>
          <w:rFonts w:ascii="Times New Roman" w:cs="Times New Roman" w:eastAsia="Times New Roman" w:hAnsi="Times New Roman"/>
          <w:sz w:val="14"/>
          <w:szCs w:val="14"/>
          <w:color w:val="auto"/>
        </w:rPr>
        <w:t xml:space="preserve"> above.</w:t>
      </w:r>
    </w:p>
    <w:p>
      <w:pPr>
        <w:spacing w:after="0" w:line="87" w:lineRule="exact"/>
        <w:rPr>
          <w:rFonts w:ascii="Times New Roman" w:cs="Times New Roman" w:eastAsia="Times New Roman" w:hAnsi="Times New Roman"/>
          <w:sz w:val="14"/>
          <w:szCs w:val="14"/>
          <w:color w:val="auto"/>
        </w:rPr>
      </w:pPr>
    </w:p>
    <w:p>
      <w:pPr>
        <w:jc w:val="both"/>
        <w:ind w:left="1320" w:right="1339" w:firstLine="1026"/>
        <w:spacing w:after="0" w:line="264" w:lineRule="auto"/>
        <w:tabs>
          <w:tab w:leader="none" w:pos="286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Compliance With Applicable Law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effecting any redemption pursuant to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the Corporation shall use its best efforts to comply with all applicable conditions precedent to effecting such redemption under the 1940 Act and any applicable Maryland law, but shall effect no redemption except in accordance with the 1940 Act and any applicable Maryland law.</w:t>
      </w:r>
    </w:p>
    <w:p>
      <w:pPr>
        <w:spacing w:after="0" w:line="74" w:lineRule="exact"/>
        <w:rPr>
          <w:rFonts w:ascii="Times New Roman" w:cs="Times New Roman" w:eastAsia="Times New Roman" w:hAnsi="Times New Roman"/>
          <w:sz w:val="14"/>
          <w:szCs w:val="14"/>
          <w:color w:val="auto"/>
        </w:rPr>
      </w:pPr>
    </w:p>
    <w:p>
      <w:pPr>
        <w:jc w:val="both"/>
        <w:ind w:left="1320" w:right="1339" w:firstLine="1026"/>
        <w:spacing w:after="0" w:line="258" w:lineRule="auto"/>
        <w:tabs>
          <w:tab w:leader="none" w:pos="281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Modification of Redemption Procedures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Notwithstanding the foregoing provisions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the Corporation may, in its sole discretion and without a shareholder vote, modify the procedures set forth above with respect to notification of redemption for the Term Preferred Shares, provided that such modification does not materially and adversely affect the Holders of the Term Preferred Shares or cause the Corporation to violate any applicable law, rule or regulation; and provided further that no such modification shall in any way alter the rights or obligations of the Redemption and Paying Agent without its prior consent.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58" w:name="page59"/>
    <w:bookmarkEnd w:id="58"/>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ind w:left="1840"/>
        <w:spacing w:after="0"/>
        <w:tabs>
          <w:tab w:leader="none" w:pos="232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3"/>
          <w:szCs w:val="13"/>
          <w:u w:val="single" w:color="auto"/>
          <w:color w:val="auto"/>
        </w:rPr>
        <w:t>Voting Rights</w:t>
      </w:r>
      <w:r>
        <w:rPr>
          <w:rFonts w:ascii="Times New Roman" w:cs="Times New Roman" w:eastAsia="Times New Roman" w:hAnsi="Times New Roman"/>
          <w:sz w:val="13"/>
          <w:szCs w:val="13"/>
          <w:color w:val="auto"/>
        </w:rPr>
        <w:t>.</w:t>
      </w:r>
    </w:p>
    <w:p>
      <w:pPr>
        <w:spacing w:after="0" w:line="123" w:lineRule="exact"/>
        <w:rPr>
          <w:sz w:val="20"/>
          <w:szCs w:val="20"/>
          <w:color w:val="auto"/>
        </w:rPr>
      </w:pPr>
    </w:p>
    <w:p>
      <w:pPr>
        <w:jc w:val="both"/>
        <w:ind w:left="1320" w:right="1339" w:firstLine="1026"/>
        <w:spacing w:after="0" w:line="256" w:lineRule="auto"/>
        <w:tabs>
          <w:tab w:leader="none" w:pos="281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One Vote Per Term Preferred Share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Except as otherwise provided in the Articles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as otherwise required by law, (i) each Holder of Term Preferred Shares shall be entitled to one vote for each Term Preferred Share held by such Holder on each matter submitted to a vote of shareholders of the Corporation, and (ii) the holders of outstanding shares of Preferred Stock, including Outstanding Term Preferred Shares, and of outstanding shares of Common Stock shall vote together as a single class;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holders of outstanding shares of Preferred Stock, including Outstanding Term Preferred Shares, shall be entitled, voting as a separate class on a one-vote-per-share basis (to the exclusion of the Holders of all other securities and classes of Capital Stock of the Corporation), to elect two Directors of the Corporation at all times. Subject to </w:t>
      </w:r>
      <w:r>
        <w:rPr>
          <w:rFonts w:ascii="Times New Roman" w:cs="Times New Roman" w:eastAsia="Times New Roman" w:hAnsi="Times New Roman"/>
          <w:sz w:val="14"/>
          <w:szCs w:val="14"/>
          <w:u w:val="single" w:color="auto"/>
          <w:color w:val="auto"/>
        </w:rPr>
        <w:t>Section 2.6(b)</w:t>
      </w:r>
      <w:r>
        <w:rPr>
          <w:rFonts w:ascii="Times New Roman" w:cs="Times New Roman" w:eastAsia="Times New Roman" w:hAnsi="Times New Roman"/>
          <w:sz w:val="14"/>
          <w:szCs w:val="14"/>
          <w:color w:val="auto"/>
        </w:rPr>
        <w:t>, the Holders of outstanding shares of Common Stock and Preferred Stock, including Term Preferred Shares, voting together as a single class, shall elect the balance of the Directors.</w:t>
      </w:r>
    </w:p>
    <w:p>
      <w:pPr>
        <w:spacing w:after="0" w:line="94" w:lineRule="exact"/>
        <w:rPr>
          <w:rFonts w:ascii="Times New Roman" w:cs="Times New Roman" w:eastAsia="Times New Roman" w:hAnsi="Times New Roman"/>
          <w:sz w:val="14"/>
          <w:szCs w:val="14"/>
          <w:color w:val="auto"/>
        </w:rPr>
      </w:pPr>
    </w:p>
    <w:p>
      <w:pPr>
        <w:ind w:left="2820" w:hanging="474"/>
        <w:spacing w:after="0"/>
        <w:tabs>
          <w:tab w:leader="none" w:pos="28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For Additional Directors.</w:t>
      </w:r>
    </w:p>
    <w:p>
      <w:pPr>
        <w:spacing w:after="0" w:line="112" w:lineRule="exact"/>
        <w:rPr>
          <w:rFonts w:ascii="Times New Roman" w:cs="Times New Roman" w:eastAsia="Times New Roman" w:hAnsi="Times New Roman"/>
          <w:sz w:val="14"/>
          <w:szCs w:val="14"/>
          <w:color w:val="auto"/>
        </w:rPr>
      </w:pPr>
    </w:p>
    <w:p>
      <w:pPr>
        <w:jc w:val="both"/>
        <w:ind w:left="1320" w:right="1339" w:firstLine="1533"/>
        <w:spacing w:after="0" w:line="256" w:lineRule="auto"/>
        <w:tabs>
          <w:tab w:leader="none" w:pos="3372"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Voting Period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During any period in which any one or more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conditions described in clauses (A) or (B) of this </w:t>
      </w:r>
      <w:r>
        <w:rPr>
          <w:rFonts w:ascii="Times New Roman" w:cs="Times New Roman" w:eastAsia="Times New Roman" w:hAnsi="Times New Roman"/>
          <w:sz w:val="14"/>
          <w:szCs w:val="14"/>
          <w:u w:val="single" w:color="auto"/>
          <w:color w:val="auto"/>
        </w:rPr>
        <w:t>Section 2.6(b)(i)</w:t>
      </w:r>
      <w:r>
        <w:rPr>
          <w:rFonts w:ascii="Times New Roman" w:cs="Times New Roman" w:eastAsia="Times New Roman" w:hAnsi="Times New Roman"/>
          <w:sz w:val="14"/>
          <w:szCs w:val="14"/>
          <w:color w:val="auto"/>
        </w:rPr>
        <w:t xml:space="preserve"> shall exist (such period being referred to herein as a “</w:t>
      </w:r>
      <w:r>
        <w:rPr>
          <w:rFonts w:ascii="Times New Roman" w:cs="Times New Roman" w:eastAsia="Times New Roman" w:hAnsi="Times New Roman"/>
          <w:sz w:val="14"/>
          <w:szCs w:val="14"/>
          <w:u w:val="single" w:color="auto"/>
          <w:color w:val="auto"/>
        </w:rPr>
        <w:t>Voting Period</w:t>
      </w:r>
      <w:r>
        <w:rPr>
          <w:rFonts w:ascii="Times New Roman" w:cs="Times New Roman" w:eastAsia="Times New Roman" w:hAnsi="Times New Roman"/>
          <w:sz w:val="14"/>
          <w:szCs w:val="14"/>
          <w:color w:val="auto"/>
        </w:rPr>
        <w:t>”), the number of Directors constituting the Board of Directors shall be automatically increased by the smallest number that, when added to the two Directors elected by the Holders of Preferred Stock, including Term Preferred Shares, would constitute a majority of the Board of Directors as so increased by such smallest number; and the Holders of Preferred Shares, including Term Preferred Shares, shall be entitled, voting as a separate class on a one-vote-per-share basis (to the exclusion of the Holders of all other securities and classes of Capital Stock of the Corporation), to elect such smallest number of additional Directors, together with the two Directors that such Holders are in any event entitled to elect. A Voting Period shall commence:</w:t>
      </w:r>
    </w:p>
    <w:p>
      <w:pPr>
        <w:spacing w:after="0" w:line="265" w:lineRule="exact"/>
        <w:rPr>
          <w:rFonts w:ascii="Times New Roman" w:cs="Times New Roman" w:eastAsia="Times New Roman" w:hAnsi="Times New Roman"/>
          <w:sz w:val="14"/>
          <w:szCs w:val="14"/>
          <w:color w:val="auto"/>
        </w:rPr>
      </w:pPr>
    </w:p>
    <w:p>
      <w:pPr>
        <w:jc w:val="both"/>
        <w:ind w:left="2860" w:right="1339" w:firstLine="501"/>
        <w:spacing w:after="0" w:line="258" w:lineRule="auto"/>
        <w:tabs>
          <w:tab w:leader="none" w:pos="3849" w:val="left"/>
        </w:tabs>
        <w:numPr>
          <w:ilvl w:val="2"/>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the close of business on any dividend payment date for any outstanding Preferred Share including any Outstanding Term Preferred Share, accumulated dividends (whether or not earned or declared) on such outstanding share of Preferred Stock equal to at least two (2) full years’ dividends shall be due and unpaid and sufficient cash or specified securities shall not have been deposited with the Redemption and Paying Agent or other applicable paying agent for the payment of such accumulated dividends; or</w:t>
      </w:r>
    </w:p>
    <w:p>
      <w:pPr>
        <w:spacing w:after="0" w:line="89" w:lineRule="exact"/>
        <w:rPr>
          <w:rFonts w:ascii="Times New Roman" w:cs="Times New Roman" w:eastAsia="Times New Roman" w:hAnsi="Times New Roman"/>
          <w:sz w:val="14"/>
          <w:szCs w:val="14"/>
          <w:color w:val="auto"/>
        </w:rPr>
      </w:pPr>
    </w:p>
    <w:p>
      <w:pPr>
        <w:ind w:left="2860" w:right="1339" w:firstLine="501"/>
        <w:spacing w:after="0" w:line="286" w:lineRule="auto"/>
        <w:tabs>
          <w:tab w:leader="none" w:pos="3873" w:val="left"/>
        </w:tabs>
        <w:numPr>
          <w:ilvl w:val="2"/>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Holders of shares of Preferred Stock are otherwise entitled under the 1940 Act to elect a majority of the Board of Directors.</w:t>
      </w:r>
    </w:p>
    <w:p>
      <w:pPr>
        <w:spacing w:after="0" w:line="61"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 xml:space="preserve">Upon the termination of a Voting Period, the voting rights described in this </w:t>
      </w:r>
      <w:r>
        <w:rPr>
          <w:rFonts w:ascii="Times New Roman" w:cs="Times New Roman" w:eastAsia="Times New Roman" w:hAnsi="Times New Roman"/>
          <w:sz w:val="14"/>
          <w:szCs w:val="14"/>
          <w:u w:val="single" w:color="auto"/>
          <w:color w:val="auto"/>
        </w:rPr>
        <w:t>Section 2.6(b)(i)</w:t>
      </w:r>
      <w:r>
        <w:rPr>
          <w:rFonts w:ascii="Times New Roman" w:cs="Times New Roman" w:eastAsia="Times New Roman" w:hAnsi="Times New Roman"/>
          <w:sz w:val="14"/>
          <w:szCs w:val="14"/>
          <w:color w:val="auto"/>
        </w:rPr>
        <w:t xml:space="preserve"> shall cease, subject always, however, to the revesting of such voting rights in the Holders of shares of Preferred Stock upon the further occurrence of any of the events described in this </w:t>
      </w:r>
      <w:r>
        <w:rPr>
          <w:rFonts w:ascii="Times New Roman" w:cs="Times New Roman" w:eastAsia="Times New Roman" w:hAnsi="Times New Roman"/>
          <w:sz w:val="14"/>
          <w:szCs w:val="14"/>
          <w:u w:val="single" w:color="auto"/>
          <w:color w:val="auto"/>
        </w:rPr>
        <w:t>Section 2.6(b)(i)</w:t>
      </w:r>
      <w:r>
        <w:rPr>
          <w:rFonts w:ascii="Times New Roman" w:cs="Times New Roman" w:eastAsia="Times New Roman" w:hAnsi="Times New Roman"/>
          <w:sz w:val="14"/>
          <w:szCs w:val="14"/>
          <w:color w:val="auto"/>
        </w:rPr>
        <w:t>.</w:t>
      </w:r>
    </w:p>
    <w:p>
      <w:pPr>
        <w:spacing w:after="0" w:line="81" w:lineRule="exact"/>
        <w:rPr>
          <w:sz w:val="20"/>
          <w:szCs w:val="20"/>
          <w:color w:val="auto"/>
        </w:rPr>
      </w:pPr>
    </w:p>
    <w:p>
      <w:pPr>
        <w:jc w:val="both"/>
        <w:ind w:left="1320" w:right="1339" w:firstLine="1533"/>
        <w:spacing w:after="0" w:line="253" w:lineRule="auto"/>
        <w:tabs>
          <w:tab w:leader="none" w:pos="3333"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Notice of Special Meeting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soon as practicable after the accrual of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right of the Holders of shares of Preferred Stock to elect additional Directors as described in </w:t>
      </w:r>
      <w:r>
        <w:rPr>
          <w:rFonts w:ascii="Times New Roman" w:cs="Times New Roman" w:eastAsia="Times New Roman" w:hAnsi="Times New Roman"/>
          <w:sz w:val="14"/>
          <w:szCs w:val="14"/>
          <w:u w:val="single" w:color="auto"/>
          <w:color w:val="auto"/>
        </w:rPr>
        <w:t>Section 2.6(b)(i)</w:t>
      </w:r>
      <w:r>
        <w:rPr>
          <w:rFonts w:ascii="Times New Roman" w:cs="Times New Roman" w:eastAsia="Times New Roman" w:hAnsi="Times New Roman"/>
          <w:sz w:val="14"/>
          <w:szCs w:val="14"/>
          <w:color w:val="auto"/>
        </w:rPr>
        <w:t>, the Corporation shall call a special meeting of such Holders and notify the Redemption and Paying Agent and/or such other Person as is specified in the terms of such Preferred Stock to receive notice (i) by mailing or delivery by Electronic Means or (ii) in such other manner and by such other means as are specified in the terms of such Preferred Stock, a notice of such special meeting to such Holders, such meeting to be held not less than ten (10) nor more than thirty (30) calendar days after the date of the delivery by Electronic Means or mailing of such notice. If the Corporation fails to call such a special meeting, it may be called at the expense of the Corporation by any such Holder on like notice. The record date for determining the Holders of shares of Preferred Stock entitled to notice of and to vote at such special meeting shall be the close of business on the fifth (5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4"/>
          <w:szCs w:val="14"/>
          <w:color w:val="auto"/>
        </w:rPr>
        <w:t xml:space="preserve">) Business Day preceding the calendar day on which such notice is mailed. At any such special meeting and at each meeting of Holders of shares of Preferred Stock held during a Voting Period at which Directors are to be elected, such Holders, voting together as a class (to the exclusion of the Holders of all other securities and classes of capital stock of the Corporation), shall be entitled to elect the number of Directors prescribed in </w:t>
      </w:r>
      <w:r>
        <w:rPr>
          <w:rFonts w:ascii="Times New Roman" w:cs="Times New Roman" w:eastAsia="Times New Roman" w:hAnsi="Times New Roman"/>
          <w:sz w:val="14"/>
          <w:szCs w:val="14"/>
          <w:u w:val="single" w:color="auto"/>
          <w:color w:val="auto"/>
        </w:rPr>
        <w:t>Section 2.6(b)(i)</w:t>
      </w:r>
      <w:r>
        <w:rPr>
          <w:rFonts w:ascii="Times New Roman" w:cs="Times New Roman" w:eastAsia="Times New Roman" w:hAnsi="Times New Roman"/>
          <w:sz w:val="14"/>
          <w:szCs w:val="14"/>
          <w:color w:val="auto"/>
        </w:rPr>
        <w:t xml:space="preserve"> on a one-vote-per-share basis.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59" w:name="page60"/>
    <w:bookmarkEnd w:id="59"/>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2" w:lineRule="exact"/>
        <w:rPr>
          <w:sz w:val="20"/>
          <w:szCs w:val="20"/>
          <w:color w:val="auto"/>
        </w:rPr>
      </w:pPr>
    </w:p>
    <w:p>
      <w:pPr>
        <w:jc w:val="both"/>
        <w:ind w:left="1320" w:right="1339" w:firstLine="1533"/>
        <w:spacing w:after="0" w:line="256" w:lineRule="auto"/>
        <w:tabs>
          <w:tab w:leader="none" w:pos="3341"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Terms of Office of Existing Directors. </w:t>
      </w:r>
      <w:r>
        <w:rPr>
          <w:rFonts w:ascii="Times New Roman" w:cs="Times New Roman" w:eastAsia="Times New Roman" w:hAnsi="Times New Roman"/>
          <w:sz w:val="14"/>
          <w:szCs w:val="14"/>
          <w:color w:val="auto"/>
        </w:rPr>
        <w:t>The terms of office of the incumbent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Directors of the Corporation at the time of a special meeting of Holders of the shares of Preferred Stock to elect additional Directors in accordance with </w:t>
      </w:r>
      <w:r>
        <w:rPr>
          <w:rFonts w:ascii="Times New Roman" w:cs="Times New Roman" w:eastAsia="Times New Roman" w:hAnsi="Times New Roman"/>
          <w:sz w:val="14"/>
          <w:szCs w:val="14"/>
          <w:u w:val="single" w:color="auto"/>
          <w:color w:val="auto"/>
        </w:rPr>
        <w:t>Section 2.6(b)(i)</w:t>
      </w:r>
      <w:r>
        <w:rPr>
          <w:rFonts w:ascii="Times New Roman" w:cs="Times New Roman" w:eastAsia="Times New Roman" w:hAnsi="Times New Roman"/>
          <w:sz w:val="14"/>
          <w:szCs w:val="14"/>
          <w:color w:val="auto"/>
        </w:rPr>
        <w:t xml:space="preserve"> shall not be affected by the election at such meeting by the Holders of Term Preferred Shares and such other Holders of shares of Preferred Stock of the number of Directors that they are entitled to elect, and the Directors so elected by the Holders of Term Preferred Shares and such other Holders of shares of Preferred Stock, together with the two (2) Directors elected by the Holders of shares of Preferred Stock in accordance with </w:t>
      </w:r>
      <w:r>
        <w:rPr>
          <w:rFonts w:ascii="Times New Roman" w:cs="Times New Roman" w:eastAsia="Times New Roman" w:hAnsi="Times New Roman"/>
          <w:sz w:val="14"/>
          <w:szCs w:val="14"/>
          <w:u w:val="single" w:color="auto"/>
          <w:color w:val="auto"/>
        </w:rPr>
        <w:t>Section 2.6(a)</w:t>
      </w:r>
      <w:r>
        <w:rPr>
          <w:rFonts w:ascii="Times New Roman" w:cs="Times New Roman" w:eastAsia="Times New Roman" w:hAnsi="Times New Roman"/>
          <w:sz w:val="14"/>
          <w:szCs w:val="14"/>
          <w:color w:val="auto"/>
        </w:rPr>
        <w:t xml:space="preserve"> hereof and the remaining Directors elected by the holders of the shares of Common Stock and Preferred Stock, voting together as a single class, shall constitute the duly elected Directors of the Corporation.</w:t>
      </w:r>
    </w:p>
    <w:p>
      <w:pPr>
        <w:spacing w:after="0" w:line="94" w:lineRule="exact"/>
        <w:rPr>
          <w:rFonts w:ascii="Times New Roman" w:cs="Times New Roman" w:eastAsia="Times New Roman" w:hAnsi="Times New Roman"/>
          <w:sz w:val="14"/>
          <w:szCs w:val="14"/>
          <w:color w:val="auto"/>
        </w:rPr>
      </w:pPr>
    </w:p>
    <w:p>
      <w:pPr>
        <w:jc w:val="both"/>
        <w:ind w:left="1320" w:right="1339" w:firstLine="1533"/>
        <w:spacing w:after="0" w:line="259" w:lineRule="auto"/>
        <w:tabs>
          <w:tab w:leader="none" w:pos="3333"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Terms of Office of Certain Directors to Terminate Upon Termination of </w:t>
      </w:r>
      <w:r>
        <w:rPr>
          <w:rFonts w:ascii="Times New Roman" w:cs="Times New Roman" w:eastAsia="Times New Roman" w:hAnsi="Times New Roman"/>
          <w:sz w:val="14"/>
          <w:szCs w:val="14"/>
          <w:i w:val="1"/>
          <w:iCs w:val="1"/>
          <w:u w:val="single" w:color="auto"/>
          <w:color w:val="auto"/>
        </w:rPr>
        <w:t>Voting Period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Simultaneously with the termination of a Voting Period, the terms of office of the additional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Directors elected by the Holders of the shares of Preferred Stock pursuant to </w:t>
      </w:r>
      <w:r>
        <w:rPr>
          <w:rFonts w:ascii="Times New Roman" w:cs="Times New Roman" w:eastAsia="Times New Roman" w:hAnsi="Times New Roman"/>
          <w:sz w:val="14"/>
          <w:szCs w:val="14"/>
          <w:u w:val="single" w:color="auto"/>
          <w:color w:val="auto"/>
        </w:rPr>
        <w:t>Section 2.6(b)(i)</w:t>
      </w:r>
      <w:r>
        <w:rPr>
          <w:rFonts w:ascii="Times New Roman" w:cs="Times New Roman" w:eastAsia="Times New Roman" w:hAnsi="Times New Roman"/>
          <w:sz w:val="14"/>
          <w:szCs w:val="14"/>
          <w:color w:val="auto"/>
        </w:rPr>
        <w:t xml:space="preserve"> shall terminate, the remaining Directors shall constitute the Directors of the Corporation and the voting rights of the Holders of shares of Preferred Stock to elect additional Directors pursuant to </w:t>
      </w:r>
      <w:r>
        <w:rPr>
          <w:rFonts w:ascii="Times New Roman" w:cs="Times New Roman" w:eastAsia="Times New Roman" w:hAnsi="Times New Roman"/>
          <w:sz w:val="14"/>
          <w:szCs w:val="14"/>
          <w:u w:val="single" w:color="auto"/>
          <w:color w:val="auto"/>
        </w:rPr>
        <w:t>Section 2.6(b)(i)</w:t>
      </w:r>
      <w:r>
        <w:rPr>
          <w:rFonts w:ascii="Times New Roman" w:cs="Times New Roman" w:eastAsia="Times New Roman" w:hAnsi="Times New Roman"/>
          <w:sz w:val="14"/>
          <w:szCs w:val="14"/>
          <w:color w:val="auto"/>
        </w:rPr>
        <w:t xml:space="preserve"> shall cease, subject to the provisions of the last sentence of </w:t>
      </w:r>
      <w:r>
        <w:rPr>
          <w:rFonts w:ascii="Times New Roman" w:cs="Times New Roman" w:eastAsia="Times New Roman" w:hAnsi="Times New Roman"/>
          <w:sz w:val="14"/>
          <w:szCs w:val="14"/>
          <w:u w:val="single" w:color="auto"/>
          <w:color w:val="auto"/>
        </w:rPr>
        <w:t>Section 2.6(b)(i)</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2820" w:hanging="474"/>
        <w:spacing w:after="0"/>
        <w:tabs>
          <w:tab w:leader="none" w:pos="28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Term Preferred Shares to Vote on Certain Matters.</w:t>
      </w:r>
    </w:p>
    <w:p>
      <w:pPr>
        <w:spacing w:after="0" w:line="112" w:lineRule="exact"/>
        <w:rPr>
          <w:rFonts w:ascii="Times New Roman" w:cs="Times New Roman" w:eastAsia="Times New Roman" w:hAnsi="Times New Roman"/>
          <w:sz w:val="14"/>
          <w:szCs w:val="14"/>
          <w:color w:val="auto"/>
        </w:rPr>
      </w:pPr>
    </w:p>
    <w:p>
      <w:pPr>
        <w:jc w:val="both"/>
        <w:ind w:left="1320" w:right="1339" w:firstLine="1533"/>
        <w:spacing w:after="0" w:line="254" w:lineRule="auto"/>
        <w:tabs>
          <w:tab w:leader="none" w:pos="3329"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Certain Amendments Requiring Approval of Term Preferred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Except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as otherwise permitted by the terms of these Articles Supplementary, so long as any Term Preferred Shares are Outstanding, the Corporation shall not, without the affirmative vote or consent of the Holders of at least two-thirds (2/3) of the Term Preferred Shares of all Series Outstanding at the time, voting together as a separate class, amend, alter or repeal the provisions of the Articles, or these Articles Supplementary, whether by merger, consolidation or otherwise, so as to materially and adversely affect any preference, right or power of such Term Preferred Shares or the Holders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 a change in the capitalization of the Corporation in accordance with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hereof shall not be considered to materially and adversely affect the rights and preferences of the Term Preferred Shares, and (ii) a division of a Term Preferred Share shall be deemed to affect such preferences, rights or powers only if the terms of such division materially and adversely affect the Holders of the Term Preferred Shares. For purposes of the foregoing, no matter shall be deemed to adversely affect any preference, right or power of a Term Preferred Share of such Series or the Holder thereof unless such matter (i) alters or abolishes any preferential right of such Term Preferred Share, or (ii) creates, alters or abolishes any right in respect of redemption of such Term Preferred Share (other than as a result of a division of a Term Preferred Share). So long as any Term Preferred Shares are Outstanding, the Corporation shall not, without the affirmative vote or consent of at least two-thirds (2/3) of the Holders of the Term Preferred Shares Outstanding at the time, voting as a separate class, file a voluntary application for relief under Federal bankruptcy law or any similar application under state law for so long as the Corporation is solvent and does not foresee becoming insolvent.</w:t>
      </w:r>
    </w:p>
    <w:p>
      <w:pPr>
        <w:spacing w:after="0" w:line="95" w:lineRule="exact"/>
        <w:rPr>
          <w:rFonts w:ascii="Times New Roman" w:cs="Times New Roman" w:eastAsia="Times New Roman" w:hAnsi="Times New Roman"/>
          <w:sz w:val="14"/>
          <w:szCs w:val="14"/>
          <w:color w:val="auto"/>
        </w:rPr>
      </w:pPr>
    </w:p>
    <w:p>
      <w:pPr>
        <w:jc w:val="both"/>
        <w:ind w:left="1320" w:right="1339" w:firstLine="1533"/>
        <w:spacing w:after="0" w:line="259" w:lineRule="auto"/>
        <w:tabs>
          <w:tab w:leader="none" w:pos="3333"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1940 Act Matters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Unless a higher percentage is provided for in the Articles,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affirmative vote of the Holders of at least “a majority of the outstanding shares of Preferred Stock,” as determined in accordance with Section 2(a)(42) of the 1940 Act, including Term Preferred Shares Outstanding at the time, voting as a separate class, shall be required to approve (A) any plan of reorganization (as such term is used in the 1940 Act) adversely affecting such shares, or (B) any action requiring a vote of security holders of the Corporation pursuant to Section 13(a) of the 1940 Act.</w:t>
      </w:r>
    </w:p>
    <w:p>
      <w:pPr>
        <w:spacing w:after="0" w:line="89" w:lineRule="exact"/>
        <w:rPr>
          <w:rFonts w:ascii="Times New Roman" w:cs="Times New Roman" w:eastAsia="Times New Roman" w:hAnsi="Times New Roman"/>
          <w:sz w:val="14"/>
          <w:szCs w:val="14"/>
          <w:color w:val="auto"/>
        </w:rPr>
      </w:pPr>
    </w:p>
    <w:p>
      <w:pPr>
        <w:jc w:val="both"/>
        <w:ind w:left="1320" w:right="1339" w:firstLine="1533"/>
        <w:spacing w:after="0" w:line="255" w:lineRule="auto"/>
        <w:tabs>
          <w:tab w:leader="none" w:pos="3341"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Certain Amendments Requiring Approval of Specific Series of Term Preferred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Except as otherwise permitted by the terms of these Articles Supplementary, so long as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Term Preferred Shares of a Series are Outstanding, the Corporation shall not, without the affirmative vote or consent of the Holders of at least two-thirds (2/3) of the Term Preferred Shares of such Series, Outstanding at the time, voting as a separate class, amend, alter or repeal the provisions of the Appendix relating to such Series, whether by merger, consolidation or otherwise, so as to materially and adversely affect any preference, right or power set forth in such Appendix of the Term Preferred Shares of such Series or the Holders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 a change in the capitalization of the Corporation in accordance with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hereof shall not be considered to materially and adversely affect the rights and preferences of the Term Preferred Shares of such Series, and (ii) a division of a Term Preferred Share shall be deemed to affect such preferences, rights or powers only if the terms of such division materially and adversely affect the Holders of the Term Preferred Shares of such Series;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no amendment, alteration or repeal of the obligation of the Corporation to (x) pay the Term Redemption Price on the Term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-6083300</wp:posOffset>
            </wp:positionV>
            <wp:extent cx="134620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346200" cy="698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-5041900</wp:posOffset>
            </wp:positionV>
            <wp:extent cx="275209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2752090" cy="6985"/>
                    </a:xfrm>
                    <a:prstGeom prst="rect">
                      <a:avLst/>
                    </a:prstGeom>
                    <a:noFill/>
                  </pic:spPr>
                </pic:pic>
              </a:graphicData>
            </a:graphic>
          </wp:anchor>
        </w:drawing>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60" w:name="page61"/>
    <w:bookmarkEnd w:id="60"/>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59" w:lineRule="auto"/>
        <w:rPr>
          <w:sz w:val="20"/>
          <w:szCs w:val="20"/>
          <w:color w:val="auto"/>
        </w:rPr>
      </w:pPr>
      <w:r>
        <w:rPr>
          <w:rFonts w:ascii="Times New Roman" w:cs="Times New Roman" w:eastAsia="Times New Roman" w:hAnsi="Times New Roman"/>
          <w:sz w:val="14"/>
          <w:szCs w:val="14"/>
          <w:color w:val="auto"/>
        </w:rPr>
        <w:t>for a Series, or (y) accumulate dividends at the Dividend Rate (as set forth in these Articles Supplementary and the applicable Appendix hereto) for a Series shall be effected without, in each case, the prior unanimous vote or consent of the Holders of such Series of Term Preferred Shares. For purposes of the foregoing, no matter shall be deemed to adversely affect any preference, right or power of a Term Preferred Share of a Series or the Holder thereof unless such matter (i) alters or abolishes any preferential right of such Term Preferred Share, or (ii) creates, alters or abolishes any right in respect of redemption of such Term Preferred Share.</w:t>
      </w:r>
    </w:p>
    <w:p>
      <w:pPr>
        <w:spacing w:after="0" w:line="88" w:lineRule="exact"/>
        <w:rPr>
          <w:sz w:val="20"/>
          <w:szCs w:val="20"/>
          <w:color w:val="auto"/>
        </w:rPr>
      </w:pPr>
    </w:p>
    <w:p>
      <w:pPr>
        <w:jc w:val="both"/>
        <w:ind w:left="1320" w:right="1339" w:firstLine="1026"/>
        <w:spacing w:after="0" w:line="270" w:lineRule="auto"/>
        <w:tabs>
          <w:tab w:leader="none" w:pos="2818"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Voting Rights Set Forth Herein Are Sole Voting Rights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Unless otherwise required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law or the Articles, the Holders of Term Preferred Shares shall not have any relative voting rights or preferences or other special rights with respect to voting other than those expressly set forth in this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w:t>
      </w:r>
    </w:p>
    <w:p>
      <w:pPr>
        <w:spacing w:after="0" w:line="80" w:lineRule="exact"/>
        <w:rPr>
          <w:rFonts w:ascii="Times New Roman" w:cs="Times New Roman" w:eastAsia="Times New Roman" w:hAnsi="Times New Roman"/>
          <w:sz w:val="14"/>
          <w:szCs w:val="14"/>
          <w:color w:val="auto"/>
        </w:rPr>
      </w:pPr>
    </w:p>
    <w:p>
      <w:pPr>
        <w:ind w:left="2820" w:hanging="474"/>
        <w:spacing w:after="0"/>
        <w:tabs>
          <w:tab w:leader="none" w:pos="28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No Cumulative Voting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Holders of Term Preferred Shares shall have no rights to</w:t>
      </w:r>
    </w:p>
    <w:p>
      <w:pPr>
        <w:spacing w:after="0" w:line="24" w:lineRule="exact"/>
        <w:rPr>
          <w:rFonts w:ascii="Times New Roman" w:cs="Times New Roman" w:eastAsia="Times New Roman" w:hAnsi="Times New Roman"/>
          <w:sz w:val="14"/>
          <w:szCs w:val="14"/>
          <w:color w:val="auto"/>
        </w:rPr>
      </w:pPr>
    </w:p>
    <w:p>
      <w:pPr>
        <w:ind w:left="1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voting.</w:t>
      </w:r>
    </w:p>
    <w:p>
      <w:pPr>
        <w:spacing w:after="0" w:line="97" w:lineRule="exact"/>
        <w:rPr>
          <w:rFonts w:ascii="Times New Roman" w:cs="Times New Roman" w:eastAsia="Times New Roman" w:hAnsi="Times New Roman"/>
          <w:sz w:val="14"/>
          <w:szCs w:val="14"/>
          <w:color w:val="auto"/>
        </w:rPr>
      </w:pPr>
    </w:p>
    <w:p>
      <w:pPr>
        <w:jc w:val="both"/>
        <w:ind w:left="1320" w:right="1339" w:firstLine="1026"/>
        <w:spacing w:after="0" w:line="258" w:lineRule="auto"/>
        <w:tabs>
          <w:tab w:leader="none" w:pos="2861"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Voting for Directors Sole Remedy for Corporation’s Failure to Declare or Pay </w:t>
      </w:r>
      <w:r>
        <w:rPr>
          <w:rFonts w:ascii="Times New Roman" w:cs="Times New Roman" w:eastAsia="Times New Roman" w:hAnsi="Times New Roman"/>
          <w:sz w:val="14"/>
          <w:szCs w:val="14"/>
          <w:i w:val="1"/>
          <w:iCs w:val="1"/>
          <w:u w:val="single" w:color="auto"/>
          <w:color w:val="auto"/>
        </w:rPr>
        <w:t>Dividends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the event that the Corporation fails to declare or pay any dividends on any Series of Term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Preferred Shares on the Dividend Payment Date therefor, the exclusive remedy of the Holders of the Term Preferred Shares shall be the right to vote for Directors pursuant to the provisions of this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xml:space="preserve">. Nothing in this </w:t>
      </w:r>
      <w:r>
        <w:rPr>
          <w:rFonts w:ascii="Times New Roman" w:cs="Times New Roman" w:eastAsia="Times New Roman" w:hAnsi="Times New Roman"/>
          <w:sz w:val="14"/>
          <w:szCs w:val="14"/>
          <w:u w:val="single" w:color="auto"/>
          <w:color w:val="auto"/>
        </w:rPr>
        <w:t>Section 2.6(f)</w:t>
      </w:r>
      <w:r>
        <w:rPr>
          <w:rFonts w:ascii="Times New Roman" w:cs="Times New Roman" w:eastAsia="Times New Roman" w:hAnsi="Times New Roman"/>
          <w:sz w:val="14"/>
          <w:szCs w:val="14"/>
          <w:color w:val="auto"/>
        </w:rPr>
        <w:t xml:space="preserve"> shall be deemed to affect the obligation of the Corporation to accumulate and, if permitted by applicable law, the Articles and these Articles Supplementary, pay dividends at the Default Rate in the circumstances contemplated by </w:t>
      </w:r>
      <w:r>
        <w:rPr>
          <w:rFonts w:ascii="Times New Roman" w:cs="Times New Roman" w:eastAsia="Times New Roman" w:hAnsi="Times New Roman"/>
          <w:sz w:val="14"/>
          <w:szCs w:val="14"/>
          <w:u w:val="single" w:color="auto"/>
          <w:color w:val="auto"/>
        </w:rPr>
        <w:t>Section 2.2(g)</w:t>
      </w:r>
      <w:r>
        <w:rPr>
          <w:rFonts w:ascii="Times New Roman" w:cs="Times New Roman" w:eastAsia="Times New Roman" w:hAnsi="Times New Roman"/>
          <w:sz w:val="14"/>
          <w:szCs w:val="14"/>
          <w:color w:val="auto"/>
        </w:rPr>
        <w:t xml:space="preserve"> hereof.</w:t>
      </w:r>
    </w:p>
    <w:p>
      <w:pPr>
        <w:spacing w:after="0" w:line="89" w:lineRule="exact"/>
        <w:rPr>
          <w:rFonts w:ascii="Times New Roman" w:cs="Times New Roman" w:eastAsia="Times New Roman" w:hAnsi="Times New Roman"/>
          <w:sz w:val="14"/>
          <w:szCs w:val="14"/>
          <w:color w:val="auto"/>
        </w:rPr>
      </w:pPr>
    </w:p>
    <w:p>
      <w:pPr>
        <w:jc w:val="both"/>
        <w:ind w:left="1320" w:right="1339" w:firstLine="1026"/>
        <w:spacing w:after="0" w:line="256" w:lineRule="auto"/>
        <w:tabs>
          <w:tab w:leader="none" w:pos="2818"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u w:val="single" w:color="auto"/>
          <w:color w:val="auto"/>
        </w:rPr>
        <w:t>Holders Entitled to Vote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purposes of determining any rights of the Holders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 Preferred Shares to vote on any matter, whether such right is created by these Articles Supplementary, by the Articles, by statute or otherwise, no Holder of Term Preferred Shares shall be entitled to vote any Term Preferred Share and no Term Preferred Share shall be deemed to be “Outstanding” for the purpose of voting or determining the number of shares required to constitute a quorum if, prior to or concurrently with the time of determination of shares entitled to vote or the time of the actual vote on the matter, as the case may be, the requisite Notice of Redemption with respect to such Term Preferred Share shall have been given in accordance with these Articles Supplementary and Deposit Securities for the payment of the Redemption Price of such Term Preferred Share shall have been deposited in trust with the Redemption and Paying Agent for that purpose. No Term Preferred Share held by the Corporation shall have any voting rights or be deemed to be outstanding for voting or for calculating the voting percentage required on any other matter or other purposes.</w:t>
      </w:r>
    </w:p>
    <w:p>
      <w:pPr>
        <w:spacing w:after="0" w:line="89" w:lineRule="exact"/>
        <w:rPr>
          <w:rFonts w:ascii="Times New Roman" w:cs="Times New Roman" w:eastAsia="Times New Roman" w:hAnsi="Times New Roman"/>
          <w:sz w:val="14"/>
          <w:szCs w:val="14"/>
          <w:color w:val="auto"/>
        </w:rPr>
      </w:pPr>
    </w:p>
    <w:p>
      <w:pPr>
        <w:jc w:val="both"/>
        <w:ind w:left="1320" w:right="1359" w:firstLine="1026"/>
        <w:spacing w:after="0" w:line="270" w:lineRule="auto"/>
        <w:tabs>
          <w:tab w:leader="none" w:pos="2818"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Maryland General Corporation Law Matters. </w:t>
      </w:r>
      <w:r>
        <w:rPr>
          <w:rFonts w:ascii="Times New Roman" w:cs="Times New Roman" w:eastAsia="Times New Roman" w:hAnsi="Times New Roman"/>
          <w:sz w:val="14"/>
          <w:szCs w:val="14"/>
          <w:color w:val="auto"/>
        </w:rPr>
        <w:t>The Corporation shall take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actions as may be necessary to effect the provisions of this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xml:space="preserve"> in accordance with Maryland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-2329180</wp:posOffset>
            </wp:positionV>
            <wp:extent cx="304990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3049905" cy="698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-246380</wp:posOffset>
            </wp:positionV>
            <wp:extent cx="173799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737995" cy="6985"/>
                    </a:xfrm>
                    <a:prstGeom prst="rect">
                      <a:avLst/>
                    </a:prstGeom>
                    <a:noFill/>
                  </pic:spPr>
                </pic:pic>
              </a:graphicData>
            </a:graphic>
          </wp:anchor>
        </w:drawing>
      </w:r>
    </w:p>
    <w:p>
      <w:pPr>
        <w:spacing w:after="0" w:line="52" w:lineRule="exact"/>
        <w:rPr>
          <w:sz w:val="20"/>
          <w:szCs w:val="20"/>
          <w:color w:val="auto"/>
        </w:rPr>
      </w:pPr>
    </w:p>
    <w:p>
      <w:pPr>
        <w:ind w:left="1840"/>
        <w:spacing w:after="0"/>
        <w:tabs>
          <w:tab w:leader="none" w:pos="2320" w:val="left"/>
        </w:tabs>
        <w:rPr>
          <w:sz w:val="20"/>
          <w:szCs w:val="20"/>
          <w:color w:val="auto"/>
        </w:rPr>
      </w:pPr>
      <w:r>
        <w:rPr>
          <w:rFonts w:ascii="Times New Roman" w:cs="Times New Roman" w:eastAsia="Times New Roman" w:hAnsi="Times New Roman"/>
          <w:sz w:val="14"/>
          <w:szCs w:val="14"/>
          <w:color w:val="auto"/>
        </w:rPr>
        <w:t>2.7</w:t>
      </w:r>
      <w:r>
        <w:rPr>
          <w:sz w:val="20"/>
          <w:szCs w:val="20"/>
          <w:color w:val="auto"/>
        </w:rPr>
        <w:tab/>
      </w:r>
      <w:r>
        <w:rPr>
          <w:rFonts w:ascii="Times New Roman" w:cs="Times New Roman" w:eastAsia="Times New Roman" w:hAnsi="Times New Roman"/>
          <w:sz w:val="14"/>
          <w:szCs w:val="14"/>
          <w:u w:val="single" w:color="auto"/>
          <w:color w:val="auto"/>
        </w:rPr>
        <w:t>Issuance of Additional Preferred Stock</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ind w:left="1320" w:right="1339" w:firstLine="508"/>
        <w:spacing w:after="0" w:line="255" w:lineRule="auto"/>
        <w:rPr>
          <w:sz w:val="20"/>
          <w:szCs w:val="20"/>
          <w:color w:val="auto"/>
        </w:rPr>
      </w:pPr>
      <w:r>
        <w:rPr>
          <w:rFonts w:ascii="Times New Roman" w:cs="Times New Roman" w:eastAsia="Times New Roman" w:hAnsi="Times New Roman"/>
          <w:sz w:val="14"/>
          <w:szCs w:val="14"/>
          <w:color w:val="auto"/>
        </w:rPr>
        <w:t xml:space="preserve">So long as any Term Preferred Shares are Outstanding, the Corporation may, without the vote or consent of the Holders thereof, authorize, establish and create and issue and sell shares of one or more series of a class of senior securities of the Corporation representing stock under Section 18 of the 1940 Act, ranking on a parity with Term Preferred Shares as to the payment of dividends and the distribution of assets upon dissolution, liquidation or the winding up of the affairs of the Corporation, in addition to then Outstanding Series of Term Preferred Shares, including additional Series of Term Preferred Shares, and authorize, issue and sell additional shares of any such series of Preferred Stock then outstanding or so established and created, including additional Term Preferred Shares of any Series, in each case in accordance with applicable law, provided that the Corporation shall, immediately after giving effect to the issuance of such additional shares of Preferred Stock and to its receipt and application of the proceeds thereof, including to the redemption of shares of Preferred Stock with such proceeds, have Asset Coverage (calculated in the same manner as is contemplated by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2.4(b)</w:t>
      </w:r>
      <w:r>
        <w:rPr>
          <w:rFonts w:ascii="Times New Roman" w:cs="Times New Roman" w:eastAsia="Times New Roman" w:hAnsi="Times New Roman"/>
          <w:sz w:val="14"/>
          <w:szCs w:val="14"/>
          <w:color w:val="auto"/>
        </w:rPr>
        <w:t xml:space="preserve"> hereof) of at least 200%.</w:t>
      </w:r>
    </w:p>
    <w:p>
      <w:pPr>
        <w:spacing w:after="0" w:line="95" w:lineRule="exact"/>
        <w:rPr>
          <w:sz w:val="20"/>
          <w:szCs w:val="20"/>
          <w:color w:val="auto"/>
        </w:rPr>
      </w:pPr>
    </w:p>
    <w:p>
      <w:pPr>
        <w:ind w:left="1840"/>
        <w:spacing w:after="0"/>
        <w:tabs>
          <w:tab w:leader="none" w:pos="2320" w:val="left"/>
        </w:tabs>
        <w:rPr>
          <w:sz w:val="20"/>
          <w:szCs w:val="20"/>
          <w:color w:val="auto"/>
        </w:rPr>
      </w:pPr>
      <w:r>
        <w:rPr>
          <w:rFonts w:ascii="Times New Roman" w:cs="Times New Roman" w:eastAsia="Times New Roman" w:hAnsi="Times New Roman"/>
          <w:sz w:val="14"/>
          <w:szCs w:val="14"/>
          <w:color w:val="auto"/>
        </w:rPr>
        <w:t>2.8</w:t>
      </w:r>
      <w:r>
        <w:rPr>
          <w:sz w:val="20"/>
          <w:szCs w:val="20"/>
          <w:color w:val="auto"/>
        </w:rPr>
        <w:tab/>
      </w:r>
      <w:r>
        <w:rPr>
          <w:rFonts w:ascii="Times New Roman" w:cs="Times New Roman" w:eastAsia="Times New Roman" w:hAnsi="Times New Roman"/>
          <w:sz w:val="14"/>
          <w:szCs w:val="14"/>
          <w:u w:val="single" w:color="auto"/>
          <w:color w:val="auto"/>
        </w:rPr>
        <w:t>Status of Redeemed or Repurchased Term Preferred Shares</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jc w:val="both"/>
        <w:ind w:left="1320" w:right="1339" w:firstLine="508"/>
        <w:spacing w:after="0" w:line="286" w:lineRule="auto"/>
        <w:rPr>
          <w:sz w:val="20"/>
          <w:szCs w:val="20"/>
          <w:color w:val="auto"/>
        </w:rPr>
      </w:pPr>
      <w:r>
        <w:rPr>
          <w:rFonts w:ascii="Times New Roman" w:cs="Times New Roman" w:eastAsia="Times New Roman" w:hAnsi="Times New Roman"/>
          <w:sz w:val="14"/>
          <w:szCs w:val="14"/>
          <w:color w:val="auto"/>
        </w:rPr>
        <w:t>Term Preferred Shares that at any time have been redeemed or purchased by the Corporation shall, after such redemption or purchase, have the status of authorized but unissued shares of Capital Stock.</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61" w:name="page62"/>
    <w:bookmarkEnd w:id="61"/>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ind w:left="1840"/>
        <w:spacing w:after="0"/>
        <w:tabs>
          <w:tab w:leader="none" w:pos="2320" w:val="left"/>
        </w:tabs>
        <w:rPr>
          <w:sz w:val="20"/>
          <w:szCs w:val="20"/>
          <w:color w:val="auto"/>
        </w:rPr>
      </w:pPr>
      <w:r>
        <w:rPr>
          <w:rFonts w:ascii="Times New Roman" w:cs="Times New Roman" w:eastAsia="Times New Roman" w:hAnsi="Times New Roman"/>
          <w:sz w:val="14"/>
          <w:szCs w:val="14"/>
          <w:color w:val="auto"/>
        </w:rPr>
        <w:t>2.9</w:t>
      </w:r>
      <w:r>
        <w:rPr>
          <w:sz w:val="20"/>
          <w:szCs w:val="20"/>
          <w:color w:val="auto"/>
        </w:rPr>
        <w:tab/>
      </w:r>
      <w:r>
        <w:rPr>
          <w:rFonts w:ascii="Times New Roman" w:cs="Times New Roman" w:eastAsia="Times New Roman" w:hAnsi="Times New Roman"/>
          <w:sz w:val="13"/>
          <w:szCs w:val="13"/>
          <w:u w:val="single" w:color="auto"/>
          <w:color w:val="auto"/>
        </w:rPr>
        <w:t>Global Certificate</w:t>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jc w:val="both"/>
        <w:ind w:left="1320" w:right="1339" w:firstLine="508"/>
        <w:spacing w:after="0" w:line="259" w:lineRule="auto"/>
        <w:rPr>
          <w:sz w:val="20"/>
          <w:szCs w:val="20"/>
          <w:color w:val="auto"/>
        </w:rPr>
      </w:pPr>
      <w:r>
        <w:rPr>
          <w:rFonts w:ascii="Times New Roman" w:cs="Times New Roman" w:eastAsia="Times New Roman" w:hAnsi="Times New Roman"/>
          <w:sz w:val="14"/>
          <w:szCs w:val="14"/>
          <w:color w:val="auto"/>
        </w:rPr>
        <w:t>For so long as any Term Preferred Shares are Outstanding (i) all shares of any Series of Term Preferred Shares Outstanding from time to time shall be represented by one global certificate for such Series registered in the name of the Securities Depository or its nominee and (ii) no registration of transfer of shares of such Series of Term Preferred Shares shall be made on the books of the Corporation to any Person other than the Securities Depository or its nominee. The foregoing restriction on registration of transfer shall be conspicuously noted on the face or back of the global certificates.</w:t>
      </w:r>
    </w:p>
    <w:p>
      <w:pPr>
        <w:spacing w:after="0" w:line="90" w:lineRule="exact"/>
        <w:rPr>
          <w:sz w:val="20"/>
          <w:szCs w:val="20"/>
          <w:color w:val="auto"/>
        </w:rPr>
      </w:pPr>
    </w:p>
    <w:p>
      <w:pPr>
        <w:ind w:left="1840"/>
        <w:spacing w:after="0"/>
        <w:tabs>
          <w:tab w:leader="none" w:pos="2300" w:val="left"/>
        </w:tabs>
        <w:rPr>
          <w:sz w:val="20"/>
          <w:szCs w:val="20"/>
          <w:color w:val="auto"/>
        </w:rPr>
      </w:pPr>
      <w:r>
        <w:rPr>
          <w:rFonts w:ascii="Times New Roman" w:cs="Times New Roman" w:eastAsia="Times New Roman" w:hAnsi="Times New Roman"/>
          <w:sz w:val="14"/>
          <w:szCs w:val="14"/>
          <w:color w:val="auto"/>
        </w:rPr>
        <w:t>2.10</w:t>
      </w:r>
      <w:r>
        <w:rPr>
          <w:sz w:val="20"/>
          <w:szCs w:val="20"/>
          <w:color w:val="auto"/>
        </w:rPr>
        <w:tab/>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jc w:val="both"/>
        <w:ind w:left="1320" w:right="1339" w:firstLine="508"/>
        <w:spacing w:after="0" w:line="260" w:lineRule="auto"/>
        <w:rPr>
          <w:sz w:val="20"/>
          <w:szCs w:val="20"/>
          <w:color w:val="auto"/>
        </w:rPr>
      </w:pPr>
      <w:r>
        <w:rPr>
          <w:rFonts w:ascii="Times New Roman" w:cs="Times New Roman" w:eastAsia="Times New Roman" w:hAnsi="Times New Roman"/>
          <w:sz w:val="14"/>
          <w:szCs w:val="14"/>
          <w:u w:val="single" w:color="auto"/>
          <w:color w:val="auto"/>
        </w:rPr>
        <w:t>All notices or communications hereunder, unless otherwise specified in these Articles Supplementary, shall be sufficiently given if in writing and delivered in person, by telecopier, by Electronic Means or by overnight mail or delivery or mailed by first-class mail, postage prepaid</w:t>
      </w:r>
      <w:r>
        <w:rPr>
          <w:rFonts w:ascii="Times New Roman" w:cs="Times New Roman" w:eastAsia="Times New Roman" w:hAnsi="Times New Roman"/>
          <w:sz w:val="14"/>
          <w:szCs w:val="14"/>
          <w:color w:val="auto"/>
        </w:rPr>
        <w:t>. Notices delivered pursuant to this Section 2.10 shall be deemed given on the date received or, if mailed by first class mail, on the date five (5) calendar days after which such notice is mailed.</w:t>
      </w:r>
    </w:p>
    <w:p>
      <w:pPr>
        <w:spacing w:after="0" w:line="91" w:lineRule="exact"/>
        <w:rPr>
          <w:sz w:val="20"/>
          <w:szCs w:val="20"/>
          <w:color w:val="auto"/>
        </w:rPr>
      </w:pPr>
    </w:p>
    <w:p>
      <w:pPr>
        <w:ind w:left="1840"/>
        <w:spacing w:after="0"/>
        <w:tabs>
          <w:tab w:leader="none" w:pos="2300" w:val="left"/>
        </w:tabs>
        <w:rPr>
          <w:sz w:val="20"/>
          <w:szCs w:val="20"/>
          <w:color w:val="auto"/>
        </w:rPr>
      </w:pPr>
      <w:r>
        <w:rPr>
          <w:rFonts w:ascii="Times New Roman" w:cs="Times New Roman" w:eastAsia="Times New Roman" w:hAnsi="Times New Roman"/>
          <w:sz w:val="14"/>
          <w:szCs w:val="14"/>
          <w:color w:val="auto"/>
        </w:rPr>
        <w:t>2.11</w:t>
      </w:r>
      <w:r>
        <w:rPr>
          <w:sz w:val="20"/>
          <w:szCs w:val="20"/>
          <w:color w:val="auto"/>
        </w:rPr>
        <w:tab/>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jc w:val="both"/>
        <w:ind w:left="1320" w:right="1339" w:firstLine="508"/>
        <w:spacing w:after="0" w:line="269" w:lineRule="auto"/>
        <w:rPr>
          <w:sz w:val="20"/>
          <w:szCs w:val="20"/>
          <w:color w:val="auto"/>
        </w:rPr>
      </w:pPr>
      <w:r>
        <w:rPr>
          <w:rFonts w:ascii="Times New Roman" w:cs="Times New Roman" w:eastAsia="Times New Roman" w:hAnsi="Times New Roman"/>
          <w:sz w:val="14"/>
          <w:szCs w:val="14"/>
          <w:color w:val="auto"/>
        </w:rPr>
        <w:t>In the event that no shares of a Series of Term Preferred Shares are Outstanding, all rights and preferences of the shares of such Series established and designated hereunder shall cease and terminate, and all obligations of the Corporation under these Articles Supplementary with respect to such Series shall terminate.</w:t>
      </w:r>
    </w:p>
    <w:p>
      <w:pPr>
        <w:spacing w:after="0" w:line="72" w:lineRule="exact"/>
        <w:rPr>
          <w:sz w:val="20"/>
          <w:szCs w:val="20"/>
          <w:color w:val="auto"/>
        </w:rPr>
      </w:pPr>
    </w:p>
    <w:p>
      <w:pPr>
        <w:ind w:left="1840"/>
        <w:spacing w:after="0"/>
        <w:tabs>
          <w:tab w:leader="none" w:pos="2300" w:val="left"/>
        </w:tabs>
        <w:rPr>
          <w:sz w:val="20"/>
          <w:szCs w:val="20"/>
          <w:color w:val="auto"/>
        </w:rPr>
      </w:pPr>
      <w:r>
        <w:rPr>
          <w:rFonts w:ascii="Times New Roman" w:cs="Times New Roman" w:eastAsia="Times New Roman" w:hAnsi="Times New Roman"/>
          <w:sz w:val="14"/>
          <w:szCs w:val="14"/>
          <w:color w:val="auto"/>
        </w:rPr>
        <w:t>2.12</w:t>
      </w:r>
      <w:r>
        <w:rPr>
          <w:sz w:val="20"/>
          <w:szCs w:val="20"/>
          <w:color w:val="auto"/>
        </w:rPr>
        <w:tab/>
      </w:r>
      <w:r>
        <w:rPr>
          <w:rFonts w:ascii="Times New Roman" w:cs="Times New Roman" w:eastAsia="Times New Roman" w:hAnsi="Times New Roman"/>
          <w:sz w:val="14"/>
          <w:szCs w:val="14"/>
          <w:u w:val="single" w:color="auto"/>
          <w:color w:val="auto"/>
        </w:rPr>
        <w:t>Appendices</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ind w:left="1320" w:right="1339" w:firstLine="508"/>
        <w:spacing w:after="0" w:line="258" w:lineRule="auto"/>
        <w:rPr>
          <w:sz w:val="20"/>
          <w:szCs w:val="20"/>
          <w:color w:val="auto"/>
        </w:rPr>
      </w:pPr>
      <w:r>
        <w:rPr>
          <w:rFonts w:ascii="Times New Roman" w:cs="Times New Roman" w:eastAsia="Times New Roman" w:hAnsi="Times New Roman"/>
          <w:sz w:val="14"/>
          <w:szCs w:val="14"/>
          <w:color w:val="auto"/>
        </w:rPr>
        <w:t>The designation of each Series of Term Preferred Shares shall be set forth in an Appendix to these Articles Supplementary. The Board of Directors may, by resolution duly adopted, without shareholder approval (except as otherwise provided by these Articles Supplementary or required by applicable law) (1) amend the Appendix to these Articles Supplementary relating to a Series so as to reflect any amendments to the terms applicable to such Series including an increase in the number of authorized shares of such Series and (2) add additional Series of Term Preferred Shares by including a new Appendix to these Articles Supplementary relating to such Series.</w:t>
      </w:r>
    </w:p>
    <w:p>
      <w:pPr>
        <w:spacing w:after="0" w:line="90" w:lineRule="exact"/>
        <w:rPr>
          <w:sz w:val="20"/>
          <w:szCs w:val="20"/>
          <w:color w:val="auto"/>
        </w:rPr>
      </w:pPr>
    </w:p>
    <w:p>
      <w:pPr>
        <w:ind w:left="1840"/>
        <w:spacing w:after="0"/>
        <w:tabs>
          <w:tab w:leader="none" w:pos="2300" w:val="left"/>
        </w:tabs>
        <w:rPr>
          <w:sz w:val="20"/>
          <w:szCs w:val="20"/>
          <w:color w:val="auto"/>
        </w:rPr>
      </w:pPr>
      <w:r>
        <w:rPr>
          <w:rFonts w:ascii="Times New Roman" w:cs="Times New Roman" w:eastAsia="Times New Roman" w:hAnsi="Times New Roman"/>
          <w:sz w:val="14"/>
          <w:szCs w:val="14"/>
          <w:color w:val="auto"/>
        </w:rPr>
        <w:t>2.13</w:t>
      </w:r>
      <w:r>
        <w:rPr>
          <w:sz w:val="20"/>
          <w:szCs w:val="20"/>
          <w:color w:val="auto"/>
        </w:rPr>
        <w:tab/>
      </w:r>
      <w:r>
        <w:rPr>
          <w:rFonts w:ascii="Times New Roman" w:cs="Times New Roman" w:eastAsia="Times New Roman" w:hAnsi="Times New Roman"/>
          <w:sz w:val="14"/>
          <w:szCs w:val="14"/>
          <w:u w:val="single" w:color="auto"/>
          <w:color w:val="auto"/>
        </w:rPr>
        <w:t>Actions on Other than Business Days</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jc w:val="both"/>
        <w:ind w:left="1320" w:right="1339" w:firstLine="508"/>
        <w:spacing w:after="0" w:line="259" w:lineRule="auto"/>
        <w:rPr>
          <w:sz w:val="20"/>
          <w:szCs w:val="20"/>
          <w:color w:val="auto"/>
        </w:rPr>
      </w:pPr>
      <w:r>
        <w:rPr>
          <w:rFonts w:ascii="Times New Roman" w:cs="Times New Roman" w:eastAsia="Times New Roman" w:hAnsi="Times New Roman"/>
          <w:sz w:val="14"/>
          <w:szCs w:val="14"/>
          <w:color w:val="auto"/>
        </w:rPr>
        <w:t>Unless otherwise provided herein, if the date for making any payment, performing any act or exercising any right, in each case as provided for in these Articles Supplementary, is not a Business Day, such payment shall be made, act performed or right exercised on the next succeeding Business Day, with the same force and effect as if made or done on the nominal date provided therefor, and, with respect to any payment so made, no dividends, interest or other amount shall accrue for the period between such nominal date and the date of payment.</w:t>
      </w:r>
    </w:p>
    <w:p>
      <w:pPr>
        <w:spacing w:after="0" w:line="90" w:lineRule="exact"/>
        <w:rPr>
          <w:sz w:val="20"/>
          <w:szCs w:val="20"/>
          <w:color w:val="auto"/>
        </w:rPr>
      </w:pPr>
    </w:p>
    <w:p>
      <w:pPr>
        <w:ind w:left="1840"/>
        <w:spacing w:after="0"/>
        <w:tabs>
          <w:tab w:leader="none" w:pos="2300" w:val="left"/>
        </w:tabs>
        <w:rPr>
          <w:sz w:val="20"/>
          <w:szCs w:val="20"/>
          <w:color w:val="auto"/>
        </w:rPr>
      </w:pPr>
      <w:r>
        <w:rPr>
          <w:rFonts w:ascii="Times New Roman" w:cs="Times New Roman" w:eastAsia="Times New Roman" w:hAnsi="Times New Roman"/>
          <w:sz w:val="14"/>
          <w:szCs w:val="14"/>
          <w:color w:val="auto"/>
        </w:rPr>
        <w:t>2.14</w:t>
      </w:r>
      <w:r>
        <w:rPr>
          <w:sz w:val="20"/>
          <w:szCs w:val="20"/>
          <w:color w:val="auto"/>
        </w:rPr>
        <w:tab/>
      </w:r>
      <w:r>
        <w:rPr>
          <w:rFonts w:ascii="Times New Roman" w:cs="Times New Roman" w:eastAsia="Times New Roman" w:hAnsi="Times New Roman"/>
          <w:sz w:val="14"/>
          <w:szCs w:val="14"/>
          <w:u w:val="single" w:color="auto"/>
          <w:color w:val="auto"/>
        </w:rPr>
        <w:t>Modification</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ind w:left="1320" w:right="1339" w:firstLine="508"/>
        <w:spacing w:after="0" w:line="256" w:lineRule="auto"/>
        <w:rPr>
          <w:sz w:val="20"/>
          <w:szCs w:val="20"/>
          <w:color w:val="auto"/>
        </w:rPr>
      </w:pPr>
      <w:r>
        <w:rPr>
          <w:rFonts w:ascii="Times New Roman" w:cs="Times New Roman" w:eastAsia="Times New Roman" w:hAnsi="Times New Roman"/>
          <w:sz w:val="14"/>
          <w:szCs w:val="14"/>
          <w:color w:val="auto"/>
        </w:rPr>
        <w:t>The Board of Directors, without the vote of the Holders of Term Preferred Shares, may interpret, supplement or amend the provisions of these Articles Supplementary or any Appendix hereto to supply any omission, resolve any inconsistency or ambiguity or to cure, correct or supplement any defective or inconsistent provision, including any provision that is inconsistent or otherwise conflicts with any provision of the 1940 Act, the rules and regulations promulgated thereunder, any order issued thereunder by the Commission, or any interpretive position of the staff of the Commission pertaining thereto, in each case, that is applicable to the Corporation, or any provision that becomes defective after the date hereof because of impossibility of performance or any provision that is inconsistent with any provision of any other Capital Stock of the Corporation.</w:t>
      </w:r>
    </w:p>
    <w:p>
      <w:pPr>
        <w:spacing w:after="0" w:line="84" w:lineRule="exact"/>
        <w:rPr>
          <w:sz w:val="20"/>
          <w:szCs w:val="20"/>
          <w:color w:val="auto"/>
        </w:rPr>
      </w:pPr>
    </w:p>
    <w:p>
      <w:pPr>
        <w:ind w:left="1840"/>
        <w:spacing w:after="0"/>
        <w:tabs>
          <w:tab w:leader="none" w:pos="2300" w:val="left"/>
        </w:tabs>
        <w:rPr>
          <w:sz w:val="20"/>
          <w:szCs w:val="20"/>
          <w:color w:val="auto"/>
        </w:rPr>
      </w:pPr>
      <w:r>
        <w:rPr>
          <w:rFonts w:ascii="Times New Roman" w:cs="Times New Roman" w:eastAsia="Times New Roman" w:hAnsi="Times New Roman"/>
          <w:sz w:val="14"/>
          <w:szCs w:val="14"/>
          <w:color w:val="auto"/>
        </w:rPr>
        <w:t>2.15</w:t>
      </w:r>
      <w:r>
        <w:rPr>
          <w:sz w:val="20"/>
          <w:szCs w:val="20"/>
          <w:color w:val="auto"/>
        </w:rPr>
        <w:tab/>
      </w:r>
      <w:r>
        <w:rPr>
          <w:rFonts w:ascii="Times New Roman" w:cs="Times New Roman" w:eastAsia="Times New Roman" w:hAnsi="Times New Roman"/>
          <w:sz w:val="14"/>
          <w:szCs w:val="14"/>
          <w:color w:val="auto"/>
        </w:rPr>
        <w:t>No Additional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-5080</wp:posOffset>
            </wp:positionV>
            <wp:extent cx="77089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70890" cy="6985"/>
                    </a:xfrm>
                    <a:prstGeom prst="rect">
                      <a:avLst/>
                    </a:prstGeom>
                    <a:noFill/>
                  </pic:spPr>
                </pic:pic>
              </a:graphicData>
            </a:graphic>
          </wp:anchor>
        </w:drawing>
      </w:r>
    </w:p>
    <w:p>
      <w:pPr>
        <w:spacing w:after="0" w:line="105" w:lineRule="exact"/>
        <w:rPr>
          <w:sz w:val="20"/>
          <w:szCs w:val="20"/>
          <w:color w:val="auto"/>
        </w:rPr>
      </w:pPr>
    </w:p>
    <w:p>
      <w:pPr>
        <w:jc w:val="both"/>
        <w:ind w:left="1320" w:right="1339" w:firstLine="508"/>
        <w:spacing w:after="0" w:line="269" w:lineRule="auto"/>
        <w:rPr>
          <w:sz w:val="20"/>
          <w:szCs w:val="20"/>
          <w:color w:val="auto"/>
        </w:rPr>
      </w:pPr>
      <w:r>
        <w:rPr>
          <w:rFonts w:ascii="Times New Roman" w:cs="Times New Roman" w:eastAsia="Times New Roman" w:hAnsi="Times New Roman"/>
          <w:sz w:val="14"/>
          <w:szCs w:val="14"/>
          <w:color w:val="auto"/>
        </w:rPr>
        <w:t>Unless otherwise required by law or the Articles, the Holders of Term Preferred Shares shall not have any relative rights or preferences or other special rights other than those specifically set forth in these Articles Supplementary.</w:t>
      </w:r>
    </w:p>
    <w:p>
      <w:pPr>
        <w:spacing w:after="0" w:line="8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color w:val="auto"/>
        </w:rPr>
        <w:t>[Signature page begins on the following page]</w:t>
      </w:r>
    </w:p>
    <w:p>
      <w:pPr>
        <w:spacing w:after="0" w:line="14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color w:val="auto"/>
        </w:rPr>
        <w:t>S-A-15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62" w:name="page63"/>
    <w:bookmarkEnd w:id="62"/>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508"/>
        <w:spacing w:after="0" w:line="269" w:lineRule="auto"/>
        <w:rPr>
          <w:sz w:val="20"/>
          <w:szCs w:val="20"/>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9"/>
          <w:szCs w:val="9"/>
          <w:color w:val="auto"/>
        </w:rPr>
        <w:t>n</w:t>
      </w:r>
      <w:r>
        <w:rPr>
          <w:rFonts w:ascii="Times New Roman" w:cs="Times New Roman" w:eastAsia="Times New Roman" w:hAnsi="Times New Roman"/>
          <w:sz w:val="14"/>
          <w:szCs w:val="14"/>
          <w:color w:val="auto"/>
        </w:rPr>
        <w:t xml:space="preserve"> W</w:t>
      </w:r>
      <w:r>
        <w:rPr>
          <w:rFonts w:ascii="Times New Roman" w:cs="Times New Roman" w:eastAsia="Times New Roman" w:hAnsi="Times New Roman"/>
          <w:sz w:val="9"/>
          <w:szCs w:val="9"/>
          <w:color w:val="auto"/>
        </w:rPr>
        <w:t>itness</w:t>
      </w:r>
      <w:r>
        <w:rPr>
          <w:rFonts w:ascii="Times New Roman" w:cs="Times New Roman" w:eastAsia="Times New Roman" w:hAnsi="Times New Roman"/>
          <w:sz w:val="14"/>
          <w:szCs w:val="14"/>
          <w:color w:val="auto"/>
        </w:rPr>
        <w:t xml:space="preserve"> W</w:t>
      </w:r>
      <w:r>
        <w:rPr>
          <w:rFonts w:ascii="Times New Roman" w:cs="Times New Roman" w:eastAsia="Times New Roman" w:hAnsi="Times New Roman"/>
          <w:sz w:val="9"/>
          <w:szCs w:val="9"/>
          <w:color w:val="auto"/>
        </w:rPr>
        <w:t>hereof</w:t>
      </w:r>
      <w:r>
        <w:rPr>
          <w:rFonts w:ascii="Times New Roman" w:cs="Times New Roman" w:eastAsia="Times New Roman" w:hAnsi="Times New Roman"/>
          <w:sz w:val="14"/>
          <w:szCs w:val="14"/>
          <w:color w:val="auto"/>
        </w:rPr>
        <w:t>, Oxford Lane Capital Corp. has caused these presents to be signed as of March 13, 2026 in its name and on its behalf by its President or a Vice President and witnessed by its Secretary or Assistant Secretary.</w:t>
      </w:r>
    </w:p>
    <w:p>
      <w:pPr>
        <w:spacing w:after="0" w:line="22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OXFORD LANE CAPITAL CORP.</w:t>
      </w:r>
    </w:p>
    <w:p>
      <w:pPr>
        <w:spacing w:after="0" w:line="36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Name: Saul B.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-92075</wp:posOffset>
            </wp:positionV>
            <wp:extent cx="137033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370330" cy="6985"/>
                    </a:xfrm>
                    <a:prstGeom prst="rect">
                      <a:avLst/>
                    </a:prstGeom>
                    <a:noFill/>
                  </pic:spPr>
                </pic:pic>
              </a:graphicData>
            </a:graphic>
          </wp:anchor>
        </w:drawing>
      </w:r>
    </w:p>
    <w:p>
      <w:pPr>
        <w:spacing w:after="0" w:line="41"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28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WITNESS:</w:t>
      </w:r>
    </w:p>
    <w:p>
      <w:pPr>
        <w:spacing w:after="0" w:line="3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-92075</wp:posOffset>
            </wp:positionV>
            <wp:extent cx="202882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2028825" cy="6985"/>
                    </a:xfrm>
                    <a:prstGeom prst="rect">
                      <a:avLst/>
                    </a:prstGeom>
                    <a:noFill/>
                  </pic:spPr>
                </pic:pic>
              </a:graphicData>
            </a:graphic>
          </wp:anchor>
        </w:drawing>
      </w:r>
    </w:p>
    <w:p>
      <w:pPr>
        <w:spacing w:after="0" w:line="41" w:lineRule="exact"/>
        <w:rPr>
          <w:sz w:val="20"/>
          <w:szCs w:val="20"/>
          <w:color w:val="auto"/>
        </w:rPr>
      </w:pPr>
    </w:p>
    <w:p>
      <w:pPr>
        <w:ind w:left="1320"/>
        <w:spacing w:after="0"/>
        <w:tabs>
          <w:tab w:leader="none" w:pos="1760" w:val="left"/>
        </w:tabs>
        <w:rPr>
          <w:sz w:val="20"/>
          <w:szCs w:val="20"/>
          <w:color w:val="auto"/>
        </w:rPr>
      </w:pPr>
      <w:r>
        <w:rPr>
          <w:rFonts w:ascii="Times New Roman" w:cs="Times New Roman" w:eastAsia="Times New Roman" w:hAnsi="Times New Roman"/>
          <w:sz w:val="14"/>
          <w:szCs w:val="14"/>
          <w:color w:val="auto"/>
        </w:rPr>
        <w:t>Title:</w:t>
        <w:tab/>
        <w:t>Chief Financial Officer and Corporate Secretary</w:t>
      </w:r>
    </w:p>
    <w:p>
      <w:pPr>
        <w:spacing w:after="0" w:line="199" w:lineRule="exact"/>
        <w:rPr>
          <w:sz w:val="20"/>
          <w:szCs w:val="20"/>
          <w:color w:val="auto"/>
        </w:rPr>
      </w:pPr>
    </w:p>
    <w:p>
      <w:pPr>
        <w:jc w:val="both"/>
        <w:ind w:left="1320" w:right="1339" w:firstLine="508"/>
        <w:spacing w:after="0" w:line="259" w:lineRule="auto"/>
        <w:rPr>
          <w:sz w:val="20"/>
          <w:szCs w:val="20"/>
          <w:color w:val="auto"/>
        </w:rPr>
      </w:pPr>
      <w:r>
        <w:rPr>
          <w:rFonts w:ascii="Times New Roman" w:cs="Times New Roman" w:eastAsia="Times New Roman" w:hAnsi="Times New Roman"/>
          <w:sz w:val="14"/>
          <w:szCs w:val="14"/>
          <w:color w:val="auto"/>
        </w:rPr>
        <w:t>The undersigned President or a Vice President of Oxford Lane Capital Corp., who executed on behalf of the Corporation the foregoing Articles Supplementary of which this Certificate is made a part, hereby acknowledges in the name and on behalf of said Corporation the foregoing Articles Supplementary to be the corporate act of the Corporation, and states under penalties of perjury that to the best of his knowledge, information and belief the matters and facts set forth therein with respect to the authorization and approval thereof are true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220980</wp:posOffset>
            </wp:positionV>
            <wp:extent cx="141097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410970" cy="6985"/>
                    </a:xfrm>
                    <a:prstGeom prst="rect">
                      <a:avLst/>
                    </a:prstGeom>
                    <a:noFill/>
                  </pic:spPr>
                </pic:pic>
              </a:graphicData>
            </a:graphic>
          </wp:anchor>
        </w:drawing>
      </w:r>
    </w:p>
    <w:p>
      <w:pPr>
        <w:spacing w:after="0" w:line="3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Name:  Saul B. Rosenthal</w:t>
      </w:r>
    </w:p>
    <w:p>
      <w:pPr>
        <w:spacing w:after="0" w:line="61"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the Articles Supplementary Establishing and Fixing the Rights and Preferences of Term</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Preferred Shares]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63" w:name="page64"/>
    <w:bookmarkEnd w:id="63"/>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2"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OXFORD LANE CAPITAL CORP.</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CUMULATIVE TERM PREFERRED SHARES, 6.00% SERIES 2029</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TERM PREFERRED SHARES</w:t>
      </w:r>
    </w:p>
    <w:p>
      <w:pPr>
        <w:spacing w:after="0" w:line="110" w:lineRule="exact"/>
        <w:rPr>
          <w:sz w:val="20"/>
          <w:szCs w:val="20"/>
          <w:color w:val="auto"/>
        </w:rPr>
      </w:pPr>
    </w:p>
    <w:p>
      <w:pPr>
        <w:jc w:val="both"/>
        <w:ind w:left="1320" w:right="1339" w:firstLine="508"/>
        <w:spacing w:after="0" w:line="258" w:lineRule="auto"/>
        <w:rPr>
          <w:sz w:val="20"/>
          <w:szCs w:val="20"/>
          <w:color w:val="auto"/>
        </w:rPr>
      </w:pPr>
      <w:r>
        <w:rPr>
          <w:rFonts w:ascii="Times New Roman" w:cs="Times New Roman" w:eastAsia="Times New Roman" w:hAnsi="Times New Roman"/>
          <w:sz w:val="14"/>
          <w:szCs w:val="14"/>
          <w:color w:val="auto"/>
        </w:rPr>
        <w:t>This Appendix establishes a Series of Cumulative Term Preferred Shares of Oxford Lane Capital Corp. Except as set forth below, this Appendix incorporates by reference the terms set forth with respect to all Series of such Cumulative Term Preferred Shares in those “Articles Supplementary Establishing and Fixing the Rights and Preferences of Term Preferred Shares” dated March 13, 2026 (the “</w:t>
      </w:r>
      <w:r>
        <w:rPr>
          <w:rFonts w:ascii="Times New Roman" w:cs="Times New Roman" w:eastAsia="Times New Roman" w:hAnsi="Times New Roman"/>
          <w:sz w:val="14"/>
          <w:szCs w:val="14"/>
          <w:u w:val="single" w:color="auto"/>
          <w:color w:val="auto"/>
        </w:rPr>
        <w:t>TP Articles Supplementary</w:t>
      </w:r>
      <w:r>
        <w:rPr>
          <w:rFonts w:ascii="Times New Roman" w:cs="Times New Roman" w:eastAsia="Times New Roman" w:hAnsi="Times New Roman"/>
          <w:sz w:val="14"/>
          <w:szCs w:val="14"/>
          <w:color w:val="auto"/>
        </w:rPr>
        <w:t>”). This Appendix has been adopted by resolution of the Board of Directors of Oxford Lane Capital Corp. Capitalized terms used herein but not defined herein have the respective meanings set forth in the TP Articles Supplementary.</w:t>
      </w:r>
    </w:p>
    <w:p>
      <w:pPr>
        <w:spacing w:after="0" w:line="2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u w:val="single" w:color="auto"/>
          <w:color w:val="auto"/>
        </w:rPr>
        <w:t>Designation as to Series.</w:t>
      </w:r>
    </w:p>
    <w:p>
      <w:pPr>
        <w:spacing w:after="0" w:line="125" w:lineRule="exact"/>
        <w:rPr>
          <w:sz w:val="20"/>
          <w:szCs w:val="20"/>
          <w:color w:val="auto"/>
        </w:rPr>
      </w:pPr>
    </w:p>
    <w:p>
      <w:pPr>
        <w:jc w:val="both"/>
        <w:ind w:left="1320" w:right="1339" w:firstLine="508"/>
        <w:spacing w:after="0" w:line="256" w:lineRule="auto"/>
        <w:rPr>
          <w:sz w:val="20"/>
          <w:szCs w:val="20"/>
          <w:color w:val="auto"/>
        </w:rPr>
      </w:pPr>
      <w:r>
        <w:rPr>
          <w:rFonts w:ascii="Times New Roman" w:cs="Times New Roman" w:eastAsia="Times New Roman" w:hAnsi="Times New Roman"/>
          <w:sz w:val="14"/>
          <w:szCs w:val="14"/>
          <w:color w:val="auto"/>
        </w:rPr>
        <w:t xml:space="preserve">Cumulative Term Preferred Shares, 6.00% Series 2029 Term Preferred Shares: A series of 2,760,000 shares of Capital Stock classified as Term Preferred Shares is hereby designated as the “6.00% Series 2029 Term Preferred Shares.” Each share of such Series shall have such preferences, voting powers, restrictions, limitations as to dividends and distributions, qualifications and terms and conditions of redemption, in addition to those required by applicable law and those that are expressly set forth in the Articles and the TP Articles Supplementary (except as the TP Articles Supplementary may be expressly modified by this Appendix), as are set forth in this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The 6.00% Series 2029 Term Preferred Shares shall constitute a separate series of Capital Stock and of the Cumulative Term Preferred Shares and each 6.00% Series 2029 Term Preferred Share shall be identical. The following terms and conditions shall apply solely to the 6.00% Series 2029 Term Preferred Shares:</w:t>
      </w:r>
    </w:p>
    <w:p>
      <w:pPr>
        <w:spacing w:after="0" w:line="9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i w:val="1"/>
          <w:iCs w:val="1"/>
          <w:u w:val="single" w:color="auto"/>
          <w:color w:val="auto"/>
        </w:rPr>
        <w:t>Number of Authorized Shares of Series.</w:t>
      </w:r>
    </w:p>
    <w:p>
      <w:pPr>
        <w:spacing w:after="0" w:line="1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number of authorized shares is 2,760,000.</w:t>
      </w:r>
    </w:p>
    <w:p>
      <w:pPr>
        <w:spacing w:after="0" w:line="1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Date of Original Issue with respect to Series.</w:t>
      </w:r>
    </w:p>
    <w:p>
      <w:pPr>
        <w:spacing w:after="0" w:line="1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Date of Original Issue is August 17, 2021.</w:t>
      </w:r>
    </w:p>
    <w:p>
      <w:pPr>
        <w:spacing w:after="0" w:line="11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Fixed Dividend Rate Applicable to Series.</w:t>
      </w:r>
    </w:p>
    <w:p>
      <w:pPr>
        <w:spacing w:after="0" w:line="1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Fixed Dividend Rate is 6.00%.</w:t>
      </w:r>
    </w:p>
    <w:p>
      <w:pPr>
        <w:spacing w:after="0" w:line="1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i w:val="1"/>
          <w:iCs w:val="1"/>
          <w:u w:val="single" w:color="auto"/>
          <w:color w:val="auto"/>
        </w:rPr>
        <w:t>Liquidation Preference Applicable to Series.</w:t>
      </w:r>
    </w:p>
    <w:p>
      <w:pPr>
        <w:spacing w:after="0" w:line="1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Liquidation Preference is $25.00 per share.</w:t>
      </w:r>
    </w:p>
    <w:p>
      <w:pPr>
        <w:spacing w:after="0" w:line="1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i w:val="1"/>
          <w:iCs w:val="1"/>
          <w:u w:val="single" w:color="auto"/>
          <w:color w:val="auto"/>
        </w:rPr>
        <w:t>Term Redemption Date Applicable to Series.</w:t>
      </w:r>
    </w:p>
    <w:p>
      <w:pPr>
        <w:spacing w:after="0" w:line="1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Term Redemption Date is August 31, 2029.</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i w:val="1"/>
          <w:iCs w:val="1"/>
          <w:u w:val="single" w:color="auto"/>
          <w:color w:val="auto"/>
        </w:rPr>
        <w:t>Dividend Payment Dates Applicable to Series.</w:t>
      </w:r>
    </w:p>
    <w:p>
      <w:pPr>
        <w:spacing w:after="0" w:line="1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Dividend Payment Dates are the last Business Day of the month of the Dividend Period.</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8. </w:t>
      </w:r>
      <w:r>
        <w:rPr>
          <w:rFonts w:ascii="Times New Roman" w:cs="Times New Roman" w:eastAsia="Times New Roman" w:hAnsi="Times New Roman"/>
          <w:sz w:val="14"/>
          <w:szCs w:val="14"/>
          <w:i w:val="1"/>
          <w:iCs w:val="1"/>
          <w:u w:val="single" w:color="auto"/>
          <w:color w:val="auto"/>
        </w:rPr>
        <w:t>Non-Call Period Applicable to Series.</w:t>
      </w:r>
    </w:p>
    <w:p>
      <w:pPr>
        <w:spacing w:after="0" w:line="127" w:lineRule="exact"/>
        <w:rPr>
          <w:sz w:val="20"/>
          <w:szCs w:val="20"/>
          <w:color w:val="auto"/>
        </w:rPr>
      </w:pPr>
    </w:p>
    <w:p>
      <w:pPr>
        <w:jc w:val="both"/>
        <w:ind w:left="1320" w:right="1359" w:firstLine="508"/>
        <w:spacing w:after="0" w:line="286" w:lineRule="auto"/>
        <w:rPr>
          <w:sz w:val="20"/>
          <w:szCs w:val="20"/>
          <w:color w:val="auto"/>
        </w:rPr>
      </w:pPr>
      <w:r>
        <w:rPr>
          <w:rFonts w:ascii="Times New Roman" w:cs="Times New Roman" w:eastAsia="Times New Roman" w:hAnsi="Times New Roman"/>
          <w:sz w:val="14"/>
          <w:szCs w:val="14"/>
          <w:color w:val="auto"/>
        </w:rPr>
        <w:t>The Non-Call Period is the period beginning on the Date of Original Issue and ending at the close of business on August 31, 2024.</w:t>
      </w:r>
    </w:p>
    <w:p>
      <w:pPr>
        <w:spacing w:after="0" w:line="6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9. </w:t>
      </w:r>
      <w:r>
        <w:rPr>
          <w:rFonts w:ascii="Times New Roman" w:cs="Times New Roman" w:eastAsia="Times New Roman" w:hAnsi="Times New Roman"/>
          <w:sz w:val="14"/>
          <w:szCs w:val="14"/>
          <w:i w:val="1"/>
          <w:iCs w:val="1"/>
          <w:u w:val="single" w:color="auto"/>
          <w:color w:val="auto"/>
        </w:rPr>
        <w:t>Exceptions to Certain Definitions Applicable to the Series.</w:t>
      </w:r>
    </w:p>
    <w:p>
      <w:pPr>
        <w:spacing w:after="0" w:line="116" w:lineRule="exact"/>
        <w:rPr>
          <w:sz w:val="20"/>
          <w:szCs w:val="20"/>
          <w:color w:val="auto"/>
        </w:rPr>
      </w:pPr>
    </w:p>
    <w:p>
      <w:pPr>
        <w:jc w:val="both"/>
        <w:ind w:left="1320" w:right="1359" w:firstLine="508"/>
        <w:spacing w:after="0" w:line="286" w:lineRule="auto"/>
        <w:rPr>
          <w:sz w:val="20"/>
          <w:szCs w:val="20"/>
          <w:color w:val="auto"/>
        </w:rPr>
      </w:pPr>
      <w:r>
        <w:rPr>
          <w:rFonts w:ascii="Times New Roman" w:cs="Times New Roman" w:eastAsia="Times New Roman" w:hAnsi="Times New Roman"/>
          <w:sz w:val="14"/>
          <w:szCs w:val="14"/>
          <w:color w:val="auto"/>
        </w:rPr>
        <w:t>The following definitions contained under the heading “Definitions” in the TP Articles Supplementary are hereby amended as follows:</w:t>
      </w:r>
    </w:p>
    <w:p>
      <w:pPr>
        <w:spacing w:after="0" w:line="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64" w:name="page65"/>
    <w:bookmarkEnd w:id="64"/>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10. </w:t>
      </w:r>
      <w:r>
        <w:rPr>
          <w:rFonts w:ascii="Times New Roman" w:cs="Times New Roman" w:eastAsia="Times New Roman" w:hAnsi="Times New Roman"/>
          <w:sz w:val="14"/>
          <w:szCs w:val="14"/>
          <w:i w:val="1"/>
          <w:iCs w:val="1"/>
          <w:u w:val="single" w:color="auto"/>
          <w:color w:val="auto"/>
        </w:rPr>
        <w:t>Additional Definitions Applicable to the Series.</w:t>
      </w:r>
    </w:p>
    <w:p>
      <w:pPr>
        <w:spacing w:after="0" w:line="127" w:lineRule="exact"/>
        <w:rPr>
          <w:sz w:val="20"/>
          <w:szCs w:val="20"/>
          <w:color w:val="auto"/>
        </w:rPr>
      </w:pPr>
    </w:p>
    <w:p>
      <w:pPr>
        <w:jc w:val="both"/>
        <w:ind w:left="1320" w:right="1339" w:firstLine="508"/>
        <w:spacing w:after="0" w:line="286" w:lineRule="auto"/>
        <w:rPr>
          <w:sz w:val="20"/>
          <w:szCs w:val="20"/>
          <w:color w:val="auto"/>
        </w:rPr>
      </w:pPr>
      <w:r>
        <w:rPr>
          <w:rFonts w:ascii="Times New Roman" w:cs="Times New Roman" w:eastAsia="Times New Roman" w:hAnsi="Times New Roman"/>
          <w:sz w:val="14"/>
          <w:szCs w:val="14"/>
          <w:color w:val="auto"/>
        </w:rPr>
        <w:t>The following terms shall have the following meanings (with terms defined in the singular having comparable meanings when used in the plural and vice versa), unless the context otherwise requires:</w:t>
      </w:r>
    </w:p>
    <w:p>
      <w:pPr>
        <w:spacing w:after="0" w:line="69" w:lineRule="exact"/>
        <w:rPr>
          <w:sz w:val="20"/>
          <w:szCs w:val="20"/>
          <w:color w:val="auto"/>
        </w:rPr>
      </w:pPr>
    </w:p>
    <w:p>
      <w:pPr>
        <w:jc w:val="both"/>
        <w:ind w:left="1320" w:right="1339" w:firstLine="508"/>
        <w:spacing w:after="0" w:line="261"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Dividend Period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each 6.00% Series 2029 Term Preferred Share, in the case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first Dividend Period, the period beginning on the Date of Original Issue for such Series and ending on and including September 30, 2021 and for each subsequent Dividend Period, the period beginning on and including the first calendar day of the month following the month in which the previous Dividend Period ended and ending on and including the last calendar day of such month.</w:t>
      </w:r>
    </w:p>
    <w:p>
      <w:pPr>
        <w:spacing w:after="0" w:line="7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i w:val="1"/>
          <w:iCs w:val="1"/>
          <w:u w:val="single" w:color="auto"/>
          <w:color w:val="auto"/>
        </w:rPr>
        <w:t>Amendments to Terms of Term Preferred Shares Applicable to the Series.</w:t>
      </w:r>
    </w:p>
    <w:p>
      <w:pPr>
        <w:spacing w:after="0" w:line="127" w:lineRule="exact"/>
        <w:rPr>
          <w:sz w:val="20"/>
          <w:szCs w:val="20"/>
          <w:color w:val="auto"/>
        </w:rPr>
      </w:pPr>
    </w:p>
    <w:p>
      <w:pPr>
        <w:jc w:val="both"/>
        <w:ind w:left="1320" w:right="1339" w:firstLine="508"/>
        <w:spacing w:after="0" w:line="286" w:lineRule="auto"/>
        <w:rPr>
          <w:sz w:val="20"/>
          <w:szCs w:val="20"/>
          <w:color w:val="auto"/>
        </w:rPr>
      </w:pPr>
      <w:r>
        <w:rPr>
          <w:rFonts w:ascii="Times New Roman" w:cs="Times New Roman" w:eastAsia="Times New Roman" w:hAnsi="Times New Roman"/>
          <w:sz w:val="14"/>
          <w:szCs w:val="14"/>
          <w:color w:val="auto"/>
        </w:rPr>
        <w:t>The following provisions contained under the heading “Terms of the Term Preferred Shares” in the TP Articles Supplementary are hereby amended as follows:</w:t>
      </w:r>
    </w:p>
    <w:p>
      <w:pPr>
        <w:spacing w:after="0" w:line="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i w:val="1"/>
          <w:iCs w:val="1"/>
          <w:u w:val="single" w:color="auto"/>
          <w:color w:val="auto"/>
        </w:rPr>
        <w:t>Additional Terms and Provisions Applicable to the Series.</w:t>
      </w:r>
    </w:p>
    <w:p>
      <w:pPr>
        <w:spacing w:after="0" w:line="127" w:lineRule="exact"/>
        <w:rPr>
          <w:sz w:val="20"/>
          <w:szCs w:val="20"/>
          <w:color w:val="auto"/>
        </w:rPr>
      </w:pPr>
    </w:p>
    <w:p>
      <w:pPr>
        <w:jc w:val="both"/>
        <w:ind w:left="1320" w:right="1339" w:firstLine="508"/>
        <w:spacing w:after="0" w:line="286" w:lineRule="auto"/>
        <w:rPr>
          <w:sz w:val="20"/>
          <w:szCs w:val="20"/>
          <w:color w:val="auto"/>
        </w:rPr>
      </w:pPr>
      <w:r>
        <w:rPr>
          <w:rFonts w:ascii="Times New Roman" w:cs="Times New Roman" w:eastAsia="Times New Roman" w:hAnsi="Times New Roman"/>
          <w:sz w:val="14"/>
          <w:szCs w:val="14"/>
          <w:color w:val="auto"/>
        </w:rPr>
        <w:t>The following provisions shall be incorporated into and be deemed part of the TP Articles Supplementary:</w:t>
      </w:r>
    </w:p>
    <w:p>
      <w:pPr>
        <w:spacing w:after="0" w:line="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1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color w:val="auto"/>
        </w:rPr>
        <w:t>[Signature page begins on the following page]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65" w:name="page66"/>
    <w:bookmarkEnd w:id="65"/>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508"/>
        <w:spacing w:after="0" w:line="263" w:lineRule="auto"/>
        <w:rPr>
          <w:sz w:val="20"/>
          <w:szCs w:val="20"/>
          <w:color w:val="auto"/>
        </w:rPr>
      </w:pPr>
      <w:r>
        <w:rPr>
          <w:rFonts w:ascii="Times New Roman" w:cs="Times New Roman" w:eastAsia="Times New Roman" w:hAnsi="Times New Roman"/>
          <w:sz w:val="14"/>
          <w:szCs w:val="14"/>
          <w:color w:val="auto"/>
        </w:rPr>
        <w:t>IN WITNESS WHEREOF, Oxford Lane Capital Corp. has caused this Appendix to the Corporation’s TP Articles Supplementary to be signed on March 13, 2026 in its name and on its behalf by a duly authorized officer. The Articles and the TP Articles Supplementary are on file with the Secretary of State of the State of Maryland.</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OXFORD LANE CAPITAL CORP.</w:t>
      </w:r>
    </w:p>
    <w:p>
      <w:pPr>
        <w:spacing w:after="0" w:line="36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Name: Saul B.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-92075</wp:posOffset>
            </wp:positionV>
            <wp:extent cx="137033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370330" cy="6985"/>
                    </a:xfrm>
                    <a:prstGeom prst="rect">
                      <a:avLst/>
                    </a:prstGeom>
                    <a:noFill/>
                  </pic:spPr>
                </pic:pic>
              </a:graphicData>
            </a:graphic>
          </wp:anchor>
        </w:drawing>
      </w:r>
    </w:p>
    <w:p>
      <w:pPr>
        <w:spacing w:after="0" w:line="41"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28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WITNESS:</w:t>
      </w:r>
    </w:p>
    <w:p>
      <w:pPr>
        <w:spacing w:after="0" w:line="3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-92075</wp:posOffset>
            </wp:positionV>
            <wp:extent cx="202882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2028825" cy="6985"/>
                    </a:xfrm>
                    <a:prstGeom prst="rect">
                      <a:avLst/>
                    </a:prstGeom>
                    <a:noFill/>
                  </pic:spPr>
                </pic:pic>
              </a:graphicData>
            </a:graphic>
          </wp:anchor>
        </w:drawing>
      </w:r>
    </w:p>
    <w:p>
      <w:pPr>
        <w:spacing w:after="0" w:line="41" w:lineRule="exact"/>
        <w:rPr>
          <w:sz w:val="20"/>
          <w:szCs w:val="20"/>
          <w:color w:val="auto"/>
        </w:rPr>
      </w:pPr>
    </w:p>
    <w:p>
      <w:pPr>
        <w:ind w:left="1320"/>
        <w:spacing w:after="0"/>
        <w:tabs>
          <w:tab w:leader="none" w:pos="1760" w:val="left"/>
        </w:tabs>
        <w:rPr>
          <w:sz w:val="20"/>
          <w:szCs w:val="20"/>
          <w:color w:val="auto"/>
        </w:rPr>
      </w:pPr>
      <w:r>
        <w:rPr>
          <w:rFonts w:ascii="Times New Roman" w:cs="Times New Roman" w:eastAsia="Times New Roman" w:hAnsi="Times New Roman"/>
          <w:sz w:val="14"/>
          <w:szCs w:val="14"/>
          <w:color w:val="auto"/>
        </w:rPr>
        <w:t>Title:</w:t>
        <w:tab/>
        <w:t>Chief Financial Officer and Corporate Secretary</w:t>
      </w:r>
    </w:p>
    <w:p>
      <w:pPr>
        <w:spacing w:after="0" w:line="199" w:lineRule="exact"/>
        <w:rPr>
          <w:sz w:val="20"/>
          <w:szCs w:val="20"/>
          <w:color w:val="auto"/>
        </w:rPr>
      </w:pPr>
    </w:p>
    <w:p>
      <w:pPr>
        <w:jc w:val="both"/>
        <w:ind w:left="1320" w:right="1339" w:firstLine="508"/>
        <w:spacing w:after="0" w:line="259" w:lineRule="auto"/>
        <w:rPr>
          <w:sz w:val="20"/>
          <w:szCs w:val="20"/>
          <w:color w:val="auto"/>
        </w:rPr>
      </w:pPr>
      <w:r>
        <w:rPr>
          <w:rFonts w:ascii="Times New Roman" w:cs="Times New Roman" w:eastAsia="Times New Roman" w:hAnsi="Times New Roman"/>
          <w:sz w:val="14"/>
          <w:szCs w:val="14"/>
          <w:color w:val="auto"/>
        </w:rPr>
        <w:t>The undersigned duly authorized officer of Oxford Lane Capital Corp., who executed on behalf of the Corporation the foregoing Appendix to the Corporation’s TP Articles Supplementary of which this Certificate is made a part, hereby acknowledges in the name and on behalf of said Corporation the foregoing Appendix to the Articles Supplementary to be the corporate act of the Corporation, and states under penalties of perjury that to the best of his knowledge, information and belief the matters and facts set forth therein with respect to the authorization and approval thereof are true in all material respects.</w:t>
      </w:r>
    </w:p>
    <w:p>
      <w:pPr>
        <w:spacing w:after="0" w:line="1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OXFORD LANE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175895</wp:posOffset>
            </wp:positionV>
            <wp:extent cx="141097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410970" cy="6985"/>
                    </a:xfrm>
                    <a:prstGeom prst="rect">
                      <a:avLst/>
                    </a:prstGeom>
                    <a:noFill/>
                  </pic:spPr>
                </pic:pic>
              </a:graphicData>
            </a:graphic>
          </wp:anchor>
        </w:drawing>
      </w:r>
    </w:p>
    <w:p>
      <w:pPr>
        <w:spacing w:after="0" w:line="2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Name:  Saul B. Rosenthal</w:t>
      </w:r>
    </w:p>
    <w:p>
      <w:pPr>
        <w:spacing w:after="0" w:line="61"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the Appendix Establishing and Fixing the Rights and Preferences of 6.00% Series 2029 Term</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Preferred Shares]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66" w:name="page67"/>
    <w:bookmarkEnd w:id="66"/>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2"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4"/>
          <w:szCs w:val="14"/>
          <w:b w:val="1"/>
          <w:bCs w:val="1"/>
          <w:color w:val="auto"/>
        </w:rPr>
        <w:t>APPENDIX B</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OXFORD LANE CAPITAL CORP.</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CUMULATIVE TERM PREFERRED SHARES, 6.25% SERIES 2027</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TERM PREFERRED SHARES</w:t>
      </w:r>
    </w:p>
    <w:p>
      <w:pPr>
        <w:spacing w:after="0" w:line="110" w:lineRule="exact"/>
        <w:rPr>
          <w:sz w:val="20"/>
          <w:szCs w:val="20"/>
          <w:color w:val="auto"/>
        </w:rPr>
      </w:pPr>
    </w:p>
    <w:p>
      <w:pPr>
        <w:jc w:val="both"/>
        <w:ind w:left="1320" w:right="1339" w:firstLine="508"/>
        <w:spacing w:after="0" w:line="258" w:lineRule="auto"/>
        <w:rPr>
          <w:sz w:val="20"/>
          <w:szCs w:val="20"/>
          <w:color w:val="auto"/>
        </w:rPr>
      </w:pPr>
      <w:r>
        <w:rPr>
          <w:rFonts w:ascii="Times New Roman" w:cs="Times New Roman" w:eastAsia="Times New Roman" w:hAnsi="Times New Roman"/>
          <w:sz w:val="14"/>
          <w:szCs w:val="14"/>
          <w:color w:val="auto"/>
        </w:rPr>
        <w:t>This Appendix establishes a Series of Cumulative Term Preferred Shares of Oxford Lane Capital Corp. Except as set forth below, this Appendix incorporates by reference the terms set forth with respect to all Series of such Cumulative Term Preferred Shares in those “Articles Supplementary Establishing and Fixing the Rights and Preferences of Term Preferred Shares” dated March 13, 2026 (the “</w:t>
      </w:r>
      <w:r>
        <w:rPr>
          <w:rFonts w:ascii="Times New Roman" w:cs="Times New Roman" w:eastAsia="Times New Roman" w:hAnsi="Times New Roman"/>
          <w:sz w:val="14"/>
          <w:szCs w:val="14"/>
          <w:u w:val="single" w:color="auto"/>
          <w:color w:val="auto"/>
        </w:rPr>
        <w:t>TP Articles Supplementary</w:t>
      </w:r>
      <w:r>
        <w:rPr>
          <w:rFonts w:ascii="Times New Roman" w:cs="Times New Roman" w:eastAsia="Times New Roman" w:hAnsi="Times New Roman"/>
          <w:sz w:val="14"/>
          <w:szCs w:val="14"/>
          <w:color w:val="auto"/>
        </w:rPr>
        <w:t>”). This Appendix has been adopted by resolution of the Board of Directors of Oxford Lane Capital Corp. Capitalized terms used herein but not defined herein have the respective meanings set forth in the TP Articles Supplementary.</w:t>
      </w:r>
    </w:p>
    <w:p>
      <w:pPr>
        <w:spacing w:after="0" w:line="2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i w:val="1"/>
          <w:iCs w:val="1"/>
          <w:u w:val="single" w:color="auto"/>
          <w:color w:val="auto"/>
        </w:rPr>
        <w:t>Designation as to Series.</w:t>
      </w:r>
    </w:p>
    <w:p>
      <w:pPr>
        <w:spacing w:after="0" w:line="127" w:lineRule="exact"/>
        <w:rPr>
          <w:sz w:val="20"/>
          <w:szCs w:val="20"/>
          <w:color w:val="auto"/>
        </w:rPr>
      </w:pPr>
    </w:p>
    <w:p>
      <w:pPr>
        <w:jc w:val="both"/>
        <w:ind w:left="1320" w:right="1339" w:firstLine="508"/>
        <w:spacing w:after="0" w:line="256" w:lineRule="auto"/>
        <w:rPr>
          <w:sz w:val="20"/>
          <w:szCs w:val="20"/>
          <w:color w:val="auto"/>
        </w:rPr>
      </w:pPr>
      <w:r>
        <w:rPr>
          <w:rFonts w:ascii="Times New Roman" w:cs="Times New Roman" w:eastAsia="Times New Roman" w:hAnsi="Times New Roman"/>
          <w:sz w:val="14"/>
          <w:szCs w:val="14"/>
          <w:color w:val="auto"/>
        </w:rPr>
        <w:t xml:space="preserve">Cumulative Term Preferred Shares, 6.25% Series 2027 Term Preferred Shares: A series of 4,025,000 shares of Capital Stock classified as Term Preferred Shares is hereby designated as the “6.25% Series 2027 Term Preferred Shares.” Each share of such Series shall have such preferences, voting powers, restrictions, limitations as to dividends and distributions, qualifications and terms and conditions of redemption, in addition to those required by applicable law and those that are expressly set forth in the Articles and the TP Articles Supplementary (except as the TP Articles Supplementary may be expressly modified by this Appendix), as are set forth in this </w:t>
      </w:r>
      <w:r>
        <w:rPr>
          <w:rFonts w:ascii="Times New Roman" w:cs="Times New Roman" w:eastAsia="Times New Roman" w:hAnsi="Times New Roman"/>
          <w:sz w:val="14"/>
          <w:szCs w:val="14"/>
          <w:u w:val="single" w:color="auto"/>
          <w:color w:val="auto"/>
        </w:rPr>
        <w:t>Appendix B</w:t>
      </w:r>
      <w:r>
        <w:rPr>
          <w:rFonts w:ascii="Times New Roman" w:cs="Times New Roman" w:eastAsia="Times New Roman" w:hAnsi="Times New Roman"/>
          <w:sz w:val="14"/>
          <w:szCs w:val="14"/>
          <w:color w:val="auto"/>
        </w:rPr>
        <w:t>. The 6.25% Series 2027 Term Preferred Shares shall constitute a separate series of Capital Stock and of the Cumulative Term Preferred Shares and each 6.25% Series 2027 Term Preferred Share shall be identical. The following terms and conditions shall apply solely to the 6.25% Series 2027 Term Preferred Shares:</w:t>
      </w:r>
    </w:p>
    <w:p>
      <w:pPr>
        <w:spacing w:after="0" w:line="9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i w:val="1"/>
          <w:iCs w:val="1"/>
          <w:u w:val="single" w:color="auto"/>
          <w:color w:val="auto"/>
        </w:rPr>
        <w:t>Number of Authorized Shares of Series.</w:t>
      </w:r>
    </w:p>
    <w:p>
      <w:pPr>
        <w:spacing w:after="0" w:line="1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number of authorized shares is 4,025,000.</w:t>
      </w:r>
    </w:p>
    <w:p>
      <w:pPr>
        <w:spacing w:after="0" w:line="1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i w:val="1"/>
          <w:iCs w:val="1"/>
          <w:u w:val="single" w:color="auto"/>
          <w:color w:val="auto"/>
        </w:rPr>
        <w:t>Date of Original Issue with respect to Series.</w:t>
      </w:r>
    </w:p>
    <w:p>
      <w:pPr>
        <w:spacing w:after="0" w:line="1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Date of Original Issue is February 11, 2020.</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i w:val="1"/>
          <w:iCs w:val="1"/>
          <w:u w:val="single" w:color="auto"/>
          <w:color w:val="auto"/>
        </w:rPr>
        <w:t>Fixed Dividend Rate Applicable to Series.</w:t>
      </w:r>
    </w:p>
    <w:p>
      <w:pPr>
        <w:spacing w:after="0" w:line="1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Fixed Dividend Rate is 6.25%.</w:t>
      </w:r>
    </w:p>
    <w:p>
      <w:pPr>
        <w:spacing w:after="0" w:line="1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i w:val="1"/>
          <w:iCs w:val="1"/>
          <w:u w:val="single" w:color="auto"/>
          <w:color w:val="auto"/>
        </w:rPr>
        <w:t>Liquidation Preference Applicable to Series.</w:t>
      </w:r>
    </w:p>
    <w:p>
      <w:pPr>
        <w:spacing w:after="0" w:line="1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Liquidation Preference is $25 per share.</w:t>
      </w:r>
    </w:p>
    <w:p>
      <w:pPr>
        <w:spacing w:after="0" w:line="1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i w:val="1"/>
          <w:iCs w:val="1"/>
          <w:u w:val="single" w:color="auto"/>
          <w:color w:val="auto"/>
        </w:rPr>
        <w:t>Term Redemption Date Applicable to Series.</w:t>
      </w:r>
    </w:p>
    <w:p>
      <w:pPr>
        <w:spacing w:after="0" w:line="1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Term Redemption Date is February 28, 2027.</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i w:val="1"/>
          <w:iCs w:val="1"/>
          <w:u w:val="single" w:color="auto"/>
          <w:color w:val="auto"/>
        </w:rPr>
        <w:t>Dividend Payment Dates Applicable to Series.</w:t>
      </w:r>
    </w:p>
    <w:p>
      <w:pPr>
        <w:spacing w:after="0" w:line="1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Dividend Payment Dates are the last Business Day of the month of the Dividend Period.</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8. </w:t>
      </w:r>
      <w:r>
        <w:rPr>
          <w:rFonts w:ascii="Times New Roman" w:cs="Times New Roman" w:eastAsia="Times New Roman" w:hAnsi="Times New Roman"/>
          <w:sz w:val="14"/>
          <w:szCs w:val="14"/>
          <w:i w:val="1"/>
          <w:iCs w:val="1"/>
          <w:u w:val="single" w:color="auto"/>
          <w:color w:val="auto"/>
        </w:rPr>
        <w:t>Non-Call Period Applicable to Series.</w:t>
      </w:r>
    </w:p>
    <w:p>
      <w:pPr>
        <w:spacing w:after="0" w:line="127" w:lineRule="exact"/>
        <w:rPr>
          <w:sz w:val="20"/>
          <w:szCs w:val="20"/>
          <w:color w:val="auto"/>
        </w:rPr>
      </w:pPr>
    </w:p>
    <w:p>
      <w:pPr>
        <w:jc w:val="both"/>
        <w:ind w:left="1320" w:right="1359" w:firstLine="508"/>
        <w:spacing w:after="0" w:line="286" w:lineRule="auto"/>
        <w:rPr>
          <w:sz w:val="20"/>
          <w:szCs w:val="20"/>
          <w:color w:val="auto"/>
        </w:rPr>
      </w:pPr>
      <w:r>
        <w:rPr>
          <w:rFonts w:ascii="Times New Roman" w:cs="Times New Roman" w:eastAsia="Times New Roman" w:hAnsi="Times New Roman"/>
          <w:sz w:val="14"/>
          <w:szCs w:val="14"/>
          <w:color w:val="auto"/>
        </w:rPr>
        <w:t>The Non-Call Period is the period beginning on the Date of Original Issue and ending at the close of business on February 28, 2023.</w:t>
      </w:r>
    </w:p>
    <w:p>
      <w:pPr>
        <w:spacing w:after="0" w:line="6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9. </w:t>
      </w:r>
      <w:r>
        <w:rPr>
          <w:rFonts w:ascii="Times New Roman" w:cs="Times New Roman" w:eastAsia="Times New Roman" w:hAnsi="Times New Roman"/>
          <w:sz w:val="14"/>
          <w:szCs w:val="14"/>
          <w:i w:val="1"/>
          <w:iCs w:val="1"/>
          <w:u w:val="single" w:color="auto"/>
          <w:color w:val="auto"/>
        </w:rPr>
        <w:t>Exceptions to Certain Definitions Applicable to the Series.</w:t>
      </w:r>
    </w:p>
    <w:p>
      <w:pPr>
        <w:spacing w:after="0" w:line="116" w:lineRule="exact"/>
        <w:rPr>
          <w:sz w:val="20"/>
          <w:szCs w:val="20"/>
          <w:color w:val="auto"/>
        </w:rPr>
      </w:pPr>
    </w:p>
    <w:p>
      <w:pPr>
        <w:jc w:val="both"/>
        <w:ind w:left="1320" w:right="1359" w:firstLine="508"/>
        <w:spacing w:after="0" w:line="286" w:lineRule="auto"/>
        <w:rPr>
          <w:sz w:val="20"/>
          <w:szCs w:val="20"/>
          <w:color w:val="auto"/>
        </w:rPr>
      </w:pPr>
      <w:r>
        <w:rPr>
          <w:rFonts w:ascii="Times New Roman" w:cs="Times New Roman" w:eastAsia="Times New Roman" w:hAnsi="Times New Roman"/>
          <w:sz w:val="14"/>
          <w:szCs w:val="14"/>
          <w:color w:val="auto"/>
        </w:rPr>
        <w:t>The following definitions contained under the heading “Definitions” in the TP Articles Supplementary are hereby amended as follows:</w:t>
      </w:r>
    </w:p>
    <w:p>
      <w:pPr>
        <w:spacing w:after="0" w:line="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67" w:name="page68"/>
    <w:bookmarkEnd w:id="67"/>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10. </w:t>
      </w:r>
      <w:r>
        <w:rPr>
          <w:rFonts w:ascii="Times New Roman" w:cs="Times New Roman" w:eastAsia="Times New Roman" w:hAnsi="Times New Roman"/>
          <w:sz w:val="14"/>
          <w:szCs w:val="14"/>
          <w:i w:val="1"/>
          <w:iCs w:val="1"/>
          <w:u w:val="single" w:color="auto"/>
          <w:color w:val="auto"/>
        </w:rPr>
        <w:t>Additional Definitions Applicable to the Series.</w:t>
      </w:r>
    </w:p>
    <w:p>
      <w:pPr>
        <w:spacing w:after="0" w:line="127" w:lineRule="exact"/>
        <w:rPr>
          <w:sz w:val="20"/>
          <w:szCs w:val="20"/>
          <w:color w:val="auto"/>
        </w:rPr>
      </w:pPr>
    </w:p>
    <w:p>
      <w:pPr>
        <w:jc w:val="both"/>
        <w:ind w:left="1320" w:right="1339" w:firstLine="508"/>
        <w:spacing w:after="0" w:line="286" w:lineRule="auto"/>
        <w:rPr>
          <w:sz w:val="20"/>
          <w:szCs w:val="20"/>
          <w:color w:val="auto"/>
        </w:rPr>
      </w:pPr>
      <w:r>
        <w:rPr>
          <w:rFonts w:ascii="Times New Roman" w:cs="Times New Roman" w:eastAsia="Times New Roman" w:hAnsi="Times New Roman"/>
          <w:sz w:val="14"/>
          <w:szCs w:val="14"/>
          <w:color w:val="auto"/>
        </w:rPr>
        <w:t>The following terms shall have the following meanings (with terms defined in the singular having comparable meanings when used in the plural and vice versa), unless the context otherwise requires:</w:t>
      </w:r>
    </w:p>
    <w:p>
      <w:pPr>
        <w:spacing w:after="0" w:line="69" w:lineRule="exact"/>
        <w:rPr>
          <w:sz w:val="20"/>
          <w:szCs w:val="20"/>
          <w:color w:val="auto"/>
        </w:rPr>
      </w:pPr>
    </w:p>
    <w:p>
      <w:pPr>
        <w:jc w:val="both"/>
        <w:ind w:left="1320" w:right="1339" w:firstLine="508"/>
        <w:spacing w:after="0" w:line="261"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Dividend Period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each 6.25% Series 2027 Term Preferred Share, in the case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first Dividend Period, the period beginning on the Date of Original Issue for such Series and ending on and including March 31, 2020 and for each subsequent Dividend Period, the period beginning on and including the first calendar day of the month following the month in which the previous Dividend Period ended and ending on and including the last calendar day of such month.</w:t>
      </w:r>
    </w:p>
    <w:p>
      <w:pPr>
        <w:spacing w:after="0" w:line="7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i w:val="1"/>
          <w:iCs w:val="1"/>
          <w:u w:val="single" w:color="auto"/>
          <w:color w:val="auto"/>
        </w:rPr>
        <w:t>Amendments to Terms of Term Preferred Shares Applicable to the Series.</w:t>
      </w:r>
    </w:p>
    <w:p>
      <w:pPr>
        <w:spacing w:after="0" w:line="127" w:lineRule="exact"/>
        <w:rPr>
          <w:sz w:val="20"/>
          <w:szCs w:val="20"/>
          <w:color w:val="auto"/>
        </w:rPr>
      </w:pPr>
    </w:p>
    <w:p>
      <w:pPr>
        <w:jc w:val="both"/>
        <w:ind w:left="1320" w:right="1339" w:firstLine="508"/>
        <w:spacing w:after="0" w:line="286" w:lineRule="auto"/>
        <w:rPr>
          <w:sz w:val="20"/>
          <w:szCs w:val="20"/>
          <w:color w:val="auto"/>
        </w:rPr>
      </w:pPr>
      <w:r>
        <w:rPr>
          <w:rFonts w:ascii="Times New Roman" w:cs="Times New Roman" w:eastAsia="Times New Roman" w:hAnsi="Times New Roman"/>
          <w:sz w:val="14"/>
          <w:szCs w:val="14"/>
          <w:color w:val="auto"/>
        </w:rPr>
        <w:t>The following provisions contained under the heading “Terms of the Term Preferred Shares” in the TP Articles Supplementary are hereby amended as follows:</w:t>
      </w:r>
    </w:p>
    <w:p>
      <w:pPr>
        <w:spacing w:after="0" w:line="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i w:val="1"/>
          <w:iCs w:val="1"/>
          <w:u w:val="single" w:color="auto"/>
          <w:color w:val="auto"/>
        </w:rPr>
        <w:t>Additional Terms and Provisions Applicable to the Series.</w:t>
      </w:r>
    </w:p>
    <w:p>
      <w:pPr>
        <w:spacing w:after="0" w:line="127" w:lineRule="exact"/>
        <w:rPr>
          <w:sz w:val="20"/>
          <w:szCs w:val="20"/>
          <w:color w:val="auto"/>
        </w:rPr>
      </w:pPr>
    </w:p>
    <w:p>
      <w:pPr>
        <w:jc w:val="both"/>
        <w:ind w:left="1320" w:right="1339" w:firstLine="508"/>
        <w:spacing w:after="0" w:line="286" w:lineRule="auto"/>
        <w:rPr>
          <w:sz w:val="20"/>
          <w:szCs w:val="20"/>
          <w:color w:val="auto"/>
        </w:rPr>
      </w:pPr>
      <w:r>
        <w:rPr>
          <w:rFonts w:ascii="Times New Roman" w:cs="Times New Roman" w:eastAsia="Times New Roman" w:hAnsi="Times New Roman"/>
          <w:sz w:val="14"/>
          <w:szCs w:val="14"/>
          <w:color w:val="auto"/>
        </w:rPr>
        <w:t>The following provisions shall be incorporated into and be deemed part of the TP Articles Supplementary:</w:t>
      </w:r>
    </w:p>
    <w:p>
      <w:pPr>
        <w:spacing w:after="0" w:line="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1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color w:val="auto"/>
        </w:rPr>
        <w:t>[Signature page begins on the following page]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68" w:name="page69"/>
    <w:bookmarkEnd w:id="68"/>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508"/>
        <w:spacing w:after="0" w:line="263" w:lineRule="auto"/>
        <w:rPr>
          <w:sz w:val="20"/>
          <w:szCs w:val="20"/>
          <w:color w:val="auto"/>
        </w:rPr>
      </w:pPr>
      <w:r>
        <w:rPr>
          <w:rFonts w:ascii="Times New Roman" w:cs="Times New Roman" w:eastAsia="Times New Roman" w:hAnsi="Times New Roman"/>
          <w:sz w:val="14"/>
          <w:szCs w:val="14"/>
          <w:color w:val="auto"/>
        </w:rPr>
        <w:t>IN WITNESS WHEREOF, Oxford Lane Capital Corp. has caused this Appendix to the Corporation’s TP Articles Supplementary to be signed on March 13, 2026 in its name and on its behalf by a duly authorized officer. The Articles and the TP Articles Supplementary are on file with the Secretary of State of the State of Maryland.</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OXFORD LANE CAPITAL CORP.</w:t>
      </w:r>
    </w:p>
    <w:p>
      <w:pPr>
        <w:spacing w:after="0" w:line="36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Name: Saul B.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-92075</wp:posOffset>
            </wp:positionV>
            <wp:extent cx="137033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1370330" cy="6985"/>
                    </a:xfrm>
                    <a:prstGeom prst="rect">
                      <a:avLst/>
                    </a:prstGeom>
                    <a:noFill/>
                  </pic:spPr>
                </pic:pic>
              </a:graphicData>
            </a:graphic>
          </wp:anchor>
        </w:drawing>
      </w:r>
    </w:p>
    <w:p>
      <w:pPr>
        <w:spacing w:after="0" w:line="41"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28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WITNESS:</w:t>
      </w:r>
    </w:p>
    <w:p>
      <w:pPr>
        <w:spacing w:after="0" w:line="3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-92075</wp:posOffset>
            </wp:positionV>
            <wp:extent cx="202882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2028825" cy="6985"/>
                    </a:xfrm>
                    <a:prstGeom prst="rect">
                      <a:avLst/>
                    </a:prstGeom>
                    <a:noFill/>
                  </pic:spPr>
                </pic:pic>
              </a:graphicData>
            </a:graphic>
          </wp:anchor>
        </w:drawing>
      </w:r>
    </w:p>
    <w:p>
      <w:pPr>
        <w:spacing w:after="0" w:line="41" w:lineRule="exact"/>
        <w:rPr>
          <w:sz w:val="20"/>
          <w:szCs w:val="20"/>
          <w:color w:val="auto"/>
        </w:rPr>
      </w:pPr>
    </w:p>
    <w:p>
      <w:pPr>
        <w:ind w:left="1320"/>
        <w:spacing w:after="0"/>
        <w:tabs>
          <w:tab w:leader="none" w:pos="1760" w:val="left"/>
        </w:tabs>
        <w:rPr>
          <w:sz w:val="20"/>
          <w:szCs w:val="20"/>
          <w:color w:val="auto"/>
        </w:rPr>
      </w:pPr>
      <w:r>
        <w:rPr>
          <w:rFonts w:ascii="Times New Roman" w:cs="Times New Roman" w:eastAsia="Times New Roman" w:hAnsi="Times New Roman"/>
          <w:sz w:val="14"/>
          <w:szCs w:val="14"/>
          <w:color w:val="auto"/>
        </w:rPr>
        <w:t>Title:</w:t>
        <w:tab/>
        <w:t>Chief Financial Officer and Corporate Secretary</w:t>
      </w:r>
    </w:p>
    <w:p>
      <w:pPr>
        <w:spacing w:after="0" w:line="199" w:lineRule="exact"/>
        <w:rPr>
          <w:sz w:val="20"/>
          <w:szCs w:val="20"/>
          <w:color w:val="auto"/>
        </w:rPr>
      </w:pPr>
    </w:p>
    <w:p>
      <w:pPr>
        <w:jc w:val="both"/>
        <w:ind w:left="1320" w:right="1339" w:firstLine="508"/>
        <w:spacing w:after="0" w:line="259" w:lineRule="auto"/>
        <w:rPr>
          <w:sz w:val="20"/>
          <w:szCs w:val="20"/>
          <w:color w:val="auto"/>
        </w:rPr>
      </w:pPr>
      <w:r>
        <w:rPr>
          <w:rFonts w:ascii="Times New Roman" w:cs="Times New Roman" w:eastAsia="Times New Roman" w:hAnsi="Times New Roman"/>
          <w:sz w:val="14"/>
          <w:szCs w:val="14"/>
          <w:color w:val="auto"/>
        </w:rPr>
        <w:t>The undersigned duly authorized officer of Oxford Lane Capital Corp., who executed on behalf of the Corporation the foregoing Appendix to the Corporation’s TP Articles Supplementary of which this Certificate is made a part, hereby acknowledges in the name and on behalf of said Corporation the foregoing Appendix to the Articles Supplementary to be the corporate act of the Corporation, and states under penalties of perjury that to the best of his knowledge, information and belief the matters and facts set forth therein with respect to the authorization and approval thereof are true in all material respects.</w:t>
      </w:r>
    </w:p>
    <w:p>
      <w:pPr>
        <w:spacing w:after="0" w:line="1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OXFORD LANE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175895</wp:posOffset>
            </wp:positionV>
            <wp:extent cx="141097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1410970" cy="6985"/>
                    </a:xfrm>
                    <a:prstGeom prst="rect">
                      <a:avLst/>
                    </a:prstGeom>
                    <a:noFill/>
                  </pic:spPr>
                </pic:pic>
              </a:graphicData>
            </a:graphic>
          </wp:anchor>
        </w:drawing>
      </w:r>
    </w:p>
    <w:p>
      <w:pPr>
        <w:spacing w:after="0" w:line="2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Name:  Saul B. Rosenthal</w:t>
      </w:r>
    </w:p>
    <w:p>
      <w:pPr>
        <w:spacing w:after="0" w:line="61"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[Signature Page to the Appendix Establishing and Fixing the Rights and Preferences of 6.25%</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Series 2027 Term Preferred Shares]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69" w:name="page70"/>
    <w:bookmarkEnd w:id="69"/>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2"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4"/>
          <w:szCs w:val="14"/>
          <w:b w:val="1"/>
          <w:bCs w:val="1"/>
          <w:color w:val="auto"/>
        </w:rPr>
        <w:t>APPENDIX 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OXFORD LANE CAPITAL CORP.</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CUMULATIVE TERM PREFERRED SHARES, 8.25% SERIES 2031</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TERM PREFERRED SHARES</w:t>
      </w:r>
    </w:p>
    <w:p>
      <w:pPr>
        <w:spacing w:after="0" w:line="110" w:lineRule="exact"/>
        <w:rPr>
          <w:sz w:val="20"/>
          <w:szCs w:val="20"/>
          <w:color w:val="auto"/>
        </w:rPr>
      </w:pPr>
    </w:p>
    <w:p>
      <w:pPr>
        <w:jc w:val="both"/>
        <w:ind w:left="1320" w:right="1339" w:firstLine="508"/>
        <w:spacing w:after="0" w:line="258" w:lineRule="auto"/>
        <w:rPr>
          <w:sz w:val="20"/>
          <w:szCs w:val="20"/>
          <w:color w:val="auto"/>
        </w:rPr>
      </w:pPr>
      <w:r>
        <w:rPr>
          <w:rFonts w:ascii="Times New Roman" w:cs="Times New Roman" w:eastAsia="Times New Roman" w:hAnsi="Times New Roman"/>
          <w:sz w:val="14"/>
          <w:szCs w:val="14"/>
          <w:color w:val="auto"/>
        </w:rPr>
        <w:t>This Appendix establishes a Series of Cumulative Term Preferred Shares of Oxford Lane Capital Corp. Except as set forth below, this Appendix incorporates by reference the terms set forth with respect to all Series of such Cumulative Term Preferred Shares in those “Articles Supplementary Establishing and Fixing the Rights and Preferences of Term Preferred Shares” dated March 13, 2026 (the “</w:t>
      </w:r>
      <w:r>
        <w:rPr>
          <w:rFonts w:ascii="Times New Roman" w:cs="Times New Roman" w:eastAsia="Times New Roman" w:hAnsi="Times New Roman"/>
          <w:sz w:val="14"/>
          <w:szCs w:val="14"/>
          <w:u w:val="single" w:color="auto"/>
          <w:color w:val="auto"/>
        </w:rPr>
        <w:t>TP Articles Supplementary</w:t>
      </w:r>
      <w:r>
        <w:rPr>
          <w:rFonts w:ascii="Times New Roman" w:cs="Times New Roman" w:eastAsia="Times New Roman" w:hAnsi="Times New Roman"/>
          <w:sz w:val="14"/>
          <w:szCs w:val="14"/>
          <w:color w:val="auto"/>
        </w:rPr>
        <w:t>”). This Appendix has been adopted by resolution of the Board of Directors of Oxford Lane Capital Corp. Capitalized terms used herein but not defined herein have the respective meanings set forth in the TP Articles Supplementary.</w:t>
      </w:r>
    </w:p>
    <w:p>
      <w:pPr>
        <w:spacing w:after="0" w:line="2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i w:val="1"/>
          <w:iCs w:val="1"/>
          <w:u w:val="single" w:color="auto"/>
          <w:color w:val="auto"/>
        </w:rPr>
        <w:t>Designation as to Series.</w:t>
      </w:r>
    </w:p>
    <w:p>
      <w:pPr>
        <w:spacing w:after="0" w:line="127" w:lineRule="exact"/>
        <w:rPr>
          <w:sz w:val="20"/>
          <w:szCs w:val="20"/>
          <w:color w:val="auto"/>
        </w:rPr>
      </w:pPr>
    </w:p>
    <w:p>
      <w:pPr>
        <w:jc w:val="both"/>
        <w:ind w:left="1320" w:right="1339" w:firstLine="508"/>
        <w:spacing w:after="0" w:line="256" w:lineRule="auto"/>
        <w:rPr>
          <w:sz w:val="20"/>
          <w:szCs w:val="20"/>
          <w:color w:val="auto"/>
        </w:rPr>
      </w:pPr>
      <w:r>
        <w:rPr>
          <w:rFonts w:ascii="Times New Roman" w:cs="Times New Roman" w:eastAsia="Times New Roman" w:hAnsi="Times New Roman"/>
          <w:sz w:val="14"/>
          <w:szCs w:val="14"/>
          <w:color w:val="auto"/>
        </w:rPr>
        <w:t xml:space="preserve">Cumulative Term Preferred Shares, 8.25% Series 2031 Term Preferred Shares: A series of 2,760,000 shares of Capital Stock classified as Term Preferred Shares is hereby designated as the “8.25% Series 2031 Term Preferred Shares.” Each share of such Series shall have such preferences, voting powers, restrictions, limitations as to dividends and distributions, qualifications and terms and conditions of redemption, in addition to those required by applicable law and those that are expressly set forth in the Articles and the TP Articles Supplementary (except as the TP Articles Supplementary may be expressly modified by this Appendix), as are set forth in this </w:t>
      </w:r>
      <w:r>
        <w:rPr>
          <w:rFonts w:ascii="Times New Roman" w:cs="Times New Roman" w:eastAsia="Times New Roman" w:hAnsi="Times New Roman"/>
          <w:sz w:val="14"/>
          <w:szCs w:val="14"/>
          <w:u w:val="single" w:color="auto"/>
          <w:color w:val="auto"/>
        </w:rPr>
        <w:t>Appendix C</w:t>
      </w:r>
      <w:r>
        <w:rPr>
          <w:rFonts w:ascii="Times New Roman" w:cs="Times New Roman" w:eastAsia="Times New Roman" w:hAnsi="Times New Roman"/>
          <w:sz w:val="14"/>
          <w:szCs w:val="14"/>
          <w:color w:val="auto"/>
        </w:rPr>
        <w:t>. The 8.25% Series 2031 Term Preferred Shares shall constitute a separate series of Capital Stock and of the Cumulative Term Preferred Shares and each 8.25% Series 2031 Term Preferred Share shall be identical. The following terms and conditions shall apply solely to the 8.25% Series 2031 Term Preferred Shares:</w:t>
      </w:r>
    </w:p>
    <w:p>
      <w:pPr>
        <w:spacing w:after="0" w:line="9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i w:val="1"/>
          <w:iCs w:val="1"/>
          <w:u w:val="single" w:color="auto"/>
          <w:color w:val="auto"/>
        </w:rPr>
        <w:t>Number of Authorized Shares of Series.</w:t>
      </w:r>
    </w:p>
    <w:p>
      <w:pPr>
        <w:spacing w:after="0" w:line="1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number of authorized shares is 2,760,000.</w:t>
      </w:r>
    </w:p>
    <w:p>
      <w:pPr>
        <w:spacing w:after="0" w:line="1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i w:val="1"/>
          <w:iCs w:val="1"/>
          <w:u w:val="single" w:color="auto"/>
          <w:color w:val="auto"/>
        </w:rPr>
        <w:t>Date of Original Issue with respect to Series.</w:t>
      </w:r>
    </w:p>
    <w:p>
      <w:pPr>
        <w:spacing w:after="0" w:line="1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Date of Original Issue is March 20, 2026.</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i w:val="1"/>
          <w:iCs w:val="1"/>
          <w:u w:val="single" w:color="auto"/>
          <w:color w:val="auto"/>
        </w:rPr>
        <w:t>Fixed Dividend Rate Applicable to Series.</w:t>
      </w:r>
    </w:p>
    <w:p>
      <w:pPr>
        <w:spacing w:after="0" w:line="1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Fixed Dividend Rate is 8.25%.</w:t>
      </w:r>
    </w:p>
    <w:p>
      <w:pPr>
        <w:spacing w:after="0" w:line="1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i w:val="1"/>
          <w:iCs w:val="1"/>
          <w:u w:val="single" w:color="auto"/>
          <w:color w:val="auto"/>
        </w:rPr>
        <w:t>Liquidation Preference Applicable to Series.</w:t>
      </w:r>
    </w:p>
    <w:p>
      <w:pPr>
        <w:spacing w:after="0" w:line="1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Liquidation Preference is $25.00 per share.</w:t>
      </w:r>
    </w:p>
    <w:p>
      <w:pPr>
        <w:spacing w:after="0" w:line="1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i w:val="1"/>
          <w:iCs w:val="1"/>
          <w:u w:val="single" w:color="auto"/>
          <w:color w:val="auto"/>
        </w:rPr>
        <w:t>Term Redemption Date Applicable to Series.</w:t>
      </w:r>
    </w:p>
    <w:p>
      <w:pPr>
        <w:spacing w:after="0" w:line="1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Term Redemption Date is March 20, 2031.</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i w:val="1"/>
          <w:iCs w:val="1"/>
          <w:u w:val="single" w:color="auto"/>
          <w:color w:val="auto"/>
        </w:rPr>
        <w:t>Dividend Payment Dates Applicable to Series.</w:t>
      </w:r>
    </w:p>
    <w:p>
      <w:pPr>
        <w:spacing w:after="0" w:line="1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Dividend Payment Dates are the last Business Day of the month of the Dividend Period.</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8. </w:t>
      </w:r>
      <w:r>
        <w:rPr>
          <w:rFonts w:ascii="Times New Roman" w:cs="Times New Roman" w:eastAsia="Times New Roman" w:hAnsi="Times New Roman"/>
          <w:sz w:val="14"/>
          <w:szCs w:val="14"/>
          <w:i w:val="1"/>
          <w:iCs w:val="1"/>
          <w:u w:val="single" w:color="auto"/>
          <w:color w:val="auto"/>
        </w:rPr>
        <w:t>Non-Call Period Applicable to Series.</w:t>
      </w:r>
    </w:p>
    <w:p>
      <w:pPr>
        <w:spacing w:after="0" w:line="127" w:lineRule="exact"/>
        <w:rPr>
          <w:sz w:val="20"/>
          <w:szCs w:val="20"/>
          <w:color w:val="auto"/>
        </w:rPr>
      </w:pPr>
    </w:p>
    <w:p>
      <w:pPr>
        <w:jc w:val="both"/>
        <w:ind w:left="1320" w:right="1359" w:firstLine="508"/>
        <w:spacing w:after="0" w:line="286" w:lineRule="auto"/>
        <w:rPr>
          <w:sz w:val="20"/>
          <w:szCs w:val="20"/>
          <w:color w:val="auto"/>
        </w:rPr>
      </w:pPr>
      <w:r>
        <w:rPr>
          <w:rFonts w:ascii="Times New Roman" w:cs="Times New Roman" w:eastAsia="Times New Roman" w:hAnsi="Times New Roman"/>
          <w:sz w:val="14"/>
          <w:szCs w:val="14"/>
          <w:color w:val="auto"/>
        </w:rPr>
        <w:t>The Non-Call Period is the period beginning on the Date of Original Issue and ending at the close of business on March 20, 2028.</w:t>
      </w:r>
    </w:p>
    <w:p>
      <w:pPr>
        <w:spacing w:after="0" w:line="6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9. </w:t>
      </w:r>
      <w:r>
        <w:rPr>
          <w:rFonts w:ascii="Times New Roman" w:cs="Times New Roman" w:eastAsia="Times New Roman" w:hAnsi="Times New Roman"/>
          <w:sz w:val="14"/>
          <w:szCs w:val="14"/>
          <w:i w:val="1"/>
          <w:iCs w:val="1"/>
          <w:u w:val="single" w:color="auto"/>
          <w:color w:val="auto"/>
        </w:rPr>
        <w:t>Exceptions to Certain Definitions Applicable to the Series.</w:t>
      </w:r>
    </w:p>
    <w:p>
      <w:pPr>
        <w:spacing w:after="0" w:line="116" w:lineRule="exact"/>
        <w:rPr>
          <w:sz w:val="20"/>
          <w:szCs w:val="20"/>
          <w:color w:val="auto"/>
        </w:rPr>
      </w:pPr>
    </w:p>
    <w:p>
      <w:pPr>
        <w:jc w:val="both"/>
        <w:ind w:left="1320" w:right="1359" w:firstLine="508"/>
        <w:spacing w:after="0" w:line="286" w:lineRule="auto"/>
        <w:rPr>
          <w:sz w:val="20"/>
          <w:szCs w:val="20"/>
          <w:color w:val="auto"/>
        </w:rPr>
      </w:pPr>
      <w:r>
        <w:rPr>
          <w:rFonts w:ascii="Times New Roman" w:cs="Times New Roman" w:eastAsia="Times New Roman" w:hAnsi="Times New Roman"/>
          <w:sz w:val="14"/>
          <w:szCs w:val="14"/>
          <w:color w:val="auto"/>
        </w:rPr>
        <w:t>The following definitions contained under the heading “Definitions” in the TP Articles Supplementary are hereby amended as follows:</w:t>
      </w:r>
    </w:p>
    <w:p>
      <w:pPr>
        <w:spacing w:after="0" w:line="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70" w:name="page71"/>
    <w:bookmarkEnd w:id="70"/>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10. </w:t>
      </w:r>
      <w:r>
        <w:rPr>
          <w:rFonts w:ascii="Times New Roman" w:cs="Times New Roman" w:eastAsia="Times New Roman" w:hAnsi="Times New Roman"/>
          <w:sz w:val="14"/>
          <w:szCs w:val="14"/>
          <w:i w:val="1"/>
          <w:iCs w:val="1"/>
          <w:u w:val="single" w:color="auto"/>
          <w:color w:val="auto"/>
        </w:rPr>
        <w:t>Additional Definitions Applicable to the Series.</w:t>
      </w:r>
    </w:p>
    <w:p>
      <w:pPr>
        <w:spacing w:after="0" w:line="127" w:lineRule="exact"/>
        <w:rPr>
          <w:sz w:val="20"/>
          <w:szCs w:val="20"/>
          <w:color w:val="auto"/>
        </w:rPr>
      </w:pPr>
    </w:p>
    <w:p>
      <w:pPr>
        <w:jc w:val="both"/>
        <w:ind w:left="1320" w:right="1339" w:firstLine="508"/>
        <w:spacing w:after="0" w:line="286" w:lineRule="auto"/>
        <w:rPr>
          <w:sz w:val="20"/>
          <w:szCs w:val="20"/>
          <w:color w:val="auto"/>
        </w:rPr>
      </w:pPr>
      <w:r>
        <w:rPr>
          <w:rFonts w:ascii="Times New Roman" w:cs="Times New Roman" w:eastAsia="Times New Roman" w:hAnsi="Times New Roman"/>
          <w:sz w:val="14"/>
          <w:szCs w:val="14"/>
          <w:color w:val="auto"/>
        </w:rPr>
        <w:t>The following terms shall have the following meanings (with terms defined in the singular having comparable meanings when used in the plural and vice versa), unless the context otherwise requires:</w:t>
      </w:r>
    </w:p>
    <w:p>
      <w:pPr>
        <w:spacing w:after="0" w:line="69" w:lineRule="exact"/>
        <w:rPr>
          <w:sz w:val="20"/>
          <w:szCs w:val="20"/>
          <w:color w:val="auto"/>
        </w:rPr>
      </w:pPr>
    </w:p>
    <w:p>
      <w:pPr>
        <w:jc w:val="both"/>
        <w:ind w:left="1320" w:right="1339" w:firstLine="508"/>
        <w:spacing w:after="0" w:line="261"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Dividend Period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each 8.25% Series 2031 Term Preferred Share, in the case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first Dividend Period, the period beginning on the Date of Original Issue for such Series and ending on and including April 30, 2026 and for each subsequent Dividend Period, the period beginning on and including the first calendar day of the month following the month in which the previous Dividend Period ended and ending on and including the last calendar day of such month.</w:t>
      </w:r>
    </w:p>
    <w:p>
      <w:pPr>
        <w:spacing w:after="0" w:line="7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i w:val="1"/>
          <w:iCs w:val="1"/>
          <w:u w:val="single" w:color="auto"/>
          <w:color w:val="auto"/>
        </w:rPr>
        <w:t>Amendments to Terms of Term Preferred Shares Applicable to the Series.</w:t>
      </w:r>
    </w:p>
    <w:p>
      <w:pPr>
        <w:spacing w:after="0" w:line="127" w:lineRule="exact"/>
        <w:rPr>
          <w:sz w:val="20"/>
          <w:szCs w:val="20"/>
          <w:color w:val="auto"/>
        </w:rPr>
      </w:pPr>
    </w:p>
    <w:p>
      <w:pPr>
        <w:jc w:val="both"/>
        <w:ind w:left="1320" w:right="1339" w:firstLine="508"/>
        <w:spacing w:after="0" w:line="286" w:lineRule="auto"/>
        <w:rPr>
          <w:sz w:val="20"/>
          <w:szCs w:val="20"/>
          <w:color w:val="auto"/>
        </w:rPr>
      </w:pPr>
      <w:r>
        <w:rPr>
          <w:rFonts w:ascii="Times New Roman" w:cs="Times New Roman" w:eastAsia="Times New Roman" w:hAnsi="Times New Roman"/>
          <w:sz w:val="14"/>
          <w:szCs w:val="14"/>
          <w:color w:val="auto"/>
        </w:rPr>
        <w:t>The following provisions contained under the heading “Terms of the Term Preferred Shares” in the TP Articles Supplementary are hereby amended as follows:</w:t>
      </w:r>
    </w:p>
    <w:p>
      <w:pPr>
        <w:spacing w:after="0" w:line="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i w:val="1"/>
          <w:iCs w:val="1"/>
          <w:u w:val="single" w:color="auto"/>
          <w:color w:val="auto"/>
        </w:rPr>
        <w:t>Additional Terms and Provisions Applicable to the Series.</w:t>
      </w:r>
    </w:p>
    <w:p>
      <w:pPr>
        <w:spacing w:after="0" w:line="127" w:lineRule="exact"/>
        <w:rPr>
          <w:sz w:val="20"/>
          <w:szCs w:val="20"/>
          <w:color w:val="auto"/>
        </w:rPr>
      </w:pPr>
    </w:p>
    <w:p>
      <w:pPr>
        <w:jc w:val="both"/>
        <w:ind w:left="1320" w:right="1339" w:firstLine="508"/>
        <w:spacing w:after="0" w:line="286" w:lineRule="auto"/>
        <w:rPr>
          <w:sz w:val="20"/>
          <w:szCs w:val="20"/>
          <w:color w:val="auto"/>
        </w:rPr>
      </w:pPr>
      <w:r>
        <w:rPr>
          <w:rFonts w:ascii="Times New Roman" w:cs="Times New Roman" w:eastAsia="Times New Roman" w:hAnsi="Times New Roman"/>
          <w:sz w:val="14"/>
          <w:szCs w:val="14"/>
          <w:color w:val="auto"/>
        </w:rPr>
        <w:t>The following provisions shall be incorporated into and be deemed part of the TP Articles Supplementary:</w:t>
      </w:r>
    </w:p>
    <w:p>
      <w:pPr>
        <w:spacing w:after="0" w:line="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1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color w:val="auto"/>
        </w:rPr>
        <w:t>[Signature page begins on the following page]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71" w:name="page72"/>
    <w:bookmarkEnd w:id="71"/>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508"/>
        <w:spacing w:after="0" w:line="263" w:lineRule="auto"/>
        <w:rPr>
          <w:sz w:val="20"/>
          <w:szCs w:val="20"/>
          <w:color w:val="auto"/>
        </w:rPr>
      </w:pPr>
      <w:r>
        <w:rPr>
          <w:rFonts w:ascii="Times New Roman" w:cs="Times New Roman" w:eastAsia="Times New Roman" w:hAnsi="Times New Roman"/>
          <w:sz w:val="14"/>
          <w:szCs w:val="14"/>
          <w:color w:val="auto"/>
        </w:rPr>
        <w:t>IN WITNESS WHEREOF, Oxford Lane Capital Corp. has caused this Appendix to the Corporation’s TP Articles Supplementary to be signed on March 13, 2026 in its name and on its behalf by a duly authorized officer. The Articles and the TP Articles Supplementary are on file with the Secretary of State of the State of Maryland.</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OXFORD LANE CAPITAL CORP.</w:t>
      </w:r>
    </w:p>
    <w:p>
      <w:pPr>
        <w:spacing w:after="0" w:line="36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Name: Saul B.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-92075</wp:posOffset>
            </wp:positionV>
            <wp:extent cx="137033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370330" cy="6985"/>
                    </a:xfrm>
                    <a:prstGeom prst="rect">
                      <a:avLst/>
                    </a:prstGeom>
                    <a:noFill/>
                  </pic:spPr>
                </pic:pic>
              </a:graphicData>
            </a:graphic>
          </wp:anchor>
        </w:drawing>
      </w:r>
    </w:p>
    <w:p>
      <w:pPr>
        <w:spacing w:after="0" w:line="41"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28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WITNESS:</w:t>
      </w:r>
    </w:p>
    <w:p>
      <w:pPr>
        <w:spacing w:after="0" w:line="3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-92075</wp:posOffset>
            </wp:positionV>
            <wp:extent cx="202882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2028825" cy="6985"/>
                    </a:xfrm>
                    <a:prstGeom prst="rect">
                      <a:avLst/>
                    </a:prstGeom>
                    <a:noFill/>
                  </pic:spPr>
                </pic:pic>
              </a:graphicData>
            </a:graphic>
          </wp:anchor>
        </w:drawing>
      </w:r>
    </w:p>
    <w:p>
      <w:pPr>
        <w:spacing w:after="0" w:line="41" w:lineRule="exact"/>
        <w:rPr>
          <w:sz w:val="20"/>
          <w:szCs w:val="20"/>
          <w:color w:val="auto"/>
        </w:rPr>
      </w:pPr>
    </w:p>
    <w:p>
      <w:pPr>
        <w:ind w:left="1320"/>
        <w:spacing w:after="0"/>
        <w:tabs>
          <w:tab w:leader="none" w:pos="1760" w:val="left"/>
        </w:tabs>
        <w:rPr>
          <w:sz w:val="20"/>
          <w:szCs w:val="20"/>
          <w:color w:val="auto"/>
        </w:rPr>
      </w:pPr>
      <w:r>
        <w:rPr>
          <w:rFonts w:ascii="Times New Roman" w:cs="Times New Roman" w:eastAsia="Times New Roman" w:hAnsi="Times New Roman"/>
          <w:sz w:val="14"/>
          <w:szCs w:val="14"/>
          <w:color w:val="auto"/>
        </w:rPr>
        <w:t>Title:</w:t>
        <w:tab/>
        <w:t>Chief Financial Officer and Corporate Secretary</w:t>
      </w:r>
    </w:p>
    <w:p>
      <w:pPr>
        <w:spacing w:after="0" w:line="199" w:lineRule="exact"/>
        <w:rPr>
          <w:sz w:val="20"/>
          <w:szCs w:val="20"/>
          <w:color w:val="auto"/>
        </w:rPr>
      </w:pPr>
    </w:p>
    <w:p>
      <w:pPr>
        <w:jc w:val="both"/>
        <w:ind w:left="1320" w:right="1339" w:firstLine="508"/>
        <w:spacing w:after="0" w:line="259" w:lineRule="auto"/>
        <w:rPr>
          <w:sz w:val="20"/>
          <w:szCs w:val="20"/>
          <w:color w:val="auto"/>
        </w:rPr>
      </w:pPr>
      <w:r>
        <w:rPr>
          <w:rFonts w:ascii="Times New Roman" w:cs="Times New Roman" w:eastAsia="Times New Roman" w:hAnsi="Times New Roman"/>
          <w:sz w:val="14"/>
          <w:szCs w:val="14"/>
          <w:color w:val="auto"/>
        </w:rPr>
        <w:t>The undersigned duly authorized officer of Oxford Lane Capital Corp., who executed on behalf of the Corporation the foregoing Appendix to the Corporation’s TP Articles Supplementary of which this Certificate is made a part, hereby acknowledges in the name and on behalf of said Corporation the foregoing Appendix to the Articles Supplementary to be the corporate act of the Corporation, and states under penalties of perjury that to the best of his knowledge, information and belief the matters and facts set forth therein with respect to the authorization and approval thereof are true in all material respects.</w:t>
      </w:r>
    </w:p>
    <w:p>
      <w:pPr>
        <w:spacing w:after="0" w:line="1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OXFORD LANE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175895</wp:posOffset>
            </wp:positionV>
            <wp:extent cx="141097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1410970" cy="6985"/>
                    </a:xfrm>
                    <a:prstGeom prst="rect">
                      <a:avLst/>
                    </a:prstGeom>
                    <a:noFill/>
                  </pic:spPr>
                </pic:pic>
              </a:graphicData>
            </a:graphic>
          </wp:anchor>
        </w:drawing>
      </w:r>
    </w:p>
    <w:p>
      <w:pPr>
        <w:spacing w:after="0" w:line="2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Name:  Saul B. Rosenthal</w:t>
      </w:r>
    </w:p>
    <w:p>
      <w:pPr>
        <w:spacing w:after="0" w:line="61"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[Signature Page to the Appendix Establishing and Fixing the Rights and Preferences of 8.25%</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Series 2031 Term Preferred Shares]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72" w:name="page73"/>
    <w:bookmarkEnd w:id="72"/>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2"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4"/>
          <w:szCs w:val="14"/>
          <w:b w:val="1"/>
          <w:bCs w:val="1"/>
          <w:color w:val="auto"/>
        </w:rPr>
        <w:t>APPENDIX 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OXFORD LANE CAPITAL CORP.</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CUMULATIVE TERM PREFERRED SHARES, 7.125% SERIES 2029</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TERM PREFERRED SHARES</w:t>
      </w:r>
    </w:p>
    <w:p>
      <w:pPr>
        <w:spacing w:after="0" w:line="110" w:lineRule="exact"/>
        <w:rPr>
          <w:sz w:val="20"/>
          <w:szCs w:val="20"/>
          <w:color w:val="auto"/>
        </w:rPr>
      </w:pPr>
    </w:p>
    <w:p>
      <w:pPr>
        <w:jc w:val="both"/>
        <w:ind w:left="1320" w:right="1339" w:firstLine="508"/>
        <w:spacing w:after="0" w:line="258" w:lineRule="auto"/>
        <w:rPr>
          <w:sz w:val="20"/>
          <w:szCs w:val="20"/>
          <w:color w:val="auto"/>
        </w:rPr>
      </w:pPr>
      <w:r>
        <w:rPr>
          <w:rFonts w:ascii="Times New Roman" w:cs="Times New Roman" w:eastAsia="Times New Roman" w:hAnsi="Times New Roman"/>
          <w:sz w:val="14"/>
          <w:szCs w:val="14"/>
          <w:color w:val="auto"/>
        </w:rPr>
        <w:t>This Appendix establishes a Series of Cumulative Term Preferred Shares of Oxford Lane Capital Corp. Except as set forth below, this Appendix incorporates by reference the terms set forth with respect to all Series of such Cumulative Term Preferred Shares in those “Articles Supplementary Establishing and Fixing the Rights and Preferences of Term Preferred Shares” dated March 13, 2026 (the “</w:t>
      </w:r>
      <w:r>
        <w:rPr>
          <w:rFonts w:ascii="Times New Roman" w:cs="Times New Roman" w:eastAsia="Times New Roman" w:hAnsi="Times New Roman"/>
          <w:sz w:val="14"/>
          <w:szCs w:val="14"/>
          <w:u w:val="single" w:color="auto"/>
          <w:color w:val="auto"/>
        </w:rPr>
        <w:t>TP Articles Supplementary</w:t>
      </w:r>
      <w:r>
        <w:rPr>
          <w:rFonts w:ascii="Times New Roman" w:cs="Times New Roman" w:eastAsia="Times New Roman" w:hAnsi="Times New Roman"/>
          <w:sz w:val="14"/>
          <w:szCs w:val="14"/>
          <w:color w:val="auto"/>
        </w:rPr>
        <w:t>”). This Appendix has been adopted by resolution of the Board of Directors of Oxford Lane Capital Corp. Capitalized terms used herein but not defined herein have the respective meanings set forth in the TP Articles Supplementary.</w:t>
      </w:r>
    </w:p>
    <w:p>
      <w:pPr>
        <w:spacing w:after="0" w:line="2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i w:val="1"/>
          <w:iCs w:val="1"/>
          <w:u w:val="single" w:color="auto"/>
          <w:color w:val="auto"/>
        </w:rPr>
        <w:t>Designation as to Series.</w:t>
      </w:r>
    </w:p>
    <w:p>
      <w:pPr>
        <w:spacing w:after="0" w:line="127" w:lineRule="exact"/>
        <w:rPr>
          <w:sz w:val="20"/>
          <w:szCs w:val="20"/>
          <w:color w:val="auto"/>
        </w:rPr>
      </w:pPr>
    </w:p>
    <w:p>
      <w:pPr>
        <w:jc w:val="both"/>
        <w:ind w:left="1320" w:right="1339" w:firstLine="508"/>
        <w:spacing w:after="0" w:line="256" w:lineRule="auto"/>
        <w:rPr>
          <w:sz w:val="20"/>
          <w:szCs w:val="20"/>
          <w:color w:val="auto"/>
        </w:rPr>
      </w:pPr>
      <w:r>
        <w:rPr>
          <w:rFonts w:ascii="Times New Roman" w:cs="Times New Roman" w:eastAsia="Times New Roman" w:hAnsi="Times New Roman"/>
          <w:sz w:val="14"/>
          <w:szCs w:val="14"/>
          <w:color w:val="auto"/>
        </w:rPr>
        <w:t xml:space="preserve">Cumulative Term Preferred Shares, 7.125% Series 2029 Term Preferred Shares: A series of 3,000,000 shares of Capital Stock classified as Term Preferred Shares is hereby designated as the “7.125% Series 2029 Term Preferred Shares.” Each share of such Series shall have such preferences, voting powers, restrictions, limitations as to dividends and distributions, qualifications and terms and conditions of redemption, in addition to those required by applicable law and those that are expressly set forth in the Articles and the TP Articles Supplementary (except as the TP Articles Supplementary may be expressly modified by this Appendix), as are set forth in this </w:t>
      </w:r>
      <w:r>
        <w:rPr>
          <w:rFonts w:ascii="Times New Roman" w:cs="Times New Roman" w:eastAsia="Times New Roman" w:hAnsi="Times New Roman"/>
          <w:sz w:val="14"/>
          <w:szCs w:val="14"/>
          <w:u w:val="single" w:color="auto"/>
          <w:color w:val="auto"/>
        </w:rPr>
        <w:t>Appendix D</w:t>
      </w:r>
      <w:r>
        <w:rPr>
          <w:rFonts w:ascii="Times New Roman" w:cs="Times New Roman" w:eastAsia="Times New Roman" w:hAnsi="Times New Roman"/>
          <w:sz w:val="14"/>
          <w:szCs w:val="14"/>
          <w:color w:val="auto"/>
        </w:rPr>
        <w:t>. The 7.125% Series 2029 Term Preferred Shares shall constitute a separate series of Capital Stock and of the Cumulative Term Preferred Shares and each 7.125% Series 2029 Term Preferred Share shall be identical. The following terms and conditions shall apply solely to the 7.125% Series 2029 Term Preferred Shares:</w:t>
      </w:r>
    </w:p>
    <w:p>
      <w:pPr>
        <w:spacing w:after="0" w:line="9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i w:val="1"/>
          <w:iCs w:val="1"/>
          <w:u w:val="single" w:color="auto"/>
          <w:color w:val="auto"/>
        </w:rPr>
        <w:t>Number of Authorized Shares of Series.</w:t>
      </w:r>
    </w:p>
    <w:p>
      <w:pPr>
        <w:spacing w:after="0" w:line="1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number of authorized shares is 3,000,000.</w:t>
      </w:r>
    </w:p>
    <w:p>
      <w:pPr>
        <w:spacing w:after="0" w:line="1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i w:val="1"/>
          <w:iCs w:val="1"/>
          <w:u w:val="single" w:color="auto"/>
          <w:color w:val="auto"/>
        </w:rPr>
        <w:t>Date of Original Issue with respect to Series.</w:t>
      </w:r>
    </w:p>
    <w:p>
      <w:pPr>
        <w:spacing w:after="0" w:line="1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Date of Original Issue is June 16, 2022.</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i w:val="1"/>
          <w:iCs w:val="1"/>
          <w:u w:val="single" w:color="auto"/>
          <w:color w:val="auto"/>
        </w:rPr>
        <w:t>Fixed Dividend Rate Applicable to Series.</w:t>
      </w:r>
    </w:p>
    <w:p>
      <w:pPr>
        <w:spacing w:after="0" w:line="1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Fixed Dividend Rate is 7.125%.</w:t>
      </w:r>
    </w:p>
    <w:p>
      <w:pPr>
        <w:spacing w:after="0" w:line="1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i w:val="1"/>
          <w:iCs w:val="1"/>
          <w:u w:val="single" w:color="auto"/>
          <w:color w:val="auto"/>
        </w:rPr>
        <w:t>Liquidation Preference Applicable to Series.</w:t>
      </w:r>
    </w:p>
    <w:p>
      <w:pPr>
        <w:spacing w:after="0" w:line="1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Liquidation Preference is $25.00 per share.</w:t>
      </w:r>
    </w:p>
    <w:p>
      <w:pPr>
        <w:spacing w:after="0" w:line="1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i w:val="1"/>
          <w:iCs w:val="1"/>
          <w:u w:val="single" w:color="auto"/>
          <w:color w:val="auto"/>
        </w:rPr>
        <w:t>Term Redemption Date Applicable to Series.</w:t>
      </w:r>
    </w:p>
    <w:p>
      <w:pPr>
        <w:spacing w:after="0" w:line="1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Term Redemption Date is June 30, 2029.</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i w:val="1"/>
          <w:iCs w:val="1"/>
          <w:u w:val="single" w:color="auto"/>
          <w:color w:val="auto"/>
        </w:rPr>
        <w:t>Dividend Payment Dates Applicable to Series.</w:t>
      </w:r>
    </w:p>
    <w:p>
      <w:pPr>
        <w:spacing w:after="0" w:line="1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Dividend Payment Dates are the last Business Day of the month of the Dividend Period.</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8. </w:t>
      </w:r>
      <w:r>
        <w:rPr>
          <w:rFonts w:ascii="Times New Roman" w:cs="Times New Roman" w:eastAsia="Times New Roman" w:hAnsi="Times New Roman"/>
          <w:sz w:val="14"/>
          <w:szCs w:val="14"/>
          <w:i w:val="1"/>
          <w:iCs w:val="1"/>
          <w:u w:val="single" w:color="auto"/>
          <w:color w:val="auto"/>
        </w:rPr>
        <w:t>Non-Call Period Applicable to Series.</w:t>
      </w:r>
    </w:p>
    <w:p>
      <w:pPr>
        <w:spacing w:after="0" w:line="127" w:lineRule="exact"/>
        <w:rPr>
          <w:sz w:val="20"/>
          <w:szCs w:val="20"/>
          <w:color w:val="auto"/>
        </w:rPr>
      </w:pPr>
    </w:p>
    <w:p>
      <w:pPr>
        <w:jc w:val="both"/>
        <w:ind w:left="1320" w:right="1359" w:firstLine="508"/>
        <w:spacing w:after="0" w:line="286" w:lineRule="auto"/>
        <w:rPr>
          <w:sz w:val="20"/>
          <w:szCs w:val="20"/>
          <w:color w:val="auto"/>
        </w:rPr>
      </w:pPr>
      <w:r>
        <w:rPr>
          <w:rFonts w:ascii="Times New Roman" w:cs="Times New Roman" w:eastAsia="Times New Roman" w:hAnsi="Times New Roman"/>
          <w:sz w:val="14"/>
          <w:szCs w:val="14"/>
          <w:color w:val="auto"/>
        </w:rPr>
        <w:t>The Non-Call Period is the period beginning on the Date of Original Issue and ending at the close of business on June 30, 2024.</w:t>
      </w:r>
    </w:p>
    <w:p>
      <w:pPr>
        <w:spacing w:after="0" w:line="6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9. </w:t>
      </w:r>
      <w:r>
        <w:rPr>
          <w:rFonts w:ascii="Times New Roman" w:cs="Times New Roman" w:eastAsia="Times New Roman" w:hAnsi="Times New Roman"/>
          <w:sz w:val="14"/>
          <w:szCs w:val="14"/>
          <w:i w:val="1"/>
          <w:iCs w:val="1"/>
          <w:u w:val="single" w:color="auto"/>
          <w:color w:val="auto"/>
        </w:rPr>
        <w:t>Exceptions to Certain Definitions Applicable to the Series.</w:t>
      </w:r>
    </w:p>
    <w:p>
      <w:pPr>
        <w:spacing w:after="0" w:line="116" w:lineRule="exact"/>
        <w:rPr>
          <w:sz w:val="20"/>
          <w:szCs w:val="20"/>
          <w:color w:val="auto"/>
        </w:rPr>
      </w:pPr>
    </w:p>
    <w:p>
      <w:pPr>
        <w:jc w:val="both"/>
        <w:ind w:left="1320" w:right="1359" w:firstLine="508"/>
        <w:spacing w:after="0" w:line="286" w:lineRule="auto"/>
        <w:rPr>
          <w:sz w:val="20"/>
          <w:szCs w:val="20"/>
          <w:color w:val="auto"/>
        </w:rPr>
      </w:pPr>
      <w:r>
        <w:rPr>
          <w:rFonts w:ascii="Times New Roman" w:cs="Times New Roman" w:eastAsia="Times New Roman" w:hAnsi="Times New Roman"/>
          <w:sz w:val="14"/>
          <w:szCs w:val="14"/>
          <w:color w:val="auto"/>
        </w:rPr>
        <w:t>The following definitions contained under the heading “Definitions” in the TP Articles Supplementary are hereby amended as follows:</w:t>
      </w:r>
    </w:p>
    <w:p>
      <w:pPr>
        <w:spacing w:after="0" w:line="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73" w:name="page74"/>
    <w:bookmarkEnd w:id="73"/>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10. </w:t>
      </w:r>
      <w:r>
        <w:rPr>
          <w:rFonts w:ascii="Times New Roman" w:cs="Times New Roman" w:eastAsia="Times New Roman" w:hAnsi="Times New Roman"/>
          <w:sz w:val="14"/>
          <w:szCs w:val="14"/>
          <w:i w:val="1"/>
          <w:iCs w:val="1"/>
          <w:u w:val="single" w:color="auto"/>
          <w:color w:val="auto"/>
        </w:rPr>
        <w:t>Additional Definitions Applicable to the Series.</w:t>
      </w:r>
    </w:p>
    <w:p>
      <w:pPr>
        <w:spacing w:after="0" w:line="127" w:lineRule="exact"/>
        <w:rPr>
          <w:sz w:val="20"/>
          <w:szCs w:val="20"/>
          <w:color w:val="auto"/>
        </w:rPr>
      </w:pPr>
    </w:p>
    <w:p>
      <w:pPr>
        <w:jc w:val="both"/>
        <w:ind w:left="1320" w:right="1339" w:firstLine="508"/>
        <w:spacing w:after="0" w:line="286" w:lineRule="auto"/>
        <w:rPr>
          <w:sz w:val="20"/>
          <w:szCs w:val="20"/>
          <w:color w:val="auto"/>
        </w:rPr>
      </w:pPr>
      <w:r>
        <w:rPr>
          <w:rFonts w:ascii="Times New Roman" w:cs="Times New Roman" w:eastAsia="Times New Roman" w:hAnsi="Times New Roman"/>
          <w:sz w:val="14"/>
          <w:szCs w:val="14"/>
          <w:color w:val="auto"/>
        </w:rPr>
        <w:t>The following terms shall have the following meanings (with terms defined in the singular having comparable meanings when used in the plural and vice versa), unless the context otherwise requires:</w:t>
      </w:r>
    </w:p>
    <w:p>
      <w:pPr>
        <w:spacing w:after="0" w:line="69" w:lineRule="exact"/>
        <w:rPr>
          <w:sz w:val="20"/>
          <w:szCs w:val="20"/>
          <w:color w:val="auto"/>
        </w:rPr>
      </w:pPr>
    </w:p>
    <w:p>
      <w:pPr>
        <w:jc w:val="both"/>
        <w:ind w:left="1320" w:right="1339" w:firstLine="508"/>
        <w:spacing w:after="0" w:line="261"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i w:val="1"/>
          <w:iCs w:val="1"/>
          <w:u w:val="single" w:color="auto"/>
          <w:color w:val="auto"/>
        </w:rPr>
        <w:t>Dividend Period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with respect to each 7.125% Series 2029 Term Preferred Share, in the case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first Dividend Period, the period beginning on the Date of Original Issue for such Series and ending on but excluding July 29, 2022 and for each subsequent Dividend Period, the period beginning on and including the first calendar day of the month following the month in which the previous Dividend Period ended and ending on and including the last calendar day of such month.</w:t>
      </w:r>
    </w:p>
    <w:p>
      <w:pPr>
        <w:spacing w:after="0" w:line="7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i w:val="1"/>
          <w:iCs w:val="1"/>
          <w:u w:val="single" w:color="auto"/>
          <w:color w:val="auto"/>
        </w:rPr>
        <w:t>Amendments to Terms of Term Preferred Shares Applicable to the Series.</w:t>
      </w:r>
    </w:p>
    <w:p>
      <w:pPr>
        <w:spacing w:after="0" w:line="127" w:lineRule="exact"/>
        <w:rPr>
          <w:sz w:val="20"/>
          <w:szCs w:val="20"/>
          <w:color w:val="auto"/>
        </w:rPr>
      </w:pPr>
    </w:p>
    <w:p>
      <w:pPr>
        <w:jc w:val="both"/>
        <w:ind w:left="1320" w:right="1339" w:firstLine="508"/>
        <w:spacing w:after="0" w:line="286" w:lineRule="auto"/>
        <w:rPr>
          <w:sz w:val="20"/>
          <w:szCs w:val="20"/>
          <w:color w:val="auto"/>
        </w:rPr>
      </w:pPr>
      <w:r>
        <w:rPr>
          <w:rFonts w:ascii="Times New Roman" w:cs="Times New Roman" w:eastAsia="Times New Roman" w:hAnsi="Times New Roman"/>
          <w:sz w:val="14"/>
          <w:szCs w:val="14"/>
          <w:color w:val="auto"/>
        </w:rPr>
        <w:t>The following provisions contained under the heading “Terms of the Term Preferred Shares” in the TP Articles Supplementary are hereby amended as follows:</w:t>
      </w:r>
    </w:p>
    <w:p>
      <w:pPr>
        <w:spacing w:after="0" w:line="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1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i w:val="1"/>
          <w:iCs w:val="1"/>
          <w:u w:val="single" w:color="auto"/>
          <w:color w:val="auto"/>
        </w:rPr>
        <w:t>Additional Terms and Provisions Applicable to the Series.</w:t>
      </w:r>
    </w:p>
    <w:p>
      <w:pPr>
        <w:spacing w:after="0" w:line="127" w:lineRule="exact"/>
        <w:rPr>
          <w:sz w:val="20"/>
          <w:szCs w:val="20"/>
          <w:color w:val="auto"/>
        </w:rPr>
      </w:pPr>
    </w:p>
    <w:p>
      <w:pPr>
        <w:jc w:val="both"/>
        <w:ind w:left="1320" w:right="1339" w:firstLine="508"/>
        <w:spacing w:after="0" w:line="286" w:lineRule="auto"/>
        <w:rPr>
          <w:sz w:val="20"/>
          <w:szCs w:val="20"/>
          <w:color w:val="auto"/>
        </w:rPr>
      </w:pPr>
      <w:r>
        <w:rPr>
          <w:rFonts w:ascii="Times New Roman" w:cs="Times New Roman" w:eastAsia="Times New Roman" w:hAnsi="Times New Roman"/>
          <w:sz w:val="14"/>
          <w:szCs w:val="14"/>
          <w:color w:val="auto"/>
        </w:rPr>
        <w:t>The following provisions shall be incorporated into and be deemed part of the TP Articles Supplementary:</w:t>
      </w:r>
    </w:p>
    <w:p>
      <w:pPr>
        <w:spacing w:after="0" w:line="7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1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color w:val="auto"/>
        </w:rPr>
        <w:t>[Signature page begins on the following page]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74" w:name="page75"/>
    <w:bookmarkEnd w:id="74"/>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508"/>
        <w:spacing w:after="0" w:line="263" w:lineRule="auto"/>
        <w:rPr>
          <w:sz w:val="20"/>
          <w:szCs w:val="20"/>
          <w:color w:val="auto"/>
        </w:rPr>
      </w:pPr>
      <w:r>
        <w:rPr>
          <w:rFonts w:ascii="Times New Roman" w:cs="Times New Roman" w:eastAsia="Times New Roman" w:hAnsi="Times New Roman"/>
          <w:sz w:val="14"/>
          <w:szCs w:val="14"/>
          <w:color w:val="auto"/>
        </w:rPr>
        <w:t>IN WITNESS WHEREOF, Oxford Lane Capital Corp. has caused this Appendix to the Corporation’s TP Articles Supplementary to be signed on March 13, 2026 in its name and on its behalf by a duly authorized officer. The Articles and the TP Articles Supplementary are on file with the Secretary of State of the State of Maryland.</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OXFORD LANE CAPITAL CORP.</w:t>
      </w:r>
    </w:p>
    <w:p>
      <w:pPr>
        <w:spacing w:after="0" w:line="36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Name: Saul B.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-92075</wp:posOffset>
            </wp:positionV>
            <wp:extent cx="137033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1370330" cy="6985"/>
                    </a:xfrm>
                    <a:prstGeom prst="rect">
                      <a:avLst/>
                    </a:prstGeom>
                    <a:noFill/>
                  </pic:spPr>
                </pic:pic>
              </a:graphicData>
            </a:graphic>
          </wp:anchor>
        </w:drawing>
      </w:r>
    </w:p>
    <w:p>
      <w:pPr>
        <w:spacing w:after="0" w:line="41"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28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WITNESS:</w:t>
      </w:r>
    </w:p>
    <w:p>
      <w:pPr>
        <w:spacing w:after="0" w:line="3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-92075</wp:posOffset>
            </wp:positionV>
            <wp:extent cx="202882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2028825" cy="6985"/>
                    </a:xfrm>
                    <a:prstGeom prst="rect">
                      <a:avLst/>
                    </a:prstGeom>
                    <a:noFill/>
                  </pic:spPr>
                </pic:pic>
              </a:graphicData>
            </a:graphic>
          </wp:anchor>
        </w:drawing>
      </w:r>
    </w:p>
    <w:p>
      <w:pPr>
        <w:spacing w:after="0" w:line="41" w:lineRule="exact"/>
        <w:rPr>
          <w:sz w:val="20"/>
          <w:szCs w:val="20"/>
          <w:color w:val="auto"/>
        </w:rPr>
      </w:pPr>
    </w:p>
    <w:p>
      <w:pPr>
        <w:ind w:left="1320"/>
        <w:spacing w:after="0"/>
        <w:tabs>
          <w:tab w:leader="none" w:pos="1760" w:val="left"/>
        </w:tabs>
        <w:rPr>
          <w:sz w:val="20"/>
          <w:szCs w:val="20"/>
          <w:color w:val="auto"/>
        </w:rPr>
      </w:pPr>
      <w:r>
        <w:rPr>
          <w:rFonts w:ascii="Times New Roman" w:cs="Times New Roman" w:eastAsia="Times New Roman" w:hAnsi="Times New Roman"/>
          <w:sz w:val="14"/>
          <w:szCs w:val="14"/>
          <w:color w:val="auto"/>
        </w:rPr>
        <w:t>Title:</w:t>
        <w:tab/>
        <w:t>Chief Financial Officer and Corporate Secretary</w:t>
      </w:r>
    </w:p>
    <w:p>
      <w:pPr>
        <w:spacing w:after="0" w:line="199" w:lineRule="exact"/>
        <w:rPr>
          <w:sz w:val="20"/>
          <w:szCs w:val="20"/>
          <w:color w:val="auto"/>
        </w:rPr>
      </w:pPr>
    </w:p>
    <w:p>
      <w:pPr>
        <w:jc w:val="both"/>
        <w:ind w:left="1320" w:right="1339" w:firstLine="508"/>
        <w:spacing w:after="0" w:line="259" w:lineRule="auto"/>
        <w:rPr>
          <w:sz w:val="20"/>
          <w:szCs w:val="20"/>
          <w:color w:val="auto"/>
        </w:rPr>
      </w:pPr>
      <w:r>
        <w:rPr>
          <w:rFonts w:ascii="Times New Roman" w:cs="Times New Roman" w:eastAsia="Times New Roman" w:hAnsi="Times New Roman"/>
          <w:sz w:val="14"/>
          <w:szCs w:val="14"/>
          <w:color w:val="auto"/>
        </w:rPr>
        <w:t>The undersigned duly authorized officer of Oxford Lane Capital Corp., who executed on behalf of the Corporation the foregoing Appendix to the Corporation’s TP Articles Supplementary of which this Certificate is made a part, hereby acknowledges in the name and on behalf of said Corporation the foregoing Appendix to the Articles Supplementary to be the corporate act of the Corporation, and states under penalties of perjury that to the best of his knowledge, information and belief the matters and facts set forth therein with respect to the authorization and approval thereof are true in all material respects.</w:t>
      </w:r>
    </w:p>
    <w:p>
      <w:pPr>
        <w:spacing w:after="0" w:line="1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OXFORD LANE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175895</wp:posOffset>
            </wp:positionV>
            <wp:extent cx="141097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1410970" cy="6985"/>
                    </a:xfrm>
                    <a:prstGeom prst="rect">
                      <a:avLst/>
                    </a:prstGeom>
                    <a:noFill/>
                  </pic:spPr>
                </pic:pic>
              </a:graphicData>
            </a:graphic>
          </wp:anchor>
        </w:drawing>
      </w:r>
    </w:p>
    <w:p>
      <w:pPr>
        <w:spacing w:after="0" w:line="2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Name:  Saul B. Rosenthal</w:t>
      </w:r>
    </w:p>
    <w:p>
      <w:pPr>
        <w:spacing w:after="0" w:line="61"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[Signature Page to the Appendix Establishing and Fixing the Rights and Preferences of 7.125% Series 2029</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Term Preferred Shares]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75" w:name="page76"/>
    <w:bookmarkEnd w:id="75"/>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2571115</wp:posOffset>
            </wp:positionH>
            <wp:positionV relativeFrom="paragraph">
              <wp:posOffset>89535</wp:posOffset>
            </wp:positionV>
            <wp:extent cx="577850" cy="5911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57785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Oxford Lane Capital Corp.</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Preferred Stock</w:t>
      </w:r>
    </w:p>
    <w:p>
      <w:pPr>
        <w:jc w:val="center"/>
        <w:ind w:right="19"/>
        <w:spacing w:after="0" w:line="233" w:lineRule="auto"/>
        <w:rPr>
          <w:sz w:val="20"/>
          <w:szCs w:val="20"/>
          <w:color w:val="auto"/>
        </w:rPr>
      </w:pPr>
      <w:r>
        <w:rPr>
          <w:rFonts w:ascii="Times New Roman" w:cs="Times New Roman" w:eastAsia="Times New Roman" w:hAnsi="Times New Roman"/>
          <w:sz w:val="17"/>
          <w:szCs w:val="17"/>
          <w:b w:val="1"/>
          <w:bCs w:val="1"/>
          <w:color w:val="auto"/>
        </w:rPr>
        <w:t>Subscription Rights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2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w:t>
      </w:r>
    </w:p>
    <w:p>
      <w:pPr>
        <w:spacing w:after="0" w:line="116"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We are a closed-end management investment company that has registered as an investment company under the Investment Company Act of 1940, or the “1940 Act.” Our investment objective is to maximize our portfolio’s risk-adjusted total return. We have implemented our investment objective by purchasing portions of equity and junior debt tranches of collateralized loan obligation, or “CLO,” vehicles. Structurally, CLO vehicles are entities formed to originate and/or acquire a portfolio of loans.</w:t>
      </w:r>
    </w:p>
    <w:p>
      <w:pPr>
        <w:spacing w:after="0" w:line="89"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b w:val="1"/>
          <w:bCs w:val="1"/>
          <w:color w:val="auto"/>
        </w:rPr>
        <w:t>An investment in our securities is subject to significant risks and involves a heightened risk of total loss of investment. The price of shares of our common stock may be highly volatile and our common stock may frequently trade at a discount to our net asset value. The interests of the CLO securities in which we invest are subject to a high degree of special risks, including: CLO structures are highly complicated and may be subject to disadvantageous tax treatment; CLO vehicles are highly levered (with CLO equity securities typically being leveraged between nine and thirteen times) and are made up of below investment grade loans in which we typically have a residual interest that is much riskier than the loans that make up the CLO vehicle; and the market price for CLO vehicles may fluctuate dramatically, which may make portfolio valuations unreliable and negatively impact our net asset value and our ability to make distributions to our stockholders. Some instruments issued by CLO vehicles may not be readily marketable and may be subject to restrictions on resale. Securities issued by CLO vehicles are generally not listed on any U.S. national securities exchange and no active trading market may exist for the securities of CLO vehicles in which we may invest. Although a secondary market may exist for our investments in CLO vehicles, the market for our investments in CLO vehicles may be subject to irregular trading activity, wide bid/ask spreads and extended trade settlement periods. As a result, these types of investments may be more difficult to value. See “Risk factors” beginning on page 15 to read about factors you should consider, including risk of leverage, before investing in our securities.</w:t>
      </w:r>
    </w:p>
    <w:p>
      <w:pPr>
        <w:spacing w:after="0" w:line="89"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We may offer, from time to time, in one or more offerings or series, our common stock, preferred stock, subscription rights to purchase shares of our common stock or debt securities, which we refer to, collectively, as our “securities.” The preferred stock, subscription rights and debt securities offered hereby may be convertible or exchangeable into shares of our common stock. The securities may be offered at prices and on terms to be described in one or more supplements to this prospectus.</w:t>
      </w:r>
    </w:p>
    <w:p>
      <w:pPr>
        <w:spacing w:after="0" w:line="91"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(as defined in the 1940 Act) of our common stockholders or (iii) under such other circumstances as the Securities and Exchange Commission, or the “SEC,” may permit.</w:t>
      </w:r>
    </w:p>
    <w:p>
      <w:pPr>
        <w:spacing w:after="0" w:line="79"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Our securities may be offered directly to one or more purchasers, or through agents designated from time to time by us, or to or through underwriters or dealers. Each prospectus supplement relating to an offering will identify any agents or underwriters involved in the sale of our securities, and will disclose any applicable purchase price, fee, discount or commissions arrangement between us and our agents or underwriters or among our underwriters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194945</wp:posOffset>
            </wp:positionV>
            <wp:extent cx="403098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76" w:name="page77"/>
    <w:bookmarkEnd w:id="76"/>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69" w:lineRule="auto"/>
        <w:rPr>
          <w:sz w:val="20"/>
          <w:szCs w:val="20"/>
          <w:color w:val="auto"/>
        </w:rPr>
      </w:pPr>
      <w:r>
        <w:rPr>
          <w:rFonts w:ascii="Times New Roman" w:cs="Times New Roman" w:eastAsia="Times New Roman" w:hAnsi="Times New Roman"/>
          <w:sz w:val="14"/>
          <w:szCs w:val="14"/>
          <w:color w:val="auto"/>
        </w:rPr>
        <w:t>basis upon which such amount may be calculated. See “Plan of Distribution.” We may not sell any of our securities through agents, underwriters or dealers without delivery of this prospectus and a prospectus supplement describing the method and terms of the offering of such securities.</w:t>
      </w:r>
    </w:p>
    <w:p>
      <w:pPr>
        <w:spacing w:after="0" w:line="81"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b w:val="1"/>
          <w:bCs w:val="1"/>
          <w:color w:val="auto"/>
        </w:rPr>
        <w:t>Our common stock is traded on the NASDAQ Global Select Market under the symbol “OXLC.” On November 5, 2024, the last reported sales price on the NASDAQ Global Select Market for our common stock was $5.30 per share, which was at a premium of 11.3% to the net asset value per share of our common stock as of September 30, 2024. Our 6.25% Series 2027 Term Preferred Shares, (the “Series 2027 Term Preferred Shares”), 6.00% Series 2029 Term Preferred Shares (the “6.00% Series 2029 Term Preferred Shares”), 7.125% Series 2029 Term Preferred Shares, (the “7.125% Series 2029 Term Preferred Shares” and, together with the Series 2027 Term Preferred Shares and 6.00% Series 2029 Term Preferred Shares, the “Term Preferred Shares”), 5.00% Unsecured Notes due 2027, (the “2027 Notes”), 6.75% Unsecured Notes due 2031, the (“2031 Notes”) and the 8.75% Unsecured Notes due 2030 (the “2030 Notes” and, together with the 2027 Notes and the 2031 Notes, the “Notes”) are also traded on the NASDAQ Global Select Market under the symbols “OXLCP,” “OXLCO,” “OXLCN,” “OXLCZ,” “OXLCL,” and “OXLCI,” respectively. On November 5, 2024, the last reported sales prices on the NASDAQ Global Select Market of our Series 2027 Term Preferred Shares, 6.00% Series 2029 Term Preferred Shares, 7.125% Series 2029 Term Preferred Shares, 2027 Notes, 2031 Notes and 2030 Notes were $24.08, $23.06, $24.14, $23.64, $23.85, and $25.96, respectively. We are required to determine the net asset value per share of our common stock on a quarterly basis. Our net asset value per share of our common stock as of September 30, 2024 was $4.76.</w:t>
      </w:r>
    </w:p>
    <w:p>
      <w:pPr>
        <w:spacing w:after="0" w:line="98"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Before investing in our securities, you should read the discussion of the material risks of investing in our securities, including the risk of leverage, described in the section titled “Risk Factors” or otherwise incorporated by reference herein and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w:t>
      </w:r>
    </w:p>
    <w:p>
      <w:pPr>
        <w:spacing w:after="0" w:line="81"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accompanying prospectus supplement and any related free writing prospectus may also add, update, or change information contained in this prospectus. You should carefully read this prospectus, the accompanying prospectus supplement, any related free writing prospectus and the documents incorporated by reference herein, before investing in our securities and keep them for future reference. We are required to file annual and semi-annual reports, proxy statements and other information about us with the SEC. This information is available free of charge by contacting us by mail at 8 Sound Shore Drive, Suite 255, Greenwich, CT 06830, by telephone at (203) 983-5275 or on our website at </w:t>
      </w:r>
      <w:r>
        <w:rPr>
          <w:rFonts w:ascii="Times New Roman" w:cs="Times New Roman" w:eastAsia="Times New Roman" w:hAnsi="Times New Roman"/>
          <w:sz w:val="14"/>
          <w:szCs w:val="14"/>
          <w:i w:val="1"/>
          <w:iCs w:val="1"/>
          <w:color w:val="auto"/>
        </w:rPr>
        <w:t>http://www.oxfordlanecapital.com</w:t>
      </w:r>
      <w:r>
        <w:rPr>
          <w:rFonts w:ascii="Times New Roman" w:cs="Times New Roman" w:eastAsia="Times New Roman" w:hAnsi="Times New Roman"/>
          <w:sz w:val="14"/>
          <w:szCs w:val="14"/>
          <w:color w:val="auto"/>
        </w:rPr>
        <w:t xml:space="preserve">. The SEC also maintains a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xml:space="preserve"> that contains such information. Information contained on our website is not incorporated by reference into this prospectus, and you should not consider that information to be part of this prospectus.</w:t>
      </w:r>
    </w:p>
    <w:p>
      <w:pPr>
        <w:spacing w:after="0" w:line="2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w:t>
      </w:r>
    </w:p>
    <w:p>
      <w:pPr>
        <w:spacing w:after="0" w:line="116"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Neither the SEC nor any state securities commission has approved or disapproved of these securities or determined if this prospectus is truthful or complete. Any representation to the contrary is a criminal offense.</w:t>
      </w:r>
    </w:p>
    <w:p>
      <w:pPr>
        <w:spacing w:after="0" w:line="71"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This prospectus may not be used to consummate sales of our securities unless accompanied by a prospectus supplement. This prospectus and any accompanying prospectus supplement will together constitute the prospectus for an offering of the Company’s securities.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date of this prospectus is November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215900</wp:posOffset>
            </wp:positionV>
            <wp:extent cx="403098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77" w:name="page78"/>
    <w:bookmarkEnd w:id="77"/>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2"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collectively, in this prospectus, any accompanying prospectus supplements, and the documents incorporated by reference herein or therein, before investing and keep each for future use. We have not authorized any person to give any information or to make any representation other than those contained in this prospectus, any accompanying prospectus supplements, and the documents incorporated by reference herein and therein. If anyone provides you with different or inconsistent information, you should not rely on it. This prospectus, any accompanying prospectus supplements, and the documents incorporated by reference herein or therein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any accompanying prospectus supplements, and the documents incorporated by reference herein or therein is accurate as of the dates on their covers; however, the prospectus, any accompanying prospectus supplements, and the documents incorporated by reference herein or therein will be updated to reflect any material changes.</w:t>
      </w:r>
    </w:p>
    <w:p>
      <w:pPr>
        <w:spacing w:after="0" w:line="23" w:lineRule="exact"/>
        <w:rPr>
          <w:sz w:val="20"/>
          <w:szCs w:val="20"/>
          <w:color w:val="auto"/>
        </w:rPr>
      </w:pPr>
    </w:p>
    <w:tbl>
      <w:tblPr>
        <w:tblLayout w:type="fixed"/>
        <w:tblInd w:w="1320" w:type="dxa"/>
        <w:tblCellMar>
          <w:top w:w="0" w:type="dxa"/>
          <w:left w:w="0" w:type="dxa"/>
          <w:bottom w:w="0" w:type="dxa"/>
          <w:right w:w="0" w:type="dxa"/>
        </w:tblCellMar>
      </w:tblPr>
      <w:tr>
        <w:trPr>
          <w:trHeight w:val="109"/>
        </w:trPr>
        <w:tc>
          <w:tcPr>
            <w:tcW w:w="4240" w:type="dxa"/>
            <w:vAlign w:val="bottom"/>
            <w:gridSpan w:val="30"/>
          </w:tcPr>
          <w:p>
            <w:pPr>
              <w:jc w:val="center"/>
              <w:ind w:left="207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w:t>
            </w: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335"/>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gridSpan w:val="9"/>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w w:val="99"/>
              </w:rPr>
              <w:t>OXFORD LANE CAPITAL CORP.</w:t>
            </w:r>
          </w:p>
        </w:tc>
        <w:tc>
          <w:tcPr>
            <w:tcW w:w="640" w:type="dxa"/>
            <w:vAlign w:val="bottom"/>
          </w:tcPr>
          <w:p>
            <w:pPr>
              <w:spacing w:after="0"/>
              <w:rPr>
                <w:sz w:val="24"/>
                <w:szCs w:val="24"/>
                <w:color w:val="auto"/>
              </w:rPr>
            </w:pPr>
          </w:p>
        </w:tc>
      </w:tr>
      <w:tr>
        <w:trPr>
          <w:trHeight w:val="339"/>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7"/>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40" w:type="dxa"/>
            <w:vAlign w:val="bottom"/>
          </w:tcPr>
          <w:p>
            <w:pPr>
              <w:spacing w:after="0"/>
              <w:rPr>
                <w:sz w:val="24"/>
                <w:szCs w:val="24"/>
                <w:color w:val="auto"/>
              </w:rPr>
            </w:pPr>
          </w:p>
        </w:tc>
      </w:tr>
      <w:tr>
        <w:trPr>
          <w:trHeight w:val="335"/>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36"/>
        </w:trPr>
        <w:tc>
          <w:tcPr>
            <w:tcW w:w="4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82"/>
        </w:trPr>
        <w:tc>
          <w:tcPr>
            <w:tcW w:w="5720" w:type="dxa"/>
            <w:vAlign w:val="bottom"/>
            <w:gridSpan w:val="3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EE"/>
              </w:rPr>
              <w:t>Prospectus Summary</w:t>
            </w:r>
          </w:p>
        </w:tc>
        <w:tc>
          <w:tcPr>
            <w:tcW w:w="64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rPr>
              <w:t>1</w:t>
            </w:r>
          </w:p>
        </w:tc>
      </w:tr>
      <w:tr>
        <w:trPr>
          <w:trHeight w:val="159"/>
        </w:trPr>
        <w:tc>
          <w:tcPr>
            <w:tcW w:w="1200" w:type="dxa"/>
            <w:vAlign w:val="bottom"/>
            <w:tcBorders>
              <w:top w:val="single" w:sz="8" w:color="0000EE"/>
            </w:tcBorders>
            <w:gridSpan w:val="12"/>
          </w:tcPr>
          <w:p>
            <w:pPr>
              <w:spacing w:after="0" w:line="159" w:lineRule="exact"/>
              <w:rPr>
                <w:sz w:val="20"/>
                <w:szCs w:val="20"/>
                <w:color w:val="auto"/>
              </w:rPr>
            </w:pPr>
            <w:r>
              <w:rPr>
                <w:rFonts w:ascii="Times New Roman" w:cs="Times New Roman" w:eastAsia="Times New Roman" w:hAnsi="Times New Roman"/>
                <w:sz w:val="14"/>
                <w:szCs w:val="14"/>
                <w:color w:val="0000EE"/>
              </w:rPr>
              <w:t>Offerings</w:t>
            </w:r>
          </w:p>
        </w:tc>
        <w:tc>
          <w:tcPr>
            <w:tcW w:w="4520" w:type="dxa"/>
            <w:vAlign w:val="bottom"/>
            <w:tcBorders>
              <w:top w:val="single" w:sz="8" w:color="CCEEFF"/>
            </w:tcBorders>
            <w:gridSpan w:val="20"/>
          </w:tcPr>
          <w:p>
            <w:pPr>
              <w:spacing w:after="0"/>
              <w:rPr>
                <w:sz w:val="13"/>
                <w:szCs w:val="13"/>
                <w:color w:val="auto"/>
              </w:rPr>
            </w:pPr>
          </w:p>
        </w:tc>
        <w:tc>
          <w:tcPr>
            <w:tcW w:w="640" w:type="dxa"/>
            <w:vAlign w:val="bottom"/>
            <w:tcBorders>
              <w:top w:val="single" w:sz="8" w:color="CCEEFF"/>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rPr>
              <w:t>8</w:t>
            </w:r>
          </w:p>
        </w:tc>
      </w:tr>
      <w:tr>
        <w:trPr>
          <w:trHeight w:val="43"/>
        </w:trPr>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1080" w:type="dxa"/>
            <w:vAlign w:val="bottom"/>
            <w:tcBorders>
              <w:bottom w:val="single" w:sz="8" w:color="0000EE"/>
            </w:tcBorders>
            <w:gridSpan w:val="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Fees and Expenses</w:t>
            </w:r>
          </w:p>
        </w:tc>
        <w:tc>
          <w:tcPr>
            <w:tcW w:w="4640" w:type="dxa"/>
            <w:vAlign w:val="bottom"/>
            <w:tcBorders>
              <w:bottom w:val="single" w:sz="8" w:color="CCEEFF"/>
            </w:tcBorders>
            <w:gridSpan w:val="2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12</w:t>
            </w:r>
          </w:p>
        </w:tc>
      </w:tr>
      <w:tr>
        <w:trPr>
          <w:trHeight w:val="159"/>
        </w:trPr>
        <w:tc>
          <w:tcPr>
            <w:tcW w:w="5720" w:type="dxa"/>
            <w:vAlign w:val="bottom"/>
            <w:gridSpan w:val="32"/>
          </w:tcPr>
          <w:p>
            <w:pPr>
              <w:spacing w:after="0" w:line="159" w:lineRule="exact"/>
              <w:rPr>
                <w:sz w:val="20"/>
                <w:szCs w:val="20"/>
                <w:color w:val="auto"/>
              </w:rPr>
            </w:pPr>
            <w:r>
              <w:rPr>
                <w:rFonts w:ascii="Times New Roman" w:cs="Times New Roman" w:eastAsia="Times New Roman" w:hAnsi="Times New Roman"/>
                <w:sz w:val="14"/>
                <w:szCs w:val="14"/>
                <w:color w:val="0000EE"/>
              </w:rPr>
              <w:t>Financial Highlights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14</w:t>
            </w:r>
          </w:p>
        </w:tc>
      </w:tr>
      <w:tr>
        <w:trPr>
          <w:trHeight w:val="43"/>
        </w:trPr>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720" w:type="dxa"/>
            <w:vAlign w:val="bottom"/>
            <w:tcBorders>
              <w:bottom w:val="single" w:sz="8" w:color="0000EE"/>
            </w:tcBorders>
            <w:gridSpan w:val="4"/>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w w:val="99"/>
              </w:rPr>
              <w:t>Risk Factors</w:t>
            </w:r>
          </w:p>
        </w:tc>
        <w:tc>
          <w:tcPr>
            <w:tcW w:w="5000" w:type="dxa"/>
            <w:vAlign w:val="bottom"/>
            <w:tcBorders>
              <w:bottom w:val="single" w:sz="8" w:color="CCEEFF"/>
            </w:tcBorders>
            <w:gridSpan w:val="2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15</w:t>
            </w:r>
          </w:p>
        </w:tc>
      </w:tr>
      <w:tr>
        <w:trPr>
          <w:trHeight w:val="159"/>
        </w:trPr>
        <w:tc>
          <w:tcPr>
            <w:tcW w:w="5720" w:type="dxa"/>
            <w:vAlign w:val="bottom"/>
            <w:gridSpan w:val="32"/>
          </w:tcPr>
          <w:p>
            <w:pPr>
              <w:spacing w:after="0" w:line="159" w:lineRule="exact"/>
              <w:rPr>
                <w:sz w:val="20"/>
                <w:szCs w:val="20"/>
                <w:color w:val="auto"/>
              </w:rPr>
            </w:pPr>
            <w:r>
              <w:rPr>
                <w:rFonts w:ascii="Times New Roman" w:cs="Times New Roman" w:eastAsia="Times New Roman" w:hAnsi="Times New Roman"/>
                <w:sz w:val="14"/>
                <w:szCs w:val="14"/>
                <w:color w:val="0000EE"/>
              </w:rPr>
              <w:t>Cautionary Statement Regarding Forward-Looking Statements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16</w:t>
            </w:r>
          </w:p>
        </w:tc>
      </w:tr>
      <w:tr>
        <w:trPr>
          <w:trHeight w:val="43"/>
        </w:trPr>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59"/>
        </w:trPr>
        <w:tc>
          <w:tcPr>
            <w:tcW w:w="5720" w:type="dxa"/>
            <w:vAlign w:val="bottom"/>
            <w:gridSpan w:val="3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Use of Proceeds</w:t>
            </w:r>
          </w:p>
        </w:tc>
        <w:tc>
          <w:tcPr>
            <w:tcW w:w="6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18</w:t>
            </w:r>
          </w:p>
        </w:tc>
      </w:tr>
      <w:tr>
        <w:trPr>
          <w:trHeight w:val="43"/>
        </w:trPr>
        <w:tc>
          <w:tcPr>
            <w:tcW w:w="4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r>
      <w:tr>
        <w:trPr>
          <w:trHeight w:val="159"/>
        </w:trPr>
        <w:tc>
          <w:tcPr>
            <w:tcW w:w="5720" w:type="dxa"/>
            <w:vAlign w:val="bottom"/>
            <w:gridSpan w:val="32"/>
          </w:tcPr>
          <w:p>
            <w:pPr>
              <w:spacing w:after="0" w:line="159" w:lineRule="exact"/>
              <w:rPr>
                <w:sz w:val="20"/>
                <w:szCs w:val="20"/>
                <w:color w:val="auto"/>
              </w:rPr>
            </w:pPr>
            <w:r>
              <w:rPr>
                <w:rFonts w:ascii="Times New Roman" w:cs="Times New Roman" w:eastAsia="Times New Roman" w:hAnsi="Times New Roman"/>
                <w:sz w:val="14"/>
                <w:szCs w:val="14"/>
                <w:color w:val="0000EE"/>
              </w:rPr>
              <w:t>Price Range of Common Stock</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19</w:t>
            </w:r>
          </w:p>
        </w:tc>
      </w:tr>
      <w:tr>
        <w:trPr>
          <w:trHeight w:val="43"/>
        </w:trPr>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5720" w:type="dxa"/>
            <w:vAlign w:val="bottom"/>
            <w:gridSpan w:val="3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Senior Securities</w:t>
            </w:r>
          </w:p>
        </w:tc>
        <w:tc>
          <w:tcPr>
            <w:tcW w:w="6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20</w:t>
            </w:r>
          </w:p>
        </w:tc>
      </w:tr>
      <w:tr>
        <w:trPr>
          <w:trHeight w:val="159"/>
        </w:trPr>
        <w:tc>
          <w:tcPr>
            <w:tcW w:w="960" w:type="dxa"/>
            <w:vAlign w:val="bottom"/>
            <w:tcBorders>
              <w:top w:val="single" w:sz="8" w:color="0000EE"/>
            </w:tcBorders>
            <w:gridSpan w:val="8"/>
          </w:tcPr>
          <w:p>
            <w:pPr>
              <w:spacing w:after="0" w:line="159" w:lineRule="exact"/>
              <w:rPr>
                <w:sz w:val="20"/>
                <w:szCs w:val="20"/>
                <w:color w:val="auto"/>
              </w:rPr>
            </w:pPr>
            <w:r>
              <w:rPr>
                <w:rFonts w:ascii="Times New Roman" w:cs="Times New Roman" w:eastAsia="Times New Roman" w:hAnsi="Times New Roman"/>
                <w:sz w:val="14"/>
                <w:szCs w:val="14"/>
                <w:color w:val="0000EE"/>
              </w:rPr>
              <w:t>Business</w:t>
            </w:r>
          </w:p>
        </w:tc>
        <w:tc>
          <w:tcPr>
            <w:tcW w:w="4760" w:type="dxa"/>
            <w:vAlign w:val="bottom"/>
            <w:tcBorders>
              <w:top w:val="single" w:sz="8" w:color="CCEEFF"/>
            </w:tcBorders>
            <w:gridSpan w:val="24"/>
          </w:tcPr>
          <w:p>
            <w:pPr>
              <w:spacing w:after="0"/>
              <w:rPr>
                <w:sz w:val="13"/>
                <w:szCs w:val="13"/>
                <w:color w:val="auto"/>
              </w:rPr>
            </w:pPr>
          </w:p>
        </w:tc>
        <w:tc>
          <w:tcPr>
            <w:tcW w:w="640" w:type="dxa"/>
            <w:vAlign w:val="bottom"/>
            <w:tcBorders>
              <w:top w:val="single" w:sz="8" w:color="CCEEFF"/>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21</w:t>
            </w:r>
          </w:p>
        </w:tc>
      </w:tr>
      <w:tr>
        <w:trPr>
          <w:trHeight w:val="43"/>
        </w:trPr>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59"/>
        </w:trPr>
        <w:tc>
          <w:tcPr>
            <w:tcW w:w="5720" w:type="dxa"/>
            <w:vAlign w:val="bottom"/>
            <w:gridSpan w:val="3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Management</w:t>
            </w:r>
          </w:p>
        </w:tc>
        <w:tc>
          <w:tcPr>
            <w:tcW w:w="6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29</w:t>
            </w:r>
          </w:p>
        </w:tc>
      </w:tr>
      <w:tr>
        <w:trPr>
          <w:trHeight w:val="43"/>
        </w:trPr>
        <w:tc>
          <w:tcPr>
            <w:tcW w:w="4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r>
      <w:tr>
        <w:trPr>
          <w:trHeight w:val="159"/>
        </w:trPr>
        <w:tc>
          <w:tcPr>
            <w:tcW w:w="5720" w:type="dxa"/>
            <w:vAlign w:val="bottom"/>
            <w:gridSpan w:val="32"/>
          </w:tcPr>
          <w:p>
            <w:pPr>
              <w:spacing w:after="0" w:line="159" w:lineRule="exact"/>
              <w:rPr>
                <w:sz w:val="20"/>
                <w:szCs w:val="20"/>
                <w:color w:val="auto"/>
              </w:rPr>
            </w:pPr>
            <w:r>
              <w:rPr>
                <w:rFonts w:ascii="Times New Roman" w:cs="Times New Roman" w:eastAsia="Times New Roman" w:hAnsi="Times New Roman"/>
                <w:sz w:val="14"/>
                <w:szCs w:val="14"/>
                <w:color w:val="0000EE"/>
              </w:rPr>
              <w:t>Portfolio Management</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30</w:t>
            </w:r>
          </w:p>
        </w:tc>
      </w:tr>
      <w:tr>
        <w:trPr>
          <w:trHeight w:val="43"/>
        </w:trPr>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1860" w:type="dxa"/>
            <w:vAlign w:val="bottom"/>
            <w:tcBorders>
              <w:bottom w:val="single" w:sz="8" w:color="0000EE"/>
            </w:tcBorders>
            <w:gridSpan w:val="1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Investment Advisory Agreement</w:t>
            </w:r>
          </w:p>
        </w:tc>
        <w:tc>
          <w:tcPr>
            <w:tcW w:w="386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32</w:t>
            </w:r>
          </w:p>
        </w:tc>
      </w:tr>
      <w:tr>
        <w:trPr>
          <w:trHeight w:val="159"/>
        </w:trPr>
        <w:tc>
          <w:tcPr>
            <w:tcW w:w="5720" w:type="dxa"/>
            <w:vAlign w:val="bottom"/>
            <w:gridSpan w:val="32"/>
          </w:tcPr>
          <w:p>
            <w:pPr>
              <w:spacing w:after="0" w:line="159" w:lineRule="exact"/>
              <w:rPr>
                <w:sz w:val="20"/>
                <w:szCs w:val="20"/>
                <w:color w:val="auto"/>
              </w:rPr>
            </w:pPr>
            <w:r>
              <w:rPr>
                <w:rFonts w:ascii="Times New Roman" w:cs="Times New Roman" w:eastAsia="Times New Roman" w:hAnsi="Times New Roman"/>
                <w:sz w:val="14"/>
                <w:szCs w:val="14"/>
                <w:color w:val="0000EE"/>
              </w:rPr>
              <w:t>Administration Agreement</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37</w:t>
            </w:r>
          </w:p>
        </w:tc>
      </w:tr>
      <w:tr>
        <w:trPr>
          <w:trHeight w:val="43"/>
        </w:trPr>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2220" w:type="dxa"/>
            <w:vAlign w:val="bottom"/>
            <w:tcBorders>
              <w:bottom w:val="single" w:sz="8" w:color="0000EE"/>
            </w:tcBorders>
            <w:gridSpan w:val="24"/>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Certain Relationships and Transactions</w:t>
            </w:r>
          </w:p>
        </w:tc>
        <w:tc>
          <w:tcPr>
            <w:tcW w:w="350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38</w:t>
            </w:r>
          </w:p>
        </w:tc>
      </w:tr>
      <w:tr>
        <w:trPr>
          <w:trHeight w:val="159"/>
        </w:trPr>
        <w:tc>
          <w:tcPr>
            <w:tcW w:w="5720" w:type="dxa"/>
            <w:vAlign w:val="bottom"/>
            <w:gridSpan w:val="32"/>
          </w:tcPr>
          <w:p>
            <w:pPr>
              <w:spacing w:after="0" w:line="159" w:lineRule="exact"/>
              <w:rPr>
                <w:sz w:val="20"/>
                <w:szCs w:val="20"/>
                <w:color w:val="auto"/>
              </w:rPr>
            </w:pPr>
            <w:r>
              <w:rPr>
                <w:rFonts w:ascii="Times New Roman" w:cs="Times New Roman" w:eastAsia="Times New Roman" w:hAnsi="Times New Roman"/>
                <w:sz w:val="14"/>
                <w:szCs w:val="14"/>
                <w:color w:val="0000EE"/>
              </w:rPr>
              <w:t>Control Persons and Principal Stockholders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40</w:t>
            </w:r>
          </w:p>
        </w:tc>
      </w:tr>
      <w:tr>
        <w:trPr>
          <w:trHeight w:val="43"/>
        </w:trPr>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4240" w:type="dxa"/>
            <w:vAlign w:val="bottom"/>
            <w:tcBorders>
              <w:bottom w:val="single" w:sz="8" w:color="0000EE"/>
            </w:tcBorders>
            <w:gridSpan w:val="3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Regulation as a Registered Closed-End Management Investment Company</w:t>
            </w:r>
          </w:p>
        </w:tc>
        <w:tc>
          <w:tcPr>
            <w:tcW w:w="148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41</w:t>
            </w:r>
          </w:p>
        </w:tc>
      </w:tr>
      <w:tr>
        <w:trPr>
          <w:trHeight w:val="159"/>
        </w:trPr>
        <w:tc>
          <w:tcPr>
            <w:tcW w:w="5720" w:type="dxa"/>
            <w:vAlign w:val="bottom"/>
            <w:gridSpan w:val="32"/>
          </w:tcPr>
          <w:p>
            <w:pPr>
              <w:spacing w:after="0" w:line="159" w:lineRule="exact"/>
              <w:rPr>
                <w:sz w:val="20"/>
                <w:szCs w:val="20"/>
                <w:color w:val="auto"/>
              </w:rPr>
            </w:pPr>
            <w:r>
              <w:rPr>
                <w:rFonts w:ascii="Times New Roman" w:cs="Times New Roman" w:eastAsia="Times New Roman" w:hAnsi="Times New Roman"/>
                <w:sz w:val="14"/>
                <w:szCs w:val="14"/>
                <w:color w:val="0000EE"/>
              </w:rPr>
              <w:t>Determination of Net Asset Value</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47</w:t>
            </w:r>
          </w:p>
        </w:tc>
      </w:tr>
      <w:tr>
        <w:trPr>
          <w:trHeight w:val="43"/>
        </w:trPr>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59"/>
        </w:trPr>
        <w:tc>
          <w:tcPr>
            <w:tcW w:w="5720" w:type="dxa"/>
            <w:vAlign w:val="bottom"/>
            <w:gridSpan w:val="3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Distribution Reinvestment Plan</w:t>
            </w:r>
          </w:p>
        </w:tc>
        <w:tc>
          <w:tcPr>
            <w:tcW w:w="6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49</w:t>
            </w:r>
          </w:p>
        </w:tc>
      </w:tr>
      <w:tr>
        <w:trPr>
          <w:trHeight w:val="43"/>
        </w:trPr>
        <w:tc>
          <w:tcPr>
            <w:tcW w:w="4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r>
      <w:tr>
        <w:trPr>
          <w:trHeight w:val="159"/>
        </w:trPr>
        <w:tc>
          <w:tcPr>
            <w:tcW w:w="5720" w:type="dxa"/>
            <w:vAlign w:val="bottom"/>
            <w:gridSpan w:val="32"/>
          </w:tcPr>
          <w:p>
            <w:pPr>
              <w:spacing w:after="0" w:line="159" w:lineRule="exact"/>
              <w:rPr>
                <w:sz w:val="20"/>
                <w:szCs w:val="20"/>
                <w:color w:val="auto"/>
              </w:rPr>
            </w:pPr>
            <w:r>
              <w:rPr>
                <w:rFonts w:ascii="Times New Roman" w:cs="Times New Roman" w:eastAsia="Times New Roman" w:hAnsi="Times New Roman"/>
                <w:sz w:val="14"/>
                <w:szCs w:val="14"/>
                <w:color w:val="0000EE"/>
              </w:rPr>
              <w:t>Certain U.S. Federal Income Tax Considerations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50</w:t>
            </w:r>
          </w:p>
        </w:tc>
      </w:tr>
      <w:tr>
        <w:trPr>
          <w:trHeight w:val="43"/>
        </w:trPr>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1420" w:type="dxa"/>
            <w:vAlign w:val="bottom"/>
            <w:tcBorders>
              <w:bottom w:val="single" w:sz="8" w:color="0000EE"/>
            </w:tcBorders>
            <w:gridSpan w:val="15"/>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Description of Securities</w:t>
            </w:r>
          </w:p>
        </w:tc>
        <w:tc>
          <w:tcPr>
            <w:tcW w:w="430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59</w:t>
            </w:r>
          </w:p>
        </w:tc>
      </w:tr>
      <w:tr>
        <w:trPr>
          <w:trHeight w:val="159"/>
        </w:trPr>
        <w:tc>
          <w:tcPr>
            <w:tcW w:w="5720" w:type="dxa"/>
            <w:vAlign w:val="bottom"/>
            <w:gridSpan w:val="32"/>
          </w:tcPr>
          <w:p>
            <w:pPr>
              <w:spacing w:after="0" w:line="159" w:lineRule="exact"/>
              <w:rPr>
                <w:sz w:val="20"/>
                <w:szCs w:val="20"/>
                <w:color w:val="auto"/>
              </w:rPr>
            </w:pPr>
            <w:r>
              <w:rPr>
                <w:rFonts w:ascii="Times New Roman" w:cs="Times New Roman" w:eastAsia="Times New Roman" w:hAnsi="Times New Roman"/>
                <w:sz w:val="14"/>
                <w:szCs w:val="14"/>
                <w:color w:val="0000EE"/>
              </w:rPr>
              <w:t>Description of Our Capital Stock</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60</w:t>
            </w:r>
          </w:p>
        </w:tc>
      </w:tr>
      <w:tr>
        <w:trPr>
          <w:trHeight w:val="43"/>
        </w:trPr>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2000" w:type="dxa"/>
            <w:vAlign w:val="bottom"/>
            <w:tcBorders>
              <w:bottom w:val="single" w:sz="8" w:color="0000EE"/>
            </w:tcBorders>
            <w:gridSpan w:val="2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Description of Our Preferred Stock</w:t>
            </w:r>
          </w:p>
        </w:tc>
        <w:tc>
          <w:tcPr>
            <w:tcW w:w="372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66</w:t>
            </w:r>
          </w:p>
        </w:tc>
      </w:tr>
      <w:tr>
        <w:trPr>
          <w:trHeight w:val="159"/>
        </w:trPr>
        <w:tc>
          <w:tcPr>
            <w:tcW w:w="5720" w:type="dxa"/>
            <w:vAlign w:val="bottom"/>
            <w:gridSpan w:val="32"/>
          </w:tcPr>
          <w:p>
            <w:pPr>
              <w:spacing w:after="0" w:line="159" w:lineRule="exact"/>
              <w:rPr>
                <w:sz w:val="20"/>
                <w:szCs w:val="20"/>
                <w:color w:val="auto"/>
              </w:rPr>
            </w:pPr>
            <w:r>
              <w:rPr>
                <w:rFonts w:ascii="Times New Roman" w:cs="Times New Roman" w:eastAsia="Times New Roman" w:hAnsi="Times New Roman"/>
                <w:sz w:val="14"/>
                <w:szCs w:val="14"/>
                <w:color w:val="0000EE"/>
              </w:rPr>
              <w:t>Description of Our Subscription Rights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67</w:t>
            </w:r>
          </w:p>
        </w:tc>
      </w:tr>
      <w:tr>
        <w:trPr>
          <w:trHeight w:val="43"/>
        </w:trPr>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1980" w:type="dxa"/>
            <w:vAlign w:val="bottom"/>
            <w:tcBorders>
              <w:bottom w:val="single" w:sz="8" w:color="0000EE"/>
            </w:tcBorders>
            <w:gridSpan w:val="2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Description of Our Debt Securities</w:t>
            </w:r>
          </w:p>
        </w:tc>
        <w:tc>
          <w:tcPr>
            <w:tcW w:w="37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68</w:t>
            </w:r>
          </w:p>
        </w:tc>
      </w:tr>
      <w:tr>
        <w:trPr>
          <w:trHeight w:val="159"/>
        </w:trPr>
        <w:tc>
          <w:tcPr>
            <w:tcW w:w="5720" w:type="dxa"/>
            <w:vAlign w:val="bottom"/>
            <w:gridSpan w:val="32"/>
          </w:tcPr>
          <w:p>
            <w:pPr>
              <w:spacing w:after="0" w:line="159" w:lineRule="exact"/>
              <w:rPr>
                <w:sz w:val="20"/>
                <w:szCs w:val="20"/>
                <w:color w:val="auto"/>
              </w:rPr>
            </w:pPr>
            <w:r>
              <w:rPr>
                <w:rFonts w:ascii="Times New Roman" w:cs="Times New Roman" w:eastAsia="Times New Roman" w:hAnsi="Times New Roman"/>
                <w:sz w:val="14"/>
                <w:szCs w:val="14"/>
                <w:color w:val="0000EE"/>
              </w:rPr>
              <w:t>Plan of Distribution</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83</w:t>
            </w:r>
          </w:p>
        </w:tc>
      </w:tr>
      <w:tr>
        <w:trPr>
          <w:trHeight w:val="43"/>
        </w:trPr>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5720" w:type="dxa"/>
            <w:vAlign w:val="bottom"/>
            <w:gridSpan w:val="3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rPr>
              <w:t>Custodian, Transfer Agent, Distribution Disbursing Agent and Redemption and Paying Agent</w:t>
            </w:r>
          </w:p>
        </w:tc>
        <w:tc>
          <w:tcPr>
            <w:tcW w:w="6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85</w:t>
            </w:r>
          </w:p>
        </w:tc>
      </w:tr>
      <w:tr>
        <w:trPr>
          <w:trHeight w:val="159"/>
        </w:trPr>
        <w:tc>
          <w:tcPr>
            <w:tcW w:w="5300" w:type="dxa"/>
            <w:vAlign w:val="bottom"/>
            <w:tcBorders>
              <w:top w:val="single" w:sz="8" w:color="0000EE"/>
            </w:tcBorders>
            <w:gridSpan w:val="31"/>
          </w:tcPr>
          <w:p>
            <w:pPr>
              <w:spacing w:after="0" w:line="159" w:lineRule="exact"/>
              <w:rPr>
                <w:sz w:val="20"/>
                <w:szCs w:val="20"/>
                <w:color w:val="auto"/>
              </w:rPr>
            </w:pPr>
            <w:r>
              <w:rPr>
                <w:rFonts w:ascii="Times New Roman" w:cs="Times New Roman" w:eastAsia="Times New Roman" w:hAnsi="Times New Roman"/>
                <w:sz w:val="14"/>
                <w:szCs w:val="14"/>
                <w:color w:val="0000EE"/>
              </w:rPr>
              <w:t>Brokerage Allocation and Other Practices</w:t>
            </w:r>
          </w:p>
        </w:tc>
        <w:tc>
          <w:tcPr>
            <w:tcW w:w="42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85</w:t>
            </w:r>
          </w:p>
        </w:tc>
      </w:tr>
      <w:tr>
        <w:trPr>
          <w:trHeight w:val="43"/>
        </w:trPr>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800" w:type="dxa"/>
            <w:vAlign w:val="bottom"/>
            <w:tcBorders>
              <w:bottom w:val="single" w:sz="8" w:color="0000EE"/>
            </w:tcBorders>
            <w:gridSpan w:val="6"/>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w w:val="99"/>
              </w:rPr>
              <w:t>Legal Matters</w:t>
            </w:r>
          </w:p>
        </w:tc>
        <w:tc>
          <w:tcPr>
            <w:tcW w:w="4920" w:type="dxa"/>
            <w:vAlign w:val="bottom"/>
            <w:tcBorders>
              <w:bottom w:val="single" w:sz="8" w:color="CCEEFF"/>
            </w:tcBorders>
            <w:gridSpan w:val="2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86</w:t>
            </w:r>
          </w:p>
        </w:tc>
      </w:tr>
      <w:tr>
        <w:trPr>
          <w:trHeight w:val="159"/>
        </w:trPr>
        <w:tc>
          <w:tcPr>
            <w:tcW w:w="5720" w:type="dxa"/>
            <w:vAlign w:val="bottom"/>
            <w:gridSpan w:val="32"/>
          </w:tcPr>
          <w:p>
            <w:pPr>
              <w:spacing w:after="0" w:line="159" w:lineRule="exact"/>
              <w:rPr>
                <w:sz w:val="20"/>
                <w:szCs w:val="20"/>
                <w:color w:val="auto"/>
              </w:rPr>
            </w:pPr>
            <w:r>
              <w:rPr>
                <w:rFonts w:ascii="Times New Roman" w:cs="Times New Roman" w:eastAsia="Times New Roman" w:hAnsi="Times New Roman"/>
                <w:sz w:val="14"/>
                <w:szCs w:val="14"/>
                <w:color w:val="0000EE"/>
              </w:rPr>
              <w:t>Experts</w:t>
            </w: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86</w:t>
            </w:r>
          </w:p>
        </w:tc>
      </w:tr>
      <w:tr>
        <w:trPr>
          <w:trHeight w:val="43"/>
        </w:trPr>
        <w:tc>
          <w:tcPr>
            <w:tcW w:w="44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1260" w:type="dxa"/>
            <w:vAlign w:val="bottom"/>
            <w:tcBorders>
              <w:bottom w:val="single" w:sz="8" w:color="0000EE"/>
            </w:tcBorders>
            <w:gridSpan w:val="1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EE"/>
                <w:w w:val="99"/>
              </w:rPr>
              <w:t>Available Information</w:t>
            </w:r>
          </w:p>
        </w:tc>
        <w:tc>
          <w:tcPr>
            <w:tcW w:w="446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86</w:t>
            </w:r>
          </w:p>
        </w:tc>
      </w:tr>
      <w:tr>
        <w:trPr>
          <w:trHeight w:val="159"/>
        </w:trPr>
        <w:tc>
          <w:tcPr>
            <w:tcW w:w="2880" w:type="dxa"/>
            <w:vAlign w:val="bottom"/>
            <w:tcBorders>
              <w:bottom w:val="single" w:sz="8" w:color="0000EE"/>
            </w:tcBorders>
            <w:gridSpan w:val="28"/>
          </w:tcPr>
          <w:p>
            <w:pPr>
              <w:spacing w:after="0" w:line="159"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2840" w:type="dxa"/>
            <w:vAlign w:val="bottom"/>
            <w:gridSpan w:val="4"/>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87</w:t>
            </w:r>
          </w:p>
        </w:tc>
      </w:tr>
    </w:tbl>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78" w:name="page79"/>
    <w:bookmarkEnd w:id="78"/>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16"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This prospectus is part of an automatic registration statement that we have filed with the Securities and Exchange Commission, or SEC, using the “shelf” registration process as a “well-known seasoned issuer” as defined in Rule 405 under the Securities Act of 1933, as amended, or the “Securities Act.” Under this shelf registration statement, we may offer, from time to time, in one or more offerings, our common stock, preferred stock, debt securities and/or subscription rights to purchase shares of our common stock, on terms to be determined at the time of the offering. See “Plan of Distribution” for more information.</w:t>
      </w:r>
    </w:p>
    <w:p>
      <w:pPr>
        <w:spacing w:after="0" w:line="90"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please carefully read this prospectus, any accompanying prospectus supplement, any free writing prospectus and the documents incorporated by reference in this prospectus and any accompanying prospectus supplement.</w:t>
      </w:r>
    </w:p>
    <w:p>
      <w:pPr>
        <w:spacing w:after="0" w:line="97"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This prospectus may contain estimates and information concerning our industry, including market size and growth rates of the markets in which we participate, that are based on industry publications and other third-party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or referenced in the section titled “Risk Factors,” that could cause results to differ materially from those expressed in these publications and reports.</w:t>
      </w:r>
    </w:p>
    <w:p>
      <w:pPr>
        <w:spacing w:after="0" w:line="81"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“Available Information.”</w:t>
      </w:r>
    </w:p>
    <w:p>
      <w:pPr>
        <w:spacing w:after="0" w:line="88"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included or incorporated by reference in this prospectus, any prospectus supplement or in any free writing prospectus prepared by us or on our behalf or to which we have referred you. We have not authorized any dealer, salesperson or other person to provide you with different information or to make representations as to matters not stated in this prospectus, in any accompanying prospectus supplement or in any free writing prospectus prepared by us or on our behalf or to which we have referred you. We take no responsibility for, and can provide no assurance as to the reliability of, any other information that others may give you. If anyone provides you with different or inconsistent information, you should not rely on it. This prospectus, any accompanying prospectus supplement and any free writing prospectus prepared by us or on our behalf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in any accompanying prospectus supplement or in any such free writing prospectus is accurate as of any date other than their respective dates. Our financial condition, results of operations and prospects may have changed since any such date. To the extent required by law, we will amend or supplement the information contained or incorporated by reference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79" w:name="page80"/>
    <w:bookmarkEnd w:id="79"/>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67919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4037330" cy="6791960"/>
                    </a:xfrm>
                    <a:prstGeom prst="rect">
                      <a:avLst/>
                    </a:prstGeom>
                    <a:noFill/>
                  </pic:spPr>
                </pic:pic>
              </a:graphicData>
            </a:graphic>
          </wp:anchor>
        </w:drawing>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25" w:lineRule="exact"/>
        <w:rPr>
          <w:sz w:val="20"/>
          <w:szCs w:val="20"/>
          <w:color w:val="auto"/>
        </w:rPr>
      </w:pPr>
    </w:p>
    <w:p>
      <w:pPr>
        <w:jc w:val="both"/>
        <w:ind w:left="1400" w:right="1419" w:firstLine="338"/>
        <w:spacing w:after="0" w:line="256" w:lineRule="auto"/>
        <w:rPr>
          <w:sz w:val="20"/>
          <w:szCs w:val="20"/>
          <w:color w:val="auto"/>
        </w:rPr>
      </w:pPr>
      <w:r>
        <w:rPr>
          <w:rFonts w:ascii="Times New Roman" w:cs="Times New Roman" w:eastAsia="Times New Roman" w:hAnsi="Times New Roman"/>
          <w:sz w:val="14"/>
          <w:szCs w:val="14"/>
          <w:i w:val="1"/>
          <w:iCs w:val="1"/>
          <w:color w:val="auto"/>
        </w:rPr>
        <w:t>This summary highlights some of the information included elsewhere in this prospectus or incorporated by reference. It is not complete and may not contain all of the information that you may want to consider before investing in our securities. You should carefully read the entire prospectus, the applicable prospectus supplement, and any related free writing prospectus, including the risks of investing in our securities discussed in the section titled “Risk Factors” in the applicable prospectus supplement and any related free writing prospectus, and under similar headings in the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and the exhibits to the registration statement of which this prospectus is a part.</w:t>
      </w:r>
    </w:p>
    <w:p>
      <w:pPr>
        <w:spacing w:after="0" w:line="92" w:lineRule="exact"/>
        <w:rPr>
          <w:sz w:val="20"/>
          <w:szCs w:val="20"/>
          <w:color w:val="auto"/>
        </w:rPr>
      </w:pPr>
    </w:p>
    <w:p>
      <w:pPr>
        <w:jc w:val="both"/>
        <w:ind w:left="1400" w:right="1419" w:firstLine="338"/>
        <w:spacing w:after="0" w:line="264" w:lineRule="auto"/>
        <w:rPr>
          <w:sz w:val="20"/>
          <w:szCs w:val="20"/>
          <w:color w:val="auto"/>
        </w:rPr>
      </w:pPr>
      <w:r>
        <w:rPr>
          <w:rFonts w:ascii="Times New Roman" w:cs="Times New Roman" w:eastAsia="Times New Roman" w:hAnsi="Times New Roman"/>
          <w:sz w:val="14"/>
          <w:szCs w:val="14"/>
          <w:i w:val="1"/>
          <w:iCs w:val="1"/>
          <w:color w:val="auto"/>
        </w:rPr>
        <w:t>Except where the context requires otherwise, the terms “Oxford Lane Capital,” the “Company,” the “Fund,” “we,” “us” and “our” refer to Oxford Lane Capital Corp.; “Oxford Lane Management” and “investment adviser” refer to Oxford Lane Management, LLC; “Oxford Funds” and “administrator” refer to Oxford Funds, LLC; and “ACA” and “ACA Group” refer to ACA Group, LLC.</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16" w:lineRule="exact"/>
        <w:rPr>
          <w:sz w:val="20"/>
          <w:szCs w:val="20"/>
          <w:color w:val="auto"/>
        </w:rPr>
      </w:pPr>
    </w:p>
    <w:p>
      <w:pPr>
        <w:jc w:val="both"/>
        <w:ind w:left="1400" w:right="1419" w:firstLine="338"/>
        <w:spacing w:after="0" w:line="286" w:lineRule="auto"/>
        <w:rPr>
          <w:sz w:val="20"/>
          <w:szCs w:val="20"/>
          <w:color w:val="auto"/>
        </w:rPr>
      </w:pPr>
      <w:r>
        <w:rPr>
          <w:rFonts w:ascii="Times New Roman" w:cs="Times New Roman" w:eastAsia="Times New Roman" w:hAnsi="Times New Roman"/>
          <w:sz w:val="14"/>
          <w:szCs w:val="14"/>
          <w:color w:val="auto"/>
        </w:rPr>
        <w:t>We are a closed-end management investment company that has registered as an investment company under the 1940 Act. Our investment objective is to maximize our portfolio’s risk-adjusted total return.</w:t>
      </w:r>
    </w:p>
    <w:p>
      <w:pPr>
        <w:spacing w:after="0" w:line="71" w:lineRule="exact"/>
        <w:rPr>
          <w:sz w:val="20"/>
          <w:szCs w:val="20"/>
          <w:color w:val="auto"/>
        </w:rPr>
      </w:pPr>
    </w:p>
    <w:p>
      <w:pPr>
        <w:jc w:val="both"/>
        <w:ind w:left="1400" w:right="1419" w:firstLine="338"/>
        <w:spacing w:after="0" w:line="259" w:lineRule="auto"/>
        <w:rPr>
          <w:sz w:val="20"/>
          <w:szCs w:val="20"/>
          <w:color w:val="auto"/>
        </w:rPr>
      </w:pPr>
      <w:r>
        <w:rPr>
          <w:rFonts w:ascii="Times New Roman" w:cs="Times New Roman" w:eastAsia="Times New Roman" w:hAnsi="Times New Roman"/>
          <w:sz w:val="14"/>
          <w:szCs w:val="14"/>
          <w:color w:val="auto"/>
        </w:rPr>
        <w:t>We have implemented our investment objective by purchasing portions of equity and junior debt tranches of CLO vehicles. Substantially all of the CLO vehicles in which we may invest would be deemed to be investment companies under the 1940 Act but for the exceptions set forth in section 3(c)(1) or section 3(c)</w:t>
      </w:r>
    </w:p>
    <w:p>
      <w:pPr>
        <w:spacing w:after="0" w:line="1" w:lineRule="exact"/>
        <w:rPr>
          <w:sz w:val="20"/>
          <w:szCs w:val="20"/>
          <w:color w:val="auto"/>
        </w:rPr>
      </w:pPr>
    </w:p>
    <w:p>
      <w:pPr>
        <w:jc w:val="both"/>
        <w:ind w:left="1400" w:right="1419"/>
        <w:spacing w:after="0" w:line="252" w:lineRule="auto"/>
        <w:rPr>
          <w:sz w:val="20"/>
          <w:szCs w:val="20"/>
          <w:color w:val="auto"/>
        </w:rPr>
      </w:pPr>
      <w:r>
        <w:rPr>
          <w:rFonts w:ascii="Times New Roman" w:cs="Times New Roman" w:eastAsia="Times New Roman" w:hAnsi="Times New Roman"/>
          <w:sz w:val="14"/>
          <w:szCs w:val="14"/>
          <w:color w:val="auto"/>
        </w:rPr>
        <w:t>(7). Structurally, CLO vehicles are entities formed to originate and/or acquire a portfolio of loans. The loans within the CLO vehicle are limited to loans which meet established credit criteria and are subject to concentration limitations in order to limit a CLO vehicle’s exposure to a single credit. A CLO vehicle is formed by raising various classes or “tranches” of debt (with the most senior tranches being rated “AAA” to the most junior tranches typically being rated “BB” or “B”) and equity. The CLO vehicles which we focus on are collateralized primarily by senior secured loans made to companies whose debt is unrated or is rated below investment grade, or “Senior Loans,” and, to a limited extent, subordinated and/or unsecured loans and bonds (together with the Senior Loans, the “CLO Assets”). CLOs generally have very little or no exposure to real estate, mortgage loans or to pools of consumer-based debt, such as credit card receivables or auto loans. Below investment grade securities, such as the CLO securities in which we primarily intend to invest, are often referred to as “junk.” In addition, the CLO equity and junior debt securities in which we invest are highly levered (with CLO equity securities typically being leveraged between nine and thirteen times), which significantly magnifies our risk of loss on such investments relative to senior debt tranches of CLOs. A CLO itself is highly leveraged because it borrows significant amounts of money to acquire the underlying commercial loans in which it invests. A CLO borrows money by issuing debt securities to investors (including junior debt securities of the type we intend to invest), and the CLO equity (which is also the CLO residual tranche) is the first to bear the risk on the underlying investment. Our investment strategy also includes warehouse facilities, which are financing structures intended to aggregate loans that may be used to form the basis of a CLO vehicle. Warehouse facilities typically incur leverage between four and six times prior to a CLO’s pricing. We may also invest, on an opportunistic basis, in other corporate credits of a variety of types. We expect that each of our investments will range in size from $5 million to $50 million, although the investment size may vary consistent with the size of our overall portfolio. Oxford Lane Management manages our investments and its affiliate arranges for the performance of the administrative services necessary for us to operate.</w:t>
      </w:r>
    </w:p>
    <w:p>
      <w:pPr>
        <w:spacing w:after="0" w:line="108" w:lineRule="exact"/>
        <w:rPr>
          <w:sz w:val="20"/>
          <w:szCs w:val="20"/>
          <w:color w:val="auto"/>
        </w:rPr>
      </w:pPr>
    </w:p>
    <w:p>
      <w:pPr>
        <w:jc w:val="both"/>
        <w:ind w:left="1400" w:right="1419" w:firstLine="338"/>
        <w:spacing w:after="0" w:line="255" w:lineRule="auto"/>
        <w:rPr>
          <w:sz w:val="20"/>
          <w:szCs w:val="20"/>
          <w:color w:val="auto"/>
        </w:rPr>
      </w:pPr>
      <w:r>
        <w:rPr>
          <w:rFonts w:ascii="Times New Roman" w:cs="Times New Roman" w:eastAsia="Times New Roman" w:hAnsi="Times New Roman"/>
          <w:sz w:val="14"/>
          <w:szCs w:val="14"/>
          <w:color w:val="auto"/>
        </w:rPr>
        <w:t>CLO vehicles, due to their high leverage, are more complicated to evaluate than direct investments in Senior Loans. Since we invest in the residual interests of CLO securities, our investments are riskier than the profile of the Senior Loans by which such CLO vehicles are collateralized. Our investments in CLO vehicles are riskier and less transparent to us and our stockholders than direct investments in the underlying Senior Loans. Our portfolio of investments may lack diversification among CLO vehicles which would subject us to a risk of significant loss if one or more of these CLO vehicles experience a high level of defaults on its underlying Senior Loans. The CLO vehicles in which we invest have debt that ranks senior to our investment. The market price for CLO vehicles may fluctuate dramatically, which would make portfolio valuations unreliable and negatively impact our net asset value and our ability to make distributions to our stockholders. Our financial results may be affected adversely if one or more of our significant equity or junior debt investments in such CLO vehicles defaults on its payment obligations or fails to perform as we expect.</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80" w:name="page81"/>
    <w:bookmarkEnd w:id="80"/>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60794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4037330" cy="6079490"/>
                    </a:xfrm>
                    <a:prstGeom prst="rect">
                      <a:avLst/>
                    </a:prstGeom>
                    <a:noFill/>
                  </pic:spPr>
                </pic:pic>
              </a:graphicData>
            </a:graphic>
          </wp:anchor>
        </w:drawing>
      </w:r>
    </w:p>
    <w:p>
      <w:pPr>
        <w:spacing w:after="0" w:line="253" w:lineRule="exact"/>
        <w:rPr>
          <w:sz w:val="20"/>
          <w:szCs w:val="20"/>
          <w:color w:val="auto"/>
        </w:rPr>
      </w:pPr>
    </w:p>
    <w:p>
      <w:pPr>
        <w:jc w:val="both"/>
        <w:ind w:left="1400" w:right="1419" w:firstLine="338"/>
        <w:spacing w:after="0" w:line="256" w:lineRule="auto"/>
        <w:rPr>
          <w:sz w:val="20"/>
          <w:szCs w:val="20"/>
          <w:color w:val="auto"/>
        </w:rPr>
      </w:pPr>
      <w:r>
        <w:rPr>
          <w:rFonts w:ascii="Times New Roman" w:cs="Times New Roman" w:eastAsia="Times New Roman" w:hAnsi="Times New Roman"/>
          <w:sz w:val="14"/>
          <w:szCs w:val="14"/>
          <w:color w:val="auto"/>
        </w:rPr>
        <w:t>Our investments in CLO vehicles may be subject to special anti-deferral provisions that could result in us incurring tax or recognizing income prior to receiving cash distributions related to such income. Specifically, the CLO vehicles in which we invest generally constitute “passive foreign investment companies,” or “PFICs.” Because we acquire investments in PFICs (including equity tranche investments in CLO vehicles that are PFICs), we may be subject to U.S. federal income tax on a portion of any “excess distribution” or gain from the disposition of such investments even if such income is distributed as a taxable dividend by us to our stockholders. See “Risk Factors — Risks Related to Our Investments” in our most recent annual or semi-annual report on Form N-CSR to read about factors you should consider before investing in our securities.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Oxford Lane Management</w:t>
      </w:r>
    </w:p>
    <w:p>
      <w:pPr>
        <w:spacing w:after="0" w:line="127" w:lineRule="exact"/>
        <w:rPr>
          <w:sz w:val="20"/>
          <w:szCs w:val="20"/>
          <w:color w:val="auto"/>
        </w:rPr>
      </w:pPr>
    </w:p>
    <w:p>
      <w:pPr>
        <w:jc w:val="both"/>
        <w:ind w:left="1400" w:right="1419" w:firstLine="338"/>
        <w:spacing w:after="0" w:line="260" w:lineRule="auto"/>
        <w:rPr>
          <w:sz w:val="20"/>
          <w:szCs w:val="20"/>
          <w:color w:val="auto"/>
        </w:rPr>
      </w:pPr>
      <w:r>
        <w:rPr>
          <w:rFonts w:ascii="Times New Roman" w:cs="Times New Roman" w:eastAsia="Times New Roman" w:hAnsi="Times New Roman"/>
          <w:sz w:val="14"/>
          <w:szCs w:val="14"/>
          <w:color w:val="auto"/>
        </w:rPr>
        <w:t>Our investment activities are managed by Oxford Lane Management, which is an investment adviser that has registered under the Investment Advisers Act of 1940, or the “Advisers Act.” Under our investment advisory agreement with Oxford Lane Management, which we refer to as our “Investment Advisory Agreement,” we have agreed to pay Oxford Lane Management an annual base management fee based on our gross assets, as well as an incentive fee based on our performance. See “Investment Advisory Agreement.”</w:t>
      </w:r>
    </w:p>
    <w:p>
      <w:pPr>
        <w:spacing w:after="0" w:line="80" w:lineRule="exact"/>
        <w:rPr>
          <w:sz w:val="20"/>
          <w:szCs w:val="20"/>
          <w:color w:val="auto"/>
        </w:rPr>
      </w:pPr>
    </w:p>
    <w:p>
      <w:pPr>
        <w:jc w:val="both"/>
        <w:ind w:left="1400" w:right="1419" w:firstLine="338"/>
        <w:spacing w:after="0" w:line="259" w:lineRule="auto"/>
        <w:rPr>
          <w:sz w:val="20"/>
          <w:szCs w:val="20"/>
          <w:color w:val="auto"/>
        </w:rPr>
      </w:pPr>
      <w:r>
        <w:rPr>
          <w:rFonts w:ascii="Times New Roman" w:cs="Times New Roman" w:eastAsia="Times New Roman" w:hAnsi="Times New Roman"/>
          <w:sz w:val="14"/>
          <w:szCs w:val="14"/>
          <w:color w:val="auto"/>
        </w:rPr>
        <w:t>We expect to benefit from the ability of Oxford Lane Management’s team to identify attractive opportunities, conduct diligence on and value prospective investments, negotiate terms where appropriate, and manage and monitor our portfolio. Oxford Lane Management’s investment team members have broad investment backgrounds, with prior experience at investment banks, commercial banks, unregistered investment funds and other financial services companies, and have collectively developed a broad network of contacts to provide us with our principal source of investment opportunities.</w:t>
      </w:r>
    </w:p>
    <w:p>
      <w:pPr>
        <w:spacing w:after="0" w:line="90" w:lineRule="exact"/>
        <w:rPr>
          <w:sz w:val="20"/>
          <w:szCs w:val="20"/>
          <w:color w:val="auto"/>
        </w:rPr>
      </w:pPr>
    </w:p>
    <w:p>
      <w:pPr>
        <w:jc w:val="both"/>
        <w:ind w:left="1400" w:right="1419" w:firstLine="338"/>
        <w:spacing w:after="0" w:line="263" w:lineRule="auto"/>
        <w:rPr>
          <w:sz w:val="20"/>
          <w:szCs w:val="20"/>
          <w:color w:val="auto"/>
        </w:rPr>
      </w:pPr>
      <w:r>
        <w:rPr>
          <w:rFonts w:ascii="Times New Roman" w:cs="Times New Roman" w:eastAsia="Times New Roman" w:hAnsi="Times New Roman"/>
          <w:sz w:val="14"/>
          <w:szCs w:val="14"/>
          <w:color w:val="auto"/>
        </w:rPr>
        <w:t>Oxford Lane Management is led by Jonathan H. Cohen, Chief Executive Officer, and Saul B. Rosenthal, President. Messrs. Cohen and Rosenthal are assisted by Joseph Kupka, who serves as a Managing Director for Oxford Lane Management. We consider Messrs. Cohen, Rosenthal and Kupka to be Oxford Lane Management’s senior investment team.</w:t>
      </w:r>
    </w:p>
    <w:p>
      <w:pPr>
        <w:spacing w:after="0" w:line="88" w:lineRule="exact"/>
        <w:rPr>
          <w:sz w:val="20"/>
          <w:szCs w:val="20"/>
          <w:color w:val="auto"/>
        </w:rPr>
      </w:pPr>
    </w:p>
    <w:p>
      <w:pPr>
        <w:jc w:val="both"/>
        <w:ind w:left="1400" w:right="1419" w:firstLine="338"/>
        <w:spacing w:after="0" w:line="256" w:lineRule="auto"/>
        <w:rPr>
          <w:sz w:val="20"/>
          <w:szCs w:val="20"/>
          <w:color w:val="auto"/>
        </w:rPr>
      </w:pPr>
      <w:r>
        <w:rPr>
          <w:rFonts w:ascii="Times New Roman" w:cs="Times New Roman" w:eastAsia="Times New Roman" w:hAnsi="Times New Roman"/>
          <w:sz w:val="14"/>
          <w:szCs w:val="14"/>
          <w:color w:val="auto"/>
        </w:rPr>
        <w:t>We will reimburse Oxford Funds, an affiliate of Oxford Lane Management, our allocable portion of overhead and other expenses incurred by Oxford Funds in performing its obligations under an administration agreement by and among us and Oxford Funds, or the “Administration Agreement,” including rent, the fees and expenses associated with performing administrative functions, and our allocable portion of the compensation of our Chief Financial Officer and any administrative support staff, including accounting personnel. We will also reimburse Oxford Funds for the costs associated with the functions performed by our Chief Compliance Officer that Oxford Funds pays on the Company’s behalf pursuant to the terms of an agreement between us and ACA. These arrangements could create conflicts of interest that our Board of Directors must monitor.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Investment Focus</w:t>
      </w:r>
    </w:p>
    <w:p>
      <w:pPr>
        <w:spacing w:after="0" w:line="116" w:lineRule="exact"/>
        <w:rPr>
          <w:sz w:val="20"/>
          <w:szCs w:val="20"/>
          <w:color w:val="auto"/>
        </w:rPr>
      </w:pPr>
    </w:p>
    <w:p>
      <w:pPr>
        <w:jc w:val="both"/>
        <w:ind w:left="1400" w:right="1419" w:firstLine="338"/>
        <w:spacing w:after="0" w:line="256" w:lineRule="auto"/>
        <w:rPr>
          <w:sz w:val="20"/>
          <w:szCs w:val="20"/>
          <w:color w:val="auto"/>
        </w:rPr>
      </w:pPr>
      <w:r>
        <w:rPr>
          <w:rFonts w:ascii="Times New Roman" w:cs="Times New Roman" w:eastAsia="Times New Roman" w:hAnsi="Times New Roman"/>
          <w:sz w:val="14"/>
          <w:szCs w:val="14"/>
          <w:color w:val="auto"/>
        </w:rPr>
        <w:t>Our investment objective is to maximize our portfolio’s risk-adjusted total return. Our current focus is to seek that return by investing in structured finance investments, specifically the equity and junior debt tranches of CLO vehicles, which are collateralized primarily by a diverse portfolio of Senior Loans, and which generally have very little or no exposure to real estate loans, or mortgage loans or to pools of consumer-based debt, such as credit card receivables or auto loans. As of September 30, 2024, we held equity investments in 221 different CLO structures and debt investments in 19 different CLO structures. Our investment strategy also includes investing in warehouse facilities, which are financing structures intended to aggregate Senior Loans that may be used to form the basis of a CLO vehicle. We may also invest, on an opportunistic basis, in a variety of other types of corporate credits.</w:t>
      </w:r>
    </w:p>
    <w:p>
      <w:pPr>
        <w:spacing w:after="0" w:line="95" w:lineRule="exact"/>
        <w:rPr>
          <w:sz w:val="20"/>
          <w:szCs w:val="20"/>
          <w:color w:val="auto"/>
        </w:rPr>
      </w:pPr>
    </w:p>
    <w:p>
      <w:pPr>
        <w:jc w:val="both"/>
        <w:ind w:left="1400" w:right="1419" w:firstLine="338"/>
        <w:spacing w:after="0" w:line="263" w:lineRule="auto"/>
        <w:rPr>
          <w:sz w:val="20"/>
          <w:szCs w:val="20"/>
          <w:color w:val="auto"/>
        </w:rPr>
      </w:pPr>
      <w:r>
        <w:rPr>
          <w:rFonts w:ascii="Times New Roman" w:cs="Times New Roman" w:eastAsia="Times New Roman" w:hAnsi="Times New Roman"/>
          <w:sz w:val="14"/>
          <w:szCs w:val="14"/>
          <w:color w:val="auto"/>
        </w:rPr>
        <w:t>The CLO investments we currently hold in our portfolio generally represent either a residual economic interest, in the case of an equity tranche, or a debt investment collateralized by a portfolio of Senior Loans and other CLO Assets. The value of our CLO investments generally depend on both the quality and nature of the underlying portfolio it references and also on the specific structural characteristics of the CLO itself.</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81" w:name="page82"/>
    <w:bookmarkEnd w:id="81"/>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57842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4037330" cy="5784215"/>
                    </a:xfrm>
                    <a:prstGeom prst="rect">
                      <a:avLst/>
                    </a:prstGeom>
                    <a:noFill/>
                  </pic:spPr>
                </pic:pic>
              </a:graphicData>
            </a:graphic>
          </wp:anchor>
        </w:drawing>
      </w:r>
    </w:p>
    <w:p>
      <w:pPr>
        <w:spacing w:after="0" w:line="30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CLO Structural Elements</w:t>
      </w:r>
    </w:p>
    <w:p>
      <w:pPr>
        <w:spacing w:after="0" w:line="127" w:lineRule="exact"/>
        <w:rPr>
          <w:sz w:val="20"/>
          <w:szCs w:val="20"/>
          <w:color w:val="auto"/>
        </w:rPr>
      </w:pPr>
    </w:p>
    <w:p>
      <w:pPr>
        <w:jc w:val="both"/>
        <w:ind w:left="1400" w:right="1419" w:firstLine="338"/>
        <w:spacing w:after="0" w:line="269" w:lineRule="auto"/>
        <w:rPr>
          <w:sz w:val="20"/>
          <w:szCs w:val="20"/>
          <w:color w:val="auto"/>
        </w:rPr>
      </w:pPr>
      <w:r>
        <w:rPr>
          <w:rFonts w:ascii="Times New Roman" w:cs="Times New Roman" w:eastAsia="Times New Roman" w:hAnsi="Times New Roman"/>
          <w:sz w:val="14"/>
          <w:szCs w:val="14"/>
          <w:color w:val="auto"/>
        </w:rPr>
        <w:t>Structurally, CLO vehicles are entities formed to originate and/or acquire a portfolio of loans. The loans within the CLO vehicle are generally limited to loans which meet established credit criteria and are subject to concentration limitations in order to limit a CLO vehicle’s exposure to a single credit.</w:t>
      </w:r>
    </w:p>
    <w:p>
      <w:pPr>
        <w:spacing w:after="0" w:line="83" w:lineRule="exact"/>
        <w:rPr>
          <w:sz w:val="20"/>
          <w:szCs w:val="20"/>
          <w:color w:val="auto"/>
        </w:rPr>
      </w:pPr>
    </w:p>
    <w:p>
      <w:pPr>
        <w:jc w:val="both"/>
        <w:ind w:left="1400" w:right="1419" w:firstLine="338"/>
        <w:spacing w:after="0" w:line="255" w:lineRule="auto"/>
        <w:rPr>
          <w:sz w:val="20"/>
          <w:szCs w:val="20"/>
          <w:color w:val="auto"/>
        </w:rPr>
      </w:pPr>
      <w:r>
        <w:rPr>
          <w:rFonts w:ascii="Times New Roman" w:cs="Times New Roman" w:eastAsia="Times New Roman" w:hAnsi="Times New Roman"/>
          <w:sz w:val="14"/>
          <w:szCs w:val="14"/>
          <w:color w:val="auto"/>
        </w:rPr>
        <w:t>A CLO vehicle is formed by raising multiple “tranches” of debt (with the most senior tranches being rated “AAA” to the most junior tranches typically being rated “BB” or “B”) and equity. As interest payments are received, the CLO vehicle makes contractual interest payments to each tranche of debt based on their seniority. If there are funds remaining after each tranche of debt receives its contractual interest rate and the CLO vehicle meets or exceeds required collateral coverage levels (or other similar covenants) the remaining funds may be paid to the equity tranche. The contractual provisions setting out this order of payments are set out in detail in the CLO vehicle’s indenture. These provisions are referred to as the “priority of payments” or the “waterfall” and determine any other obligations that may be required to be paid ahead of payments of interest and principal on the securities issued by a CLO vehicle. In addition, for payments to be made to each tranche, after the most senior tranche of debt, there are various tests which must be complied with, which are different for each CLO vehicle.</w:t>
      </w:r>
    </w:p>
    <w:p>
      <w:pPr>
        <w:spacing w:after="0" w:line="86" w:lineRule="exact"/>
        <w:rPr>
          <w:sz w:val="20"/>
          <w:szCs w:val="20"/>
          <w:color w:val="auto"/>
        </w:rPr>
      </w:pPr>
    </w:p>
    <w:p>
      <w:pPr>
        <w:jc w:val="both"/>
        <w:ind w:left="1400" w:right="1419" w:firstLine="338"/>
        <w:spacing w:after="0" w:line="255" w:lineRule="auto"/>
        <w:rPr>
          <w:sz w:val="20"/>
          <w:szCs w:val="20"/>
          <w:color w:val="auto"/>
        </w:rPr>
      </w:pPr>
      <w:r>
        <w:rPr>
          <w:rFonts w:ascii="Times New Roman" w:cs="Times New Roman" w:eastAsia="Times New Roman" w:hAnsi="Times New Roman"/>
          <w:sz w:val="14"/>
          <w:szCs w:val="14"/>
          <w:color w:val="auto"/>
        </w:rPr>
        <w:t>CLO indentures typically provide for adjustments to the priority of payments in the event that certain cashflow or collateral requirements are not maintained. The collateral quality tests that may divert cashflows in the priority of payments are predominantly determined by reference to the par values of the underlying loans, rather than their current market values. Accordingly, we believe that CLO equity and junior debt investments allow investors to gain exposure to the Senior Loan market on a levered basis (with CLO equity securities typically being leveraged between nine and thirteen times) without being structurally subject to mark-to-market price fluctuations of the underlying loans. As such, although the current valuations of CLO equity and junior debt tranches are expected to fluctuate based on price changes within the loan market, interest rate movements and other macroeconomic factors, those tranches will generally be expected to continue to receive distributions from the CLO vehicle periodically so long as the underlying portfolio does not suffer defaults, realized losses or other covenant violations sufficient to trigger changes in the waterfall allocations. We therefore believe that an investment portfolio consisting of CLO equity and junior debt investments of this type has the ability to provide attractive risk-adjusted rates of return.</w:t>
      </w:r>
    </w:p>
    <w:p>
      <w:pPr>
        <w:spacing w:after="0" w:line="93" w:lineRule="exact"/>
        <w:rPr>
          <w:sz w:val="20"/>
          <w:szCs w:val="20"/>
          <w:color w:val="auto"/>
        </w:rPr>
      </w:pPr>
    </w:p>
    <w:p>
      <w:pPr>
        <w:jc w:val="both"/>
        <w:ind w:left="1400" w:right="1419" w:firstLine="338"/>
        <w:spacing w:after="0" w:line="269" w:lineRule="auto"/>
        <w:rPr>
          <w:sz w:val="20"/>
          <w:szCs w:val="20"/>
          <w:color w:val="auto"/>
        </w:rPr>
      </w:pPr>
      <w:r>
        <w:rPr>
          <w:rFonts w:ascii="Times New Roman" w:cs="Times New Roman" w:eastAsia="Times New Roman" w:hAnsi="Times New Roman"/>
          <w:sz w:val="14"/>
          <w:szCs w:val="14"/>
          <w:color w:val="auto"/>
        </w:rPr>
        <w:t>The diagram below is for illustrative purposes only. The CLO structure highlighted below is illustrative only and depicts structures among CLO vehicles in which we may invest may vary substantially from the illustrative example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400" w:right="1419" w:firstLine="338"/>
        <w:spacing w:after="0" w:line="269" w:lineRule="auto"/>
        <w:rPr>
          <w:sz w:val="20"/>
          <w:szCs w:val="20"/>
          <w:color w:val="auto"/>
        </w:rPr>
      </w:pPr>
      <w:r>
        <w:rPr>
          <w:rFonts w:ascii="Times New Roman" w:cs="Times New Roman" w:eastAsia="Times New Roman" w:hAnsi="Times New Roman"/>
          <w:sz w:val="14"/>
          <w:szCs w:val="14"/>
          <w:color w:val="auto"/>
        </w:rPr>
        <w:t>We typically invest in the equity tranches, which are not rated, and to a lesser extent the “B” and “BB” tranches of CLO vehicles. As of September 30, 2024, 89.0% of our portfolio on a fair value basis was invested in the equity tranches of CLO vehicles.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82" w:name="page83"/>
    <w:bookmarkEnd w:id="82"/>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6758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4037330" cy="6758305"/>
                    </a:xfrm>
                    <a:prstGeom prst="rect">
                      <a:avLst/>
                    </a:prstGeom>
                    <a:noFill/>
                  </pic:spPr>
                </pic:pic>
              </a:graphicData>
            </a:graphic>
          </wp:anchor>
        </w:drawing>
      </w:r>
    </w:p>
    <w:p>
      <w:pPr>
        <w:spacing w:after="0" w:line="30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 Syndicated Senior Loan Market</w:t>
      </w:r>
    </w:p>
    <w:p>
      <w:pPr>
        <w:spacing w:after="0" w:line="127" w:lineRule="exact"/>
        <w:rPr>
          <w:sz w:val="20"/>
          <w:szCs w:val="20"/>
          <w:color w:val="auto"/>
        </w:rPr>
      </w:pPr>
    </w:p>
    <w:p>
      <w:pPr>
        <w:jc w:val="both"/>
        <w:ind w:left="1400" w:right="1419" w:firstLine="338"/>
        <w:spacing w:after="0" w:line="260" w:lineRule="auto"/>
        <w:rPr>
          <w:sz w:val="20"/>
          <w:szCs w:val="20"/>
          <w:color w:val="auto"/>
        </w:rPr>
      </w:pPr>
      <w:r>
        <w:rPr>
          <w:rFonts w:ascii="Times New Roman" w:cs="Times New Roman" w:eastAsia="Times New Roman" w:hAnsi="Times New Roman"/>
          <w:sz w:val="14"/>
          <w:szCs w:val="14"/>
          <w:color w:val="auto"/>
        </w:rPr>
        <w:t>We believe that while the syndicated leveraged corporate loan market is relatively large, with Standard and Poor’s estimating the total par value outstanding at approximately $1.4 trillion as of September 2024, this market remains largely inaccessible to a significant portion of investors that are not lenders or approved institutions. The CLO market permits wider exposure to syndicated Senior Loans, but this market is almost exclusively private and predominantly institutional.</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Senior Loan market is characterized by various factors, including:</w:t>
      </w:r>
    </w:p>
    <w:p>
      <w:pPr>
        <w:spacing w:after="0" w:line="112" w:lineRule="exact"/>
        <w:rPr>
          <w:sz w:val="20"/>
          <w:szCs w:val="20"/>
          <w:color w:val="auto"/>
        </w:rPr>
      </w:pPr>
    </w:p>
    <w:p>
      <w:pPr>
        <w:jc w:val="both"/>
        <w:ind w:left="2080" w:right="1419" w:hanging="341"/>
        <w:spacing w:after="0" w:line="258" w:lineRule="auto"/>
        <w:tabs>
          <w:tab w:leader="none" w:pos="207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Floating rate instruments. </w:t>
      </w:r>
      <w:r>
        <w:rPr>
          <w:rFonts w:ascii="Times New Roman" w:cs="Times New Roman" w:eastAsia="Times New Roman" w:hAnsi="Times New Roman"/>
          <w:sz w:val="14"/>
          <w:szCs w:val="14"/>
          <w:color w:val="auto"/>
        </w:rPr>
        <w:t>Senior Loans and other types of CLO Assets typically contain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floating interest rate as opposed to a fixed interest rate, which we believe provides some measure of protection against the risk of interest rate fluctuation. However, all of our CLO investments have many CLO Assets which are subject to interest rate floors and since interest rates on CLO Assets may only reset periodically and the amount of the increase following an interest rate reset may be below the interest rate floors of such CLO Assets, our ability to benefit from rate resets following an increase in interest rates may be limited.</w:t>
      </w:r>
    </w:p>
    <w:p>
      <w:pPr>
        <w:spacing w:after="0" w:line="89" w:lineRule="exact"/>
        <w:rPr>
          <w:rFonts w:ascii="Times New Roman" w:cs="Times New Roman" w:eastAsia="Times New Roman" w:hAnsi="Times New Roman"/>
          <w:sz w:val="14"/>
          <w:szCs w:val="14"/>
          <w:color w:val="auto"/>
        </w:rPr>
      </w:pPr>
    </w:p>
    <w:p>
      <w:pPr>
        <w:ind w:left="2080" w:right="1419" w:hanging="341"/>
        <w:spacing w:after="0" w:line="289" w:lineRule="auto"/>
        <w:tabs>
          <w:tab w:leader="none" w:pos="207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Frequency of interest payments. </w:t>
      </w:r>
      <w:r>
        <w:rPr>
          <w:rFonts w:ascii="Times New Roman" w:cs="Times New Roman" w:eastAsia="Times New Roman" w:hAnsi="Times New Roman"/>
          <w:sz w:val="14"/>
          <w:szCs w:val="14"/>
          <w:color w:val="auto"/>
        </w:rPr>
        <w:t>Senior Loans and other CLO Assets typically provide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scheduled interest payments no less frequently than quarterly.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Investment Opportunity</w:t>
      </w:r>
    </w:p>
    <w:p>
      <w:pPr>
        <w:spacing w:after="0" w:line="127" w:lineRule="exact"/>
        <w:rPr>
          <w:sz w:val="20"/>
          <w:szCs w:val="20"/>
          <w:color w:val="auto"/>
        </w:rPr>
      </w:pPr>
    </w:p>
    <w:p>
      <w:pPr>
        <w:jc w:val="both"/>
        <w:ind w:left="1400" w:right="1419" w:firstLine="338"/>
        <w:spacing w:after="0" w:line="286" w:lineRule="auto"/>
        <w:rPr>
          <w:sz w:val="20"/>
          <w:szCs w:val="20"/>
          <w:color w:val="auto"/>
        </w:rPr>
      </w:pPr>
      <w:r>
        <w:rPr>
          <w:rFonts w:ascii="Times New Roman" w:cs="Times New Roman" w:eastAsia="Times New Roman" w:hAnsi="Times New Roman"/>
          <w:sz w:val="14"/>
          <w:szCs w:val="14"/>
          <w:color w:val="auto"/>
        </w:rPr>
        <w:t>We believe that the market for CLO-related assets provides us with opportunities to generate attractive risk-adjusted returns over the long term.</w:t>
      </w:r>
    </w:p>
    <w:p>
      <w:pPr>
        <w:spacing w:after="0" w:line="61" w:lineRule="exact"/>
        <w:rPr>
          <w:sz w:val="20"/>
          <w:szCs w:val="20"/>
          <w:color w:val="auto"/>
        </w:rPr>
      </w:pPr>
    </w:p>
    <w:p>
      <w:pPr>
        <w:jc w:val="both"/>
        <w:ind w:left="1400" w:right="1419" w:firstLine="338"/>
        <w:spacing w:after="0" w:line="263" w:lineRule="auto"/>
        <w:rPr>
          <w:sz w:val="20"/>
          <w:szCs w:val="20"/>
          <w:color w:val="auto"/>
        </w:rPr>
      </w:pPr>
      <w:r>
        <w:rPr>
          <w:rFonts w:ascii="Times New Roman" w:cs="Times New Roman" w:eastAsia="Times New Roman" w:hAnsi="Times New Roman"/>
          <w:sz w:val="14"/>
          <w:szCs w:val="14"/>
          <w:color w:val="auto"/>
        </w:rPr>
        <w:t>The long-term and relatively low-cost capital that many CLO vehicles have secured, compared with current asset spreads, have created opportunities to purchase certain CLO equity and junior debt instruments that may produce attractive risk-adjusted returns. Additionally, given that the CLO vehicles we invest in are cash flow-based vehicles, this term financing may be beneficial in periods of market volatility.</w:t>
      </w:r>
    </w:p>
    <w:p>
      <w:pPr>
        <w:spacing w:after="0" w:line="88" w:lineRule="exact"/>
        <w:rPr>
          <w:sz w:val="20"/>
          <w:szCs w:val="20"/>
          <w:color w:val="auto"/>
        </w:rPr>
      </w:pPr>
    </w:p>
    <w:p>
      <w:pPr>
        <w:jc w:val="both"/>
        <w:ind w:left="1400" w:right="1419" w:firstLine="338"/>
        <w:spacing w:after="0" w:line="263" w:lineRule="auto"/>
        <w:rPr>
          <w:sz w:val="20"/>
          <w:szCs w:val="20"/>
          <w:color w:val="auto"/>
        </w:rPr>
      </w:pPr>
      <w:r>
        <w:rPr>
          <w:rFonts w:ascii="Times New Roman" w:cs="Times New Roman" w:eastAsia="Times New Roman" w:hAnsi="Times New Roman"/>
          <w:sz w:val="14"/>
          <w:szCs w:val="14"/>
          <w:color w:val="auto"/>
        </w:rPr>
        <w:t>We continue to review a large number of CLO investment opportunities in the current market environment, and we expect that the majority of our portfolio holdings, over the near to intermediate-term, will continue to be comprised of CLO debt and equity securities, with the more significant focus over the near-term likely to be on CLO equity securities.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Leverage by the Company</w:t>
      </w:r>
    </w:p>
    <w:p>
      <w:pPr>
        <w:spacing w:after="0" w:line="127" w:lineRule="exact"/>
        <w:rPr>
          <w:sz w:val="20"/>
          <w:szCs w:val="20"/>
          <w:color w:val="auto"/>
        </w:rPr>
      </w:pPr>
    </w:p>
    <w:p>
      <w:pPr>
        <w:jc w:val="both"/>
        <w:ind w:left="1400" w:right="1419" w:firstLine="338"/>
        <w:spacing w:after="0" w:line="254" w:lineRule="auto"/>
        <w:rPr>
          <w:sz w:val="20"/>
          <w:szCs w:val="20"/>
          <w:color w:val="auto"/>
        </w:rPr>
      </w:pPr>
      <w:r>
        <w:rPr>
          <w:rFonts w:ascii="Times New Roman" w:cs="Times New Roman" w:eastAsia="Times New Roman" w:hAnsi="Times New Roman"/>
          <w:sz w:val="14"/>
          <w:szCs w:val="14"/>
          <w:color w:val="auto"/>
        </w:rPr>
        <w:t xml:space="preserve">We may use leverage as and to the extent permitted by the 1940 Act. We are permitted to obtain leverage using any form of financial leverage instruments, including funds borrowed from banks or other financial institutions, margin facilities, notes or preferred stock and leverage attributable to reverse repurchase agreements or similar transactions. Instruments that create leverage are generally considered to be senior securities under the 1940 Act. Under the 1940 Act, we are only permitted to incur additional indebtedness to the extent our asset coverage, as defined under the 1940 Act, is at least 300% immediately after each such borrowing. With respect to our outstanding preferred stock, we will generally be required to meet an asset coverage ratio, as defined under the 1940 Act, of at least 200% immediately after each issuance of such preferred stock. </w:t>
      </w:r>
      <w:r>
        <w:rPr>
          <w:rFonts w:ascii="Times New Roman" w:cs="Times New Roman" w:eastAsia="Times New Roman" w:hAnsi="Times New Roman"/>
          <w:sz w:val="14"/>
          <w:szCs w:val="14"/>
          <w:b w:val="1"/>
          <w:bCs w:val="1"/>
          <w:color w:val="auto"/>
        </w:rPr>
        <w:t>In addition, our Articles Supplementary for the Term Preferred Shares prohibit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us from declaring a common stock distribution if, at the time of declaration, our asset coverage ratio is not at least 200% after deducting the amount of such distribution. </w:t>
      </w:r>
      <w:r>
        <w:rPr>
          <w:rFonts w:ascii="Times New Roman" w:cs="Times New Roman" w:eastAsia="Times New Roman" w:hAnsi="Times New Roman"/>
          <w:sz w:val="14"/>
          <w:szCs w:val="14"/>
          <w:color w:val="auto"/>
        </w:rPr>
        <w:t>If we do not meet these asset coverage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requirements, we may be required to sell a portion of our investments and, depending on the nature of our leverage, repay a portion of our indebtedness or redeem outstanding shares of preferred stock, in each case at a time when doing so may be disadvantageous. See “Regulation as a Registered Closed-End Management Investment Company.”</w:t>
      </w:r>
    </w:p>
    <w:p>
      <w:pPr>
        <w:spacing w:after="0" w:line="15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116" w:lineRule="exact"/>
        <w:rPr>
          <w:sz w:val="20"/>
          <w:szCs w:val="20"/>
          <w:color w:val="auto"/>
        </w:rPr>
      </w:pPr>
    </w:p>
    <w:p>
      <w:pPr>
        <w:jc w:val="both"/>
        <w:ind w:left="1400" w:right="1419" w:firstLine="338"/>
        <w:spacing w:after="0" w:line="258" w:lineRule="auto"/>
        <w:rPr>
          <w:sz w:val="20"/>
          <w:szCs w:val="20"/>
          <w:color w:val="auto"/>
        </w:rPr>
      </w:pPr>
      <w:r>
        <w:rPr>
          <w:rFonts w:ascii="Times New Roman" w:cs="Times New Roman" w:eastAsia="Times New Roman" w:hAnsi="Times New Roman"/>
          <w:sz w:val="14"/>
          <w:szCs w:val="14"/>
          <w:color w:val="auto"/>
        </w:rPr>
        <w:t>Our Board of Directors may classify any unissued shares of stock and reclassify any previously classified but unissued shares of stock of any class or series from time to time, in one or more classes or series of stock, including preferred stock. We have authorized 50 million shares of mandatorily redeemable preferred stock, at a par value of $0.01 per share, and had 8,761,706 shares issued and outstanding at September 30, 2024. As of September 30, 2024, we had the following series of preferred stock outstanding: Series 2027 Term Preferred Shares, 6.00% Series 2029 Term Preferred Shares, and 7.125% Series 2029 Term Preferred Shares, each issued in an underwritten public offering.</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83" w:name="page84"/>
    <w:bookmarkEnd w:id="83"/>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65430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4037330" cy="6543040"/>
                    </a:xfrm>
                    <a:prstGeom prst="rect">
                      <a:avLst/>
                    </a:prstGeom>
                    <a:noFill/>
                  </pic:spPr>
                </pic:pic>
              </a:graphicData>
            </a:graphic>
          </wp:anchor>
        </w:drawing>
      </w:r>
    </w:p>
    <w:p>
      <w:pPr>
        <w:spacing w:after="0" w:line="253" w:lineRule="exact"/>
        <w:rPr>
          <w:sz w:val="20"/>
          <w:szCs w:val="20"/>
          <w:color w:val="auto"/>
        </w:rPr>
      </w:pPr>
    </w:p>
    <w:p>
      <w:pPr>
        <w:jc w:val="both"/>
        <w:ind w:left="1400" w:right="1419"/>
        <w:spacing w:after="0" w:line="255" w:lineRule="auto"/>
        <w:rPr>
          <w:sz w:val="20"/>
          <w:szCs w:val="20"/>
          <w:color w:val="auto"/>
        </w:rPr>
      </w:pPr>
      <w:r>
        <w:rPr>
          <w:rFonts w:ascii="Times New Roman" w:cs="Times New Roman" w:eastAsia="Times New Roman" w:hAnsi="Times New Roman"/>
          <w:sz w:val="14"/>
          <w:szCs w:val="14"/>
          <w:color w:val="auto"/>
        </w:rPr>
        <w:t>We are required to redeem all of the outstanding Term Preferred Shares on their respective redemption dates, at a redemption price equal to $25 per share plus an amount equal to accumulated but unpaid dividends, if any, to the date of the redemption. We cannot effect any amendment, alteration, or repeal of our obligation to redeem all of the Term Preferred Shares without the prior unanimous vote or consent of the holders of such Term Preferred Shares. At any time on or after the optional redemption date, at our sole option, we may redeem the Term Preferred Shares at a redemption price per share equal to the sum of the $25 liquidation preference per share plus an amount equal to accumulated but unpaid dividends, if any, on such Term Preferred Shares. There was $88.1 million of our Series 2027 Term Preferred Shares, $67.2 million of our 6.00% Series 2029 Term Preferred Shares and $63.8 million of our 7.125% Series 2029 Term Preferred Shares issued and outstanding as of September 30, 2024. As of September 30, 2024 there were no accumulated but unpaid dividends on our Term Preferred Shares.</w:t>
      </w:r>
    </w:p>
    <w:p>
      <w:pPr>
        <w:spacing w:after="0" w:line="97" w:lineRule="exact"/>
        <w:rPr>
          <w:sz w:val="20"/>
          <w:szCs w:val="20"/>
          <w:color w:val="auto"/>
        </w:rPr>
      </w:pPr>
    </w:p>
    <w:p>
      <w:pPr>
        <w:jc w:val="both"/>
        <w:ind w:left="1400" w:right="1419" w:firstLine="338"/>
        <w:spacing w:after="0" w:line="258" w:lineRule="auto"/>
        <w:rPr>
          <w:sz w:val="20"/>
          <w:szCs w:val="20"/>
          <w:color w:val="auto"/>
        </w:rPr>
      </w:pPr>
      <w:r>
        <w:rPr>
          <w:rFonts w:ascii="Times New Roman" w:cs="Times New Roman" w:eastAsia="Times New Roman" w:hAnsi="Times New Roman"/>
          <w:sz w:val="14"/>
          <w:szCs w:val="14"/>
          <w:color w:val="auto"/>
        </w:rPr>
        <w:t>On May 20, 2020, our Board of Directors authorized a program for the purpose of repurchasing up to $40 million worth of the outstanding shares of our Term Preferred Shares. Under this repurchase program, we could, but were not obligated to, repurchase our outstanding Term Preferred Shares in the open market from time to time through September 30, 2020. During the six months ended September 30, 2020, we repurchased 134,606 shares of 7.50% Series 2023 Term Preferred Shares for a total of approximately $3.2 million, 4,400 shares of Series 2024 Term Preferred Shares for a total of approximately $0.1 million, and 139,194 shares of 6.25% Series 2027 Term Preferred Shares, for a total of approximately $3.1 million.</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2027 Notes</w:t>
      </w:r>
    </w:p>
    <w:p>
      <w:pPr>
        <w:spacing w:after="0" w:line="116" w:lineRule="exact"/>
        <w:rPr>
          <w:sz w:val="20"/>
          <w:szCs w:val="20"/>
          <w:color w:val="auto"/>
        </w:rPr>
      </w:pPr>
    </w:p>
    <w:p>
      <w:pPr>
        <w:jc w:val="both"/>
        <w:ind w:left="1400" w:right="1419" w:firstLine="338"/>
        <w:spacing w:after="0" w:line="259" w:lineRule="auto"/>
        <w:rPr>
          <w:sz w:val="20"/>
          <w:szCs w:val="20"/>
          <w:color w:val="auto"/>
        </w:rPr>
      </w:pPr>
      <w:r>
        <w:rPr>
          <w:rFonts w:ascii="Times New Roman" w:cs="Times New Roman" w:eastAsia="Times New Roman" w:hAnsi="Times New Roman"/>
          <w:sz w:val="14"/>
          <w:szCs w:val="14"/>
          <w:color w:val="auto"/>
        </w:rPr>
        <w:t>On January 13, 2022, we completed an underwritten public offering, including the full exercise of the underwriters’ 30-day overallotment option, of $100.0 million in aggregate principal amount of 2027 Notes. The 2027 Notes will mature on January 31, 2027 and may be redeemed in whole or in part at any time or from time to time at our option on or after January 31, 2024. The 2027 Notes bear interest at a rate of 5.00% per year payable quarterly on March 31, June 30, September 30, and December 31, of each year, commencing March 31, 2022.</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2031 Notes</w:t>
      </w:r>
    </w:p>
    <w:p>
      <w:pPr>
        <w:spacing w:after="0" w:line="127" w:lineRule="exact"/>
        <w:rPr>
          <w:sz w:val="20"/>
          <w:szCs w:val="20"/>
          <w:color w:val="auto"/>
        </w:rPr>
      </w:pPr>
    </w:p>
    <w:p>
      <w:pPr>
        <w:jc w:val="both"/>
        <w:ind w:left="1400" w:right="1419" w:firstLine="338"/>
        <w:spacing w:after="0" w:line="259" w:lineRule="auto"/>
        <w:rPr>
          <w:sz w:val="20"/>
          <w:szCs w:val="20"/>
          <w:color w:val="auto"/>
        </w:rPr>
      </w:pPr>
      <w:r>
        <w:rPr>
          <w:rFonts w:ascii="Times New Roman" w:cs="Times New Roman" w:eastAsia="Times New Roman" w:hAnsi="Times New Roman"/>
          <w:sz w:val="14"/>
          <w:szCs w:val="14"/>
          <w:color w:val="auto"/>
        </w:rPr>
        <w:t>On March 16, 2021, we completed an underwritten public offering, including the full exercise of the underwriters’ 30-day overallotment option, of $100.0 million in aggregate principal amount of the 2031 Notes. The 2031 Notes will mature on March 31, 2031 and may be redeemed in whole or in part at any time or from time to time at our option on or after March 16, 2024. The 2031 Notes bear interest at a rate of 6.75% per year payable quarterly on March 31, June 30, September 30, and December 31, of each year, commencing June 30, 2021.</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2030 Notes</w:t>
      </w:r>
    </w:p>
    <w:p>
      <w:pPr>
        <w:spacing w:after="0" w:line="127" w:lineRule="exact"/>
        <w:rPr>
          <w:sz w:val="20"/>
          <w:szCs w:val="20"/>
          <w:color w:val="auto"/>
        </w:rPr>
      </w:pPr>
    </w:p>
    <w:p>
      <w:pPr>
        <w:jc w:val="both"/>
        <w:ind w:left="1400" w:right="1419" w:firstLine="338"/>
        <w:spacing w:after="0" w:line="259" w:lineRule="auto"/>
        <w:rPr>
          <w:sz w:val="20"/>
          <w:szCs w:val="20"/>
          <w:color w:val="auto"/>
        </w:rPr>
      </w:pPr>
      <w:r>
        <w:rPr>
          <w:rFonts w:ascii="Times New Roman" w:cs="Times New Roman" w:eastAsia="Times New Roman" w:hAnsi="Times New Roman"/>
          <w:sz w:val="14"/>
          <w:szCs w:val="14"/>
          <w:color w:val="auto"/>
        </w:rPr>
        <w:t>On July 8, 2024, we completed an underwritten public offering, including the full exercise of the underwriters’ 30-day overallotment option, of $115.0 million in aggregate principal amount of the 2030 Notes. The 2030 Notes will mature on June 30, 2030 and may be redeemed in whole or in part at any time or from time to time at our option on or after June 30, 2028. The 2030 Notes bear interest at a rate of 8.75% per year payable quarterly on March 31, June 30, September 30, and December 31, of each year, commencing September 30, 2024.</w:t>
      </w:r>
    </w:p>
    <w:p>
      <w:pPr>
        <w:spacing w:after="0" w:line="79" w:lineRule="exact"/>
        <w:rPr>
          <w:sz w:val="20"/>
          <w:szCs w:val="20"/>
          <w:color w:val="auto"/>
        </w:rPr>
      </w:pPr>
    </w:p>
    <w:p>
      <w:pPr>
        <w:jc w:val="both"/>
        <w:ind w:left="1400" w:right="1419" w:firstLine="338"/>
        <w:spacing w:after="0" w:line="255" w:lineRule="auto"/>
        <w:rPr>
          <w:sz w:val="20"/>
          <w:szCs w:val="20"/>
          <w:color w:val="auto"/>
        </w:rPr>
      </w:pPr>
      <w:r>
        <w:rPr>
          <w:rFonts w:ascii="Times New Roman" w:cs="Times New Roman" w:eastAsia="Times New Roman" w:hAnsi="Times New Roman"/>
          <w:sz w:val="14"/>
          <w:szCs w:val="14"/>
          <w:color w:val="auto"/>
        </w:rPr>
        <w:t>Subject to the limitations under the 1940 Act, we may incur additional leverage opportunistically or not at all and may choose to increase or decrease our leverage. We may use different types or combinations of leveraging instruments at any time based on the Adviser’s assessment of market conditions and the investment environment, including forms of leverage other than preferred stock, debt securities and/or credit facilities. In addition, we may also borrow amounts up to 5% of the value of our gross assets for temporary purposes without regard to asset coverage requirements described above. By leveraging our investment portfolio, we may create an opportunity for increased net income and capital appreciation. However, the use of leverage also involves significant risks and expenses, which will be borne entirely by our stockholders, and our leverage strategy may not be successful. For example, the more leverage is employed, the more likely a substantial change will occur in our net asset value per share of our common stock. See “Risk Factors — Risks Related to Our Investments — We may borrow money and/or issue preferred stock to leverage our portfolio, which would magnify the potential for gain or loss on amounts invested and will increase the risk of investing in us.” in our most recent annual or semi-annual report on Form N-CSR.</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84" w:name="page85"/>
    <w:bookmarkEnd w:id="84"/>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62877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4037330" cy="6287770"/>
                    </a:xfrm>
                    <a:prstGeom prst="rect">
                      <a:avLst/>
                    </a:prstGeom>
                    <a:noFill/>
                  </pic:spPr>
                </pic:pic>
              </a:graphicData>
            </a:graphic>
          </wp:anchor>
        </w:drawing>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127" w:lineRule="exact"/>
        <w:rPr>
          <w:sz w:val="20"/>
          <w:szCs w:val="20"/>
          <w:color w:val="auto"/>
        </w:rPr>
      </w:pPr>
    </w:p>
    <w:p>
      <w:pPr>
        <w:jc w:val="both"/>
        <w:ind w:left="1400" w:right="1419" w:firstLine="338"/>
        <w:spacing w:after="0" w:line="269" w:lineRule="auto"/>
        <w:rPr>
          <w:sz w:val="20"/>
          <w:szCs w:val="20"/>
          <w:color w:val="auto"/>
        </w:rPr>
      </w:pPr>
      <w:r>
        <w:rPr>
          <w:rFonts w:ascii="Times New Roman" w:cs="Times New Roman" w:eastAsia="Times New Roman" w:hAnsi="Times New Roman"/>
          <w:sz w:val="14"/>
          <w:szCs w:val="14"/>
          <w:color w:val="auto"/>
        </w:rPr>
        <w:t>The value of our assets, as well as the market price of our securities, will fluctuate. Our investments may be risky, and you may lose all or part of your investment in us. Investing in Oxford Lane Capital involves other risks, including the following:</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Relating to Our Business and Structure</w:t>
      </w:r>
    </w:p>
    <w:p>
      <w:pPr>
        <w:spacing w:after="0" w:line="127" w:lineRule="exact"/>
        <w:rPr>
          <w:sz w:val="20"/>
          <w:szCs w:val="20"/>
          <w:color w:val="auto"/>
        </w:rPr>
      </w:pPr>
    </w:p>
    <w:p>
      <w:pPr>
        <w:jc w:val="both"/>
        <w:ind w:left="2080" w:right="1419" w:hanging="341"/>
        <w:spacing w:after="0" w:line="269" w:lineRule="auto"/>
        <w:tabs>
          <w:tab w:leader="none" w:pos="207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investment portfolio is recorded at fair value, with our Board of Directors having final responsibility for overseeing, reviewing and approving, in good faith, its estimate of fair value and, as a result, there will be uncertainty as to the value of our portfolio investments.</w:t>
      </w:r>
    </w:p>
    <w:p>
      <w:pPr>
        <w:spacing w:after="0" w:line="72" w:lineRule="exact"/>
        <w:rPr>
          <w:rFonts w:ascii="Times New Roman" w:cs="Times New Roman" w:eastAsia="Times New Roman" w:hAnsi="Times New Roman"/>
          <w:sz w:val="14"/>
          <w:szCs w:val="14"/>
          <w:color w:val="auto"/>
        </w:rPr>
      </w:pPr>
    </w:p>
    <w:p>
      <w:pPr>
        <w:ind w:left="2080" w:right="1419" w:hanging="341"/>
        <w:spacing w:after="0" w:line="286" w:lineRule="auto"/>
        <w:tabs>
          <w:tab w:leader="none" w:pos="207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condition and results of operations will depend on our ability to manage our existing portfolio and future growth effectively.</w:t>
      </w:r>
    </w:p>
    <w:p>
      <w:pPr>
        <w:spacing w:after="0" w:line="71" w:lineRule="exact"/>
        <w:rPr>
          <w:rFonts w:ascii="Times New Roman" w:cs="Times New Roman" w:eastAsia="Times New Roman" w:hAnsi="Times New Roman"/>
          <w:sz w:val="14"/>
          <w:szCs w:val="14"/>
          <w:color w:val="auto"/>
        </w:rPr>
      </w:pPr>
    </w:p>
    <w:p>
      <w:pPr>
        <w:ind w:left="2080" w:right="1419" w:hanging="341"/>
        <w:spacing w:after="0" w:line="286" w:lineRule="auto"/>
        <w:tabs>
          <w:tab w:leader="none" w:pos="207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upon Oxford Lane Management’s key management personnel for our future success, particularly Jonathan H. Cohen and Saul B. Rosenthal.</w:t>
      </w:r>
    </w:p>
    <w:p>
      <w:pPr>
        <w:spacing w:after="0" w:line="71" w:lineRule="exact"/>
        <w:rPr>
          <w:rFonts w:ascii="Times New Roman" w:cs="Times New Roman" w:eastAsia="Times New Roman" w:hAnsi="Times New Roman"/>
          <w:sz w:val="14"/>
          <w:szCs w:val="14"/>
          <w:color w:val="auto"/>
        </w:rPr>
      </w:pPr>
    </w:p>
    <w:p>
      <w:pPr>
        <w:ind w:left="2080" w:hanging="341"/>
        <w:spacing w:after="0"/>
        <w:tabs>
          <w:tab w:leader="none" w:pos="20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market for investment opportunities.</w:t>
      </w:r>
    </w:p>
    <w:p>
      <w:pPr>
        <w:spacing w:after="0" w:line="114" w:lineRule="exact"/>
        <w:rPr>
          <w:rFonts w:ascii="Times New Roman" w:cs="Times New Roman" w:eastAsia="Times New Roman" w:hAnsi="Times New Roman"/>
          <w:sz w:val="14"/>
          <w:szCs w:val="14"/>
          <w:color w:val="auto"/>
        </w:rPr>
      </w:pPr>
    </w:p>
    <w:p>
      <w:pPr>
        <w:jc w:val="both"/>
        <w:ind w:left="2080" w:right="1419" w:hanging="341"/>
        <w:spacing w:after="0" w:line="263" w:lineRule="auto"/>
        <w:tabs>
          <w:tab w:leader="none" w:pos="207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governing our operation as a registered closed-end management investment company, including the asset coverage ratio requirements under the 1940 Act, affect our ability to raise additional capital and the way in which we do so. The raising of debt capital may expose us to risks, including the typical risks associated with leverage.</w:t>
      </w:r>
    </w:p>
    <w:p>
      <w:pPr>
        <w:spacing w:after="0" w:line="87" w:lineRule="exact"/>
        <w:rPr>
          <w:rFonts w:ascii="Times New Roman" w:cs="Times New Roman" w:eastAsia="Times New Roman" w:hAnsi="Times New Roman"/>
          <w:sz w:val="14"/>
          <w:szCs w:val="14"/>
          <w:color w:val="auto"/>
        </w:rPr>
      </w:pPr>
    </w:p>
    <w:p>
      <w:pPr>
        <w:ind w:left="2080" w:right="1419" w:hanging="341"/>
        <w:spacing w:after="0" w:line="286" w:lineRule="auto"/>
        <w:tabs>
          <w:tab w:leader="none" w:pos="207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permitted to borrow money, which magnifies the potential for gain or loss on amounts invested and may increase the risk of investing in us.</w:t>
      </w:r>
    </w:p>
    <w:p>
      <w:pPr>
        <w:spacing w:after="0" w:line="71" w:lineRule="exact"/>
        <w:rPr>
          <w:rFonts w:ascii="Times New Roman" w:cs="Times New Roman" w:eastAsia="Times New Roman" w:hAnsi="Times New Roman"/>
          <w:sz w:val="14"/>
          <w:szCs w:val="14"/>
          <w:color w:val="auto"/>
        </w:rPr>
      </w:pPr>
    </w:p>
    <w:p>
      <w:pPr>
        <w:ind w:left="2080" w:right="1419" w:hanging="341"/>
        <w:spacing w:after="0" w:line="286" w:lineRule="auto"/>
        <w:tabs>
          <w:tab w:leader="none" w:pos="207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significant potential conflicts of interest between Oxford Lane Management and our management team.</w:t>
      </w:r>
    </w:p>
    <w:p>
      <w:pPr>
        <w:spacing w:after="0" w:line="1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U.S. Federal Tax Regulation</w:t>
      </w:r>
    </w:p>
    <w:p>
      <w:pPr>
        <w:spacing w:after="0" w:line="116" w:lineRule="exact"/>
        <w:rPr>
          <w:sz w:val="20"/>
          <w:szCs w:val="20"/>
          <w:color w:val="auto"/>
        </w:rPr>
      </w:pPr>
    </w:p>
    <w:p>
      <w:pPr>
        <w:ind w:left="2080" w:right="1419" w:hanging="341"/>
        <w:spacing w:after="0" w:line="286" w:lineRule="auto"/>
        <w:tabs>
          <w:tab w:leader="none" w:pos="207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subject to U.S. federal income tax at corporate rates, if we are unable to qualify for tax treatment as a RIC for U.S. federal income tax purposes.</w:t>
      </w:r>
    </w:p>
    <w:p>
      <w:pPr>
        <w:spacing w:after="0" w:line="1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Relating to Our Investments</w:t>
      </w:r>
    </w:p>
    <w:p>
      <w:pPr>
        <w:spacing w:after="0" w:line="127" w:lineRule="exact"/>
        <w:rPr>
          <w:sz w:val="20"/>
          <w:szCs w:val="20"/>
          <w:color w:val="auto"/>
        </w:rPr>
      </w:pPr>
    </w:p>
    <w:p>
      <w:pPr>
        <w:ind w:left="2080" w:right="1419" w:hanging="341"/>
        <w:spacing w:after="0" w:line="286" w:lineRule="auto"/>
        <w:tabs>
          <w:tab w:leader="none" w:pos="207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investments in CLO vehicles are riskier and less transparent to us and our stockholders than direct investments in the underlying Senior Loans or CLO Assets.</w:t>
      </w:r>
    </w:p>
    <w:p>
      <w:pPr>
        <w:spacing w:after="0" w:line="71" w:lineRule="exact"/>
        <w:rPr>
          <w:rFonts w:ascii="Times New Roman" w:cs="Times New Roman" w:eastAsia="Times New Roman" w:hAnsi="Times New Roman"/>
          <w:sz w:val="14"/>
          <w:szCs w:val="14"/>
          <w:color w:val="auto"/>
        </w:rPr>
      </w:pPr>
    </w:p>
    <w:p>
      <w:pPr>
        <w:ind w:left="2080" w:hanging="341"/>
        <w:spacing w:after="0"/>
        <w:tabs>
          <w:tab w:leader="none" w:pos="20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 securities and their investments are often illiquid.</w:t>
      </w:r>
    </w:p>
    <w:p>
      <w:pPr>
        <w:spacing w:after="0" w:line="114" w:lineRule="exact"/>
        <w:rPr>
          <w:rFonts w:ascii="Times New Roman" w:cs="Times New Roman" w:eastAsia="Times New Roman" w:hAnsi="Times New Roman"/>
          <w:sz w:val="14"/>
          <w:szCs w:val="14"/>
          <w:color w:val="auto"/>
        </w:rPr>
      </w:pPr>
    </w:p>
    <w:p>
      <w:pPr>
        <w:jc w:val="both"/>
        <w:ind w:left="2080" w:right="1419" w:hanging="341"/>
        <w:spacing w:after="0" w:line="269" w:lineRule="auto"/>
        <w:tabs>
          <w:tab w:leader="none" w:pos="207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portfolio of investments may lack diversification among CLO vehicles which may subject us to a risk of significant loss if one or more of these CLO vehicles experience a high level of defaults on its underlying Senior Loans or CLO Assets.</w:t>
      </w:r>
    </w:p>
    <w:p>
      <w:pPr>
        <w:spacing w:after="0" w:line="82" w:lineRule="exact"/>
        <w:rPr>
          <w:rFonts w:ascii="Times New Roman" w:cs="Times New Roman" w:eastAsia="Times New Roman" w:hAnsi="Times New Roman"/>
          <w:sz w:val="14"/>
          <w:szCs w:val="14"/>
          <w:color w:val="auto"/>
        </w:rPr>
      </w:pPr>
    </w:p>
    <w:p>
      <w:pPr>
        <w:ind w:left="2080" w:right="1419" w:hanging="341"/>
        <w:spacing w:after="0" w:line="286" w:lineRule="auto"/>
        <w:tabs>
          <w:tab w:leader="none" w:pos="207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Investing in CLO vehicles, Senior Loans and other high-yield corporate credits involves a variety of risks, any of which may adversely impact our performance.</w:t>
      </w:r>
    </w:p>
    <w:p>
      <w:pPr>
        <w:spacing w:after="0" w:line="71" w:lineRule="exact"/>
        <w:rPr>
          <w:rFonts w:ascii="Times New Roman" w:cs="Times New Roman" w:eastAsia="Times New Roman" w:hAnsi="Times New Roman"/>
          <w:sz w:val="14"/>
          <w:szCs w:val="14"/>
          <w:color w:val="auto"/>
        </w:rPr>
      </w:pPr>
    </w:p>
    <w:p>
      <w:pPr>
        <w:ind w:left="2080" w:right="1419" w:hanging="341"/>
        <w:spacing w:after="0" w:line="286" w:lineRule="auto"/>
        <w:tabs>
          <w:tab w:leader="none" w:pos="207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may adversely affect our and our portfolio companies’ business, results of operations and financial condition.</w:t>
      </w:r>
    </w:p>
    <w:p>
      <w:pPr>
        <w:spacing w:after="0" w:line="1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Relating to an Investment in Our Securities</w:t>
      </w:r>
    </w:p>
    <w:p>
      <w:pPr>
        <w:spacing w:after="0" w:line="116" w:lineRule="exact"/>
        <w:rPr>
          <w:sz w:val="20"/>
          <w:szCs w:val="20"/>
          <w:color w:val="auto"/>
        </w:rPr>
      </w:pPr>
    </w:p>
    <w:p>
      <w:pPr>
        <w:jc w:val="both"/>
        <w:ind w:left="2080" w:right="1419" w:hanging="341"/>
        <w:spacing w:after="0" w:line="263" w:lineRule="auto"/>
        <w:tabs>
          <w:tab w:leader="none" w:pos="207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of closed-end management investment companies, including Oxford Lane Capital, have in the past frequently traded at discounts to their net asset values, and we cannot assure you that the market price of shares of our common stock will not decline below our net asset value per share.</w:t>
      </w:r>
    </w:p>
    <w:p>
      <w:pPr>
        <w:spacing w:after="0" w:line="87" w:lineRule="exact"/>
        <w:rPr>
          <w:rFonts w:ascii="Times New Roman" w:cs="Times New Roman" w:eastAsia="Times New Roman" w:hAnsi="Times New Roman"/>
          <w:sz w:val="14"/>
          <w:szCs w:val="14"/>
          <w:color w:val="auto"/>
        </w:rPr>
      </w:pPr>
    </w:p>
    <w:p>
      <w:pPr>
        <w:ind w:left="2080" w:hanging="341"/>
        <w:spacing w:after="0"/>
        <w:tabs>
          <w:tab w:leader="none" w:pos="20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common stock price may be volatile and may decrease substantially.</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85" w:name="page86"/>
    <w:bookmarkEnd w:id="85"/>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3459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4037330" cy="3459480"/>
                    </a:xfrm>
                    <a:prstGeom prst="rect">
                      <a:avLst/>
                    </a:prstGeom>
                    <a:noFill/>
                  </pic:spPr>
                </pic:pic>
              </a:graphicData>
            </a:graphic>
          </wp:anchor>
        </w:drawing>
      </w:r>
    </w:p>
    <w:p>
      <w:pPr>
        <w:spacing w:after="0" w:line="253" w:lineRule="exact"/>
        <w:rPr>
          <w:sz w:val="20"/>
          <w:szCs w:val="20"/>
          <w:color w:val="auto"/>
        </w:rPr>
      </w:pPr>
    </w:p>
    <w:p>
      <w:pPr>
        <w:jc w:val="both"/>
        <w:ind w:left="1400" w:right="1419" w:firstLine="338"/>
        <w:spacing w:after="0" w:line="269" w:lineRule="auto"/>
        <w:rPr>
          <w:sz w:val="20"/>
          <w:szCs w:val="20"/>
          <w:color w:val="auto"/>
        </w:rPr>
      </w:pPr>
      <w:r>
        <w:rPr>
          <w:rFonts w:ascii="Times New Roman" w:cs="Times New Roman" w:eastAsia="Times New Roman" w:hAnsi="Times New Roman"/>
          <w:sz w:val="14"/>
          <w:szCs w:val="14"/>
          <w:color w:val="auto"/>
        </w:rPr>
        <w:t>See “Risk Factors” in our most recent annual or semi-annual report on Form N-CSR, as well as in subsequent filings with the SEC, for additional discussion of factors you should carefully consider before investing in our securities.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Operating and Regulatory Structure</w:t>
      </w:r>
    </w:p>
    <w:p>
      <w:pPr>
        <w:spacing w:after="0" w:line="127" w:lineRule="exact"/>
        <w:rPr>
          <w:sz w:val="20"/>
          <w:szCs w:val="20"/>
          <w:color w:val="auto"/>
        </w:rPr>
      </w:pPr>
    </w:p>
    <w:p>
      <w:pPr>
        <w:jc w:val="both"/>
        <w:ind w:left="1400" w:right="1419" w:firstLine="338"/>
        <w:spacing w:after="0" w:line="259" w:lineRule="auto"/>
        <w:rPr>
          <w:sz w:val="20"/>
          <w:szCs w:val="20"/>
          <w:color w:val="auto"/>
        </w:rPr>
      </w:pPr>
      <w:r>
        <w:rPr>
          <w:rFonts w:ascii="Times New Roman" w:cs="Times New Roman" w:eastAsia="Times New Roman" w:hAnsi="Times New Roman"/>
          <w:sz w:val="14"/>
          <w:szCs w:val="14"/>
          <w:color w:val="auto"/>
        </w:rPr>
        <w:t>Oxford Lane Capital is a Maryland corporation that is a closed-end management investment company that has registered as an investment company under the 1940 Act. As a registered closed-end fund, we are required to meet regulatory tests. See “Regulation as a Registered Closed-End Management Investment Company.” We may also borrow funds to make investments. In addition, we have elected to be treated for U.S. federal income tax purposes, and intend to qualify annually, as a RIC under Subchapter M of the Code. See “Certain U.S. Federal Income Tax Considerations.”</w:t>
      </w:r>
    </w:p>
    <w:p>
      <w:pPr>
        <w:spacing w:after="0" w:line="79" w:lineRule="exact"/>
        <w:rPr>
          <w:sz w:val="20"/>
          <w:szCs w:val="20"/>
          <w:color w:val="auto"/>
        </w:rPr>
      </w:pPr>
    </w:p>
    <w:p>
      <w:pPr>
        <w:jc w:val="both"/>
        <w:ind w:left="1400" w:right="1419" w:firstLine="338"/>
        <w:spacing w:after="0" w:line="256" w:lineRule="auto"/>
        <w:rPr>
          <w:sz w:val="20"/>
          <w:szCs w:val="20"/>
          <w:color w:val="auto"/>
        </w:rPr>
      </w:pPr>
      <w:r>
        <w:rPr>
          <w:rFonts w:ascii="Times New Roman" w:cs="Times New Roman" w:eastAsia="Times New Roman" w:hAnsi="Times New Roman"/>
          <w:sz w:val="14"/>
          <w:szCs w:val="14"/>
          <w:color w:val="auto"/>
        </w:rPr>
        <w:t>Our investment activities are managed by Oxford Lane Management and supervised by our Board of Directors. Oxford Lane Management is an investment adviser that is registered under the Advisers Act. Under our Investment Advisory Agreement, we have agreed to pay Oxford Lane Management an annual base management fee based on our gross assets as well as an incentive fee based on our performance. See “Investment Advisory Agreement.” We have also entered into an Administration Agreement with Oxford Funds, under which we have agreed to reimburse Oxford Funds for our allocable portion of overhead and other expenses incurred by Oxford Funds in performing its obligations under the Administration Agreement, including furnishing us with office facilities, equipment and clerical, bookkeeping and record keeping services at such facilities, as well as providing us with other administrative services. See “Administration Agreement.”</w:t>
      </w:r>
    </w:p>
    <w:p>
      <w:pPr>
        <w:spacing w:after="0" w:line="264" w:lineRule="exact"/>
        <w:rPr>
          <w:sz w:val="20"/>
          <w:szCs w:val="20"/>
          <w:color w:val="auto"/>
        </w:rPr>
      </w:pPr>
    </w:p>
    <w:p>
      <w:pPr>
        <w:jc w:val="both"/>
        <w:ind w:left="1400" w:right="1419" w:firstLine="338"/>
        <w:spacing w:after="0" w:line="286" w:lineRule="auto"/>
        <w:rPr>
          <w:sz w:val="20"/>
          <w:szCs w:val="20"/>
          <w:color w:val="auto"/>
        </w:rPr>
      </w:pPr>
      <w:r>
        <w:rPr>
          <w:rFonts w:ascii="Times New Roman" w:cs="Times New Roman" w:eastAsia="Times New Roman" w:hAnsi="Times New Roman"/>
          <w:sz w:val="14"/>
          <w:szCs w:val="14"/>
          <w:color w:val="auto"/>
        </w:rPr>
        <w:t>Oxford Funds also serves as the managing member of Oxford Lane Management. Messrs. Cohen and Rosenthal, in turn, serve as the managing member and non-managing member, respectively, of Oxford Funds.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Our Corporate Information</w:t>
      </w:r>
    </w:p>
    <w:p>
      <w:pPr>
        <w:spacing w:after="0" w:line="127" w:lineRule="exact"/>
        <w:rPr>
          <w:sz w:val="20"/>
          <w:szCs w:val="20"/>
          <w:color w:val="auto"/>
        </w:rPr>
      </w:pPr>
    </w:p>
    <w:p>
      <w:pPr>
        <w:jc w:val="both"/>
        <w:ind w:left="1400" w:right="1419" w:firstLine="338"/>
        <w:spacing w:after="0" w:line="286" w:lineRule="auto"/>
        <w:rPr>
          <w:sz w:val="20"/>
          <w:szCs w:val="20"/>
          <w:color w:val="auto"/>
        </w:rPr>
      </w:pPr>
      <w:r>
        <w:rPr>
          <w:rFonts w:ascii="Times New Roman" w:cs="Times New Roman" w:eastAsia="Times New Roman" w:hAnsi="Times New Roman"/>
          <w:sz w:val="14"/>
          <w:szCs w:val="14"/>
          <w:color w:val="auto"/>
        </w:rPr>
        <w:t>Our offices are located at 8 Sound Shore Drive, Suite 255, Greenwich, CT 06830, and our telephone number is (203) 983-5275.</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86" w:name="page87"/>
    <w:bookmarkEnd w:id="86"/>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6865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4037330" cy="6865620"/>
                    </a:xfrm>
                    <a:prstGeom prst="rect">
                      <a:avLst/>
                    </a:prstGeom>
                    <a:noFill/>
                  </pic:spPr>
                </pic:pic>
              </a:graphicData>
            </a:graphic>
          </wp:anchor>
        </w:drawing>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OFFERINGS</w:t>
      </w:r>
    </w:p>
    <w:p>
      <w:pPr>
        <w:spacing w:after="0" w:line="127" w:lineRule="exact"/>
        <w:rPr>
          <w:sz w:val="20"/>
          <w:szCs w:val="20"/>
          <w:color w:val="auto"/>
        </w:rPr>
      </w:pPr>
    </w:p>
    <w:p>
      <w:pPr>
        <w:jc w:val="both"/>
        <w:ind w:left="1400" w:right="1419" w:firstLine="338"/>
        <w:spacing w:after="0" w:line="255" w:lineRule="auto"/>
        <w:rPr>
          <w:sz w:val="20"/>
          <w:szCs w:val="20"/>
          <w:color w:val="auto"/>
        </w:rPr>
      </w:pPr>
      <w:r>
        <w:rPr>
          <w:rFonts w:ascii="Times New Roman" w:cs="Times New Roman" w:eastAsia="Times New Roman" w:hAnsi="Times New Roman"/>
          <w:sz w:val="14"/>
          <w:szCs w:val="14"/>
          <w:color w:val="auto"/>
        </w:rPr>
        <w:t>We may offer, from time to time in one or more offerings, our common stock, preferred stock, subscription rights to purchase shares of our common stock or debt securities, on terms to be determined at the time of the offering. We will offer our securities at prices and on terms to be set forth in one or more supplements to this prospectus. The offering price per share of our securities, less any underwriting commissions or discounts, generally will not be less than the net asset value per share of our securities at the time of an offering. However, we may issue shares of our securities pursuant to this prospectus at a price per share that is less than our net asset value per share (i) in connection with a rights offering to our existing stockholders, (ii) with the prior approval of the majority (as defined in the 1940 Act) of our common stockholders or (iii) under such other circumstances as the SEC may permit. Any such issuance of shares of our common stock below net asset value may be dilutive to the net asset value of our common stock. See “Risk Factors — Risks Relating to an Investment in our Common Stock.” in our most recent annual or semi-annual report on Form N-CSR.</w:t>
      </w:r>
    </w:p>
    <w:p>
      <w:pPr>
        <w:spacing w:after="0" w:line="95" w:lineRule="exact"/>
        <w:rPr>
          <w:sz w:val="20"/>
          <w:szCs w:val="20"/>
          <w:color w:val="auto"/>
        </w:rPr>
      </w:pPr>
    </w:p>
    <w:p>
      <w:pPr>
        <w:jc w:val="both"/>
        <w:ind w:left="1400" w:right="1419" w:firstLine="338"/>
        <w:spacing w:after="0" w:line="258" w:lineRule="auto"/>
        <w:rPr>
          <w:sz w:val="20"/>
          <w:szCs w:val="20"/>
          <w:color w:val="auto"/>
        </w:rPr>
      </w:pPr>
      <w:r>
        <w:rPr>
          <w:rFonts w:ascii="Times New Roman" w:cs="Times New Roman" w:eastAsia="Times New Roman" w:hAnsi="Times New Roman"/>
          <w:sz w:val="14"/>
          <w:szCs w:val="14"/>
          <w:color w:val="auto"/>
        </w:rPr>
        <w:t>Our securities may be offered directly to one or more purchasers, or through agents designated from time to time by us, or to or through underwriters or dealers. The prospectus supplement relating to an offering will identify any agents or underwriters involved in the sale of our securities, and will disclose any applicable purchase price, fee, commission or discount arrangement between us and our agents or underwriters or among our underwriters or the basis upon which such amount may be calculated. See “Plan of Distribution.” We may not sell any of our securities through agents, underwriters or dealers without delivery of this prospectus and a prospectus supplement describing the method and terms of the offering of such securities.</w:t>
      </w:r>
    </w:p>
    <w:p>
      <w:pPr>
        <w:spacing w:after="0" w:line="7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Set forth below is additional information regarding offerings of our securities:</w:t>
      </w:r>
    </w:p>
    <w:p>
      <w:pPr>
        <w:spacing w:after="0" w:line="156" w:lineRule="exact"/>
        <w:rPr>
          <w:sz w:val="20"/>
          <w:szCs w:val="20"/>
          <w:color w:val="auto"/>
        </w:rPr>
      </w:pPr>
    </w:p>
    <w:tbl>
      <w:tblPr>
        <w:tblLayout w:type="fixed"/>
        <w:tblInd w:w="1320" w:type="dxa"/>
        <w:tblCellMar>
          <w:top w:w="0" w:type="dxa"/>
          <w:left w:w="0" w:type="dxa"/>
          <w:bottom w:w="0" w:type="dxa"/>
          <w:right w:w="0" w:type="dxa"/>
        </w:tblCellMar>
      </w:tblPr>
      <w:tr>
        <w:trPr>
          <w:trHeight w:val="169"/>
        </w:trPr>
        <w:tc>
          <w:tcPr>
            <w:tcW w:w="2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Use of Proceeds</w:t>
            </w: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 intend to use the net proceeds from the sale of our securities</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pursuant  to  this  prospectus  for  acquiring  investments  in</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accordance  with  our  investment  objective  and  strategies</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described in this prospectus and/or for general working capital</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purposes. We may also pay operating expenses, including</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advisory and administrative fees and expenses, and may pay</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expenses such as due diligence expenses of potential new</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investments, from the net proceeds of any offering conducted</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pursuant to this prospectus. We may choose to use the proceeds</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from any offering to pay distributions, in which case all or part</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the distribution could be considered a return of capital if total</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 exceed the Company’s net investment income.</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Finally, we may also pay down any existing indebtedness</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and/or redeem outstanding shares of our preferred stock or</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notes using the proceeds from any offering. We anticipate that</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substantially all of the net proceeds of any such offering will be</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used for the above purposes within approximately three months</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from the consummation of such offering, depending on the</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availability of appropriate investment opportunities consistent</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our investment objective and market conditions. Each</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supplement to this prospectus relating to an offering will more</w:t>
            </w:r>
          </w:p>
        </w:tc>
      </w:tr>
      <w:tr>
        <w:trPr>
          <w:trHeight w:val="169"/>
        </w:trPr>
        <w:tc>
          <w:tcPr>
            <w:tcW w:w="25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fully identify the use of the proceeds from such offering. See</w:t>
            </w:r>
          </w:p>
        </w:tc>
      </w:tr>
      <w:tr>
        <w:trPr>
          <w:trHeight w:val="184"/>
        </w:trPr>
        <w:tc>
          <w:tcPr>
            <w:tcW w:w="254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“Use of Proceeds.”</w:t>
            </w:r>
          </w:p>
        </w:tc>
      </w:tr>
      <w:tr>
        <w:trPr>
          <w:trHeight w:val="307"/>
        </w:trPr>
        <w:tc>
          <w:tcPr>
            <w:tcW w:w="2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NASDAQ Global Select Market symbols</w:t>
            </w: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“OXLC” (common stock)</w:t>
            </w:r>
          </w:p>
        </w:tc>
      </w:tr>
      <w:tr>
        <w:trPr>
          <w:trHeight w:val="317"/>
        </w:trPr>
        <w:tc>
          <w:tcPr>
            <w:tcW w:w="254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“OXLCP” (Series 2027 Term Preferred Shares)</w:t>
            </w:r>
          </w:p>
        </w:tc>
      </w:tr>
      <w:tr>
        <w:trPr>
          <w:trHeight w:val="317"/>
        </w:trPr>
        <w:tc>
          <w:tcPr>
            <w:tcW w:w="254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“OXLCO” (6.00% Series 2029 Term Preferred Shares)</w:t>
            </w:r>
          </w:p>
        </w:tc>
      </w:tr>
      <w:tr>
        <w:trPr>
          <w:trHeight w:val="317"/>
        </w:trPr>
        <w:tc>
          <w:tcPr>
            <w:tcW w:w="254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“OXLCN” (7.125% Series 2029 Term Preferred Shares)</w:t>
            </w:r>
          </w:p>
        </w:tc>
      </w:tr>
      <w:tr>
        <w:trPr>
          <w:trHeight w:val="317"/>
        </w:trPr>
        <w:tc>
          <w:tcPr>
            <w:tcW w:w="254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“OXLCZ” (2027 Notes)</w:t>
            </w:r>
          </w:p>
        </w:tc>
      </w:tr>
      <w:tr>
        <w:trPr>
          <w:trHeight w:val="317"/>
        </w:trPr>
        <w:tc>
          <w:tcPr>
            <w:tcW w:w="254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“OXLCL” (2031 Notes)</w:t>
            </w:r>
          </w:p>
        </w:tc>
      </w:tr>
      <w:tr>
        <w:trPr>
          <w:trHeight w:val="317"/>
        </w:trPr>
        <w:tc>
          <w:tcPr>
            <w:tcW w:w="254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“OXLCI” (2030 Notes)</w:t>
            </w:r>
          </w:p>
        </w:tc>
      </w:tr>
      <w:tr>
        <w:trPr>
          <w:trHeight w:val="324"/>
        </w:trPr>
        <w:tc>
          <w:tcPr>
            <w:tcW w:w="25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r>
        <w:trPr>
          <w:trHeight w:val="302"/>
        </w:trPr>
        <w:tc>
          <w:tcPr>
            <w:tcW w:w="25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8</w:t>
            </w:r>
          </w:p>
        </w:tc>
      </w:tr>
    </w:tbl>
    <w:p>
      <w:pPr>
        <w:sectPr>
          <w:pgSz w:w="11900" w:h="16838" w:orient="portrait"/>
          <w:cols w:equalWidth="0" w:num="1">
            <w:col w:w="9019"/>
          </w:cols>
          <w:pgMar w:left="1440" w:top="241" w:right="1440" w:bottom="1440" w:gutter="0" w:footer="0" w:header="0"/>
        </w:sectPr>
      </w:pPr>
    </w:p>
    <w:bookmarkStart w:id="87" w:name="page88"/>
    <w:bookmarkEnd w:id="87"/>
    <w:p>
      <w:pPr>
        <w:ind w:left="1320"/>
        <w:spacing w:after="0"/>
        <w:rPr>
          <w:sz w:val="20"/>
          <w:szCs w:val="20"/>
          <w:color w:val="auto"/>
        </w:rPr>
      </w:pPr>
      <w:r>
        <w:rPr>
          <w:rFonts w:ascii="Times New Roman" w:cs="Times New Roman" w:eastAsia="Times New Roman" w:hAnsi="Times New Roman"/>
          <w:sz w:val="14"/>
          <w:szCs w:val="14"/>
          <w:color w:val="0000EE"/>
        </w:rPr>
        <w:t>Table of Contents</w:t>
      </w:r>
    </w:p>
    <w:tbl>
      <w:tblPr>
        <w:tblLayout w:type="fixed"/>
        <w:tblInd w:w="1330" w:type="dxa"/>
        <w:tblCellMar>
          <w:top w:w="0" w:type="dxa"/>
          <w:left w:w="0" w:type="dxa"/>
          <w:bottom w:w="0" w:type="dxa"/>
          <w:right w:w="0" w:type="dxa"/>
        </w:tblCellMar>
      </w:tblPr>
      <w:tr>
        <w:trPr>
          <w:trHeight w:val="463"/>
        </w:trPr>
        <w:tc>
          <w:tcPr>
            <w:tcW w:w="212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Distributions</w:t>
            </w:r>
          </w:p>
        </w:tc>
        <w:tc>
          <w:tcPr>
            <w:tcW w:w="424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To the extent that we have income available, we intend to</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distribute monthly distributions to our common stockholders.</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The amount of our distributions, if any, will be determined by</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our Board of Directors. Any distributions to our stockholders</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will be declared out of assets legally available for distribution.</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The specific tax characteristics of our distributions will be</w:t>
            </w:r>
          </w:p>
        </w:tc>
      </w:tr>
      <w:tr>
        <w:trPr>
          <w:trHeight w:val="184"/>
        </w:trPr>
        <w:tc>
          <w:tcPr>
            <w:tcW w:w="2120" w:type="dxa"/>
            <w:vAlign w:val="bottom"/>
            <w:tcBorders>
              <w:left w:val="single" w:sz="8" w:color="auto"/>
            </w:tcBorders>
          </w:tcPr>
          <w:p>
            <w:pPr>
              <w:spacing w:after="0"/>
              <w:rPr>
                <w:sz w:val="15"/>
                <w:szCs w:val="15"/>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reported to stockholders after the end of each calendar year.</w:t>
            </w:r>
          </w:p>
        </w:tc>
      </w:tr>
      <w:tr>
        <w:trPr>
          <w:trHeight w:val="292"/>
        </w:trPr>
        <w:tc>
          <w:tcPr>
            <w:tcW w:w="2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Taxation</w:t>
            </w: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We have elected to be treated for U.S. federal income tax</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purposes as a RIC under Subchapter M of the Code. As a RIC,</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we generally do not have to pay corporate-level U.S. federal</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income taxes on any ordinary income or capital gains that we</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distribute to our stockholders as dividends. To maintain our</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RIC tax treatment, we must meet specified source-of-income</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and asset diversification requirements and distribute annually at</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least 90% of our ordinary income and realized net short-term</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capital gains in excess of realized net long-term capital losses,</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if any. See “Price Range of Common Stock” and “Certain</w:t>
            </w:r>
          </w:p>
        </w:tc>
      </w:tr>
      <w:tr>
        <w:trPr>
          <w:trHeight w:val="184"/>
        </w:trPr>
        <w:tc>
          <w:tcPr>
            <w:tcW w:w="2120" w:type="dxa"/>
            <w:vAlign w:val="bottom"/>
            <w:tcBorders>
              <w:left w:val="single" w:sz="8" w:color="auto"/>
            </w:tcBorders>
          </w:tcPr>
          <w:p>
            <w:pPr>
              <w:spacing w:after="0"/>
              <w:rPr>
                <w:sz w:val="15"/>
                <w:szCs w:val="15"/>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U.S. Federal Income Tax Considerations.”</w:t>
            </w:r>
          </w:p>
        </w:tc>
      </w:tr>
      <w:tr>
        <w:trPr>
          <w:trHeight w:val="303"/>
        </w:trPr>
        <w:tc>
          <w:tcPr>
            <w:tcW w:w="2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Investment Advisory Fees</w:t>
            </w: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We pay Oxford Lane Management a fee for its services under</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the  Investment  Advisory  Agreement  consisting  of  two</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components — a base management fee and an incentive fee.</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The base management fee is calculated at an annual rate of</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2.00% of our gross assets, which includes any borrowings for</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investment  purposes.  The  incentive  fee  is  calculated  and</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payable quarterly in arrears and equals 20.0% of our “pre-</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incentive fee net investment income” for the immediately</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preceding quarter, subject to a preferred return, or “hurdle,” and</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 “catch up” feature. No incentive fees are payable to Oxford</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Lane  Management  on  any  realized  capital  gains.  See</w:t>
            </w:r>
          </w:p>
        </w:tc>
      </w:tr>
      <w:tr>
        <w:trPr>
          <w:trHeight w:val="184"/>
        </w:trPr>
        <w:tc>
          <w:tcPr>
            <w:tcW w:w="2120" w:type="dxa"/>
            <w:vAlign w:val="bottom"/>
            <w:tcBorders>
              <w:left w:val="single" w:sz="8" w:color="auto"/>
            </w:tcBorders>
          </w:tcPr>
          <w:p>
            <w:pPr>
              <w:spacing w:after="0"/>
              <w:rPr>
                <w:sz w:val="15"/>
                <w:szCs w:val="15"/>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“Investment Advisory Agreement.”</w:t>
            </w:r>
          </w:p>
        </w:tc>
      </w:tr>
      <w:tr>
        <w:trPr>
          <w:trHeight w:val="303"/>
        </w:trPr>
        <w:tc>
          <w:tcPr>
            <w:tcW w:w="2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Administration Agreement</w:t>
            </w: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We reimburse Oxford Funds for our allocable portion of</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overhead  and  other  expenses  it  incurs  in  performing  its</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obligations under the Administration Agreement, including</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furnishing us with office facilities, equipment and clerical,</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bookkeeping and record keeping services at such facilities, as</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well as providing us with other administrative services. In</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addition, we reimburse Oxford Funds for our allocable portion</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of the compensation of our Chief Financial Officer and any</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administrative support staff, including accounting personnel.</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See  “Administration  Agreement.”  We  will  also  reimburse</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Oxford Funds for the costs associated with the functions</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performed by our Chief Compliance Officer that Oxford Funds</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pays on the Company’s behalf pursuant to the terms of an</w:t>
            </w:r>
          </w:p>
        </w:tc>
      </w:tr>
      <w:tr>
        <w:trPr>
          <w:trHeight w:val="184"/>
        </w:trPr>
        <w:tc>
          <w:tcPr>
            <w:tcW w:w="2120" w:type="dxa"/>
            <w:vAlign w:val="bottom"/>
            <w:tcBorders>
              <w:left w:val="single" w:sz="8" w:color="auto"/>
            </w:tcBorders>
          </w:tcPr>
          <w:p>
            <w:pPr>
              <w:spacing w:after="0"/>
              <w:rPr>
                <w:sz w:val="15"/>
                <w:szCs w:val="15"/>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agreement between us and ACA.</w:t>
            </w:r>
          </w:p>
        </w:tc>
      </w:tr>
      <w:tr>
        <w:trPr>
          <w:trHeight w:val="303"/>
        </w:trPr>
        <w:tc>
          <w:tcPr>
            <w:tcW w:w="2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Leverage</w:t>
            </w: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We may use leverage to the extent permitted by the 1940 Act.</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We are permitted to obtain leverage using any form of financial</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leverage instruments, including funds borrowed from banks or</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other financial institutions, margin facilities, notes or preferred</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stock  and  leverage  attributable  to  reverse  repurchase</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agreements or similar transactions. As a result, we may be</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exposed to the risks of leverage, which may be considered a</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speculative investment technique. In addition, the CLO vehicles</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in which we invest will be leveraged, which will indirectly</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expose us to the risks of leverage. The use of leverage</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magnifies the potential gain and loss on amounts invested and</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therefore increases the risks associated with investing in our</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securities. In addition, the costs associated with our borrowings,</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including any increase in the management fee payable to</w:t>
            </w:r>
          </w:p>
        </w:tc>
      </w:tr>
      <w:tr>
        <w:trPr>
          <w:trHeight w:val="169"/>
        </w:trPr>
        <w:tc>
          <w:tcPr>
            <w:tcW w:w="2120" w:type="dxa"/>
            <w:vAlign w:val="bottom"/>
            <w:tcBorders>
              <w:left w:val="single" w:sz="8" w:color="auto"/>
            </w:tcBorders>
          </w:tcPr>
          <w:p>
            <w:pPr>
              <w:spacing w:after="0"/>
              <w:rPr>
                <w:sz w:val="14"/>
                <w:szCs w:val="14"/>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Oxford Lane Management will be borne by our common</w:t>
            </w:r>
          </w:p>
        </w:tc>
      </w:tr>
      <w:tr>
        <w:trPr>
          <w:trHeight w:val="184"/>
        </w:trPr>
        <w:tc>
          <w:tcPr>
            <w:tcW w:w="2120" w:type="dxa"/>
            <w:vAlign w:val="bottom"/>
            <w:tcBorders>
              <w:left w:val="single" w:sz="8" w:color="auto"/>
            </w:tcBorders>
          </w:tcPr>
          <w:p>
            <w:pPr>
              <w:spacing w:after="0"/>
              <w:rPr>
                <w:sz w:val="15"/>
                <w:szCs w:val="15"/>
                <w:color w:val="auto"/>
              </w:rPr>
            </w:pPr>
          </w:p>
        </w:tc>
        <w:tc>
          <w:tcPr>
            <w:tcW w:w="424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stockholders.</w:t>
            </w:r>
          </w:p>
        </w:tc>
      </w:tr>
      <w:tr>
        <w:trPr>
          <w:trHeight w:val="324"/>
        </w:trPr>
        <w:tc>
          <w:tcPr>
            <w:tcW w:w="2120" w:type="dxa"/>
            <w:vAlign w:val="bottom"/>
            <w:tcBorders>
              <w:left w:val="single" w:sz="8" w:color="auto"/>
              <w:bottom w:val="single" w:sz="8" w:color="auto"/>
            </w:tcBorders>
          </w:tcPr>
          <w:p>
            <w:pPr>
              <w:spacing w:after="0"/>
              <w:rPr>
                <w:sz w:val="24"/>
                <w:szCs w:val="24"/>
                <w:color w:val="auto"/>
              </w:rPr>
            </w:pPr>
          </w:p>
        </w:tc>
        <w:tc>
          <w:tcPr>
            <w:tcW w:w="4240" w:type="dxa"/>
            <w:vAlign w:val="bottom"/>
            <w:tcBorders>
              <w:bottom w:val="single" w:sz="8" w:color="auto"/>
              <w:right w:val="single" w:sz="8" w:color="auto"/>
            </w:tcBorders>
          </w:tcPr>
          <w:p>
            <w:pPr>
              <w:spacing w:after="0"/>
              <w:rPr>
                <w:sz w:val="24"/>
                <w:szCs w:val="24"/>
                <w:color w:val="auto"/>
              </w:rPr>
            </w:pPr>
          </w:p>
        </w:tc>
      </w:tr>
      <w:tr>
        <w:trPr>
          <w:trHeight w:val="302"/>
        </w:trPr>
        <w:tc>
          <w:tcPr>
            <w:tcW w:w="21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9</w:t>
            </w:r>
          </w:p>
        </w:tc>
      </w:tr>
    </w:tbl>
    <w:p>
      <w:pPr>
        <w:sectPr>
          <w:pgSz w:w="11900" w:h="16838" w:orient="portrait"/>
          <w:cols w:equalWidth="0" w:num="1">
            <w:col w:w="9019"/>
          </w:cols>
          <w:pgMar w:left="1440" w:top="232" w:right="1440" w:bottom="1440" w:gutter="0" w:footer="0" w:header="0"/>
        </w:sectPr>
      </w:pPr>
    </w:p>
    <w:bookmarkStart w:id="88" w:name="page89"/>
    <w:bookmarkEnd w:id="88"/>
    <w:p>
      <w:pPr>
        <w:ind w:left="1320"/>
        <w:spacing w:after="0"/>
        <w:rPr>
          <w:sz w:val="20"/>
          <w:szCs w:val="20"/>
          <w:color w:val="auto"/>
        </w:rPr>
      </w:pPr>
      <w:r>
        <w:rPr>
          <w:rFonts w:ascii="Times New Roman" w:cs="Times New Roman" w:eastAsia="Times New Roman" w:hAnsi="Times New Roman"/>
          <w:sz w:val="14"/>
          <w:szCs w:val="14"/>
          <w:color w:val="0000EE"/>
        </w:rPr>
        <w:t>Table of Contents</w:t>
      </w:r>
    </w:p>
    <w:tbl>
      <w:tblPr>
        <w:tblLayout w:type="fixed"/>
        <w:tblInd w:w="1330" w:type="dxa"/>
        <w:tblCellMar>
          <w:top w:w="0" w:type="dxa"/>
          <w:left w:w="0" w:type="dxa"/>
          <w:bottom w:w="0" w:type="dxa"/>
          <w:right w:w="0" w:type="dxa"/>
        </w:tblCellMar>
      </w:tblPr>
      <w:tr>
        <w:trPr>
          <w:trHeight w:val="463"/>
        </w:trPr>
        <w:tc>
          <w:tcPr>
            <w:tcW w:w="2520" w:type="dxa"/>
            <w:vAlign w:val="bottom"/>
            <w:tcBorders>
              <w:top w:val="single" w:sz="8" w:color="auto"/>
              <w:left w:val="single" w:sz="8" w:color="auto"/>
            </w:tcBorders>
          </w:tcPr>
          <w:p>
            <w:pPr>
              <w:spacing w:after="0"/>
              <w:rPr>
                <w:sz w:val="24"/>
                <w:szCs w:val="24"/>
                <w:color w:val="auto"/>
              </w:rPr>
            </w:pPr>
          </w:p>
        </w:tc>
        <w:tc>
          <w:tcPr>
            <w:tcW w:w="384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Under the 1940 Act, we are only permitted to incur additional</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indebtedness to the extent our asset coverage, as defined under</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the 1940 Act, is at least 300% immediately after each such</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borrowing.  In  addition,  with  respect  to  our  outstanding</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preferred stock, we will generally be required to meet an asset</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coverage ratio, as defined under the 1940 Act, of at least 200%</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immediately after each issuance of such preferred stock. See</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“Regulation  as  a  Registered  Closed-End  Management</w:t>
            </w:r>
          </w:p>
        </w:tc>
      </w:tr>
      <w:tr>
        <w:trPr>
          <w:trHeight w:val="184"/>
        </w:trPr>
        <w:tc>
          <w:tcPr>
            <w:tcW w:w="2520" w:type="dxa"/>
            <w:vAlign w:val="bottom"/>
            <w:tcBorders>
              <w:left w:val="single" w:sz="8" w:color="auto"/>
            </w:tcBorders>
          </w:tcPr>
          <w:p>
            <w:pPr>
              <w:spacing w:after="0"/>
              <w:rPr>
                <w:sz w:val="15"/>
                <w:szCs w:val="15"/>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Investment Company.”</w:t>
            </w:r>
          </w:p>
        </w:tc>
      </w:tr>
      <w:tr>
        <w:trPr>
          <w:trHeight w:val="292"/>
        </w:trPr>
        <w:tc>
          <w:tcPr>
            <w:tcW w:w="25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Trading</w:t>
            </w: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Shares of closed-end investment companies frequently trade at</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 discount to their net asset value. The risk that our shares may</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trade at a discount to our net asset value is separate and distinct</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from the risk that our net asset value per share may decline. We</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cannot predict whether our shares will trade above, at or below</w:t>
            </w:r>
          </w:p>
        </w:tc>
      </w:tr>
      <w:tr>
        <w:trPr>
          <w:trHeight w:val="184"/>
        </w:trPr>
        <w:tc>
          <w:tcPr>
            <w:tcW w:w="2520" w:type="dxa"/>
            <w:vAlign w:val="bottom"/>
            <w:tcBorders>
              <w:left w:val="single" w:sz="8" w:color="auto"/>
            </w:tcBorders>
          </w:tcPr>
          <w:p>
            <w:pPr>
              <w:spacing w:after="0"/>
              <w:rPr>
                <w:sz w:val="15"/>
                <w:szCs w:val="15"/>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net asset value.</w:t>
            </w:r>
          </w:p>
        </w:tc>
      </w:tr>
      <w:tr>
        <w:trPr>
          <w:trHeight w:val="303"/>
        </w:trPr>
        <w:tc>
          <w:tcPr>
            <w:tcW w:w="25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Distribution Reinvestment Plan</w:t>
            </w: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We have adopted an “opt out” distribution reinvestment plan. If</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your shares of common stock are registered in your own name,</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your distributions will automatically be reinvested under our</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distribution  reinvestment  plan  in  additional  whole  and</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fractional shares of common stock, unless you “opt out” of our</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distribution reinvestment plan so as to receive cash distributions</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by delivering a written notice to our distribution paying agent.</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If your shares are held in the name of a broker or other</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nominee, you should contact the broker or nominee for details</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regarding opting out of our distribution reinvestment plan.</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Stockholders who receive distributions in the form of stock will</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be subject to the same federal, state and local tax consequences</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as stockholders who elect to receive their distributions in cash.</w:t>
            </w:r>
          </w:p>
        </w:tc>
      </w:tr>
      <w:tr>
        <w:trPr>
          <w:trHeight w:val="184"/>
        </w:trPr>
        <w:tc>
          <w:tcPr>
            <w:tcW w:w="2520" w:type="dxa"/>
            <w:vAlign w:val="bottom"/>
            <w:tcBorders>
              <w:left w:val="single" w:sz="8" w:color="auto"/>
            </w:tcBorders>
          </w:tcPr>
          <w:p>
            <w:pPr>
              <w:spacing w:after="0"/>
              <w:rPr>
                <w:sz w:val="15"/>
                <w:szCs w:val="15"/>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See “Distribution Reinvestment Plan.”</w:t>
            </w:r>
          </w:p>
        </w:tc>
      </w:tr>
      <w:tr>
        <w:trPr>
          <w:trHeight w:val="303"/>
        </w:trPr>
        <w:tc>
          <w:tcPr>
            <w:tcW w:w="25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Available Information</w:t>
            </w: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We are required to file periodic reports, proxy statements and</w:t>
            </w:r>
          </w:p>
        </w:tc>
      </w:tr>
      <w:tr>
        <w:trPr>
          <w:trHeight w:val="167"/>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information with the SEC. This information is available</w:t>
            </w:r>
          </w:p>
        </w:tc>
      </w:tr>
      <w:tr>
        <w:trPr>
          <w:trHeight w:val="171"/>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 xml:space="preserve">on the SEC’s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This information is</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available free of charge by contacting us at Oxford Lane</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Capital Corp., 8 Sound Shore Drive, Suite 255, Greenwich,</w:t>
            </w:r>
          </w:p>
        </w:tc>
      </w:tr>
      <w:tr>
        <w:trPr>
          <w:trHeight w:val="167"/>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CT 06830, by telephone at (203) 983-5275, or on our website at</w:t>
            </w:r>
          </w:p>
        </w:tc>
      </w:tr>
      <w:tr>
        <w:trPr>
          <w:trHeight w:val="186"/>
        </w:trPr>
        <w:tc>
          <w:tcPr>
            <w:tcW w:w="2520" w:type="dxa"/>
            <w:vAlign w:val="bottom"/>
            <w:tcBorders>
              <w:left w:val="single" w:sz="8" w:color="auto"/>
            </w:tcBorders>
          </w:tcPr>
          <w:p>
            <w:pPr>
              <w:spacing w:after="0"/>
              <w:rPr>
                <w:sz w:val="16"/>
                <w:szCs w:val="16"/>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i w:val="1"/>
                <w:iCs w:val="1"/>
                <w:color w:val="auto"/>
              </w:rPr>
              <w:t>http://www.oxfordlanecapital.com</w:t>
            </w:r>
            <w:r>
              <w:rPr>
                <w:rFonts w:ascii="Times New Roman" w:cs="Times New Roman" w:eastAsia="Times New Roman" w:hAnsi="Times New Roman"/>
                <w:sz w:val="14"/>
                <w:szCs w:val="14"/>
                <w:color w:val="auto"/>
              </w:rPr>
              <w:t>.</w:t>
            </w:r>
          </w:p>
        </w:tc>
      </w:tr>
      <w:tr>
        <w:trPr>
          <w:trHeight w:val="303"/>
        </w:trPr>
        <w:tc>
          <w:tcPr>
            <w:tcW w:w="25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Incorporation of Certain Information By</w:t>
            </w:r>
          </w:p>
        </w:tc>
        <w:tc>
          <w:tcPr>
            <w:tcW w:w="3840" w:type="dxa"/>
            <w:vAlign w:val="bottom"/>
            <w:tcBorders>
              <w:right w:val="single" w:sz="8" w:color="auto"/>
            </w:tcBorders>
          </w:tcPr>
          <w:p>
            <w:pPr>
              <w:spacing w:after="0"/>
              <w:rPr>
                <w:sz w:val="24"/>
                <w:szCs w:val="24"/>
                <w:color w:val="auto"/>
              </w:rPr>
            </w:pPr>
          </w:p>
        </w:tc>
      </w:tr>
      <w:tr>
        <w:trPr>
          <w:trHeight w:val="169"/>
        </w:trPr>
        <w:tc>
          <w:tcPr>
            <w:tcW w:w="252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Reference</w:t>
            </w: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We may incorporate by reference into this prospectus the</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documents listed in “Incorporation of Certain Information by</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Reference” in this prospectus and any future filings we make</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with the SEC under Section 30(b)(2) of the 1940 Act and</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Sections  13(a),  13(c),  14  or  15(d)  of  the  Securities</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Exchange Act of 1934, as amended (the “Exchange Act”),</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including any filings on or after the date of this prospectus</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(excluding any information “furnished”, rather than “filed”),</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until we have sold all of the offered securities to which this</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prospectus relates or the offering is otherwise terminated. The</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information incorporated by reference is an important part of</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this prospectus. Any statement in a document incorporated by</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reference  into  this  prospectus  will  be  deemed  to  be</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automatically modified or superseded to the extent a statement</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contained in (1) this prospectus, or any prospectus supplement,</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or  (2)  any  other  subsequently  filed  document  that  is</w:t>
            </w:r>
          </w:p>
        </w:tc>
      </w:tr>
      <w:tr>
        <w:trPr>
          <w:trHeight w:val="169"/>
        </w:trPr>
        <w:tc>
          <w:tcPr>
            <w:tcW w:w="2520" w:type="dxa"/>
            <w:vAlign w:val="bottom"/>
            <w:tcBorders>
              <w:left w:val="single" w:sz="8" w:color="auto"/>
            </w:tcBorders>
          </w:tcPr>
          <w:p>
            <w:pPr>
              <w:spacing w:after="0"/>
              <w:rPr>
                <w:sz w:val="14"/>
                <w:szCs w:val="14"/>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incorporated by reference into this prospectus modifies or</w:t>
            </w:r>
          </w:p>
        </w:tc>
      </w:tr>
      <w:tr>
        <w:trPr>
          <w:trHeight w:val="184"/>
        </w:trPr>
        <w:tc>
          <w:tcPr>
            <w:tcW w:w="2520" w:type="dxa"/>
            <w:vAlign w:val="bottom"/>
            <w:tcBorders>
              <w:left w:val="single" w:sz="8" w:color="auto"/>
            </w:tcBorders>
          </w:tcPr>
          <w:p>
            <w:pPr>
              <w:spacing w:after="0"/>
              <w:rPr>
                <w:sz w:val="15"/>
                <w:szCs w:val="15"/>
                <w:color w:val="auto"/>
              </w:rPr>
            </w:pPr>
          </w:p>
        </w:tc>
        <w:tc>
          <w:tcPr>
            <w:tcW w:w="3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supersedes such statement.</w:t>
            </w:r>
          </w:p>
        </w:tc>
      </w:tr>
      <w:tr>
        <w:trPr>
          <w:trHeight w:val="324"/>
        </w:trPr>
        <w:tc>
          <w:tcPr>
            <w:tcW w:w="2520" w:type="dxa"/>
            <w:vAlign w:val="bottom"/>
            <w:tcBorders>
              <w:left w:val="single" w:sz="8" w:color="auto"/>
              <w:bottom w:val="single" w:sz="8" w:color="auto"/>
            </w:tcBorders>
          </w:tcPr>
          <w:p>
            <w:pPr>
              <w:spacing w:after="0"/>
              <w:rPr>
                <w:sz w:val="24"/>
                <w:szCs w:val="24"/>
                <w:color w:val="auto"/>
              </w:rPr>
            </w:pPr>
          </w:p>
        </w:tc>
        <w:tc>
          <w:tcPr>
            <w:tcW w:w="3840" w:type="dxa"/>
            <w:vAlign w:val="bottom"/>
            <w:tcBorders>
              <w:bottom w:val="single" w:sz="8" w:color="auto"/>
              <w:right w:val="single" w:sz="8" w:color="auto"/>
            </w:tcBorders>
          </w:tcPr>
          <w:p>
            <w:pPr>
              <w:spacing w:after="0"/>
              <w:rPr>
                <w:sz w:val="24"/>
                <w:szCs w:val="24"/>
                <w:color w:val="auto"/>
              </w:rPr>
            </w:pPr>
          </w:p>
        </w:tc>
      </w:tr>
      <w:tr>
        <w:trPr>
          <w:trHeight w:val="302"/>
        </w:trPr>
        <w:tc>
          <w:tcPr>
            <w:tcW w:w="25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10</w:t>
            </w:r>
          </w:p>
        </w:tc>
      </w:tr>
    </w:tbl>
    <w:p>
      <w:pPr>
        <w:sectPr>
          <w:pgSz w:w="11900" w:h="16838" w:orient="portrait"/>
          <w:cols w:equalWidth="0" w:num="1">
            <w:col w:w="9019"/>
          </w:cols>
          <w:pgMar w:left="1440" w:top="232" w:right="1440" w:bottom="1440" w:gutter="0" w:footer="0" w:header="0"/>
        </w:sectPr>
      </w:pPr>
    </w:p>
    <w:bookmarkStart w:id="89" w:name="page90"/>
    <w:bookmarkEnd w:id="89"/>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1658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4037330" cy="1658620"/>
                    </a:xfrm>
                    <a:prstGeom prst="rect">
                      <a:avLst/>
                    </a:prstGeom>
                    <a:noFill/>
                  </pic:spPr>
                </pic:pic>
              </a:graphicData>
            </a:graphic>
          </wp:anchor>
        </w:drawing>
      </w:r>
    </w:p>
    <w:p>
      <w:pPr>
        <w:spacing w:after="0" w:line="28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We will provide without charge to each person, including any</w:t>
      </w:r>
    </w:p>
    <w:p>
      <w:pPr>
        <w:spacing w:after="0" w:line="2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beneficial owner, to whom this prospectus is delivered, upon</w:t>
      </w:r>
    </w:p>
    <w:p>
      <w:pPr>
        <w:spacing w:after="0" w:line="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written or oral request, a copy of any and all of the documents</w:t>
      </w:r>
    </w:p>
    <w:p>
      <w:pPr>
        <w:spacing w:after="0" w:line="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that have been or may be incorporated by reference in this</w:t>
      </w:r>
    </w:p>
    <w:p>
      <w:pPr>
        <w:spacing w:after="0" w:line="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prospectus.</w:t>
      </w:r>
    </w:p>
    <w:p>
      <w:pPr>
        <w:spacing w:after="0" w:line="10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See “Incorporation of Certain Information by Reference” and</w:t>
      </w:r>
    </w:p>
    <w:p>
      <w:pPr>
        <w:spacing w:after="0" w:line="23" w:lineRule="exact"/>
        <w:rPr>
          <w:sz w:val="20"/>
          <w:szCs w:val="20"/>
          <w:color w:val="auto"/>
        </w:rPr>
      </w:pPr>
    </w:p>
    <w:p>
      <w:pPr>
        <w:ind w:left="3980"/>
        <w:spacing w:after="0"/>
        <w:tabs>
          <w:tab w:leader="none" w:pos="4700" w:val="left"/>
          <w:tab w:leader="none" w:pos="5560" w:val="left"/>
          <w:tab w:leader="none" w:pos="5820" w:val="left"/>
          <w:tab w:leader="none" w:pos="6160" w:val="left"/>
          <w:tab w:leader="none" w:pos="6900" w:val="left"/>
          <w:tab w:leader="none" w:pos="7200" w:val="left"/>
        </w:tabs>
        <w:rPr>
          <w:sz w:val="20"/>
          <w:szCs w:val="20"/>
          <w:color w:val="auto"/>
        </w:rPr>
      </w:pPr>
      <w:r>
        <w:rPr>
          <w:rFonts w:ascii="Times New Roman" w:cs="Times New Roman" w:eastAsia="Times New Roman" w:hAnsi="Times New Roman"/>
          <w:sz w:val="14"/>
          <w:szCs w:val="14"/>
          <w:color w:val="auto"/>
        </w:rPr>
        <w:t>“Available</w:t>
        <w:tab/>
        <w:t>Information”</w:t>
        <w:tab/>
        <w:t>in</w:t>
        <w:tab/>
        <w:t>this</w:t>
        <w:tab/>
        <w:t>prospectus</w:t>
        <w:tab/>
        <w:t>for</w:t>
      </w:r>
      <w:r>
        <w:rPr>
          <w:sz w:val="20"/>
          <w:szCs w:val="20"/>
          <w:color w:val="auto"/>
        </w:rPr>
        <w:tab/>
      </w:r>
      <w:r>
        <w:rPr>
          <w:rFonts w:ascii="Times New Roman" w:cs="Times New Roman" w:eastAsia="Times New Roman" w:hAnsi="Times New Roman"/>
          <w:sz w:val="13"/>
          <w:szCs w:val="13"/>
          <w:color w:val="auto"/>
        </w:rPr>
        <w:t>further</w:t>
      </w:r>
    </w:p>
    <w:p>
      <w:pPr>
        <w:spacing w:after="0" w:line="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information on where to access, or how to request, copies of</w:t>
      </w:r>
    </w:p>
    <w:p>
      <w:pPr>
        <w:spacing w:after="0" w:line="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documents  or  further  information  in  connection  with  the</w:t>
      </w:r>
    </w:p>
    <w:p>
      <w:pPr>
        <w:spacing w:after="0" w:line="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Company, this prospectus or an offering of securities to which</w:t>
      </w:r>
    </w:p>
    <w:p>
      <w:pPr>
        <w:spacing w:after="0" w:line="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this prospectus relates.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90" w:name="page91"/>
    <w:bookmarkEnd w:id="90"/>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71075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4037330" cy="7107555"/>
                    </a:xfrm>
                    <a:prstGeom prst="rect">
                      <a:avLst/>
                    </a:prstGeom>
                    <a:noFill/>
                  </pic:spPr>
                </pic:pic>
              </a:graphicData>
            </a:graphic>
          </wp:anchor>
        </w:drawing>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127" w:lineRule="exact"/>
        <w:rPr>
          <w:sz w:val="20"/>
          <w:szCs w:val="20"/>
          <w:color w:val="auto"/>
        </w:rPr>
      </w:pPr>
    </w:p>
    <w:p>
      <w:pPr>
        <w:jc w:val="both"/>
        <w:ind w:left="1400" w:right="1419" w:firstLine="338"/>
        <w:spacing w:after="0" w:line="260" w:lineRule="auto"/>
        <w:rPr>
          <w:sz w:val="20"/>
          <w:szCs w:val="20"/>
          <w:color w:val="auto"/>
        </w:rPr>
      </w:pPr>
      <w:r>
        <w:rPr>
          <w:rFonts w:ascii="Times New Roman" w:cs="Times New Roman" w:eastAsia="Times New Roman" w:hAnsi="Times New Roman"/>
          <w:sz w:val="14"/>
          <w:szCs w:val="14"/>
          <w:color w:val="auto"/>
        </w:rPr>
        <w:t>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prospectus contains a reference to fees or expenses paid by “us” or “Oxford Lane Capital,” or that “we” will pay fees or expenses, you will indirectly bear such fees or expenses as an investor in Oxford Lane Capital Corp.</w:t>
      </w:r>
    </w:p>
    <w:p>
      <w:pPr>
        <w:spacing w:after="0" w:line="13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Stockholder transaction expenses:</w:t>
      </w:r>
    </w:p>
    <w:p>
      <w:pPr>
        <w:spacing w:after="0" w:line="60" w:lineRule="exact"/>
        <w:rPr>
          <w:sz w:val="20"/>
          <w:szCs w:val="20"/>
          <w:color w:val="auto"/>
        </w:rPr>
      </w:pPr>
    </w:p>
    <w:tbl>
      <w:tblPr>
        <w:tblLayout w:type="fixed"/>
        <w:tblInd w:w="1400" w:type="dxa"/>
        <w:tblCellMar>
          <w:top w:w="0" w:type="dxa"/>
          <w:left w:w="0" w:type="dxa"/>
          <w:bottom w:w="0" w:type="dxa"/>
          <w:right w:w="0" w:type="dxa"/>
        </w:tblCellMar>
      </w:tblPr>
      <w:tr>
        <w:trPr>
          <w:trHeight w:val="92"/>
        </w:trPr>
        <w:tc>
          <w:tcPr>
            <w:tcW w:w="5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Sales load (as a percentage of offering price)</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127"/>
        </w:trPr>
        <w:tc>
          <w:tcPr>
            <w:tcW w:w="526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gridSpan w:val="2"/>
          </w:tcPr>
          <w:p>
            <w:pPr>
              <w:jc w:val="right"/>
              <w:ind w:right="80"/>
              <w:spacing w:after="0" w:line="12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expenses borne by us (as a percentage of offering price)</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40" w:type="dxa"/>
            <w:vAlign w:val="bottom"/>
            <w:gridSpan w:val="2"/>
            <w:vMerge w:val="continue"/>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line="12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5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Distribution reinvestment plan expenses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color w:val="auto"/>
              </w:rPr>
              <w:t>(3)</w:t>
            </w:r>
          </w:p>
        </w:tc>
        <w:tc>
          <w:tcPr>
            <w:tcW w:w="0" w:type="dxa"/>
            <w:vAlign w:val="bottom"/>
          </w:tcPr>
          <w:p>
            <w:pPr>
              <w:spacing w:after="0"/>
              <w:rPr>
                <w:sz w:val="1"/>
                <w:szCs w:val="1"/>
                <w:color w:val="auto"/>
              </w:rPr>
            </w:pPr>
          </w:p>
        </w:tc>
      </w:tr>
      <w:tr>
        <w:trPr>
          <w:trHeight w:val="127"/>
        </w:trPr>
        <w:tc>
          <w:tcPr>
            <w:tcW w:w="526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gridSpan w:val="2"/>
          </w:tcPr>
          <w:p>
            <w:pPr>
              <w:jc w:val="right"/>
              <w:ind w:right="80"/>
              <w:spacing w:after="0" w:line="12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 transaction expenses (as a percentage of offering price)</w:t>
            </w: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vMerge w:val="restart"/>
          </w:tcPr>
          <w:p>
            <w:pPr>
              <w:spacing w:after="0"/>
              <w:rPr>
                <w:sz w:val="24"/>
                <w:szCs w:val="24"/>
                <w:color w:val="auto"/>
              </w:rPr>
            </w:pPr>
          </w:p>
        </w:tc>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2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Annual expenses (estimated as a percentage of net assets attributable to common</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Base management fee</w:t>
            </w:r>
          </w:p>
        </w:tc>
        <w:tc>
          <w:tcPr>
            <w:tcW w:w="940" w:type="dxa"/>
            <w:vAlign w:val="bottom"/>
            <w:gridSpan w:val="3"/>
          </w:tcPr>
          <w:p>
            <w:pPr>
              <w:jc w:val="right"/>
              <w:spacing w:after="0" w:line="222" w:lineRule="exact"/>
              <w:rPr>
                <w:sz w:val="20"/>
                <w:szCs w:val="20"/>
                <w:color w:val="auto"/>
              </w:rPr>
            </w:pPr>
            <w:r>
              <w:rPr>
                <w:rFonts w:ascii="Times New Roman" w:cs="Times New Roman" w:eastAsia="Times New Roman" w:hAnsi="Times New Roman"/>
                <w:sz w:val="25"/>
                <w:szCs w:val="25"/>
                <w:color w:val="auto"/>
                <w:vertAlign w:val="subscript"/>
              </w:rPr>
              <w:t>2.69%</w:t>
            </w:r>
            <w:r>
              <w:rPr>
                <w:rFonts w:ascii="Times New Roman" w:cs="Times New Roman" w:eastAsia="Times New Roman" w:hAnsi="Times New Roman"/>
                <w:sz w:val="8"/>
                <w:szCs w:val="8"/>
                <w:color w:val="auto"/>
              </w:rPr>
              <w:t>(4)(5)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4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Incentive fees payable under our investment advisory agreement (20% of pre incentive</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fee net investment income)</w:t>
            </w:r>
          </w:p>
        </w:tc>
        <w:tc>
          <w:tcPr>
            <w:tcW w:w="94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3.68%</w:t>
            </w:r>
            <w:r>
              <w:rPr>
                <w:rFonts w:ascii="Times New Roman" w:cs="Times New Roman" w:eastAsia="Times New Roman" w:hAnsi="Times New Roman"/>
                <w:sz w:val="8"/>
                <w:szCs w:val="8"/>
                <w:color w:val="auto"/>
              </w:rPr>
              <w:t>(4)(6)</w:t>
            </w:r>
          </w:p>
        </w:tc>
        <w:tc>
          <w:tcPr>
            <w:tcW w:w="0" w:type="dxa"/>
            <w:vAlign w:val="bottom"/>
          </w:tcPr>
          <w:p>
            <w:pPr>
              <w:spacing w:after="0"/>
              <w:rPr>
                <w:sz w:val="1"/>
                <w:szCs w:val="1"/>
                <w:color w:val="auto"/>
              </w:rPr>
            </w:pPr>
          </w:p>
        </w:tc>
      </w:tr>
      <w:tr>
        <w:trPr>
          <w:trHeight w:val="222"/>
        </w:trPr>
        <w:tc>
          <w:tcPr>
            <w:tcW w:w="5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Interest payments on borrowed funds</w:t>
            </w:r>
          </w:p>
        </w:tc>
        <w:tc>
          <w:tcPr>
            <w:tcW w:w="940" w:type="dxa"/>
            <w:vAlign w:val="bottom"/>
            <w:gridSpan w:val="3"/>
          </w:tcPr>
          <w:p>
            <w:pPr>
              <w:jc w:val="right"/>
              <w:spacing w:after="0" w:line="222" w:lineRule="exact"/>
              <w:rPr>
                <w:sz w:val="20"/>
                <w:szCs w:val="20"/>
                <w:color w:val="auto"/>
              </w:rPr>
            </w:pPr>
            <w:r>
              <w:rPr>
                <w:rFonts w:ascii="Times New Roman" w:cs="Times New Roman" w:eastAsia="Times New Roman" w:hAnsi="Times New Roman"/>
                <w:sz w:val="25"/>
                <w:szCs w:val="25"/>
                <w:color w:val="auto"/>
                <w:vertAlign w:val="subscript"/>
              </w:rPr>
              <w:t>1.99%</w:t>
            </w:r>
            <w:r>
              <w:rPr>
                <w:rFonts w:ascii="Times New Roman" w:cs="Times New Roman" w:eastAsia="Times New Roman" w:hAnsi="Times New Roman"/>
                <w:sz w:val="8"/>
                <w:szCs w:val="8"/>
                <w:color w:val="auto"/>
              </w:rPr>
              <w:t>(7)(8)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0.53%</w:t>
            </w:r>
            <w:r>
              <w:rPr>
                <w:rFonts w:ascii="Times New Roman" w:cs="Times New Roman" w:eastAsia="Times New Roman" w:hAnsi="Times New Roman"/>
                <w:sz w:val="16"/>
                <w:szCs w:val="16"/>
                <w:color w:val="auto"/>
                <w:vertAlign w:val="superscript"/>
              </w:rPr>
              <w:t>(9)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annual expenses</w:t>
            </w:r>
          </w:p>
        </w:tc>
        <w:tc>
          <w:tcPr>
            <w:tcW w:w="2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320" w:type="dxa"/>
            <w:vAlign w:val="bottom"/>
            <w:gridSpan w:val="2"/>
          </w:tcPr>
          <w:p>
            <w:pPr>
              <w:jc w:val="right"/>
              <w:ind w:right="60"/>
              <w:spacing w:after="0" w:line="191"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7"/>
                <w:szCs w:val="7"/>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Example</w:t>
      </w:r>
    </w:p>
    <w:p>
      <w:pPr>
        <w:spacing w:after="0" w:line="116" w:lineRule="exact"/>
        <w:rPr>
          <w:sz w:val="20"/>
          <w:szCs w:val="20"/>
          <w:color w:val="auto"/>
        </w:rPr>
      </w:pPr>
    </w:p>
    <w:p>
      <w:pPr>
        <w:jc w:val="both"/>
        <w:ind w:left="1400" w:right="1419" w:firstLine="338"/>
        <w:spacing w:after="0" w:line="263" w:lineRule="auto"/>
        <w:rPr>
          <w:sz w:val="20"/>
          <w:szCs w:val="20"/>
          <w:color w:val="auto"/>
        </w:rPr>
      </w:pPr>
      <w:r>
        <w:rPr>
          <w:rFonts w:ascii="Times New Roman" w:cs="Times New Roman" w:eastAsia="Times New Roman" w:hAnsi="Times New Roman"/>
          <w:sz w:val="14"/>
          <w:szCs w:val="14"/>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w:t>
      </w:r>
    </w:p>
    <w:p>
      <w:pPr>
        <w:spacing w:after="0" w:line="153" w:lineRule="exact"/>
        <w:rPr>
          <w:sz w:val="20"/>
          <w:szCs w:val="20"/>
          <w:color w:val="auto"/>
        </w:rPr>
      </w:pPr>
    </w:p>
    <w:tbl>
      <w:tblPr>
        <w:tblLayout w:type="fixed"/>
        <w:tblInd w:w="14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85"/>
              </w:rPr>
              <w:t>1 Year</w:t>
            </w: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3 Years</w:t>
            </w: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5 Years</w:t>
            </w: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10 Years</w:t>
            </w:r>
          </w:p>
        </w:tc>
      </w:tr>
      <w:tr>
        <w:trPr>
          <w:trHeight w:val="36"/>
        </w:trPr>
        <w:tc>
          <w:tcPr>
            <w:tcW w:w="20" w:type="dxa"/>
            <w:vAlign w:val="bottom"/>
          </w:tcPr>
          <w:p>
            <w:pPr>
              <w:spacing w:after="0"/>
              <w:rPr>
                <w:sz w:val="3"/>
                <w:szCs w:val="3"/>
                <w:color w:val="auto"/>
              </w:rPr>
            </w:pPr>
          </w:p>
        </w:tc>
        <w:tc>
          <w:tcPr>
            <w:tcW w:w="37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135"/>
        </w:trPr>
        <w:tc>
          <w:tcPr>
            <w:tcW w:w="20" w:type="dxa"/>
            <w:vAlign w:val="bottom"/>
          </w:tcPr>
          <w:p>
            <w:pPr>
              <w:spacing w:after="0"/>
              <w:rPr>
                <w:sz w:val="11"/>
                <w:szCs w:val="11"/>
                <w:color w:val="auto"/>
              </w:rPr>
            </w:pPr>
          </w:p>
        </w:tc>
        <w:tc>
          <w:tcPr>
            <w:tcW w:w="3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You would pay the following expenses on a $1,000 investment,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r>
      <w:tr>
        <w:trPr>
          <w:trHeight w:val="184"/>
        </w:trPr>
        <w:tc>
          <w:tcPr>
            <w:tcW w:w="20" w:type="dxa"/>
            <w:vAlign w:val="bottom"/>
          </w:tcPr>
          <w:p>
            <w:pPr>
              <w:spacing w:after="0"/>
              <w:rPr>
                <w:sz w:val="15"/>
                <w:szCs w:val="15"/>
                <w:color w:val="auto"/>
              </w:rPr>
            </w:pPr>
          </w:p>
        </w:tc>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assuming a 5% annual return</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403</w:t>
            </w:r>
          </w:p>
        </w:tc>
        <w:tc>
          <w:tcPr>
            <w:tcW w:w="2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r>
      <w:tr>
        <w:trPr>
          <w:trHeight w:val="32"/>
        </w:trPr>
        <w:tc>
          <w:tcPr>
            <w:tcW w:w="20" w:type="dxa"/>
            <w:vAlign w:val="bottom"/>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jc w:val="both"/>
        <w:ind w:left="1400" w:right="1419" w:firstLine="338"/>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The example and the expenses in the tables above should not be considered as a representation of our future expenses, and actual expenses may be greater or less than those shown. </w:t>
      </w:r>
      <w:r>
        <w:rPr>
          <w:rFonts w:ascii="Times New Roman" w:cs="Times New Roman" w:eastAsia="Times New Roman" w:hAnsi="Times New Roman"/>
          <w:sz w:val="14"/>
          <w:szCs w:val="14"/>
          <w:color w:val="auto"/>
        </w:rPr>
        <w:t>While the example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assumes, as required by the SEC, a 5.0% annual return, our performance will vary and may result in a return greater or less than 5.0%. The incentive fee under the Investment Advisory Agreement, which, assuming a 5.0% annual return, would either not be payable or would have an insignificant impact on the expense amounts shown above, is included in the example. Also, while the example assumes reinvestment of all distributions at net asset value, participants in our distribution reinvestment plan will receive a number of shares of our common stock, determined by dividing the total dollar amount of the distribution payable to a participant by the market price per share of our common stock at the close of trading on the distribution payment date, which may be at, above or below net asset value. See “Distribution Reinvestment Plan” in this prospectus for additional information regarding our distribution reinvestment plan.</w:t>
      </w:r>
    </w:p>
    <w:p>
      <w:pPr>
        <w:spacing w:after="0" w:line="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____________</w:t>
      </w:r>
    </w:p>
    <w:p>
      <w:pPr>
        <w:spacing w:after="0" w:line="73" w:lineRule="exact"/>
        <w:rPr>
          <w:sz w:val="20"/>
          <w:szCs w:val="20"/>
          <w:color w:val="auto"/>
        </w:rPr>
      </w:pPr>
    </w:p>
    <w:p>
      <w:pPr>
        <w:ind w:left="1740" w:right="1419" w:hanging="340"/>
        <w:spacing w:after="0" w:line="281" w:lineRule="auto"/>
        <w:tabs>
          <w:tab w:leader="none" w:pos="17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securities to which this prospectus relates are sold to or through underwriters, a corresponding prospectus supplement will disclose the applicable sales load and the “Example” will be updated accordingly.</w:t>
      </w:r>
    </w:p>
    <w:p>
      <w:pPr>
        <w:ind w:left="1740" w:right="1419" w:hanging="340"/>
        <w:spacing w:after="0" w:line="254" w:lineRule="auto"/>
        <w:tabs>
          <w:tab w:leader="none" w:pos="174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prospectus supplement corresponding to each offering will disclose the applicable offering expenses and total stockholder transaction expenses as a percentage of the offering price.</w:t>
      </w:r>
    </w:p>
    <w:p>
      <w:pPr>
        <w:jc w:val="both"/>
        <w:ind w:left="1740" w:right="1419" w:hanging="340"/>
        <w:spacing w:after="0" w:line="254" w:lineRule="auto"/>
        <w:tabs>
          <w:tab w:leader="none" w:pos="1708"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expenses of the distribution reinvestment plan are included in “other expenses.” The plan administrator’s fees will be paid by us. We will not charge any brokerage charges or other charges to stockholders who participate in the plan. However, your own broker may impose brokerage charges in connection with your participation in the plan.</w:t>
      </w:r>
    </w:p>
    <w:p>
      <w:pPr>
        <w:spacing w:after="0" w:line="1" w:lineRule="exact"/>
        <w:rPr>
          <w:rFonts w:ascii="Times New Roman" w:cs="Times New Roman" w:eastAsia="Times New Roman" w:hAnsi="Times New Roman"/>
          <w:sz w:val="13"/>
          <w:szCs w:val="13"/>
          <w:color w:val="auto"/>
        </w:rPr>
      </w:pPr>
    </w:p>
    <w:p>
      <w:pPr>
        <w:jc w:val="both"/>
        <w:ind w:left="1740" w:right="1419" w:hanging="340"/>
        <w:spacing w:after="0" w:line="257" w:lineRule="auto"/>
        <w:tabs>
          <w:tab w:leader="none" w:pos="174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Assumes gross assets of approximately $2,429.1 million and approximately $534.0 million of leverage (which reflects $88.1 million of Series 2027 Term Preferred Shares, $67.2 million of 6.00% Series 2029 Term Preferred Shares, $63.8 million of 7.125% Series 2029 Term Preferred Shares, $100.0 million of the 2027 Notes, $100.0 million of the 2031 Notes and $115.0 million of the 2030 Notes issued and outstanding as of September 30, 2024 and assumes net assets of $1,805.6 million (which has been adjusted to reflect the issuance of an additional $200.0 million of common stock)).</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91" w:name="page92"/>
    <w:bookmarkEnd w:id="91"/>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58172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4037330" cy="5817235"/>
                    </a:xfrm>
                    <a:prstGeom prst="rect">
                      <a:avLst/>
                    </a:prstGeom>
                    <a:noFill/>
                  </pic:spPr>
                </pic:pic>
              </a:graphicData>
            </a:graphic>
          </wp:anchor>
        </w:drawing>
      </w:r>
    </w:p>
    <w:p>
      <w:pPr>
        <w:spacing w:after="0" w:line="140" w:lineRule="exact"/>
        <w:rPr>
          <w:sz w:val="20"/>
          <w:szCs w:val="20"/>
          <w:color w:val="auto"/>
        </w:rPr>
      </w:pPr>
    </w:p>
    <w:p>
      <w:pPr>
        <w:jc w:val="both"/>
        <w:ind w:left="1740" w:right="1419" w:hanging="340"/>
        <w:spacing w:after="0" w:line="255" w:lineRule="auto"/>
        <w:tabs>
          <w:tab w:leader="none" w:pos="17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above calculation presents our base management fee as a percentage of our net assets. Our base management fee under the Investment Advisory Agreement, however, is based on our gross assets, which is defined as all the assets of Oxford Lane Capital, including those acquired using borrowings for investment purposes. As a result, to the extent we use additional leverage, it would have the effect of increasing our base management fee as a percentage of our net assets. See “Investment Advisory Agreement” for additional information. Based on our current business plan, we anticipate that substantially all of the net proceeds of this offering will be invested within three months depending on the availability of investment opportunities that are consistent with our investment objective and other market conditions. We expect that it will take approximately one to three months to invest all of the proceeds of this offering, in part because equity and junior debt investments in CLO vehicles require substantial due diligence prior to investment.</w:t>
      </w:r>
    </w:p>
    <w:p>
      <w:pPr>
        <w:spacing w:after="0" w:line="5" w:lineRule="exact"/>
        <w:rPr>
          <w:rFonts w:ascii="Times New Roman" w:cs="Times New Roman" w:eastAsia="Times New Roman" w:hAnsi="Times New Roman"/>
          <w:sz w:val="13"/>
          <w:szCs w:val="13"/>
          <w:color w:val="auto"/>
        </w:rPr>
      </w:pPr>
    </w:p>
    <w:p>
      <w:pPr>
        <w:jc w:val="both"/>
        <w:ind w:left="1740" w:right="1419" w:hanging="340"/>
        <w:spacing w:after="0" w:line="256" w:lineRule="auto"/>
        <w:tabs>
          <w:tab w:leader="none" w:pos="17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 reflects the estimated annual incentive fees payable to Oxford Lane Management during the fiscal year following this offering. The estimate assumes that the incentive fee earned will be proportional to the fee earned during the fiscal year ended March 31, 2024 and adjusted to include the estimated incentive fee based on the issuance of an additional $200.0 million of common stock. The incentive fee, which is payable quarterly in arrears, equals 20.0% of the excess, if any, of our “Pre-Incentive Fee Net Investment Income” that exceeds a 1.75% quarterly (7.0% annualized) hurdle rate, which we refer to as the Hurdle, subject to a “catch-up” provision measured at the end of each calendar quarter. The incentive fee is computed and paid on income that may include interest that is accrued but not yet received in cash. The operation of the incentive fee for each quarter is as follows:</w:t>
      </w:r>
    </w:p>
    <w:p>
      <w:pPr>
        <w:spacing w:after="0" w:line="113" w:lineRule="exact"/>
        <w:rPr>
          <w:rFonts w:ascii="Times New Roman" w:cs="Times New Roman" w:eastAsia="Times New Roman" w:hAnsi="Times New Roman"/>
          <w:sz w:val="13"/>
          <w:szCs w:val="13"/>
          <w:color w:val="auto"/>
        </w:rPr>
      </w:pPr>
    </w:p>
    <w:p>
      <w:pPr>
        <w:ind w:left="2080" w:right="1419" w:hanging="341"/>
        <w:spacing w:after="0" w:line="261" w:lineRule="auto"/>
        <w:tabs>
          <w:tab w:leader="none" w:pos="2076"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no incentive fee is payable to Oxford Lane Management in any calendar quarter in which our Pre-Incentive Fee Net Investment Income does not exceed the Hurdle of 1.75%;</w:t>
      </w:r>
    </w:p>
    <w:p>
      <w:pPr>
        <w:spacing w:after="0" w:line="106" w:lineRule="exact"/>
        <w:rPr>
          <w:rFonts w:ascii="Times New Roman" w:cs="Times New Roman" w:eastAsia="Times New Roman" w:hAnsi="Times New Roman"/>
          <w:sz w:val="14"/>
          <w:szCs w:val="14"/>
          <w:color w:val="auto"/>
        </w:rPr>
      </w:pPr>
    </w:p>
    <w:p>
      <w:pPr>
        <w:jc w:val="both"/>
        <w:ind w:left="2080" w:right="1419" w:hanging="341"/>
        <w:spacing w:after="0" w:line="255" w:lineRule="auto"/>
        <w:tabs>
          <w:tab w:leader="none" w:pos="2076"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100% of our Pre-Incentive Fee Net Investment Income with respect to that portion of such Pre-Incentive Fee Net Investment Income, if any, that exceeds the Hurdle but is less than 2.1875% in any calendar quarter (8.75% annualized) is payable to Oxford Lane Management. We refer to this portion of our Pre-Incentive Fee Net Investment Income (which exceeds the Hurdle but is less than 2.1875%) as the “catch-up.” The “catch-up” is meant to provide Oxford Lane Management with 20.0% of our Pre-Incentive Fee Net Investment Income, as if a Hurdle did not apply when our Pre-Incentive Fee Net Investment Income exceeds 2.1875% in any calendar quarter; and</w:t>
      </w:r>
    </w:p>
    <w:p>
      <w:pPr>
        <w:spacing w:after="0" w:line="103" w:lineRule="exact"/>
        <w:rPr>
          <w:rFonts w:ascii="Times New Roman" w:cs="Times New Roman" w:eastAsia="Times New Roman" w:hAnsi="Times New Roman"/>
          <w:sz w:val="14"/>
          <w:szCs w:val="14"/>
          <w:color w:val="auto"/>
        </w:rPr>
      </w:pPr>
    </w:p>
    <w:p>
      <w:pPr>
        <w:jc w:val="both"/>
        <w:ind w:left="2080" w:right="1419" w:hanging="341"/>
        <w:spacing w:after="0" w:line="256" w:lineRule="auto"/>
        <w:tabs>
          <w:tab w:leader="none" w:pos="2076"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20.0% of the amount of our Pre-Incentive Fee Net Investment Income, if any, that exceeds 2.1875% in any calendar quarter (8.75% annualized) is payable to Oxford Lane Management (once the Hurdle is reached and the catch-up is achieved, 20.0% of all Pre-Incentive Fee Investment Income thereafter is allocated to Oxford Lane Management).</w:t>
      </w:r>
    </w:p>
    <w:p>
      <w:pPr>
        <w:spacing w:after="0" w:line="101" w:lineRule="exact"/>
        <w:rPr>
          <w:sz w:val="20"/>
          <w:szCs w:val="20"/>
          <w:color w:val="auto"/>
        </w:rPr>
      </w:pPr>
    </w:p>
    <w:p>
      <w:pPr>
        <w:ind w:left="1740" w:right="1419"/>
        <w:spacing w:after="0" w:line="279" w:lineRule="auto"/>
        <w:rPr>
          <w:sz w:val="20"/>
          <w:szCs w:val="20"/>
          <w:color w:val="auto"/>
        </w:rPr>
      </w:pPr>
      <w:r>
        <w:rPr>
          <w:rFonts w:ascii="Times New Roman" w:cs="Times New Roman" w:eastAsia="Times New Roman" w:hAnsi="Times New Roman"/>
          <w:sz w:val="13"/>
          <w:szCs w:val="13"/>
          <w:color w:val="auto"/>
        </w:rPr>
        <w:t>No incentive fee is payable to Oxford Lane Management on realized capital gains. For a more detailed discussion of the calculation of this fee, see “Investment Advisory Agreement.”</w:t>
      </w:r>
    </w:p>
    <w:p>
      <w:pPr>
        <w:spacing w:after="0" w:line="86" w:lineRule="exact"/>
        <w:rPr>
          <w:sz w:val="20"/>
          <w:szCs w:val="20"/>
          <w:color w:val="auto"/>
        </w:rPr>
      </w:pPr>
    </w:p>
    <w:p>
      <w:pPr>
        <w:jc w:val="both"/>
        <w:ind w:left="1740" w:right="1419" w:hanging="340"/>
        <w:spacing w:after="0" w:line="257" w:lineRule="auto"/>
        <w:tabs>
          <w:tab w:leader="none" w:pos="17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payments on borrowed funds” represents our annualized interest expense and includes interest payable on the $100 million 2031 Notes, $100 million 2027 Notes and $115.0 million 2030 Notes, each as outstanding on September 30, 2024. We may issue additional debt securities. In the event that we were to issue additional debt securities, our borrowing costs, and correspondingly our total annual expenses would increase.</w:t>
      </w:r>
    </w:p>
    <w:p>
      <w:pPr>
        <w:jc w:val="both"/>
        <w:ind w:left="1740" w:right="1419" w:hanging="340"/>
        <w:spacing w:after="0" w:line="254" w:lineRule="auto"/>
        <w:tabs>
          <w:tab w:leader="none" w:pos="17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Assumes that we have an aggregate of (a) $88.1 million of preferred stock with a preferred rate of 6.25% per annum, (b) $67.2 million of preferred stock with a preferred rate of 6.00% per annum and (c) $63.8 million of preferred stock with a preferred rate of 7.125% per annum which were the amounts outstanding as of September 30, 2024. We may issue additional shares of preferred stock. In the event that we were to issue additional shares of preferred stock or debt securities, our borrowing costs, and correspondingly our total annual expenses, including, in the case of such preferred stock, the base management fee as a percentage of the Fund’s net assets attributable to common stock, would increase.</w:t>
      </w:r>
    </w:p>
    <w:p>
      <w:pPr>
        <w:spacing w:after="0" w:line="3" w:lineRule="exact"/>
        <w:rPr>
          <w:rFonts w:ascii="Times New Roman" w:cs="Times New Roman" w:eastAsia="Times New Roman" w:hAnsi="Times New Roman"/>
          <w:sz w:val="13"/>
          <w:szCs w:val="13"/>
          <w:color w:val="auto"/>
        </w:rPr>
      </w:pPr>
    </w:p>
    <w:p>
      <w:pPr>
        <w:ind w:left="1740" w:hanging="340"/>
        <w:spacing w:after="0"/>
        <w:tabs>
          <w:tab w:leader="none" w:pos="17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expenses” ($9.6 million) are estimated for the current fiscal year.</w:t>
      </w:r>
    </w:p>
    <w:p>
      <w:pPr>
        <w:spacing w:after="0" w:line="9" w:lineRule="exact"/>
        <w:rPr>
          <w:rFonts w:ascii="Times New Roman" w:cs="Times New Roman" w:eastAsia="Times New Roman" w:hAnsi="Times New Roman"/>
          <w:sz w:val="13"/>
          <w:szCs w:val="13"/>
          <w:color w:val="auto"/>
        </w:rPr>
      </w:pPr>
    </w:p>
    <w:p>
      <w:pPr>
        <w:jc w:val="both"/>
        <w:ind w:left="1740" w:right="1419" w:hanging="340"/>
        <w:spacing w:after="0" w:line="257" w:lineRule="auto"/>
        <w:tabs>
          <w:tab w:leader="none" w:pos="17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“Total annual expenses” is presented as a percentage of net assets attributable to common stockholders, because the holders of shares of our common stock (and not the holders of our preferred stock or debt securities, if any) bear all of our fees and expenses, all of which are included in this fee table presentation. </w:t>
      </w:r>
      <w:r>
        <w:rPr>
          <w:rFonts w:ascii="Times New Roman" w:cs="Times New Roman" w:eastAsia="Times New Roman" w:hAnsi="Times New Roman"/>
          <w:sz w:val="13"/>
          <w:szCs w:val="13"/>
          <w:b w:val="1"/>
          <w:bCs w:val="1"/>
          <w:color w:val="auto"/>
        </w:rPr>
        <w:t>The indirect expenses associated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with the Company’s CLO equity investments are not included in the fee table presentation, but if such expenses were included in the fee table presentation then the Company’s total annual expenses would have been 28.02%.</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92" w:name="page93"/>
    <w:bookmarkEnd w:id="92"/>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11430</wp:posOffset>
            </wp:positionV>
            <wp:extent cx="4037330" cy="12420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4037330" cy="1242060"/>
                    </a:xfrm>
                    <a:prstGeom prst="rect">
                      <a:avLst/>
                    </a:prstGeom>
                    <a:noFill/>
                  </pic:spPr>
                </pic:pic>
              </a:graphicData>
            </a:graphic>
          </wp:anchor>
        </w:drawing>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FINANCIAL HIGHLIGHTS</w:t>
      </w:r>
    </w:p>
    <w:p>
      <w:pPr>
        <w:spacing w:after="0" w:line="127" w:lineRule="exact"/>
        <w:rPr>
          <w:sz w:val="20"/>
          <w:szCs w:val="20"/>
          <w:color w:val="auto"/>
        </w:rPr>
      </w:pPr>
    </w:p>
    <w:p>
      <w:pPr>
        <w:jc w:val="both"/>
        <w:ind w:left="1400" w:right="1419" w:firstLine="338"/>
        <w:spacing w:after="0" w:line="258"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Information regarding our financial highlights for each of the ten years ended March 31, 2024 is incorporated by reference herein from our most recent </w:t>
      </w:r>
      <w:hyperlink r:id="rId152">
        <w:r>
          <w:rPr>
            <w:rFonts w:ascii="Times New Roman" w:cs="Times New Roman" w:eastAsia="Times New Roman" w:hAnsi="Times New Roman"/>
            <w:sz w:val="14"/>
            <w:szCs w:val="14"/>
            <w:u w:val="single" w:color="auto"/>
            <w:color w:val="0000EE"/>
          </w:rPr>
          <w:t>Annual Report on Form N-CSR</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w:t>
      </w:r>
      <w:hyperlink r:id="rId153">
        <w:r>
          <w:rPr>
            <w:rFonts w:ascii="Times New Roman" w:cs="Times New Roman" w:eastAsia="Times New Roman" w:hAnsi="Times New Roman"/>
            <w:sz w:val="14"/>
            <w:szCs w:val="14"/>
            <w:color w:val="auto"/>
          </w:rPr>
          <w:t xml:space="preserve">ended March 31, 2024, filed with the SEC on May 17, 2024 and our most recent </w:t>
        </w:r>
        <w:r>
          <w:rPr>
            <w:rFonts w:ascii="Times New Roman" w:cs="Times New Roman" w:eastAsia="Times New Roman" w:hAnsi="Times New Roman"/>
            <w:sz w:val="14"/>
            <w:szCs w:val="14"/>
            <w:u w:val="single" w:color="auto"/>
            <w:color w:val="0000EE"/>
          </w:rPr>
          <w:t>Semi-Annual Report on</w:t>
        </w:r>
      </w:hyperlink>
      <w:r>
        <w:rPr>
          <w:rFonts w:ascii="Times New Roman" w:cs="Times New Roman" w:eastAsia="Times New Roman" w:hAnsi="Times New Roman"/>
          <w:sz w:val="14"/>
          <w:szCs w:val="14"/>
          <w:color w:val="auto"/>
        </w:rPr>
        <w:t xml:space="preserve"> </w:t>
      </w:r>
      <w:hyperlink r:id="rId153">
        <w:r>
          <w:rPr>
            <w:rFonts w:ascii="Times New Roman" w:cs="Times New Roman" w:eastAsia="Times New Roman" w:hAnsi="Times New Roman"/>
            <w:sz w:val="14"/>
            <w:szCs w:val="14"/>
            <w:u w:val="single" w:color="auto"/>
            <w:color w:val="0000EE"/>
          </w:rPr>
          <w:t>Form N-CSR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for the six months ended September 30, 2024, filed with the SEC on November 1, 2024. The</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financial highlights for each of the fiscal years ended March 31, 2024, 2023, 2022, 2021, 2020, 2019, 2018, 2017, 2016 and 2015 have been derived from financial statements audited by PricewaterhouseCoopers LLP, the Fund’s independent registered public accounting firm.</w:t>
      </w:r>
    </w:p>
    <w:p>
      <w:pPr>
        <w:spacing w:after="0" w:line="270"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93" w:name="page94"/>
    <w:bookmarkEnd w:id="93"/>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16" w:lineRule="exact"/>
        <w:rPr>
          <w:sz w:val="20"/>
          <w:szCs w:val="20"/>
          <w:color w:val="auto"/>
        </w:rPr>
      </w:pPr>
    </w:p>
    <w:p>
      <w:pPr>
        <w:jc w:val="both"/>
        <w:ind w:left="1320" w:right="1339" w:firstLine="339"/>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Investing in our securities involves a high degree of risk. Before deciding whether to invest in our securities, you should carefully consider the risks and uncertainties described in the section titled “Principal Risks” in our most recent </w:t>
      </w:r>
      <w:hyperlink r:id="rId152">
        <w:r>
          <w:rPr>
            <w:rFonts w:ascii="Times New Roman" w:cs="Times New Roman" w:eastAsia="Times New Roman" w:hAnsi="Times New Roman"/>
            <w:sz w:val="14"/>
            <w:szCs w:val="14"/>
            <w:u w:val="single" w:color="auto"/>
            <w:color w:val="0000EE"/>
          </w:rPr>
          <w:t>Annual Report on Form N-CSR</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March 31, 2024, filed with the SEC on May 17, 2024 and our most recent </w:t>
      </w:r>
      <w:hyperlink r:id="rId153">
        <w:r>
          <w:rPr>
            <w:rFonts w:ascii="Times New Roman" w:cs="Times New Roman" w:eastAsia="Times New Roman" w:hAnsi="Times New Roman"/>
            <w:sz w:val="14"/>
            <w:szCs w:val="14"/>
            <w:u w:val="single" w:color="auto"/>
            <w:color w:val="0000EE"/>
          </w:rPr>
          <w:t>Semi-Annual Report on Form N-CSR</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six months ended September 30, 2024, filed with the SEC on November 1, 2024, as such principal risks may be supplemented from time to time, which is incorporated by reference herein. The specific risks applicable to a particular offering of Securities will be set forth in the related prospectus supplement.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94" w:name="page95"/>
    <w:bookmarkEnd w:id="94"/>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16"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This prospectus, including the documents we incorporate by reference herein, contains forward-looking statements that involve substantial risks and uncertainties. These forward-looking statements are not historical facts, but rather are based on current expectations, estimates and projections about Oxford Lane Capital Corp.,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90"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involve risks and uncertainties, including statements as to:</w:t>
      </w:r>
    </w:p>
    <w:p>
      <w:pPr>
        <w:spacing w:after="0" w:line="71" w:lineRule="exact"/>
        <w:rPr>
          <w:sz w:val="20"/>
          <w:szCs w:val="20"/>
          <w:color w:val="auto"/>
        </w:rPr>
      </w:pPr>
    </w:p>
    <w:p>
      <w:pPr>
        <w:ind w:left="2000" w:hanging="332"/>
        <w:spacing w:after="0"/>
        <w:tabs>
          <w:tab w:leader="none" w:pos="20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 including our ability to achieve objectives;</w:t>
      </w:r>
    </w:p>
    <w:p>
      <w:pPr>
        <w:spacing w:after="0" w:line="11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a CLO vehicle’s portfolio companies;</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11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71"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and our ability to access alternative debt markets and additional debt and equity capital;</w:t>
      </w:r>
    </w:p>
    <w:p>
      <w:pPr>
        <w:spacing w:after="0" w:line="71"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a CLO vehicle’s portfolio companies to achieve their objectives;</w:t>
      </w:r>
    </w:p>
    <w:p>
      <w:pPr>
        <w:spacing w:after="0" w:line="11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CLOs, particularly those having no liquid trading market;</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w:t>
      </w:r>
    </w:p>
    <w:p>
      <w:pPr>
        <w:spacing w:after="0" w:line="12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Oxford Lane Management to locate suitable investments for us and to monitor and administer our investments;</w:t>
      </w:r>
    </w:p>
    <w:p>
      <w:pPr>
        <w:spacing w:after="0" w:line="60"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 and</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our investments.</w:t>
      </w:r>
    </w:p>
    <w:p>
      <w:pPr>
        <w:spacing w:after="0" w:line="125" w:lineRule="exact"/>
        <w:rPr>
          <w:sz w:val="20"/>
          <w:szCs w:val="20"/>
          <w:color w:val="auto"/>
        </w:rPr>
      </w:pPr>
    </w:p>
    <w:p>
      <w:pPr>
        <w:jc w:val="both"/>
        <w:ind w:left="1320" w:right="1339" w:firstLine="339"/>
        <w:spacing w:after="0" w:line="266" w:lineRule="auto"/>
        <w:rPr>
          <w:sz w:val="20"/>
          <w:szCs w:val="20"/>
          <w:color w:val="auto"/>
        </w:rPr>
      </w:pPr>
      <w:r>
        <w:rPr>
          <w:rFonts w:ascii="Times New Roman" w:cs="Times New Roman" w:eastAsia="Times New Roman" w:hAnsi="Times New Roman"/>
          <w:sz w:val="14"/>
          <w:szCs w:val="14"/>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248" w:lineRule="exact"/>
        <w:rPr>
          <w:sz w:val="20"/>
          <w:szCs w:val="20"/>
          <w:color w:val="auto"/>
        </w:rPr>
      </w:pPr>
    </w:p>
    <w:p>
      <w:pPr>
        <w:ind w:left="2000" w:right="1339" w:hanging="332"/>
        <w:spacing w:after="0" w:line="286" w:lineRule="auto"/>
        <w:tabs>
          <w:tab w:leader="none" w:pos="199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economic downturn could impair the ability of a CLO vehicle’s portfolio companies to continue to operate, which could lead to the loss of some or all of our investment in such CLO vehicle;</w:t>
      </w:r>
    </w:p>
    <w:p>
      <w:pPr>
        <w:spacing w:after="0" w:line="71"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contraction of available credit and/or an inability to access the equity markets could impair our investment activities;</w:t>
      </w:r>
    </w:p>
    <w:p>
      <w:pPr>
        <w:spacing w:after="0" w:line="60"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volatility could adversely affect our results, particularly if we elect to use leverage as part of our investment strategy;</w:t>
      </w:r>
    </w:p>
    <w:p>
      <w:pPr>
        <w:spacing w:after="0" w:line="71"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fluctuations could adversely affect the results of our investments in foreign companies, particularly to the extent that we receive payments denominated in foreign currency rather than U.S. dollars;</w:t>
      </w:r>
    </w:p>
    <w:p>
      <w:pPr>
        <w:spacing w:after="0" w:line="82"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information technology system failures, data security breaches, data privacy compliance, network disruptions and cybersecurity attacks; and</w:t>
      </w:r>
    </w:p>
    <w:p>
      <w:pPr>
        <w:spacing w:after="0" w:line="60" w:lineRule="exact"/>
        <w:rPr>
          <w:rFonts w:ascii="Times New Roman" w:cs="Times New Roman" w:eastAsia="Times New Roman" w:hAnsi="Times New Roman"/>
          <w:sz w:val="14"/>
          <w:szCs w:val="14"/>
          <w:color w:val="auto"/>
        </w:rPr>
      </w:pPr>
    </w:p>
    <w:p>
      <w:pPr>
        <w:ind w:left="2000" w:right="1359" w:hanging="332"/>
        <w:spacing w:after="0" w:line="286" w:lineRule="auto"/>
        <w:tabs>
          <w:tab w:leader="none" w:pos="199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uncertainties and other factors we identify in “Risk Factors” and elsewhere in this prospectus and in our filings with the SEC.</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95" w:name="page96"/>
    <w:bookmarkEnd w:id="95"/>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“Risk Factors” and elsewhere in this prospectus, as well as in any of our subsequent SEC filings. You should not place undue reliance on these forward-looking statements, which are based on information available to us as of the applicable date of this prospectus, any applicable prospectus supplement or free writing prospectus, including any documents incorporated by reference,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However, we will update this prospectus, and the documents that we incorporate by reference herein, to reflect any material changes to the information contained herein. The forward-looking statements contained in this prospectus, including the documents that we incorporate by reference herein, are excluded from the safe harbor protection provided by Section 27A of the Securities Act of 1933, as amended (the “Securities Act”).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96" w:name="page97"/>
    <w:bookmarkEnd w:id="96"/>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16"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We intend to use the net proceeds from the sale of our securities pursuant to this prospectus for acquiring investments in accordance with our investment objective and strategies described in this prospectus and for general working capital purposes. We may also pay operating expenses, including advisory and administrative fees and expenses, and may pay other expenses such as due diligence expenses of potential new investments, from the net proceeds of any offering conducted pursuant to this prospectus. We may choose to use the proceeds from any offering to pay distributions, in which case all or part of the distribution could be considered a return of capital if total distributions exceed the Company’s net investment income. Finally, we may also pay down any existing indebtedness and/or redeem outstanding shares of our preferred stock or notes using the proceeds from any offering. We anticipate that substantially all of the net proceeds of any such offering will be used for the above purposes within approximately three months from the consummation of such offering, depending on the availability of appropriate investment opportunities consistent with our investment objective and market conditions. We cannot assure you we will achieve our targeted investment pace.</w:t>
      </w:r>
    </w:p>
    <w:p>
      <w:pPr>
        <w:spacing w:after="0" w:line="95"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Pending such investments, we will invest the net proceeds primarily in cash, cash equivalents, U.S. government securities and other high-quality investments that mature in one year or less from the date of investment. The management fee payable by us will not be reduced while our assets are invested in such securities. See “Regulation as a Registered Closed-End Management Investment Company — Temporary Investments” for additional information about temporary investments we may make while waiting to make longer-term investments in pursuit of our investment objective. Any supplement to this prospectus relating to an offering conducted pursuant to this prospectus will more fully identify the use of the proceeds from such offering.</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97" w:name="page98"/>
    <w:bookmarkEnd w:id="97"/>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PRICE RANGE OF COMMON STOCK</w:t>
      </w:r>
    </w:p>
    <w:p>
      <w:pPr>
        <w:spacing w:after="0" w:line="116" w:lineRule="exact"/>
        <w:rPr>
          <w:sz w:val="20"/>
          <w:szCs w:val="20"/>
          <w:color w:val="auto"/>
        </w:rPr>
      </w:pPr>
    </w:p>
    <w:p>
      <w:pPr>
        <w:jc w:val="both"/>
        <w:ind w:left="1320" w:right="1339" w:firstLine="339"/>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following information is qualified by reference to, and should be read in conjunction with, the information in our most recent </w:t>
      </w:r>
      <w:hyperlink r:id="rId152">
        <w:r>
          <w:rPr>
            <w:rFonts w:ascii="Times New Roman" w:cs="Times New Roman" w:eastAsia="Times New Roman" w:hAnsi="Times New Roman"/>
            <w:sz w:val="14"/>
            <w:szCs w:val="14"/>
            <w:u w:val="single" w:color="auto"/>
            <w:color w:val="0000EE"/>
          </w:rPr>
          <w:t>Annual Report on Form N-CSR</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March 31, 2024, filed with the SEC on May 17, 2024 and our most recent </w:t>
      </w:r>
      <w:hyperlink r:id="rId153">
        <w:r>
          <w:rPr>
            <w:rFonts w:ascii="Times New Roman" w:cs="Times New Roman" w:eastAsia="Times New Roman" w:hAnsi="Times New Roman"/>
            <w:sz w:val="14"/>
            <w:szCs w:val="14"/>
            <w:u w:val="single" w:color="auto"/>
            <w:color w:val="0000EE"/>
          </w:rPr>
          <w:t>Semi-Annual Report on Form N-CSR</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six months ended September 30, 2024, filed with the SEC on November 1, 2024, regarding the price range of our common stock, distributions and stockholders of record, which is incorporated by reference herein.</w:t>
      </w:r>
    </w:p>
    <w:p>
      <w:pPr>
        <w:spacing w:after="0" w:line="91"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Our common stock is traded on the NASDAQ Global Select Market under the symbol “OXLC.” The following table sets forth, for each fiscal quarter during the last two fiscal years and the current fiscal year to date, the net asset value, or “NAV,” per share of our common stock, the high and low intraday sales prices for our common stock, such sales prices as a percentage of NAV per share and quarterly distributions per share.</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Premium/</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Premium/</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(Discount)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(Discount)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6"/>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Price Range</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of High</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of Low</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6"/>
            <w:vMerge w:val="continue"/>
          </w:tcPr>
          <w:p>
            <w:pPr>
              <w:spacing w:after="0"/>
              <w:rPr>
                <w:sz w:val="8"/>
                <w:szCs w:val="8"/>
                <w:color w:val="auto"/>
              </w:rPr>
            </w:pPr>
          </w:p>
        </w:tc>
        <w:tc>
          <w:tcPr>
            <w:tcW w:w="780" w:type="dxa"/>
            <w:vAlign w:val="bottom"/>
            <w:gridSpan w:val="2"/>
            <w:vMerge w:val="restart"/>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Sales Price</w:t>
            </w:r>
          </w:p>
        </w:tc>
        <w:tc>
          <w:tcPr>
            <w:tcW w:w="760" w:type="dxa"/>
            <w:vAlign w:val="bottom"/>
            <w:vMerge w:val="restart"/>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Sales Price</w:t>
            </w:r>
          </w:p>
        </w:tc>
        <w:tc>
          <w:tcPr>
            <w:tcW w:w="80" w:type="dxa"/>
            <w:vAlign w:val="bottom"/>
          </w:tcPr>
          <w:p>
            <w:pPr>
              <w:spacing w:after="0"/>
              <w:rPr>
                <w:sz w:val="8"/>
                <w:szCs w:val="8"/>
                <w:color w:val="auto"/>
              </w:rPr>
            </w:pPr>
          </w:p>
        </w:tc>
        <w:tc>
          <w:tcPr>
            <w:tcW w:w="820" w:type="dxa"/>
            <w:vAlign w:val="bottom"/>
            <w:gridSpan w:val="2"/>
            <w:vMerge w:val="restart"/>
          </w:tcPr>
          <w:p>
            <w:pPr>
              <w:jc w:val="right"/>
              <w:ind w:right="10"/>
              <w:spacing w:after="0" w:line="109" w:lineRule="exact"/>
              <w:rPr>
                <w:sz w:val="20"/>
                <w:szCs w:val="20"/>
                <w:color w:val="auto"/>
              </w:rPr>
            </w:pPr>
            <w:r>
              <w:rPr>
                <w:rFonts w:ascii="Times New Roman" w:cs="Times New Roman" w:eastAsia="Times New Roman" w:hAnsi="Times New Roman"/>
                <w:sz w:val="12"/>
                <w:szCs w:val="12"/>
                <w:b w:val="1"/>
                <w:bCs w:val="1"/>
                <w:color w:val="auto"/>
              </w:rPr>
              <w:t>Distributions</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NAV</w:t>
            </w:r>
            <w:r>
              <w:rPr>
                <w:rFonts w:ascii="Times New Roman" w:cs="Times New Roman" w:eastAsia="Times New Roman" w:hAnsi="Times New Roman"/>
                <w:sz w:val="7"/>
                <w:szCs w:val="7"/>
                <w:b w:val="1"/>
                <w:bCs w:val="1"/>
                <w:color w:val="auto"/>
              </w:rPr>
              <w:t>(1)</w:t>
            </w:r>
          </w:p>
        </w:tc>
        <w:tc>
          <w:tcPr>
            <w:tcW w:w="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4"/>
              </w:rPr>
              <w:t>High</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Low</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0"/>
              </w:rPr>
              <w:t>to NAV</w:t>
            </w:r>
            <w:r>
              <w:rPr>
                <w:rFonts w:ascii="Times New Roman" w:cs="Times New Roman" w:eastAsia="Times New Roman" w:hAnsi="Times New Roman"/>
                <w:sz w:val="14"/>
                <w:szCs w:val="14"/>
                <w:b w:val="1"/>
                <w:bCs w:val="1"/>
                <w:color w:val="auto"/>
                <w:w w:val="90"/>
                <w:vertAlign w:val="superscript"/>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to NAV</w:t>
            </w:r>
            <w:r>
              <w:rPr>
                <w:rFonts w:ascii="Times New Roman" w:cs="Times New Roman" w:eastAsia="Times New Roman" w:hAnsi="Times New Roman"/>
                <w:sz w:val="14"/>
                <w:szCs w:val="14"/>
                <w:b w:val="1"/>
                <w:bCs w:val="1"/>
                <w:color w:val="auto"/>
                <w:w w:val="90"/>
                <w:vertAlign w:val="superscript"/>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w w:val="93"/>
              </w:rPr>
              <w:t>Per Share</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Third Quarter (through November 5,</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3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2024)</w:t>
            </w:r>
          </w:p>
        </w:tc>
        <w:tc>
          <w:tcPr>
            <w:tcW w:w="16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5.18</w:t>
            </w:r>
          </w:p>
        </w:tc>
        <w:tc>
          <w:tcPr>
            <w:tcW w:w="7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0.270</w:t>
            </w:r>
          </w:p>
        </w:tc>
        <w:tc>
          <w:tcPr>
            <w:tcW w:w="0" w:type="dxa"/>
            <w:vAlign w:val="bottom"/>
          </w:tcPr>
          <w:p>
            <w:pPr>
              <w:spacing w:after="0"/>
              <w:rPr>
                <w:sz w:val="1"/>
                <w:szCs w:val="1"/>
                <w:color w:val="auto"/>
              </w:rPr>
            </w:pPr>
          </w:p>
        </w:tc>
      </w:tr>
      <w:tr>
        <w:trPr>
          <w:trHeight w:val="32"/>
        </w:trPr>
        <w:tc>
          <w:tcPr>
            <w:tcW w:w="2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5.68</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0.270</w:t>
            </w:r>
          </w:p>
        </w:tc>
        <w:tc>
          <w:tcPr>
            <w:tcW w:w="0" w:type="dxa"/>
            <w:vAlign w:val="bottom"/>
          </w:tcPr>
          <w:p>
            <w:pPr>
              <w:spacing w:after="0"/>
              <w:rPr>
                <w:sz w:val="1"/>
                <w:szCs w:val="1"/>
                <w:color w:val="auto"/>
              </w:rPr>
            </w:pPr>
          </w:p>
        </w:tc>
      </w:tr>
      <w:tr>
        <w:trPr>
          <w:trHeight w:val="19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160" w:type="dxa"/>
            <w:vAlign w:val="bottom"/>
          </w:tcPr>
          <w:p>
            <w:pPr>
              <w:spacing w:after="0"/>
              <w:rPr>
                <w:sz w:val="16"/>
                <w:szCs w:val="16"/>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6"/>
                <w:szCs w:val="16"/>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4.95</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0.240</w:t>
            </w:r>
          </w:p>
        </w:tc>
        <w:tc>
          <w:tcPr>
            <w:tcW w:w="0" w:type="dxa"/>
            <w:vAlign w:val="bottom"/>
          </w:tcPr>
          <w:p>
            <w:pPr>
              <w:spacing w:after="0"/>
              <w:rPr>
                <w:sz w:val="1"/>
                <w:szCs w:val="1"/>
                <w:color w:val="auto"/>
              </w:rPr>
            </w:pPr>
          </w:p>
        </w:tc>
      </w:tr>
      <w:tr>
        <w:trPr>
          <w:trHeight w:val="32"/>
        </w:trPr>
        <w:tc>
          <w:tcPr>
            <w:tcW w:w="2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Fourth Quarter</w:t>
            </w: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5.41</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0.240</w:t>
            </w:r>
          </w:p>
        </w:tc>
        <w:tc>
          <w:tcPr>
            <w:tcW w:w="0" w:type="dxa"/>
            <w:vAlign w:val="bottom"/>
          </w:tcPr>
          <w:p>
            <w:pPr>
              <w:spacing w:after="0"/>
              <w:rPr>
                <w:sz w:val="1"/>
                <w:szCs w:val="1"/>
                <w:color w:val="auto"/>
              </w:rPr>
            </w:pPr>
          </w:p>
        </w:tc>
      </w:tr>
      <w:tr>
        <w:trPr>
          <w:trHeight w:val="19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Third Quarter</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5.14</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4.41</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0.240</w:t>
            </w:r>
          </w:p>
        </w:tc>
        <w:tc>
          <w:tcPr>
            <w:tcW w:w="0" w:type="dxa"/>
            <w:vAlign w:val="bottom"/>
          </w:tcPr>
          <w:p>
            <w:pPr>
              <w:spacing w:after="0"/>
              <w:rPr>
                <w:sz w:val="1"/>
                <w:szCs w:val="1"/>
                <w:color w:val="auto"/>
              </w:rPr>
            </w:pPr>
          </w:p>
        </w:tc>
      </w:tr>
      <w:tr>
        <w:trPr>
          <w:trHeight w:val="32"/>
        </w:trPr>
        <w:tc>
          <w:tcPr>
            <w:tcW w:w="2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0.240</w:t>
            </w:r>
          </w:p>
        </w:tc>
        <w:tc>
          <w:tcPr>
            <w:tcW w:w="0" w:type="dxa"/>
            <w:vAlign w:val="bottom"/>
          </w:tcPr>
          <w:p>
            <w:pPr>
              <w:spacing w:after="0"/>
              <w:rPr>
                <w:sz w:val="1"/>
                <w:szCs w:val="1"/>
                <w:color w:val="auto"/>
              </w:rPr>
            </w:pPr>
          </w:p>
        </w:tc>
      </w:tr>
      <w:tr>
        <w:trPr>
          <w:trHeight w:val="19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5.39</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4.76</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0.225</w:t>
            </w:r>
          </w:p>
        </w:tc>
        <w:tc>
          <w:tcPr>
            <w:tcW w:w="0" w:type="dxa"/>
            <w:vAlign w:val="bottom"/>
          </w:tcPr>
          <w:p>
            <w:pPr>
              <w:spacing w:after="0"/>
              <w:rPr>
                <w:sz w:val="1"/>
                <w:szCs w:val="1"/>
                <w:color w:val="auto"/>
              </w:rPr>
            </w:pPr>
          </w:p>
        </w:tc>
      </w:tr>
      <w:tr>
        <w:trPr>
          <w:trHeight w:val="32"/>
        </w:trPr>
        <w:tc>
          <w:tcPr>
            <w:tcW w:w="2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Fourth Quarter</w:t>
            </w: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6.27</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0.225</w:t>
            </w:r>
          </w:p>
        </w:tc>
        <w:tc>
          <w:tcPr>
            <w:tcW w:w="0" w:type="dxa"/>
            <w:vAlign w:val="bottom"/>
          </w:tcPr>
          <w:p>
            <w:pPr>
              <w:spacing w:after="0"/>
              <w:rPr>
                <w:sz w:val="1"/>
                <w:szCs w:val="1"/>
                <w:color w:val="auto"/>
              </w:rPr>
            </w:pPr>
          </w:p>
        </w:tc>
      </w:tr>
      <w:tr>
        <w:trPr>
          <w:trHeight w:val="19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Third Quarter</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5.72</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4.85</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0.225</w:t>
            </w:r>
          </w:p>
        </w:tc>
        <w:tc>
          <w:tcPr>
            <w:tcW w:w="0" w:type="dxa"/>
            <w:vAlign w:val="bottom"/>
          </w:tcPr>
          <w:p>
            <w:pPr>
              <w:spacing w:after="0"/>
              <w:rPr>
                <w:sz w:val="1"/>
                <w:szCs w:val="1"/>
                <w:color w:val="auto"/>
              </w:rPr>
            </w:pPr>
          </w:p>
        </w:tc>
      </w:tr>
      <w:tr>
        <w:trPr>
          <w:trHeight w:val="32"/>
        </w:trPr>
        <w:tc>
          <w:tcPr>
            <w:tcW w:w="2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6.79</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0.225</w:t>
            </w:r>
          </w:p>
        </w:tc>
        <w:tc>
          <w:tcPr>
            <w:tcW w:w="0" w:type="dxa"/>
            <w:vAlign w:val="bottom"/>
          </w:tcPr>
          <w:p>
            <w:pPr>
              <w:spacing w:after="0"/>
              <w:rPr>
                <w:sz w:val="1"/>
                <w:szCs w:val="1"/>
                <w:color w:val="auto"/>
              </w:rPr>
            </w:pPr>
          </w:p>
        </w:tc>
      </w:tr>
      <w:tr>
        <w:trPr>
          <w:trHeight w:val="19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7.32</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5.49</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0.225</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____________</w:t>
      </w:r>
    </w:p>
    <w:p>
      <w:pPr>
        <w:spacing w:after="0" w:line="83" w:lineRule="exact"/>
        <w:rPr>
          <w:sz w:val="20"/>
          <w:szCs w:val="20"/>
          <w:color w:val="auto"/>
        </w:rPr>
      </w:pPr>
    </w:p>
    <w:p>
      <w:pPr>
        <w:jc w:val="both"/>
        <w:ind w:left="1660" w:right="1339" w:hanging="330"/>
        <w:spacing w:after="0" w:line="258" w:lineRule="auto"/>
        <w:tabs>
          <w:tab w:leader="none" w:pos="166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ind w:left="1660" w:hanging="330"/>
        <w:spacing w:after="0"/>
        <w:tabs>
          <w:tab w:leader="none" w:pos="166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as the respective high or low sales price divided by NAV and subtracting 1.</w:t>
      </w:r>
    </w:p>
    <w:p>
      <w:pPr>
        <w:spacing w:after="0" w:line="9" w:lineRule="exact"/>
        <w:rPr>
          <w:rFonts w:ascii="Times New Roman" w:cs="Times New Roman" w:eastAsia="Times New Roman" w:hAnsi="Times New Roman"/>
          <w:sz w:val="13"/>
          <w:szCs w:val="13"/>
          <w:color w:val="auto"/>
        </w:rPr>
      </w:pPr>
    </w:p>
    <w:p>
      <w:pPr>
        <w:ind w:left="1660" w:right="1339" w:hanging="330"/>
        <w:spacing w:after="0" w:line="254" w:lineRule="auto"/>
        <w:tabs>
          <w:tab w:leader="none" w:pos="166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cash distributions, including dividends, dividends reinvested and returns of capital, if any, per share that we have declared on our common stock in the specified quarter.</w:t>
      </w:r>
    </w:p>
    <w:p>
      <w:pPr>
        <w:spacing w:after="0" w:line="1" w:lineRule="exact"/>
        <w:rPr>
          <w:sz w:val="20"/>
          <w:szCs w:val="20"/>
          <w:color w:val="auto"/>
        </w:rPr>
      </w:pPr>
    </w:p>
    <w:p>
      <w:pPr>
        <w:ind w:left="1640" w:hanging="310"/>
        <w:spacing w:after="0"/>
        <w:tabs>
          <w:tab w:leader="none" w:pos="16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determinable at the time of filing.</w:t>
      </w:r>
    </w:p>
    <w:p>
      <w:pPr>
        <w:spacing w:after="0" w:line="115"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On November 5, 2024, the last reported sales price of our common stock was $5.30 per share. As of November 5, 2024, we had 129 holders of record of our common stock.</w:t>
      </w:r>
    </w:p>
    <w:p>
      <w:pPr>
        <w:spacing w:after="0" w:line="61"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Shares of closed-end management investment companies may trade at a market price that is less than the value of the net assets attributable to those shares. The possibility that our shares of common stock will trade at a discount from net asset value or at premiums that are unsustainable over the long term are separate and distinct from the risk that our net asset value will decrease. Since our initial public offering, shares of our common stock have traded at a discount and at a premium to the net assets attributable to those shares. As of November 5, 2024, our shares of common stock traded at a premium equal to approximately 11.3% of our net asset value per share as of September 30, 2024. It is not possible to predict whether the shares offered hereby will trade at, above, or below net asset value.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98" w:name="page99"/>
    <w:bookmarkEnd w:id="98"/>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SENIOR SECURITIES</w:t>
      </w:r>
    </w:p>
    <w:p>
      <w:pPr>
        <w:spacing w:after="0" w:line="116" w:lineRule="exact"/>
        <w:rPr>
          <w:sz w:val="20"/>
          <w:szCs w:val="20"/>
          <w:color w:val="auto"/>
        </w:rPr>
      </w:pPr>
    </w:p>
    <w:p>
      <w:pPr>
        <w:jc w:val="both"/>
        <w:ind w:left="1320" w:right="1339" w:firstLine="33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about our senior securities (including preferred stock, debt securities and other indebtedness) for the six months ended September 30, 2024 may be found in “Financial Highlights” of our most recent </w:t>
      </w:r>
      <w:hyperlink r:id="rId153">
        <w:r>
          <w:rPr>
            <w:rFonts w:ascii="Times New Roman" w:cs="Times New Roman" w:eastAsia="Times New Roman" w:hAnsi="Times New Roman"/>
            <w:sz w:val="14"/>
            <w:szCs w:val="14"/>
            <w:u w:val="single" w:color="auto"/>
            <w:color w:val="0000EE"/>
          </w:rPr>
          <w:t>Semi-Annual Report on Form N-CSR</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six months ended September 30, 2024, filed with the SEC on November 1, 2024. The information about our senior securities (including preferred stock, debt securities and other indebtedness) for each of the years ended March 31, 2024, 2023, 2022, 2021, 2020, 2019, 2018, 2017, 2016 and 2015 may be found in “Financial Highlights” of our most recent </w:t>
      </w:r>
      <w:hyperlink r:id="rId152">
        <w:r>
          <w:rPr>
            <w:rFonts w:ascii="Times New Roman" w:cs="Times New Roman" w:eastAsia="Times New Roman" w:hAnsi="Times New Roman"/>
            <w:sz w:val="14"/>
            <w:szCs w:val="14"/>
            <w:u w:val="single" w:color="auto"/>
            <w:color w:val="0000EE"/>
          </w:rPr>
          <w:t>Annual Report on Form N-CSR</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March 31, 2024, filed with the SEC on May 17, 2024, which is incorporated by reference herein. The reports of PricewaterhouseCoopers LLP, an independent registered public accounting firm, on the Senior Securities table as of March 31, 2024, 2023, 2022, 2021, 2020, 2019, 2018, 2017, 2016 and 2015, has been incorporated by reference as an exhibit to the registration statement of which this prospectus is a part.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99" w:name="page100"/>
    <w:bookmarkEnd w:id="99"/>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16"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We are a closed-end management investment company that has registered as an investment company under the 1940 Act. Our investment objective is to maximize our portfolio’s risk-adjusted total return.</w:t>
      </w:r>
    </w:p>
    <w:p>
      <w:pPr>
        <w:spacing w:after="0" w:line="71" w:lineRule="exact"/>
        <w:rPr>
          <w:sz w:val="20"/>
          <w:szCs w:val="20"/>
          <w:color w:val="auto"/>
        </w:rPr>
      </w:pPr>
    </w:p>
    <w:p>
      <w:pPr>
        <w:jc w:val="both"/>
        <w:ind w:left="1320" w:right="1339" w:firstLine="339"/>
        <w:spacing w:after="0" w:line="253" w:lineRule="auto"/>
        <w:rPr>
          <w:sz w:val="20"/>
          <w:szCs w:val="20"/>
          <w:color w:val="auto"/>
        </w:rPr>
      </w:pPr>
      <w:r>
        <w:rPr>
          <w:rFonts w:ascii="Times New Roman" w:cs="Times New Roman" w:eastAsia="Times New Roman" w:hAnsi="Times New Roman"/>
          <w:sz w:val="14"/>
          <w:szCs w:val="14"/>
          <w:color w:val="auto"/>
        </w:rPr>
        <w:t>We have implemented our investment objective by purchasing portions of equity and junior debt tranches of CLO vehicles. Substantially all of the CLO vehicles in which we may invest would be deemed to be investment companies under the 1940 Act but for the exceptions set forth in section 3(c)(1) or section 3(c)(7). Structurally, CLO vehicles are entities formed to originate and/or acquire a portfolio of loans. The loans within the CLO vehicle are limited to loans which meet established credit criteria and are subject to concentration limitations in order to limit a CLO vehicle’s exposure to a single credit. A CLO vehicle is formed by raising various classes or “tranches” of debt (with the most senior tranches being rated “AAA” to the most junior tranches typically being rated “BB” or “B”) and equity. The CLO vehicles which we focus on are collateralized primarily by Senior Loans and generally have very little or no exposure to real estate, mortgage loans or to pools of consumer-based debt, such as credit card receivables or auto loans. Below investment grade securities, such as the CLO securities in which we primarily intend to invest, are often referred to as “junk.” In addition, the CLO equity and junior debt securities in which we invest are highly levered (with CLO equity securities typically being leveraged between nine and thirteen times), which significantly magnifies our risk of loss on such investments relative to senior debt tranches of CLOs. A CLO itself is highly leveraged because it borrows significant amounts of money to acquire the underlying commercial loans in which it invests. A CLO borrows money by issuing debt securities to investors (including junior debt securities of the type we intend to invest), and the CLO equity (which is also the CLO residual tranche) is the first to bear the risk on the underlying investment. Our investment strategy also includes warehouse facilities, which are financing structures intended to aggregate loans that may be used to form the basis of a CLO vehicle. Warehouse facilities typically incur leverage between four and six times prior to a CLO’s pricing. We may also invest, on an opportunistic basis, in other corporate credits of a variety of types. We expect that each of our investments will range in size from $5 million to $50 million, although the investment size may vary consistent with the size of our overall portfolio. Oxford Lane Management manages our investments and its affiliate arranges for the performance of the administrative services necessary for us to operate.</w:t>
      </w:r>
    </w:p>
    <w:p>
      <w:pPr>
        <w:spacing w:after="0" w:line="106"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CLO vehicles, due to their high leverage, are more complicated to evaluate than direct investments in Senior Loans. Since we invest in the residual interests of CLO securities, our investments are riskier than the profile of the Senior Loans by which such CLO vehicles are collateralized. Our investments in CLO vehicles are riskier and less transparent to us and our stockholders than direct investments in the underlying Senior Loans. Our portfolio of investments may lack diversification among CLO vehicles which would subject us to a risk of significant loss if one or more of these CLO vehicles experience a high level of defaults on its underlying Senior Loans. The CLO vehicles in which we invest have debt that ranks senior to our investment. The market price for CLO vehicles may fluctuate dramatically, which would make portfolio valuations unreliable and negatively impact our net asset value and our ability to make distributions to our stockholders. Our financial results may be affected adversely if one or more of our significant equity or junior debt investments in such CLO vehicles defaults on its payment obligations or fails to perform as we expect.</w:t>
      </w:r>
    </w:p>
    <w:p>
      <w:pPr>
        <w:spacing w:after="0" w:line="86"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Our investments in CLO vehicles may be subject to special anti-deferral provisions that could result in us incurring tax or recognizing income prior to receiving cash distributions related to such income. Specifically, the CLO vehicles in which we invest generally constitute PFICs. Because we acquire investments in PFICs (including equity tranche investments in CLO vehicles that are PFICs), we may be subject to U.S. federal income tax on a portion of any “excess distribution” or gain from the disposition of such investments even if such income is distributed as a taxable dividend by us to our stockholders. See “Risk Factors — Risks Related to Our Investments” in our most recent Annual Report and Semi-Annual Report on Form N-CSR to read about factors you should consider before investing in our securities.</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p>
      <w:pPr>
        <w:spacing w:after="0" w:line="127"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In order to be subject to pass-through tax treatment as a RIC, and to eliminate our liability for corporate-level U.S. federal income tax on the income we distribute to our stockholders, we are required, under Subchapter M of the Code, to distribute to our stockholders on an annual basis at least 90% of our ordinary income and realized net short-term capital gains in excess of realized net long-term capital losses, if any.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00" w:name="page101"/>
    <w:bookmarkEnd w:id="100"/>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 xml:space="preserve">To the extent that taxable earnings for any fiscal year are less than the amount of the distributions paid during the year, there would be a tax return of capital to stockholders. Distributions in excess of current and accumulated taxable earnings and profits will generally not be taxable to the stockholders, because a tax return of capital represents a return of a portion of a stockholder’s original investment in our common stock, net of fund fees and expenses, to the extent of a stockholder’s basis in our stock. Generally, a tax return of capital will reduce an investor’s basis in our stock for federal tax purposes, which will result in the stockholder recognizing additional gain (or less loss) when the stock is sold. Assuming that a stockholder holds our stock as a capital asset, any such additional gain would be a capital gain. </w:t>
      </w:r>
      <w:r>
        <w:rPr>
          <w:rFonts w:ascii="Times New Roman" w:cs="Times New Roman" w:eastAsia="Times New Roman" w:hAnsi="Times New Roman"/>
          <w:sz w:val="14"/>
          <w:szCs w:val="14"/>
          <w:b w:val="1"/>
          <w:bCs w:val="1"/>
          <w:color w:val="auto"/>
        </w:rPr>
        <w:t>Stockholders should not assume that the source of all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distributions is from our net profits and stockholders may periodically receive the payment of a distribution consisting of a return of capital. </w:t>
      </w:r>
      <w:r>
        <w:rPr>
          <w:rFonts w:ascii="Times New Roman" w:cs="Times New Roman" w:eastAsia="Times New Roman" w:hAnsi="Times New Roman"/>
          <w:sz w:val="14"/>
          <w:szCs w:val="14"/>
          <w:color w:val="auto"/>
        </w:rPr>
        <w:t>The tax character of any distributions will be determined after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end of the fiscal year. Tax matters are very complicated and the tax consequences to an investor of an investment in our shares will depend on the facts of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Distribution Policy</w:t>
      </w:r>
    </w:p>
    <w:p>
      <w:pPr>
        <w:spacing w:after="0" w:line="127"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Oxford Lane is subject to significant and variable differences between its accounting income under GAAP and its taxable income particularly as it relates to our CLO equity investments. We invest in CLO entities which generally constitute PFICs and which are subject to complex tax rules; the calculation of taxable income attributed to a CLO equity investment can be dramatically different from the calculation of income for financial reporting purposes under GAAP. Taxable income is based upon the distributable share of earnings as determined under tax regulations for each CLO equity investment, which may be consistent with the cash flows generated by those investments (although significant differences are possible), while accounting income is currently based upon an effective yield calculation (this requires the calculation of a yield to expected redemption date based upon an estimation of the amount and timing of future cash flows, including recurring cash flows as well as future principal repayments). Our final taxable earnings for the fiscal year ended March 31, 2024 will not be known until our tax returns are filed but our experience has been that cash flows from CLO equity investments have historically represented a generally reasonable estimate of taxable earnings; however, we can offer no assurance that will be the case in the future, particularly during periods of market disruption and volatility. There may be significant differences between Oxford Lane Capital’s GAAP earnings and its taxable earnings, particularly related to CLO equity investments where its taxable earnings are based upon the taxable reported earnings provided by the CLO equity positions in which we invest, while GAAP earnings are based are upon an effective yield calculation. In general, we currently expect our taxable earnings to be higher than its reportable GAAP earnings.</w:t>
      </w:r>
    </w:p>
    <w:p>
      <w:pPr>
        <w:spacing w:after="0" w:line="97"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While reportable GAAP income from our CLO equity investments for the fiscal year ended March 31, 2024 was approximately $182.4 million, we received or were entitled to receive approximately $301.7 million in distributions from our CLO equity investments. While the tax characterization of our distributions for the fiscal year ended March 31, 2024 will not be known until our tax returns are finalized, we expect that our taxable income will exceed our earnings and profits as determined under GAAP for this period. In general, we currently expect our annual taxable income to be higher than our GAAP earnings on the basis of the difference between cash distributions from CLO equity investments actually received or entitled to be received and the effective yield income calculated under GAAP. Our distribution policy is based upon our estimate of our taxable net investment income.</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Oxford Lane Management</w:t>
      </w:r>
    </w:p>
    <w:p>
      <w:pPr>
        <w:spacing w:after="0" w:line="116"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Our investment activities are managed by Oxford Lane Management, which is an investment adviser that has registered under the Advisers Act. Under our Investment Advisory Agreement with Oxford Lane Management, we have agreed to pay Oxford Lane Management an annual base management fee based on our gross assets, as well as an incentive fee based on our performance. See “Investment Advisory Agreement.”</w:t>
      </w:r>
    </w:p>
    <w:p>
      <w:pPr>
        <w:spacing w:after="0" w:line="88"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We expect to benefit from the ability of Oxford Lane Management’s team to identify attractive opportunities, conduct diligence on and value prospective investments, negotiate terms where appropriate, and manage and monitor its portfolio. Oxford Lane Management’s investment team members have broad investment backgrounds, with prior experience at investment banks, commercial banks, unregistered investment funds and other financial services companies, and have collectively developed a broad network of contacts to provide us with our principal source of investment opportunities.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01" w:name="page102"/>
    <w:bookmarkEnd w:id="101"/>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Oxford Lane Management is led by Jonathan H. Cohen, Chief Executive Officer, and Saul B. Rosenthal, President. Messrs. Cohen and Rosenthal are assisted by Joseph Kupka, who serves as a Managing Director for Oxford Lane Management. We consider Messrs. Cohen, Rosenthal and Kupka to be Oxford Lane Management’s senior investment team.</w:t>
      </w:r>
    </w:p>
    <w:p>
      <w:pPr>
        <w:spacing w:after="0" w:line="88"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Messrs. Cohen, Rosenthal and Kupka, together with the other members of Oxford Lane Management’s investment team, have developed an infrastructure that we believe provides Oxford Lane Capital with a competitive advantage in locating and acquiring attractive CLO investments. In particular, in addition to our portfolio, the members of Oxford Lane Management’s investment team currently manage the portfolios of:</w:t>
      </w:r>
    </w:p>
    <w:p>
      <w:pPr>
        <w:spacing w:after="0" w:line="86" w:lineRule="exact"/>
        <w:rPr>
          <w:sz w:val="20"/>
          <w:szCs w:val="20"/>
          <w:color w:val="auto"/>
        </w:rPr>
      </w:pPr>
    </w:p>
    <w:p>
      <w:pPr>
        <w:jc w:val="both"/>
        <w:ind w:left="2000" w:right="1339" w:hanging="332"/>
        <w:spacing w:after="0" w:line="270" w:lineRule="auto"/>
        <w:tabs>
          <w:tab w:leader="none" w:pos="199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Oxford Square Capital Corp.</w:t>
      </w:r>
      <w:r>
        <w:rPr>
          <w:rFonts w:ascii="Times New Roman" w:cs="Times New Roman" w:eastAsia="Times New Roman" w:hAnsi="Times New Roman"/>
          <w:sz w:val="14"/>
          <w:szCs w:val="14"/>
          <w:color w:val="auto"/>
        </w:rPr>
        <w:t>, a NASDAQ Global Select Market-listed business development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company with approximately $312.9 million in gross assets as of September 30, 2024, which is managed by Oxford Square Management, LLC.</w:t>
      </w:r>
    </w:p>
    <w:p>
      <w:pPr>
        <w:spacing w:after="0" w:line="70" w:lineRule="exact"/>
        <w:rPr>
          <w:rFonts w:ascii="Times New Roman" w:cs="Times New Roman" w:eastAsia="Times New Roman" w:hAnsi="Times New Roman"/>
          <w:sz w:val="14"/>
          <w:szCs w:val="14"/>
          <w:color w:val="auto"/>
        </w:rPr>
      </w:pPr>
    </w:p>
    <w:p>
      <w:pPr>
        <w:jc w:val="both"/>
        <w:ind w:left="2000" w:right="1339" w:hanging="332"/>
        <w:spacing w:after="0" w:line="270" w:lineRule="auto"/>
        <w:tabs>
          <w:tab w:leader="none" w:pos="199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Oxford Park Income Fund, Inc.</w:t>
      </w:r>
      <w:r>
        <w:rPr>
          <w:rFonts w:ascii="Times New Roman" w:cs="Times New Roman" w:eastAsia="Times New Roman" w:hAnsi="Times New Roman"/>
          <w:sz w:val="14"/>
          <w:szCs w:val="14"/>
          <w:color w:val="auto"/>
        </w:rPr>
        <w:t>, a non-traded, closed-end management investment company that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registered under the 1940 Act, with approximately $12.8 million in gross assets as of August 31, 2024, which is managed by Oxford Park Management, LLC.</w:t>
      </w:r>
    </w:p>
    <w:p>
      <w:pPr>
        <w:spacing w:after="0" w:line="80" w:lineRule="exact"/>
        <w:rPr>
          <w:rFonts w:ascii="Times New Roman" w:cs="Times New Roman" w:eastAsia="Times New Roman" w:hAnsi="Times New Roman"/>
          <w:sz w:val="14"/>
          <w:szCs w:val="14"/>
          <w:color w:val="auto"/>
        </w:rPr>
      </w:pPr>
    </w:p>
    <w:p>
      <w:pPr>
        <w:ind w:left="2000" w:right="1339" w:hanging="332"/>
        <w:spacing w:after="0" w:line="289" w:lineRule="auto"/>
        <w:tabs>
          <w:tab w:leader="none" w:pos="199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Oxford Bridge II, LLC</w:t>
      </w:r>
      <w:r>
        <w:rPr>
          <w:rFonts w:ascii="Times New Roman" w:cs="Times New Roman" w:eastAsia="Times New Roman" w:hAnsi="Times New Roman"/>
          <w:sz w:val="14"/>
          <w:szCs w:val="14"/>
          <w:color w:val="auto"/>
        </w:rPr>
        <w:t>, a private investment fund with approximately $24.5 million in gross assets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of September 30, 2024, which is managed by Oxford Gate Management, LLC.</w:t>
      </w:r>
    </w:p>
    <w:p>
      <w:pPr>
        <w:spacing w:after="0" w:line="67" w:lineRule="exact"/>
        <w:rPr>
          <w:rFonts w:ascii="Times New Roman" w:cs="Times New Roman" w:eastAsia="Times New Roman" w:hAnsi="Times New Roman"/>
          <w:sz w:val="14"/>
          <w:szCs w:val="14"/>
          <w:color w:val="auto"/>
        </w:rPr>
      </w:pPr>
    </w:p>
    <w:p>
      <w:pPr>
        <w:ind w:left="2000" w:right="1339" w:hanging="332"/>
        <w:spacing w:after="0" w:line="289" w:lineRule="auto"/>
        <w:tabs>
          <w:tab w:leader="none" w:pos="199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The Oxford Gate Funds</w:t>
      </w:r>
      <w:r>
        <w:rPr>
          <w:rFonts w:ascii="Times New Roman" w:cs="Times New Roman" w:eastAsia="Times New Roman" w:hAnsi="Times New Roman"/>
          <w:sz w:val="14"/>
          <w:szCs w:val="14"/>
          <w:color w:val="auto"/>
        </w:rPr>
        <w:t>, private investment funds with approximately $129.0 million in gross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assets as of September 30, 2024, which is managed by Oxford Gate Management, LLC.</w:t>
      </w:r>
    </w:p>
    <w:p>
      <w:pPr>
        <w:spacing w:after="0" w:line="59"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Since 2004, in the course of managing those existing portfolios, the members of Oxford Lane Management’s investment team have historically evaluated and invested primarily in a combination of bilateral and syndicated Senior Loans and structured finance vehicles, with the objective of producing high risk-adjusted returns primarily in the form of current income. From January 2011 through September 30, 2024, the members of Oxford Lane Management’s investment team have invested, either through the Company or affiliated funds, an aggregate of approximately $8.7 billion in 1,280 primary and secondary CLO investments.</w:t>
      </w:r>
    </w:p>
    <w:p>
      <w:pPr>
        <w:spacing w:after="0" w:line="90"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In addition, our executive officers and directors, as well as the current and future members of Oxford Lane Management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Each of Oxford Square Capital Corp., Oxford Park Income Fund, Inc., Oxford Bridge II, LLC and the Oxford Gate Funds, as well as any affiliated investment vehicle formed in the future and managed by Oxford Lane Management or its affiliates may, notwithstanding different stated investment objectives, have overlapping investment objectives with our own and, accordingly, may invest in asset classes similar to those targeted by us. As a result, Oxford Lane Management may face conflicts in allocating investment opportunities between us and such other entities. Although Oxford Lane Management endeavors to allocate investment opportunities in a fair and equitable manner, we may not be given the opportunity to participate in investments made by investment funds, including Oxford Square Capital Corp., Oxford Park Income Fund, Inc., Oxford Bridge II LLC and the Oxford Gate Funds, managed by Oxford Lane Management or an investment adviser affiliated with Oxford Lane Management. In any such case, when Oxford Lane Management’s investment team identifies an investment, it will be required to choose which investment fund should make the investment.</w:t>
      </w:r>
    </w:p>
    <w:p>
      <w:pPr>
        <w:spacing w:after="0" w:line="100"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In certain instances, we may co-invest on a concurrent basis with affiliates of Oxford Lane Management, subject to compliance with applicable regulations and regulatory guidance and our written allocation procedures. Such co-investment may require exemptive relief from the SEC. On June 14, 2017, the SEC issued the Exemptive Order which permits us to co-invest in portfolio companies with certain funds or entities managed by Oxford Lane Management or its affiliates in certain negotiated transactions where co-investing would otherwise be prohibited under the 1940 Act, subject to the conditions of the Exemptive Order. Pursuant to the Exemptive Order, we are permitted to co-invest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02" w:name="page103"/>
    <w:bookmarkEnd w:id="102"/>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69" w:lineRule="auto"/>
        <w:rPr>
          <w:sz w:val="20"/>
          <w:szCs w:val="20"/>
          <w:color w:val="auto"/>
        </w:rPr>
      </w:pPr>
      <w:r>
        <w:rPr>
          <w:rFonts w:ascii="Times New Roman" w:cs="Times New Roman" w:eastAsia="Times New Roman" w:hAnsi="Times New Roman"/>
          <w:sz w:val="14"/>
          <w:szCs w:val="14"/>
          <w:color w:val="auto"/>
        </w:rPr>
        <w:t>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83"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We will reimburse Oxford Funds, an affiliate of Oxford Lane Management, our allocable portion of overhead and other expenses incurred by Oxford Funds in performing its obligations under the Administration Agreement, including rent, the fees and expenses associated with performing administrative functions, and our allocable portion of the compensation of our Chief Financial Officer and administrative support staff, including accounting personnel. We will also pay indirectly the costs associated with the functions performed by our Chief Compliance Officer under the terms of an agreement between us and ACA. These arrangements may create conflicts of interest that our Board of Directors must monitor.</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Investment Focus</w:t>
      </w:r>
    </w:p>
    <w:p>
      <w:pPr>
        <w:spacing w:after="0" w:line="127"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Our investment objective is to maximize our portfolio’s risk-adjusted total return. Our current focus is to seek that return by investing in structured finance investments, specifically the equity and junior debt tranches of CLO vehicles, which are collateralized primarily by a diverse portfolio of Senior Loans, and which generally have very little or no exposure to real estate loans, or mortgage loans or to pools of consumer-based debt, such as credit card receivables or auto loans. As of September 30, 2024, we held equity investments in 221 different CLO structures and debt investments in 19 different CLO structures. Our investment strategy also includes investing in warehouse facilities, which are financing structures intended to aggregate Senior Loans that may be used to form the basis of a CLO vehicle. We may also invest, on an opportunistic basis, in a variety of other types of corporate credits.</w:t>
      </w:r>
    </w:p>
    <w:p>
      <w:pPr>
        <w:spacing w:after="0" w:line="84"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The CLO investments we currently hold in our portfolio generally represent either a residual economic interest, in the case of an equity tranche, or a debt investment collateralized by a portfolio of Senior Loans and other CLO Assets. The value of our CLO investments generally depend on both the quality and nature of the underlying portfolio it references and also on the specific structural characteristics of the CLO itself.</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CLO Structural Elements</w:t>
      </w:r>
    </w:p>
    <w:p>
      <w:pPr>
        <w:spacing w:after="0" w:line="127"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Structurally, CLO vehicles are entities formed to originate and/or acquire a portfolio of loans. The loans within the CLO vehicle are generally limited to loans which meet established credit criteria and are subject to concentration limitations in order to limit a CLO vehicle’s exposure to a single credit.</w:t>
      </w:r>
    </w:p>
    <w:p>
      <w:pPr>
        <w:spacing w:after="0" w:line="83"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A CLO vehicle is formed by raising multiple “tranches” of debt (with the most senior tranches being rated “AAA” to the most junior tranches typically being rated “BB” or “B”) and equity. As interest payments are received, the CLO vehicle makes contractual interest payments to each tranche of debt based on their seniority. If there are funds remaining after each tranche of debt receives its contractual interest rate and the CLO vehicle meets or exceeds required collateral coverage levels (or other similar covenants) the remaining funds may be paid to the equity tranche. The contractual provisions setting out this order of payments are set out in detail in the CLO vehicle’s indenture. These provisions are referred to as the “priority of payments” or the “waterfall” and determine any other obligations that may be required to be paid ahead of payments of interest and principal on the securities issued by a CLO vehicle. In addition, for payments to be made to each tranche, after the most senior tranche of debt, there are various tests which must be complied with, which are different for each CLO vehicle.</w:t>
      </w:r>
    </w:p>
    <w:p>
      <w:pPr>
        <w:spacing w:after="0" w:line="86"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CLO indentures typically provide for adjustments to the priority of payments in the event that certain cashflow or collateral requirements are not maintained. The collateral quality tests that may divert cashflows in the priority of payments are predominantly determined by reference to the par values of the underlying loans, rather than their current market values. Accordingly, we believe that CLO equity and junior debt investments allow investors to gain exposure to the Senior Loan market on a levered basis (with CLO equity securities typically being leveraged between nine and thirteen times) without being structurally subject to mark-to-market price fluctuations of the underlying loans. As such, although the current valuations of CLO equity and junior debt tranches are expected to fluctuate based on price changes within the loan market, interest rate movements and other macroeconomic factors, those tranches will generally be expected to continue to receive distributions from the CLO vehicle periodically so long as the underlying portfolio does not suffer defaults, realized losses or other covenant violations sufficient to trigger changes in the waterfall allocations. We therefore believe that an investment portfolio consisting of CLO equity and junior debt investments of this type has the ability to provide attractive risk-adjusted rates of return.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03" w:name="page104"/>
    <w:bookmarkEnd w:id="103"/>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The diagram below is for illustrative purposes only. The CLO structure highlighted below is illustrative only and depicts structures among CLO vehicles in which we may invest may vary substantially from the illustrative example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1375410</wp:posOffset>
            </wp:positionH>
            <wp:positionV relativeFrom="paragraph">
              <wp:posOffset>62230</wp:posOffset>
            </wp:positionV>
            <wp:extent cx="2969895" cy="13906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2969895" cy="1390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We typically invest in the equity tranches, which are not rated, and to a lesser extent the “B” and “BB” tranches of CLO vehicles. As of September 30, 2024, 89.0% of our portfolio on a fair value basis was invested in the equity tranches of CLO vehicles.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The Syndicated Senior Loan Market</w:t>
      </w:r>
    </w:p>
    <w:p>
      <w:pPr>
        <w:spacing w:after="0" w:line="116"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We believe that while the syndicated leveraged corporate loan market is relatively large, with Standard and Poor’s estimating the total par value outstanding at approximately $1.4 trillion as of September 30, 2024, this market remains largely inaccessible to a significant portion of investors that are not lenders or approved institutions. The CLO market permits wider exposure to syndicated Senior Loans, but this market is almost exclusively private and predominantly institutional.</w:t>
      </w:r>
    </w:p>
    <w:p>
      <w:pPr>
        <w:spacing w:after="0" w:line="9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Senior Loan market is characterized by various factors, including:</w:t>
      </w:r>
    </w:p>
    <w:p>
      <w:pPr>
        <w:spacing w:after="0" w:line="123" w:lineRule="exact"/>
        <w:rPr>
          <w:sz w:val="20"/>
          <w:szCs w:val="20"/>
          <w:color w:val="auto"/>
        </w:rPr>
      </w:pPr>
    </w:p>
    <w:p>
      <w:pPr>
        <w:jc w:val="both"/>
        <w:ind w:left="2000" w:right="1339" w:hanging="332"/>
        <w:spacing w:after="0" w:line="258" w:lineRule="auto"/>
        <w:tabs>
          <w:tab w:leader="none" w:pos="199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Floating rate instruments. </w:t>
      </w:r>
      <w:r>
        <w:rPr>
          <w:rFonts w:ascii="Times New Roman" w:cs="Times New Roman" w:eastAsia="Times New Roman" w:hAnsi="Times New Roman"/>
          <w:sz w:val="14"/>
          <w:szCs w:val="14"/>
          <w:color w:val="auto"/>
        </w:rPr>
        <w:t>Senior Loans and other types of CLO Assets typically contain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floating interest rate as opposed to a fixed interest rate, which we believe provides some measure of protection against the risk of interest rate fluctuation. However, all of our CLO investments have many CLO Assets which are subject to interest rate floors and since interest rates on CLO Assets may only reset periodically and the amount of the increase following an interest rate reset may be below the interest rate floors of such CLO Assets, our ability to benefit from rate resets following an increase in interest rates may be limited.</w:t>
      </w:r>
    </w:p>
    <w:p>
      <w:pPr>
        <w:spacing w:after="0" w:line="79" w:lineRule="exact"/>
        <w:rPr>
          <w:rFonts w:ascii="Times New Roman" w:cs="Times New Roman" w:eastAsia="Times New Roman" w:hAnsi="Times New Roman"/>
          <w:sz w:val="14"/>
          <w:szCs w:val="14"/>
          <w:color w:val="auto"/>
        </w:rPr>
      </w:pPr>
    </w:p>
    <w:p>
      <w:pPr>
        <w:ind w:left="2000" w:right="1359" w:hanging="332"/>
        <w:spacing w:after="0" w:line="289" w:lineRule="auto"/>
        <w:tabs>
          <w:tab w:leader="none" w:pos="199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Frequency of interest payments. </w:t>
      </w:r>
      <w:r>
        <w:rPr>
          <w:rFonts w:ascii="Times New Roman" w:cs="Times New Roman" w:eastAsia="Times New Roman" w:hAnsi="Times New Roman"/>
          <w:sz w:val="14"/>
          <w:szCs w:val="14"/>
          <w:color w:val="auto"/>
        </w:rPr>
        <w:t>Senior Loans and other CLO Assets typically provide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scheduled interest payments no less frequently than quarterly.</w:t>
      </w:r>
    </w:p>
    <w:p>
      <w:pPr>
        <w:spacing w:after="0" w:line="1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Investment Opportunity</w:t>
      </w:r>
    </w:p>
    <w:p>
      <w:pPr>
        <w:spacing w:after="0" w:line="127"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We believe that the market for CLO-related assets provides us with opportunities to generate attractive risk-adjusted returns over the long term.</w:t>
      </w:r>
    </w:p>
    <w:p>
      <w:pPr>
        <w:spacing w:after="0" w:line="71"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The long-term and relatively low-cost capital that many CLO vehicles have secured, compared with current asset spreads, have created opportunities to purchase certain CLO equity and junior debt instruments that may produce attractive risk-adjusted returns. Additionally, given that the CLO vehicles we invest in are cash flow-based vehicles, this term financing may be beneficial in periods of market volatility.</w:t>
      </w:r>
    </w:p>
    <w:p>
      <w:pPr>
        <w:spacing w:after="0" w:line="77"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We continue to review a large number of CLO investment opportunities in the current market environment, and we expect that the majority of our portfolio holdings, over the near to intermediate-term, will continue to be comprised of CLO debt and equity securities, with the more significant focus over the near-term likely to be on CLO equity securities.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04" w:name="page105"/>
    <w:bookmarkEnd w:id="104"/>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Investment Selection</w:t>
      </w:r>
    </w:p>
    <w:p>
      <w:pPr>
        <w:spacing w:after="0" w:line="116"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Oxford Lane Management’s investment team is responsible for all aspects of our investment process. Oxford Lane Management’s senior investment team currently consists of Messrs. Cohen, Rosenthal and Kupka, and Messrs. Cohen and Rosenthal serve as members of the investment committee of Oxford Lane Management. While the investment strategy involves a team approach, whereby potential transactions are screened by various members of the investment team, Messrs. Cohen or Rosenthal must approve all investments in order for them to close. See “Portfolio Management.” The stages of our investment selection process are as follows:</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Deal Sourcing</w:t>
      </w:r>
    </w:p>
    <w:p>
      <w:pPr>
        <w:spacing w:after="0" w:line="127"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Deal sourcing is generally conducted through brokers and bankers, and may also be sourced through industry contacts, CLO vehicle sponsors and investors. We believe that we currently have an active pipeline of deal flow, particularly through multiple CLO trading desks.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Screening</w:t>
      </w:r>
    </w:p>
    <w:p>
      <w:pPr>
        <w:spacing w:after="0" w:line="127"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In screening potential investments in CLO vehicles, Oxford Lane Management’s investment team utilizes a similar income-oriented investment philosophy they employ in their work managing other CLO investments at Oxford Square Capital Corp. and Oxford Park Income Fund, Inc.</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Identification</w:t>
      </w:r>
    </w:p>
    <w:p>
      <w:pPr>
        <w:spacing w:after="0" w:line="116"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We identify opportunities in the CLO market through our network of brokers, dealers, agent banks, collateral mangers and sponsors. We believe that we have developed an infrastructure that provides us with a competitive advantage in locating and acquiring attractive CLO opportunities. We believe that we also have an active pipeline of deal flow, particularly through multiple CLO trading desks. The CLO vehicles which we focus on are collateralized primarily by senior secured loans made to companies whose debt is unrated or is rated below investment grade, and generally have very little or no direct exposure to real estate, mortgage loans or to pools of consumer-based debt, such as credit card receivables or auto loans. In screening potential investments in CLO vehicles, our due diligence process generally includes a review of current financial information and projections, review of collateral quality, concentration limitation and coverage test ratios, and a review of the prospective investment’s capital structure and the terms and conditions.</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Due Diligence</w:t>
      </w:r>
    </w:p>
    <w:p>
      <w:pPr>
        <w:spacing w:after="0" w:line="1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Oxford Lane Management’s investment team conducts due diligence on prospective investments.</w:t>
      </w:r>
    </w:p>
    <w:p>
      <w:pPr>
        <w:spacing w:after="0" w:line="125"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Oxford Lane Management’s due diligence process generally includes some or all of the following elements:</w:t>
      </w:r>
    </w:p>
    <w:p>
      <w:pPr>
        <w:spacing w:after="0" w:line="61" w:lineRule="exact"/>
        <w:rPr>
          <w:sz w:val="20"/>
          <w:szCs w:val="20"/>
          <w:color w:val="auto"/>
        </w:rPr>
      </w:pPr>
    </w:p>
    <w:p>
      <w:pPr>
        <w:ind w:left="2000" w:hanging="332"/>
        <w:spacing w:after="0"/>
        <w:tabs>
          <w:tab w:leader="none" w:pos="20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of indenture structures;</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of underlying collateral loans;</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analysis of projected future cash flows; and</w:t>
      </w:r>
    </w:p>
    <w:p>
      <w:pPr>
        <w:spacing w:after="0" w:line="11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analysis of compliance with covenants.</w:t>
      </w:r>
    </w:p>
    <w:p>
      <w:pPr>
        <w:spacing w:after="0" w:line="125"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Upon the completion of due diligence, the investment professionals present the opportunity to Oxford Lane Management’s investment committee, which then determines whether to proceed with the potential investment. Any fees and expenses incurred by Oxford Lane Management in connection with due diligence investigations undertaken by third parties will be subject to reimbursement by the Company, which reimbursements will be in addition to any management or incentive fees payable under our Investment Advisory Agreement to Oxford Lane Management. While the investment strategy involves a team approach, we may not enter into a transaction without the prior approval of either Messrs. Cohen or Rosenthal.</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05" w:name="page106"/>
    <w:bookmarkEnd w:id="105"/>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Ongoing Relationships</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Monitoring</w:t>
      </w:r>
    </w:p>
    <w:p>
      <w:pPr>
        <w:spacing w:after="0" w:line="116" w:lineRule="exact"/>
        <w:rPr>
          <w:sz w:val="20"/>
          <w:szCs w:val="20"/>
          <w:color w:val="auto"/>
        </w:rPr>
      </w:pPr>
    </w:p>
    <w:p>
      <w:pPr>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Oxford Lane Management monitors our investments on an ongoing basis. Oxford Lane Management has several methods of monitoring the performance and value of our investments, which include the following:</w:t>
      </w:r>
    </w:p>
    <w:p>
      <w:pPr>
        <w:spacing w:after="0" w:line="71" w:lineRule="exact"/>
        <w:rPr>
          <w:sz w:val="20"/>
          <w:szCs w:val="20"/>
          <w:color w:val="auto"/>
        </w:rPr>
      </w:pPr>
    </w:p>
    <w:p>
      <w:pPr>
        <w:ind w:left="2000" w:hanging="332"/>
        <w:spacing w:after="0"/>
        <w:tabs>
          <w:tab w:leader="none" w:pos="20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of pricing data and indicative bids for recent transactions in our investments;</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comparisons to other Senior Loans and CLO vehicles; and</w:t>
      </w:r>
    </w:p>
    <w:p>
      <w:pPr>
        <w:spacing w:after="0" w:line="11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of available financial reports for our investments.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Valuation Procedures</w:t>
      </w:r>
    </w:p>
    <w:p>
      <w:pPr>
        <w:spacing w:after="0" w:line="127"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The most significant estimate inherent in the preparation of our financial statements is the valuation of investments and the related amounts of unrealized appreciation and depreciation of investments recorded. We believe that there is no single best method for determining fair value in good faith. As a result, determining fair value requires that judgment be applied to the specific facts and circumstances of each portfolio investment while employing a consistently applied valuation process for the types of investments we make. We are required to specifically fair value each individual investment on a quarterly basis. See “Determination of Net Asset Value — Quarterly Net Asset Value Determination.”</w:t>
      </w:r>
    </w:p>
    <w:p>
      <w:pPr>
        <w:spacing w:after="0" w:line="90"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Our Board of Directors determines the value of our investment portfolio each quarter, after consideration of our Valuation Committee’s recommendation of fair value. Oxford Lane Management compiles the relevant information, including a financial summary, recent trading activity in the security, if known, price indications from third-party pricing services and recent purchases and sales known to Oxford Lane Management in similar securities. All available information, including non-binding indicative bids and indicative indications of pricing from a third-party pricing service, which may not be considered reliable, will be considered by us and/or the Valuation Committee. In some instances, there may be limited trading activity in a security even though the market for the security is considered not active. In such cases we and/or the Valuation Committee will consider the number of trades, the size and timing of each trade, and other circumstances around such trades, to the extent such information is available. We may elect to engage third-party valuation firms to provide assistance to the Valuation Committee and Board of Directors in valuing certain of our investments. The Valuation Committee will evaluate the impact of such additional information, and factor it into its consideration of fair value.</w:t>
      </w:r>
    </w:p>
    <w:p>
      <w:pPr>
        <w:spacing w:after="0" w:line="3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16"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We compete for investments with other investment funds (including private equity funds, mezzanine funds and business development companies), as well as traditional financial services companies such as commercial banks, investment banks, finance companies and other sources of funding. Additionally, because competition for investment opportunities generally has increased among alternative investment vehicles, such as hedge funds, those entities have begun to invest in areas they have not traditionally invested in, including CLO vehicles. As a result of these new entrants, competition for investment opportunities in CLO vehicles may intensify. Many of these entities have greater financial and managerial resources than we do. We believe we are able to compete with these entities primarily on the basis of the experience and contacts of Oxford Lane Management, and our responsive and efficient investment analysis and decision-making processes.</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Staffing</w:t>
      </w:r>
    </w:p>
    <w:p>
      <w:pPr>
        <w:spacing w:after="0" w:line="127"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We do not currently have any employees. Our day-to-day investment operations are managed by Oxford Lane Management.</w:t>
      </w:r>
    </w:p>
    <w:p>
      <w:pPr>
        <w:spacing w:after="0" w:line="71"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We will reimburse Oxford Funds for our allocable portion of overhead and other expenses incurred by it in performing its obligations under the Administration Agreement, including rent, the fees and expenses associated with performing administrative functions, and the compensation of our Chief Financial Officer and any administrative support staff, including accounting personnel. See “Administration Agreement.” We will also pay indirectly the costs associated with the functions performed by our Chief Compliance Officer under the terms of an agreement between us and ACA.</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06" w:name="page107"/>
    <w:bookmarkEnd w:id="106"/>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Properties</w:t>
      </w:r>
    </w:p>
    <w:p>
      <w:pPr>
        <w:spacing w:after="0" w:line="116"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Our executive offices are located at 8 Sound Shore Drive, Suite 255, Greenwich, CT 06830, and are provided by Oxford Funds in accordance with the terms of the Administration Agreement. We believe that our office facilities are suitable and adequate for our business as it is contemplated to be conducted.</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127"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Neither Oxford Lane Capital nor Oxford Lane Management is currently subject to any material legal proceedings, nor, to our knowledge, is any material legal proceeding threatened against Oxford Lane Capital or Oxford Lane Management. From time to time, Oxford Lane Capital or Oxford Lane Management may be a party to certain legal proceedings in the ordinary course of business, including proceedings relating to the enforcement of our rights under contracts with our portfolio companies. While the outcome of these legal proceedings cannot be predicted, we do not expect that these proceedings will have a material adverse effect upon Oxford Lane Capital or Oxford Lane Management.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07" w:name="page108"/>
    <w:bookmarkEnd w:id="107"/>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16" w:lineRule="exact"/>
        <w:rPr>
          <w:sz w:val="20"/>
          <w:szCs w:val="20"/>
          <w:color w:val="auto"/>
        </w:rPr>
      </w:pPr>
    </w:p>
    <w:p>
      <w:pPr>
        <w:jc w:val="both"/>
        <w:ind w:left="1320" w:right="1339" w:firstLine="339"/>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in the sections titled “Election of Directors” and “Corporate Governance” in our most recent definitive proxy statement on </w:t>
      </w:r>
      <w:hyperlink r:id="rId170">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xml:space="preserve">, filed with the SEC on September 6, 2024, for our annual meeting of stockholders (the “Annual Proxy Statement”) and the information in “Management” in our most recent </w:t>
      </w:r>
      <w:hyperlink r:id="rId153">
        <w:r>
          <w:rPr>
            <w:rFonts w:ascii="Times New Roman" w:cs="Times New Roman" w:eastAsia="Times New Roman" w:hAnsi="Times New Roman"/>
            <w:sz w:val="14"/>
            <w:szCs w:val="14"/>
            <w:u w:val="single" w:color="auto"/>
            <w:color w:val="0000EE"/>
          </w:rPr>
          <w:t>Semi-Annual Report on Form N-CSR</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six months ended September 30, 2024, filed with the SEC on November 1, 2024, is incorporated by reference herein.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08" w:name="page109"/>
    <w:bookmarkEnd w:id="108"/>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PORTFOLIO MANAGEMENT</w:t>
      </w:r>
    </w:p>
    <w:p>
      <w:pPr>
        <w:spacing w:after="0" w:line="116"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The management of our investment portfolio is the responsibility of Oxford Lane Management, and its investment committee, which currently consists of Jonathan H. Cohen, our Chief Executive Officer and Saul B. Rosenthal, our President. Oxford Lane Management’s investment committee must approve each new investment that we make. The members of Oxford Lane Management’s investment committee are not employed by us, and receive no compensation from us in connection with their portfolio management activities. Messrs. Cohen and Rosenthal, through their ownership of Oxford Funds, the managing member of Oxford Lane Management, are entitled to a portion of any investment advisory fees paid by us to Oxford Lane Management.</w:t>
      </w:r>
    </w:p>
    <w:p>
      <w:pPr>
        <w:spacing w:after="0" w:line="90"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Because Oxford Lane Management currently provides portfolio management services only to us, we do not believe there are any conflicts of interests with respect to Oxford Lane Management’s management of our portfolio on the one hand, and the management of other accounts or investment vehicles by Oxford Lane Management on the other. However, Mr. Cohen currently serves as Chief Executive Officer and Mr. Rosenthal currently serves as President of Oxford Square Capital Corp., a publicly-traded business development company that invests principally in the debt of U.S.-based companies and to a lesser extent in CLO debt and equity securities, and Oxford Park Income Fund, Inc., a non-traded registered closed-end fund that invests principally in CLO debt and equity securities. Messrs, Cohen and Rosenthal also serve in the same positions at Oxford Square Management, LLC, the investment adviser to Oxford Square Capital Corp., and Oxford Park Management, LLC, the investment adviser to Oxford Park Income Fund, Inc. As a result, Messrs. Cohen and Rosenthal may be subject to certain conflicts of interests with respect to their management of our portfolio on the one hand, and their respective obligations to manage Oxford Square Capital Corp. and Oxford Park Income Fund, Inc. on the other hand. Mr. Cohen also serves as the Chief Executive Officer of Oxford Gate Management, LLC, the investment adviser to Oxford Bridge II, LLC and the Oxford Gate Funds. Oxford Bridge II, LLC and the Oxford Gate Funds are private investment funds. Mr. Rosenthal has also served as President of Oxford Gate Management, LLC, the investment adviser to the Oxford Gate Funds and Oxford Bridge II, LLC.</w:t>
      </w:r>
    </w:p>
    <w:p>
      <w:pPr>
        <w:spacing w:after="0" w:line="26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Set forth below is additional information regarding the additional entities currently managed by Messrs.</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Cohen and Rosenthal:</w:t>
      </w:r>
    </w:p>
    <w:p>
      <w:pPr>
        <w:spacing w:after="0" w:line="165"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2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50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80" w:type="dxa"/>
            <w:vAlign w:val="bottom"/>
          </w:tcPr>
          <w:p>
            <w:pPr>
              <w:spacing w:after="0"/>
              <w:rPr>
                <w:sz w:val="14"/>
                <w:szCs w:val="14"/>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Investment Focus</w:t>
            </w:r>
          </w:p>
        </w:tc>
        <w:tc>
          <w:tcPr>
            <w:tcW w:w="140" w:type="dxa"/>
            <w:vAlign w:val="bottom"/>
          </w:tcPr>
          <w:p>
            <w:pPr>
              <w:spacing w:after="0"/>
              <w:rPr>
                <w:sz w:val="14"/>
                <w:szCs w:val="14"/>
                <w:color w:val="auto"/>
              </w:rPr>
            </w:pPr>
          </w:p>
        </w:tc>
        <w:tc>
          <w:tcPr>
            <w:tcW w:w="1060" w:type="dxa"/>
            <w:vAlign w:val="bottom"/>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Gross Assets</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Oxford Square Capital Corp.</w:t>
            </w: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Business development</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Principally debt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31"/>
              <w:spacing w:after="0" w:line="145" w:lineRule="exact"/>
              <w:rPr>
                <w:sz w:val="20"/>
                <w:szCs w:val="20"/>
                <w:color w:val="auto"/>
              </w:rPr>
            </w:pPr>
            <w:r>
              <w:rPr>
                <w:rFonts w:ascii="Times New Roman" w:cs="Times New Roman" w:eastAsia="Times New Roman" w:hAnsi="Times New Roman"/>
                <w:sz w:val="14"/>
                <w:szCs w:val="14"/>
                <w:color w:val="auto"/>
              </w:rPr>
              <w:t>312.9 million</w:t>
            </w:r>
            <w:r>
              <w:rPr>
                <w:rFonts w:ascii="Times New Roman" w:cs="Times New Roman" w:eastAsia="Times New Roman" w:hAnsi="Times New Roman"/>
                <w:sz w:val="16"/>
                <w:szCs w:val="16"/>
                <w:color w:val="auto"/>
                <w:vertAlign w:val="superscript"/>
              </w:rPr>
              <w:t>(1)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w:t>
            </w:r>
          </w:p>
        </w:tc>
        <w:tc>
          <w:tcPr>
            <w:tcW w:w="15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investments in</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U.S. based companies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5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and, to a lesser extent,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CLO debt and equity</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Oxford Park Income Fund, Inc.</w:t>
            </w:r>
          </w:p>
        </w:tc>
        <w:tc>
          <w:tcPr>
            <w:tcW w:w="15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Registered closed-end</w:t>
            </w:r>
          </w:p>
        </w:tc>
        <w:tc>
          <w:tcPr>
            <w:tcW w:w="152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color w:val="auto"/>
              </w:rPr>
              <w:t>CLO debt and equity</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31"/>
              <w:spacing w:after="0" w:line="155" w:lineRule="exact"/>
              <w:rPr>
                <w:sz w:val="20"/>
                <w:szCs w:val="20"/>
                <w:color w:val="auto"/>
              </w:rPr>
            </w:pPr>
            <w:r>
              <w:rPr>
                <w:rFonts w:ascii="Times New Roman" w:cs="Times New Roman" w:eastAsia="Times New Roman" w:hAnsi="Times New Roman"/>
                <w:sz w:val="14"/>
                <w:szCs w:val="14"/>
                <w:color w:val="auto"/>
              </w:rPr>
              <w:t>12.8 million</w:t>
            </w:r>
            <w:r>
              <w:rPr>
                <w:rFonts w:ascii="Times New Roman" w:cs="Times New Roman" w:eastAsia="Times New Roman" w:hAnsi="Times New Roman"/>
                <w:sz w:val="16"/>
                <w:szCs w:val="16"/>
                <w:color w:val="auto"/>
                <w:vertAlign w:val="superscript"/>
              </w:rPr>
              <w:t>(2)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fund</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Oxford Bridge II, LLC</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Private fund</w:t>
            </w:r>
          </w:p>
        </w:tc>
        <w:tc>
          <w:tcPr>
            <w:tcW w:w="15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CLO debt and equity</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24.5 million</w:t>
            </w:r>
            <w:r>
              <w:rPr>
                <w:rFonts w:ascii="Times New Roman" w:cs="Times New Roman" w:eastAsia="Times New Roman" w:hAnsi="Times New Roman"/>
                <w:sz w:val="16"/>
                <w:szCs w:val="16"/>
                <w:color w:val="auto"/>
                <w:vertAlign w:val="superscript"/>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Oxford Gate Master Fund, LLC</w:t>
            </w:r>
          </w:p>
        </w:tc>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Private fund</w:t>
            </w: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CLO debt and equity</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 million</w:t>
            </w:r>
            <w:r>
              <w:rPr>
                <w:rFonts w:ascii="Times New Roman" w:cs="Times New Roman" w:eastAsia="Times New Roman" w:hAnsi="Times New Roman"/>
                <w:sz w:val="16"/>
                <w:szCs w:val="16"/>
                <w:color w:val="auto"/>
                <w:vertAlign w:val="superscript"/>
              </w:rPr>
              <w:t>(1)(3)</w:t>
            </w:r>
          </w:p>
        </w:tc>
        <w:tc>
          <w:tcPr>
            <w:tcW w:w="0" w:type="dxa"/>
            <w:vAlign w:val="bottom"/>
          </w:tcPr>
          <w:p>
            <w:pPr>
              <w:spacing w:after="0"/>
              <w:rPr>
                <w:sz w:val="1"/>
                <w:szCs w:val="1"/>
                <w:color w:val="auto"/>
              </w:rPr>
            </w:pPr>
          </w:p>
        </w:tc>
      </w:tr>
      <w:tr>
        <w:trPr>
          <w:trHeight w:val="205"/>
        </w:trPr>
        <w:tc>
          <w:tcPr>
            <w:tcW w:w="2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____________</w:t>
            </w: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660" w:hanging="330"/>
        <w:spacing w:after="0"/>
        <w:tabs>
          <w:tab w:leader="none" w:pos="166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assets are calculated as of September 30, 2024.</w:t>
      </w:r>
    </w:p>
    <w:p>
      <w:pPr>
        <w:spacing w:after="0" w:line="15" w:lineRule="exact"/>
        <w:rPr>
          <w:rFonts w:ascii="Times New Roman" w:cs="Times New Roman" w:eastAsia="Times New Roman" w:hAnsi="Times New Roman"/>
          <w:sz w:val="13"/>
          <w:szCs w:val="13"/>
          <w:color w:val="auto"/>
        </w:rPr>
      </w:pPr>
    </w:p>
    <w:p>
      <w:pPr>
        <w:ind w:left="1660" w:hanging="330"/>
        <w:spacing w:after="0"/>
        <w:tabs>
          <w:tab w:leader="none" w:pos="166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assets are calculated as of August 31, 2024.</w:t>
      </w:r>
    </w:p>
    <w:p>
      <w:pPr>
        <w:spacing w:after="0" w:line="9" w:lineRule="exact"/>
        <w:rPr>
          <w:rFonts w:ascii="Times New Roman" w:cs="Times New Roman" w:eastAsia="Times New Roman" w:hAnsi="Times New Roman"/>
          <w:sz w:val="13"/>
          <w:szCs w:val="13"/>
          <w:color w:val="auto"/>
        </w:rPr>
      </w:pPr>
    </w:p>
    <w:p>
      <w:pPr>
        <w:ind w:left="1660" w:hanging="330"/>
        <w:spacing w:after="0"/>
        <w:tabs>
          <w:tab w:leader="none" w:pos="166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gross assets of Oxford Gate, LLC and Oxford Gate (Bermuda), LLC.</w:t>
      </w:r>
    </w:p>
    <w:p>
      <w:pPr>
        <w:spacing w:after="0" w:line="16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Investment Personnel</w:t>
      </w:r>
    </w:p>
    <w:p>
      <w:pPr>
        <w:spacing w:after="0" w:line="116"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Oxford Lane Management is led by Jonathan H. Cohen, Chief Executive Officer, and Saul B. Rosenthal, President. Messrs. Cohen and Rosenthal are assisted by Joseph Kupka, who serves as a Managing Director for Oxford Lane Management. We consider Messrs. Cohen, Rosenthal and Kupka to be Oxford Lane Management’s senior investment team. We consider Messrs. Cohen and Rosenthal to be the Company’s portfolio managers. Messrs. Cohen and Rosenthal are primarily responsible for the Company’s day-to-day investment management and the implementation of its investment strategy and process. The table below shows the dollar range of shares of our common stock to be beneficially owned by each of our portfolio managers as of November 5, 2024.</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09" w:name="page110"/>
    <w:bookmarkEnd w:id="109"/>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48" w:lineRule="exact"/>
        <w:rPr>
          <w:sz w:val="20"/>
          <w:szCs w:val="20"/>
          <w:color w:val="auto"/>
        </w:rPr>
      </w:pPr>
    </w:p>
    <w:tbl>
      <w:tblPr>
        <w:tblLayout w:type="fixed"/>
        <w:tblInd w:w="1320" w:type="dxa"/>
        <w:tblCellMar>
          <w:top w:w="0" w:type="dxa"/>
          <w:left w:w="0" w:type="dxa"/>
          <w:bottom w:w="0" w:type="dxa"/>
          <w:right w:w="0" w:type="dxa"/>
        </w:tblCellMar>
      </w:tblPr>
      <w:tr>
        <w:trPr>
          <w:trHeight w:val="159"/>
        </w:trPr>
        <w:tc>
          <w:tcPr>
            <w:tcW w:w="4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Dollar Range of</w:t>
            </w:r>
          </w:p>
        </w:tc>
      </w:tr>
      <w:tr>
        <w:trPr>
          <w:trHeight w:val="159"/>
        </w:trPr>
        <w:tc>
          <w:tcPr>
            <w:tcW w:w="4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Equity Securities</w:t>
            </w:r>
          </w:p>
        </w:tc>
      </w:tr>
      <w:tr>
        <w:trPr>
          <w:trHeight w:val="159"/>
        </w:trPr>
        <w:tc>
          <w:tcPr>
            <w:tcW w:w="4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 Oxford Lane</w:t>
            </w:r>
          </w:p>
        </w:tc>
      </w:tr>
      <w:tr>
        <w:trPr>
          <w:trHeight w:val="200"/>
        </w:trPr>
        <w:tc>
          <w:tcPr>
            <w:tcW w:w="4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 of Portfolio Manager</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Capital Corp.</w:t>
            </w:r>
            <w:r>
              <w:rPr>
                <w:rFonts w:ascii="Times New Roman" w:cs="Times New Roman" w:eastAsia="Times New Roman" w:hAnsi="Times New Roman"/>
                <w:sz w:val="14"/>
                <w:szCs w:val="14"/>
                <w:b w:val="1"/>
                <w:bCs w:val="1"/>
                <w:color w:val="auto"/>
                <w:w w:val="93"/>
                <w:vertAlign w:val="superscript"/>
              </w:rPr>
              <w:t>(1)(2)</w:t>
            </w:r>
          </w:p>
        </w:tc>
      </w:tr>
      <w:tr>
        <w:trPr>
          <w:trHeight w:val="185"/>
        </w:trPr>
        <w:tc>
          <w:tcPr>
            <w:tcW w:w="49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Jonathan H. Cohen</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Over $1,000,000</w:t>
            </w:r>
          </w:p>
        </w:tc>
      </w:tr>
      <w:tr>
        <w:trPr>
          <w:trHeight w:val="190"/>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Saul B. Rosenthal</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Over $1,000,000</w:t>
            </w: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____________</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68" w:lineRule="exact"/>
        <w:rPr>
          <w:sz w:val="20"/>
          <w:szCs w:val="20"/>
          <w:color w:val="auto"/>
        </w:rPr>
      </w:pPr>
    </w:p>
    <w:p>
      <w:pPr>
        <w:ind w:left="1660" w:right="1339" w:hanging="330"/>
        <w:spacing w:after="0" w:line="259" w:lineRule="auto"/>
        <w:tabs>
          <w:tab w:leader="none" w:pos="16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Dollar ranges are as follows: None, $1 – $10,000, $10,001 – $50,000, $50,001 – $100,000, $100,001 – $500,000; $500,001 – $1,000,000 or Over $1,000,000.</w:t>
      </w:r>
    </w:p>
    <w:p>
      <w:pPr>
        <w:spacing w:after="0" w:line="1" w:lineRule="exact"/>
        <w:rPr>
          <w:rFonts w:ascii="Times New Roman" w:cs="Times New Roman" w:eastAsia="Times New Roman" w:hAnsi="Times New Roman"/>
          <w:sz w:val="13"/>
          <w:szCs w:val="13"/>
          <w:color w:val="auto"/>
        </w:rPr>
      </w:pPr>
    </w:p>
    <w:p>
      <w:pPr>
        <w:ind w:left="1660" w:right="1359" w:hanging="330"/>
        <w:spacing w:after="0" w:line="269" w:lineRule="auto"/>
        <w:tabs>
          <w:tab w:leader="none" w:pos="166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dollar range of equity securities beneficially owned in us is based on the closing price of our common stock of $5.30 on November 5, 2024 on the Nasdaq Global Select Market.</w:t>
      </w:r>
    </w:p>
    <w:p>
      <w:pPr>
        <w:spacing w:after="0" w:line="78"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The following information pertains to the members of Oxford Lane Management’s investment team who are not executive officers of the Company:</w:t>
      </w:r>
    </w:p>
    <w:p>
      <w:pPr>
        <w:spacing w:after="0" w:line="69"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Joseph Kupka. </w:t>
      </w:r>
      <w:r>
        <w:rPr>
          <w:rFonts w:ascii="Times New Roman" w:cs="Times New Roman" w:eastAsia="Times New Roman" w:hAnsi="Times New Roman"/>
          <w:sz w:val="14"/>
          <w:szCs w:val="14"/>
          <w:color w:val="auto"/>
        </w:rPr>
        <w:t>Mr. Kupka is a Managing Director of Oxford Lane Management, and also holds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same position at Oxford Square Management, LLC, the investment adviser to Oxford Square Capital Corp., Oxford Park Management, LLC, the investment adviser to Oxford Park Income Fund, Inc. and at Oxford Gate Management, LLC, the investment adviser to the Oxford Gate Funds and Oxford Bridge II, LLC. Previously, he worked as a risk analyst for First Equity Card Corporation. Mr. Kupka received a B.S. in Mechanical Engineering from the University of Pennsylvania, where he was the Abel and Bernstein Class of 1945 Scholarship Recipient.</w:t>
      </w:r>
    </w:p>
    <w:p>
      <w:pPr>
        <w:spacing w:after="0" w:line="90"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Hooman Banafsheha. </w:t>
      </w:r>
      <w:r>
        <w:rPr>
          <w:rFonts w:ascii="Times New Roman" w:cs="Times New Roman" w:eastAsia="Times New Roman" w:hAnsi="Times New Roman"/>
          <w:sz w:val="14"/>
          <w:szCs w:val="14"/>
          <w:color w:val="auto"/>
        </w:rPr>
        <w:t>Mr. Banafsheha is a Principal of Oxford Lane Management, and also holds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same position at Oxford Square Management, LLC, the investment adviser to Oxford Square Capital Corp., Oxford Park Management, LLC, the investment adviser to Oxford Park Income Fund, Inc. and at Oxford Gate Management, LLC, the investment adviser to the Oxford Gate Funds and Oxford Bridge II, LLC. Previously, Mr. Banafsheha was a Vice President in the Finance division of Goldman Sachs. Prior to joining Goldman Sachs, he was a Senior Consultant at Deloitte. Mr. Banafsheha received a B.S. in Business Administration with a concentration in Finance from the State University of New York, University at Albany, where he graduated magna cum laude, and an M.B.A. from the MIT Sloan School of Management. Mr. Banafsheha has also attained the Charted Alternative Investment Analyst (CAIA) designation.</w:t>
      </w:r>
    </w:p>
    <w:p>
      <w:pPr>
        <w:spacing w:after="0" w:line="84"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Brian Aleska. </w:t>
      </w:r>
      <w:r>
        <w:rPr>
          <w:rFonts w:ascii="Times New Roman" w:cs="Times New Roman" w:eastAsia="Times New Roman" w:hAnsi="Times New Roman"/>
          <w:sz w:val="14"/>
          <w:szCs w:val="14"/>
          <w:color w:val="auto"/>
        </w:rPr>
        <w:t>Mr. Aleksa is a Vice President for Oxford Lane Management, and also holds the same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position at Oxford Square Management, LLC, the investment adviser to Oxford Square Capital Corp., Oxford Park Management, LLC, the investment adviser to Oxford Park Income Fund, Inc. and at Oxford Gate Management, LLC, the investment adviser to the Oxford Gate Funds and Oxford Bridge II, LLC. Previously, Mr. Aleksa was a Senior Analyst in the Capital Markets group at CBA Commercial. He received a B.A. in Accounting and Finance from Franklin &amp; Marshall College.</w:t>
      </w:r>
    </w:p>
    <w:p>
      <w:pPr>
        <w:spacing w:after="0" w:line="90"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Tyler Vallie. </w:t>
      </w:r>
      <w:r>
        <w:rPr>
          <w:rFonts w:ascii="Times New Roman" w:cs="Times New Roman" w:eastAsia="Times New Roman" w:hAnsi="Times New Roman"/>
          <w:sz w:val="14"/>
          <w:szCs w:val="14"/>
          <w:color w:val="auto"/>
        </w:rPr>
        <w:t>Mr. Vallie is an Associate for Oxford Lane Management, and also holds the same position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at Oxford Square Management, LLC, the investment adviser to Oxford Square Capital Corp., Oxford Park Management, LLC, the investment adviser to Oxford Park Income Fund, Inc. and at Oxford Gate Management, LLC, the investment adviser to the Oxford Gate Funds and Oxford Bridge II, LLC. Previously, Mr. Vallie was an Operations Associate on the Operations team at Chilton Investment Company. He received a B.A. in Economics from Marist College.</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Compensation</w:t>
      </w:r>
    </w:p>
    <w:p>
      <w:pPr>
        <w:spacing w:after="0" w:line="127"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None of Oxford Lane Management’s investment personnel receive any direct compensation from us in connection with the management of our portfolio. Messrs. Cohen and Rosenthal, through their ownership interest in Oxford Funds,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our portfolio. The compensation paid by Oxford Lane Management to certain other investment personnel includes:</w:t>
      </w:r>
    </w:p>
    <w:p>
      <w:pPr>
        <w:ind w:left="4440" w:right="3979" w:hanging="3110"/>
        <w:spacing w:after="0" w:line="469" w:lineRule="auto"/>
        <w:tabs>
          <w:tab w:leader="none" w:pos="150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base salary and (ii) portfolio-based performance award.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-96520</wp:posOffset>
            </wp:positionV>
            <wp:extent cx="403098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10" w:name="page111"/>
    <w:bookmarkEnd w:id="110"/>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INVESTMENT ADVISORY AGREEMENT</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Management Services</w:t>
      </w:r>
    </w:p>
    <w:p>
      <w:pPr>
        <w:spacing w:after="0" w:line="116"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Oxford Lane Management serves as our investment adviser. Oxford Lane Management is an investment adviser that is registered as an investment adviser under the Advisers Act prior to pricing of this offering. Subject to the overall supervision of our Board of Directors, Oxford Lane Management manages the day-to-day operations of, and provides investment advisory and management services to, Oxford Lane Capital. Under the terms of our Investment Advisory Agreement, Oxford Lane Management:</w:t>
      </w:r>
    </w:p>
    <w:p>
      <w:pPr>
        <w:spacing w:after="0" w:line="91" w:lineRule="exact"/>
        <w:rPr>
          <w:sz w:val="20"/>
          <w:szCs w:val="20"/>
          <w:color w:val="auto"/>
        </w:rPr>
      </w:pPr>
    </w:p>
    <w:p>
      <w:pPr>
        <w:ind w:left="2000" w:right="1339" w:hanging="332"/>
        <w:spacing w:after="0" w:line="286" w:lineRule="auto"/>
        <w:tabs>
          <w:tab w:leader="none" w:pos="199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determines the composition of our portfolio, the nature and timing of the changes to our portfolio and the manner of implementing such changes;</w:t>
      </w:r>
    </w:p>
    <w:p>
      <w:pPr>
        <w:spacing w:after="0" w:line="71"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identifies, evaluates and negotiates the structure of the investments we make (including performing due diligence on our prospective investments);</w:t>
      </w:r>
    </w:p>
    <w:p>
      <w:pPr>
        <w:spacing w:after="0" w:line="60"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closes and monitors the investments we make; and</w:t>
      </w:r>
    </w:p>
    <w:p>
      <w:pPr>
        <w:spacing w:after="0" w:line="12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us with other investment advisory, research and related services as we may from time to time require.</w:t>
      </w:r>
    </w:p>
    <w:p>
      <w:pPr>
        <w:spacing w:after="0" w:line="71"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Oxford Lane Management’s services under the Investment Advisory Agreement are not exclusive, and both it and its members, officers and employees are free to furnish similar services to other entities so long as its services to us are not impaired.</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Management Fee</w:t>
      </w:r>
    </w:p>
    <w:p>
      <w:pPr>
        <w:spacing w:after="0" w:line="116"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Pursuant to the Investment Advisory Agreement, we have agreed to pay Oxford Lane Management a fee for investment advisory and management services consisting of two components — a base management fee and an incentive fee.</w:t>
      </w:r>
    </w:p>
    <w:p>
      <w:pPr>
        <w:spacing w:after="0" w:line="83"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The base management fee is calculated at an annual rate of 2.00% of our gross assets. For services rendered under the Investment Advisory Agreement, the base management fee is payable quarterly in arrears. The base management fee is calculated based on the average value of our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spacing w:after="0" w:line="90"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such as commitment, origination, structuring, diligence and consulting fees or other fees that we receive from an investment) accrued during the calendar quarter, minus our operating expenses for the quarter (including the base management fee, expenses payable under the Administration Agreement to Oxford Funds, and any interest expense and dividends paid on any issued and outstanding preferred stock, but excluding the incentive fee). Pre-incentive fee net investment income includes accrued income that we have not yet received in cash, such as the amount of any market discount we may accrue on debt instruments we purchase below par value. Pre-incentive fee net investment income does not include any realized capital gains. Pre-incentive fee net investment income, expressed as a rate of return on the value of our net assets at the end of the immediately preceding calendar quarter, is compared to a hurdle of 1.75% per quarter (7.00% annualized). For such purposes, our quarterly rate of return is determined by dividing our pre-incentive net investment income by our reported net assets as of the prior period end. Our net investment income used to calculate this part of the incentive fee is also included in the amount of our gross assets used to calculate the 2.00% base management fee. We pay Oxford Lane Management an incentive fee with respect to our pre-incentive fee net investment income in each calendar quarter as follows:</w:t>
      </w:r>
    </w:p>
    <w:p>
      <w:pPr>
        <w:spacing w:after="0" w:line="258" w:lineRule="exact"/>
        <w:rPr>
          <w:sz w:val="20"/>
          <w:szCs w:val="20"/>
          <w:color w:val="auto"/>
        </w:rPr>
      </w:pPr>
    </w:p>
    <w:p>
      <w:pPr>
        <w:ind w:left="2000" w:right="1339" w:hanging="332"/>
        <w:spacing w:after="0" w:line="286" w:lineRule="auto"/>
        <w:tabs>
          <w:tab w:leader="none" w:pos="199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incentive fee in any calendar quarter in which our pre-incentive fee net investment income does not exceed the hurdle of 1.75%;</w:t>
      </w:r>
    </w:p>
    <w:p>
      <w:pPr>
        <w:spacing w:after="0" w:line="71"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11" w:name="page112"/>
    <w:bookmarkEnd w:id="111"/>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2000" w:right="1339"/>
        <w:spacing w:after="0" w:line="269" w:lineRule="auto"/>
        <w:rPr>
          <w:sz w:val="20"/>
          <w:szCs w:val="20"/>
          <w:color w:val="auto"/>
        </w:rPr>
      </w:pPr>
      <w:r>
        <w:rPr>
          <w:rFonts w:ascii="Times New Roman" w:cs="Times New Roman" w:eastAsia="Times New Roman" w:hAnsi="Times New Roman"/>
          <w:sz w:val="14"/>
          <w:szCs w:val="14"/>
          <w:color w:val="auto"/>
        </w:rPr>
        <w:t>the hurdle but is less than 2.1875%) as the “catch-up.” The “catch-up” is meant to provide Oxford Lane Management with 20% of our pre-incentive fee net investment income as if a hurdle did not apply if this net investment income exceeds 2.1875% in any calendar quarter; and</w:t>
      </w:r>
    </w:p>
    <w:p>
      <w:pPr>
        <w:spacing w:after="0" w:line="83" w:lineRule="exact"/>
        <w:rPr>
          <w:sz w:val="20"/>
          <w:szCs w:val="20"/>
          <w:color w:val="auto"/>
        </w:rPr>
      </w:pPr>
    </w:p>
    <w:p>
      <w:pPr>
        <w:jc w:val="both"/>
        <w:ind w:left="2000" w:right="1339" w:hanging="332"/>
        <w:spacing w:after="0" w:line="263" w:lineRule="auto"/>
        <w:tabs>
          <w:tab w:leader="none" w:pos="199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of the amount of our pre-incentive fee net investment income, if any, that exceeds 2.1875% in any calendar quarter (8.75% annualized) is payable to Oxford Lane Management (once the hurdle is reached and the catch-up is achieved, 20% of all pre-incentive fee investment income thereafter is allocated to Oxford Lane Management).</w:t>
      </w:r>
    </w:p>
    <w:p>
      <w:pPr>
        <w:spacing w:after="0" w:line="88" w:lineRule="exact"/>
        <w:rPr>
          <w:sz w:val="20"/>
          <w:szCs w:val="20"/>
          <w:color w:val="auto"/>
        </w:rPr>
      </w:pPr>
    </w:p>
    <w:p>
      <w:pPr>
        <w:jc w:val="both"/>
        <w:ind w:left="1320" w:right="1359" w:firstLine="339"/>
        <w:spacing w:after="0" w:line="286" w:lineRule="auto"/>
        <w:rPr>
          <w:sz w:val="20"/>
          <w:szCs w:val="20"/>
          <w:color w:val="auto"/>
        </w:rPr>
      </w:pPr>
      <w:r>
        <w:rPr>
          <w:rFonts w:ascii="Times New Roman" w:cs="Times New Roman" w:eastAsia="Times New Roman" w:hAnsi="Times New Roman"/>
          <w:sz w:val="14"/>
          <w:szCs w:val="14"/>
          <w:color w:val="auto"/>
        </w:rPr>
        <w:t>The following is a graphical representation of the calculation of the income-related portion of the incentive fee: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Quarterly Incentive Fee Based on Net Investment Income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Pre-incentive fee net investment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113030</wp:posOffset>
            </wp:positionV>
            <wp:extent cx="2190115" cy="3625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2190115" cy="362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pre-incentive fee net investment income allocated to the Oxford Lane Management</w:t>
      </w:r>
    </w:p>
    <w:p>
      <w:pPr>
        <w:spacing w:after="0" w:line="127"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These calculations are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Oxford Lane Management with respect to pre-incentive fee net investment income.</w:t>
      </w:r>
    </w:p>
    <w:p>
      <w:pPr>
        <w:spacing w:after="0" w:line="79"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No incentive fee is payable to Oxford Lane Management on realized capital gains. In addition, the amount of the incentive fee is not affected by any realized or unrealized losses that we may suffer.</w:t>
      </w:r>
    </w:p>
    <w:p>
      <w:pPr>
        <w:spacing w:after="0" w:line="122" w:lineRule="exact"/>
        <w:rPr>
          <w:sz w:val="20"/>
          <w:szCs w:val="20"/>
          <w:color w:val="auto"/>
        </w:rPr>
      </w:pPr>
    </w:p>
    <w:p>
      <w:pPr>
        <w:jc w:val="both"/>
        <w:ind w:left="1320" w:right="1359"/>
        <w:spacing w:after="0" w:line="289" w:lineRule="auto"/>
        <w:rPr>
          <w:sz w:val="20"/>
          <w:szCs w:val="20"/>
          <w:color w:val="auto"/>
        </w:rPr>
      </w:pPr>
      <w:r>
        <w:rPr>
          <w:rFonts w:ascii="Times New Roman" w:cs="Times New Roman" w:eastAsia="Times New Roman" w:hAnsi="Times New Roman"/>
          <w:sz w:val="14"/>
          <w:szCs w:val="14"/>
          <w:b w:val="1"/>
          <w:bCs w:val="1"/>
          <w:color w:val="auto"/>
        </w:rPr>
        <w:t>Examples of Quarterly Incentive Fee Calculation (amounts expressed as a percentage of the value of net assets, and are not annualized)</w:t>
      </w:r>
    </w:p>
    <w:p>
      <w:pPr>
        <w:spacing w:after="0" w:line="1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Alternative 1:</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Assumptions</w:t>
      </w:r>
    </w:p>
    <w:p>
      <w:pPr>
        <w:spacing w:after="0" w:line="1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Investment income (including interest, dividends, fees, etc.) = 1.25%</w:t>
      </w:r>
    </w:p>
    <w:p>
      <w:pPr>
        <w:spacing w:after="0" w:line="1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Hurdle rate</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4"/>
          <w:szCs w:val="14"/>
          <w:color w:val="auto"/>
        </w:rPr>
        <w:t xml:space="preserve"> = 1.75%</w:t>
      </w:r>
    </w:p>
    <w:p>
      <w:pPr>
        <w:spacing w:after="0" w:line="9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Management fee</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4"/>
          <w:szCs w:val="14"/>
          <w:color w:val="auto"/>
        </w:rPr>
        <w:t xml:space="preserve"> = 0.5%</w:t>
      </w:r>
    </w:p>
    <w:p>
      <w:pPr>
        <w:spacing w:after="0" w:line="10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Other expenses (legal, accounting, custodian, transfer agent, etc.)</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4"/>
          <w:szCs w:val="14"/>
          <w:color w:val="auto"/>
        </w:rPr>
        <w:t xml:space="preserve"> = 0.20%</w:t>
      </w:r>
    </w:p>
    <w:p>
      <w:pPr>
        <w:spacing w:after="0" w:line="10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Pre-incentive fee net investment income</w:t>
      </w:r>
    </w:p>
    <w:p>
      <w:pPr>
        <w:spacing w:after="0" w:line="11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(investment income-(management fee + other expenses)) = 0.55%</w:t>
      </w:r>
    </w:p>
    <w:p>
      <w:pPr>
        <w:spacing w:after="0" w:line="1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Pre-incentive net investment income does not exceed hurdle rate, therefore there is no incentive fee.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12" w:name="page113"/>
    <w:bookmarkEnd w:id="112"/>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Alternative 2:</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Assumptions</w:t>
      </w:r>
    </w:p>
    <w:p>
      <w:pPr>
        <w:spacing w:after="0" w:line="1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Investment income (including interest, dividends, fees, etc.) = 2.70%</w:t>
      </w:r>
    </w:p>
    <w:p>
      <w:pPr>
        <w:spacing w:after="0" w:line="1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Hurdle rate</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4"/>
          <w:szCs w:val="14"/>
          <w:color w:val="auto"/>
        </w:rPr>
        <w:t xml:space="preserve"> = 1.75%</w:t>
      </w:r>
    </w:p>
    <w:p>
      <w:pPr>
        <w:spacing w:after="0" w:line="10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Management fee</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4"/>
          <w:szCs w:val="14"/>
          <w:color w:val="auto"/>
        </w:rPr>
        <w:t xml:space="preserve"> = 0.5%</w:t>
      </w:r>
    </w:p>
    <w:p>
      <w:pPr>
        <w:spacing w:after="0" w:line="9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Other expenses (legal, accounting, custodian, transfer agent, etc.)</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4"/>
          <w:szCs w:val="14"/>
          <w:color w:val="auto"/>
        </w:rPr>
        <w:t xml:space="preserve"> = 0.20%</w:t>
      </w:r>
    </w:p>
    <w:p>
      <w:pPr>
        <w:spacing w:after="0" w:line="10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Pre-incentive fee net investment income</w:t>
      </w:r>
    </w:p>
    <w:p>
      <w:pPr>
        <w:spacing w:after="0" w:line="1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(investment income–(management fee + other expenses)) = 2.00%</w:t>
      </w:r>
    </w:p>
    <w:p>
      <w:pPr>
        <w:spacing w:after="0" w:line="114" w:lineRule="exact"/>
        <w:rPr>
          <w:sz w:val="20"/>
          <w:szCs w:val="20"/>
          <w:color w:val="auto"/>
        </w:rPr>
      </w:pPr>
    </w:p>
    <w:p>
      <w:pPr>
        <w:ind w:left="1660" w:right="1339"/>
        <w:spacing w:after="0" w:line="300" w:lineRule="auto"/>
        <w:rPr>
          <w:sz w:val="20"/>
          <w:szCs w:val="20"/>
          <w:color w:val="auto"/>
        </w:rPr>
      </w:pPr>
      <w:r>
        <w:rPr>
          <w:rFonts w:ascii="Times New Roman" w:cs="Times New Roman" w:eastAsia="Times New Roman" w:hAnsi="Times New Roman"/>
          <w:sz w:val="14"/>
          <w:szCs w:val="14"/>
          <w:color w:val="auto"/>
        </w:rPr>
        <w:t>Incentive fee = 100% × pre-incentive fee net investment income in excess of the hurdle but less than 2.1875% (i.e. the “catch-up”</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4"/>
          <w:szCs w:val="14"/>
          <w:color w:val="auto"/>
        </w:rPr>
        <w:t>)</w:t>
      </w:r>
    </w:p>
    <w:p>
      <w:pPr>
        <w:spacing w:after="0" w:line="24" w:lineRule="exact"/>
        <w:rPr>
          <w:sz w:val="20"/>
          <w:szCs w:val="20"/>
          <w:color w:val="auto"/>
        </w:rPr>
      </w:pPr>
    </w:p>
    <w:p>
      <w:pPr>
        <w:ind w:left="2120" w:hanging="113"/>
        <w:spacing w:after="0"/>
        <w:tabs>
          <w:tab w:leader="none" w:pos="21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 (2.0%–1.75%)</w:t>
      </w:r>
    </w:p>
    <w:p>
      <w:pPr>
        <w:spacing w:after="0" w:line="124" w:lineRule="exact"/>
        <w:rPr>
          <w:rFonts w:ascii="Times New Roman" w:cs="Times New Roman" w:eastAsia="Times New Roman" w:hAnsi="Times New Roman"/>
          <w:sz w:val="14"/>
          <w:szCs w:val="14"/>
          <w:color w:val="auto"/>
        </w:rPr>
      </w:pPr>
    </w:p>
    <w:p>
      <w:pPr>
        <w:ind w:left="2120" w:hanging="113"/>
        <w:spacing w:after="0"/>
        <w:tabs>
          <w:tab w:leader="none" w:pos="21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0.25%</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Alternative 3:</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Assumptions</w:t>
      </w:r>
    </w:p>
    <w:p>
      <w:pPr>
        <w:spacing w:after="0" w:line="1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Investment income (including interest, dividends, fees, etc.) = 3.00%</w:t>
      </w:r>
    </w:p>
    <w:p>
      <w:pPr>
        <w:spacing w:after="0" w:line="1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Hurdle rate</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4"/>
          <w:szCs w:val="14"/>
          <w:color w:val="auto"/>
        </w:rPr>
        <w:t xml:space="preserve"> = 1.75%</w:t>
      </w:r>
    </w:p>
    <w:p>
      <w:pPr>
        <w:spacing w:after="0" w:line="10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Management fee</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4"/>
          <w:szCs w:val="14"/>
          <w:color w:val="auto"/>
        </w:rPr>
        <w:t xml:space="preserve"> = 0.5%</w:t>
      </w:r>
    </w:p>
    <w:p>
      <w:pPr>
        <w:spacing w:after="0" w:line="9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Other expenses (legal, accounting, custodian, transfer agent, etc.)</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4"/>
          <w:szCs w:val="14"/>
          <w:color w:val="auto"/>
        </w:rPr>
        <w:t xml:space="preserve"> = 0.20%</w:t>
      </w:r>
    </w:p>
    <w:p>
      <w:pPr>
        <w:spacing w:after="0" w:line="10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Pre-incentive fee net investment income</w:t>
      </w:r>
    </w:p>
    <w:p>
      <w:pPr>
        <w:spacing w:after="0" w:line="1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(investment income–(management fee + other expenses)) = 2.3%</w:t>
      </w:r>
    </w:p>
    <w:p>
      <w:pPr>
        <w:spacing w:after="0" w:line="11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Incentive fee = 20% × pre-incentive fee net investment income, subject to “catch-up”</w:t>
      </w:r>
      <w:r>
        <w:rPr>
          <w:rFonts w:ascii="Times New Roman" w:cs="Times New Roman" w:eastAsia="Times New Roman" w:hAnsi="Times New Roman"/>
          <w:sz w:val="16"/>
          <w:szCs w:val="16"/>
          <w:color w:val="auto"/>
          <w:vertAlign w:val="superscript"/>
        </w:rPr>
        <w:t>(4)</w:t>
      </w:r>
    </w:p>
    <w:p>
      <w:pPr>
        <w:spacing w:after="0" w:line="10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Incentive fee = 100% × “catch-up” + (20% × (pre-incentive fee net investment income–2.1875%))</w:t>
      </w:r>
    </w:p>
    <w:p>
      <w:pPr>
        <w:spacing w:after="0" w:line="11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Catch-up = 2.1875%–1.75%</w:t>
      </w:r>
    </w:p>
    <w:p>
      <w:pPr>
        <w:spacing w:after="0" w:line="1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 0.4375%</w:t>
      </w:r>
    </w:p>
    <w:p>
      <w:pPr>
        <w:spacing w:after="0" w:line="1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Incentive fee = (100% × 0.4375%) + (20% × (2.3%–2.1875%))</w:t>
      </w:r>
    </w:p>
    <w:p>
      <w:pPr>
        <w:spacing w:after="0" w:line="114" w:lineRule="exact"/>
        <w:rPr>
          <w:sz w:val="20"/>
          <w:szCs w:val="20"/>
          <w:color w:val="auto"/>
        </w:rPr>
      </w:pPr>
    </w:p>
    <w:p>
      <w:pPr>
        <w:ind w:left="2120" w:hanging="113"/>
        <w:spacing w:after="0"/>
        <w:tabs>
          <w:tab w:leader="none" w:pos="21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0.4375% + (20% × 0.1125%)</w:t>
      </w:r>
    </w:p>
    <w:p>
      <w:pPr>
        <w:spacing w:after="0" w:line="124" w:lineRule="exact"/>
        <w:rPr>
          <w:rFonts w:ascii="Times New Roman" w:cs="Times New Roman" w:eastAsia="Times New Roman" w:hAnsi="Times New Roman"/>
          <w:sz w:val="14"/>
          <w:szCs w:val="14"/>
          <w:color w:val="auto"/>
        </w:rPr>
      </w:pPr>
    </w:p>
    <w:p>
      <w:pPr>
        <w:ind w:left="2120" w:hanging="113"/>
        <w:spacing w:after="0"/>
        <w:tabs>
          <w:tab w:leader="none" w:pos="21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0.4375% + 0.0225%</w:t>
      </w:r>
    </w:p>
    <w:p>
      <w:pPr>
        <w:spacing w:after="0" w:line="124" w:lineRule="exact"/>
        <w:rPr>
          <w:rFonts w:ascii="Times New Roman" w:cs="Times New Roman" w:eastAsia="Times New Roman" w:hAnsi="Times New Roman"/>
          <w:sz w:val="14"/>
          <w:szCs w:val="14"/>
          <w:color w:val="auto"/>
        </w:rPr>
      </w:pPr>
    </w:p>
    <w:p>
      <w:pPr>
        <w:ind w:left="2120" w:hanging="113"/>
        <w:spacing w:after="0"/>
        <w:tabs>
          <w:tab w:leader="none" w:pos="21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0.46%</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____________</w:t>
      </w:r>
    </w:p>
    <w:p>
      <w:pPr>
        <w:spacing w:after="0" w:line="62" w:lineRule="exact"/>
        <w:rPr>
          <w:sz w:val="20"/>
          <w:szCs w:val="20"/>
          <w:color w:val="auto"/>
        </w:rPr>
      </w:pPr>
    </w:p>
    <w:p>
      <w:pPr>
        <w:ind w:left="1660" w:hanging="330"/>
        <w:spacing w:after="0"/>
        <w:tabs>
          <w:tab w:leader="none" w:pos="166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7% annualized hurdle rate.</w:t>
      </w:r>
    </w:p>
    <w:p>
      <w:pPr>
        <w:spacing w:after="0" w:line="15" w:lineRule="exact"/>
        <w:rPr>
          <w:rFonts w:ascii="Times New Roman" w:cs="Times New Roman" w:eastAsia="Times New Roman" w:hAnsi="Times New Roman"/>
          <w:sz w:val="13"/>
          <w:szCs w:val="13"/>
          <w:color w:val="auto"/>
        </w:rPr>
      </w:pPr>
    </w:p>
    <w:p>
      <w:pPr>
        <w:ind w:left="1660" w:hanging="330"/>
        <w:spacing w:after="0"/>
        <w:tabs>
          <w:tab w:leader="none" w:pos="166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2.00% annualized management fee.</w:t>
      </w:r>
    </w:p>
    <w:p>
      <w:pPr>
        <w:spacing w:after="0" w:line="9" w:lineRule="exact"/>
        <w:rPr>
          <w:rFonts w:ascii="Times New Roman" w:cs="Times New Roman" w:eastAsia="Times New Roman" w:hAnsi="Times New Roman"/>
          <w:sz w:val="13"/>
          <w:szCs w:val="13"/>
          <w:color w:val="auto"/>
        </w:rPr>
      </w:pPr>
    </w:p>
    <w:p>
      <w:pPr>
        <w:ind w:left="1660" w:hanging="330"/>
        <w:spacing w:after="0"/>
        <w:tabs>
          <w:tab w:leader="none" w:pos="166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organizational and offering expenses.</w:t>
      </w:r>
    </w:p>
    <w:p>
      <w:pPr>
        <w:spacing w:after="0" w:line="9" w:lineRule="exact"/>
        <w:rPr>
          <w:rFonts w:ascii="Times New Roman" w:cs="Times New Roman" w:eastAsia="Times New Roman" w:hAnsi="Times New Roman"/>
          <w:sz w:val="13"/>
          <w:szCs w:val="13"/>
          <w:color w:val="auto"/>
        </w:rPr>
      </w:pPr>
    </w:p>
    <w:p>
      <w:pPr>
        <w:jc w:val="both"/>
        <w:ind w:left="1660" w:right="1339" w:hanging="330"/>
        <w:spacing w:after="0" w:line="262" w:lineRule="auto"/>
        <w:tabs>
          <w:tab w:leader="none" w:pos="166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“catch-up” provision is intended to provide the investment adviser with an incentive fee of 20% on all of Oxford Lane Capital’s pre-incentive fee net investment income as if a hurdle rate did not apply when its net investment income exceeds 2.1875% in any calendar quarter.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13" w:name="page114"/>
    <w:bookmarkEnd w:id="113"/>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Payment of Our Expenses</w:t>
      </w:r>
    </w:p>
    <w:p>
      <w:pPr>
        <w:spacing w:after="0" w:line="116"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The investment team of Oxford Lane Management and their respective staffs, when and to the extent engaged in providing investment advisory and management services, and the compensation and related expenses and routine overhead expenses of such personnel allocable to such services, are provided and paid for by Oxford Lane Management. We bear all other costs and expenses of our operations and transactions, including (without limitation):</w:t>
      </w:r>
    </w:p>
    <w:p>
      <w:pPr>
        <w:spacing w:after="0" w:line="91" w:lineRule="exact"/>
        <w:rPr>
          <w:sz w:val="20"/>
          <w:szCs w:val="20"/>
          <w:color w:val="auto"/>
        </w:rPr>
      </w:pPr>
    </w:p>
    <w:p>
      <w:pPr>
        <w:ind w:left="2000" w:hanging="332"/>
        <w:spacing w:after="0"/>
        <w:tabs>
          <w:tab w:leader="none" w:pos="20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our organization and this offering;</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calculating our net asset value, including the cost of any third-party valuation services;</w:t>
      </w:r>
    </w:p>
    <w:p>
      <w:pPr>
        <w:spacing w:after="0" w:line="11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effecting sales and repurchases of our shares and other securities;</w:t>
      </w:r>
    </w:p>
    <w:p>
      <w:pPr>
        <w:spacing w:after="0" w:line="124"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payable to third parties relating to, or associated with, making investments, including legal fees and expenses and fees and expenses associated with performing due diligence reviews of prospective investments and advisory fees as well as expenses associated with such activities;</w:t>
      </w:r>
    </w:p>
    <w:p>
      <w:pPr>
        <w:spacing w:after="0" w:line="82"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protecting our interests in our investments, including legal fees;</w:t>
      </w:r>
    </w:p>
    <w:p>
      <w:pPr>
        <w:spacing w:after="0" w:line="11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agent and custodial fees;</w:t>
      </w:r>
    </w:p>
    <w:p>
      <w:pPr>
        <w:spacing w:after="0" w:line="12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marketing and investor relations efforts including proxy solicitations and shareholder meetings;</w:t>
      </w:r>
    </w:p>
    <w:p>
      <w:pPr>
        <w:spacing w:after="0" w:line="71"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registration fees, any stock exchange listing fees;</w:t>
      </w:r>
    </w:p>
    <w:p>
      <w:pPr>
        <w:spacing w:after="0" w:line="11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local taxes;</w:t>
      </w:r>
    </w:p>
    <w:p>
      <w:pPr>
        <w:spacing w:after="0" w:line="12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directors’ fees and expenses including travel and other costs associated with the performance of independent directors’ responsibilities;</w:t>
      </w:r>
    </w:p>
    <w:p>
      <w:pPr>
        <w:spacing w:after="0" w:line="71"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bond, directors and officers errors and omissions liability insurance and other insurance premiums;</w:t>
      </w:r>
    </w:p>
    <w:p>
      <w:pPr>
        <w:spacing w:after="0" w:line="60"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costs and expenses of administration, including printing, mailing, long distance telephone and staff;</w:t>
      </w:r>
    </w:p>
    <w:p>
      <w:pPr>
        <w:spacing w:after="0" w:line="71"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independent audits and outside legal costs;</w:t>
      </w:r>
    </w:p>
    <w:p>
      <w:pPr>
        <w:spacing w:after="0" w:line="124" w:lineRule="exact"/>
        <w:rPr>
          <w:rFonts w:ascii="Times New Roman" w:cs="Times New Roman" w:eastAsia="Times New Roman" w:hAnsi="Times New Roman"/>
          <w:sz w:val="14"/>
          <w:szCs w:val="14"/>
          <w:color w:val="auto"/>
        </w:rPr>
      </w:pPr>
    </w:p>
    <w:p>
      <w:pPr>
        <w:ind w:left="2000" w:right="1359" w:hanging="332"/>
        <w:spacing w:after="0" w:line="286" w:lineRule="auto"/>
        <w:tabs>
          <w:tab w:leader="none" w:pos="199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our reporting and compliance obligations under the 1940 Act and applicable federal and state securities laws;</w:t>
      </w:r>
    </w:p>
    <w:p>
      <w:pPr>
        <w:spacing w:after="0" w:line="60"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the functions performed by our Chief Compliance Officer under the terms of an agreement between us and ACA Group; and</w:t>
      </w:r>
    </w:p>
    <w:p>
      <w:pPr>
        <w:spacing w:after="0" w:line="71" w:lineRule="exact"/>
        <w:rPr>
          <w:rFonts w:ascii="Times New Roman" w:cs="Times New Roman" w:eastAsia="Times New Roman" w:hAnsi="Times New Roman"/>
          <w:sz w:val="14"/>
          <w:szCs w:val="14"/>
          <w:color w:val="auto"/>
        </w:rPr>
      </w:pPr>
    </w:p>
    <w:p>
      <w:pPr>
        <w:jc w:val="both"/>
        <w:ind w:left="2000" w:right="1339" w:hanging="332"/>
        <w:spacing w:after="0" w:line="257" w:lineRule="auto"/>
        <w:tabs>
          <w:tab w:leader="none" w:pos="199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expenses incurred by either Oxford Funds or us in connection with administering our business, including payments under the Administration Agreement that will be based upon our allocable portion of overhead and other expenses incurred by Oxford Funds in performing its obligations under the Administration Agreement, including rent, the fees and expenses associated with performing administrative functions, and our allocable portion of the costs of compensation and related expenses of our Chief Financial Officer and any administrative support staff, including accounting personnel. Related expenses include but are not limited to health costs, payroll taxes and training expenses.</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Duration and Termination</w:t>
      </w:r>
    </w:p>
    <w:p>
      <w:pPr>
        <w:spacing w:after="0" w:line="116"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Unless earlier terminated as described below, the Investment Advisory Agreement will remain in effect if approved annually by our Board of Directors or by the affirmative vote of the holders of a majority of our outstanding voting securities, including, in either case, approval by a majority of our directors who are not parties to such agreement or who are not “interested persons” of any such party, as such term is defined in Section 2(a)(19) of the 1940 Act. The Investment Advisory Agreement will automatically terminate in the event of its assignment. The Investment Advisory Agreement may also be terminated by either party without penalty upon not more than 60 days’ written notice to the other party. See “Risk Factors — Risks Relating to Our Business and Structure — Oxford Lane Management has the right to resign on 60 days’ notice, and we may not be able to find a suitable replacement within that time, resulting in a disruption in our operations that could adversely affect our financial condition, business and results of operations.”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14" w:name="page115"/>
    <w:bookmarkEnd w:id="114"/>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116"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The Investment Advisory Agreement provides that, absent willful misfeasance, bad faith or gross negligence in the performance of its duties or by reason of the reckless disregard of its duties and obligations, Oxford Lane Management and its officers, managers, partners, agents, employees, controlling persons, members and any other person or entity affiliated with it are entitled to indemnification from Oxford Lane Capital for any damages, liabilities, costs and expenses (including reasonable attorneys’ fees and amounts reasonably paid in settlement) arising from the rendering of Oxford Lane Management’s services under the Investment Advisory Agreement or otherwise as an investment adviser of Oxford Lane Capital.</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Organization of the Investment Adviser</w:t>
      </w:r>
    </w:p>
    <w:p>
      <w:pPr>
        <w:spacing w:after="0" w:line="127"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Oxford Lane Management is a Connecticut limited liability company that is registered as an investment adviser under the Advisers Act. Oxford Funds, a Delaware limited liability company, is its managing member and provides Oxford Lane Management with all personnel necessary to manage our day-to-day operations and provide the services under the Investment Advisory Agreement. The principal address of Oxford Lane Management and of Oxford Funds is 8 Sound Shore Drive, Suite 255, Greenwich, Connecticut 06830.</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Board Approval of the Investment Advisory Agreement</w:t>
      </w:r>
    </w:p>
    <w:p>
      <w:pPr>
        <w:spacing w:after="0" w:line="127"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A discussion regarding the basis for the Board of Directors’ approval of our Investment Advisory Agreement will be included in our most recent annual or semi-annual report on Form N-CSR.</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15" w:name="page116"/>
    <w:bookmarkEnd w:id="115"/>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ADMINISTRATION AGREEMENT</w:t>
      </w:r>
    </w:p>
    <w:p>
      <w:pPr>
        <w:spacing w:after="0" w:line="116"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Oxford Funds, a Delaware limited liability company, serves as our Administrator. The principal executive offices of Oxford Funds are located at 8 Sound Shore Drive, Suite 255, Greenwich, CT 06830. Pursuant to an Administration Agreement, Oxford Funds furnishes us with office facilities, equipment and clerical, bookkeeping and record keeping services at such facilities. Under the Administration Agreement, Oxford Funds also performs, or oversees the performance of, our required administrative services, which include, among other things, being responsible for the financial records which we are required to maintain and preparing reports to our stockholders. In addition, Oxford Funds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are equal to an amount based upon our allocable portion of Oxford Funds’ overhead in performing its obligations under the Administration Agreement, including rent, the fees and expenses associated with performing administrative functions and our allocable portion of the compensation of our Chief Financial Officer and administrative support staff, including accounting personnel. The Administration Agreement may be terminated by either party without penalty upon 60 days’ written notice to the other party.</w:t>
      </w:r>
    </w:p>
    <w:p>
      <w:pPr>
        <w:spacing w:after="0" w:line="100"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Our Board approves the Administration Agreement on an annual basis. In connection with such approval the Board, including a majority of independent directors, reviews the compensation we pay to the Administrator to determine that the provisions of the Administration Agreement are carried out satisfactorily and to determine, among other things, whether the expenses payable under the Administration Agreement are reasonable in light of the services provided. The Board also reviews the methodology employed in determining how the expenses are allocated to us and the proposed allocation of administrative expenses among us and our affiliates. The Board then assesses the reasonableness of such reimbursements for expenses allocated to us based on the breadth, depth and quality of such services. The Board also considers the possibility of obtaining such services from a third-party and whether any single third-party service provider would be capable of providing all such services at comparable cost and quality. Finally, the Board compares the total amount paid to the Administrator for such services as a percentage of our net assets to the same ratio as reported by other comparable closed-end funds.</w:t>
      </w:r>
    </w:p>
    <w:p>
      <w:pPr>
        <w:spacing w:after="0" w:line="266"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The Administration Agreement provides that, absent willful misfeasance, bad faith or negligence in the performance of its duties or by reason of the reckless disregard of its duties and obligations, Oxford Funds and its officers, managers, partners, agents, employees, controlling persons, members and any other person or entity affiliated with it are entitled to indemnification from Oxford Lane Capital for any damages, liabilities, costs and expenses (including reasonable attorneys’ fees and amounts reasonably paid in settlement) arising from the rendering of Oxford Funds’ services under the Administration Agreement or otherwise as administrator for Oxford Lane Capital.</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16" w:name="page117"/>
    <w:bookmarkEnd w:id="116"/>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CERTAIN RELATIONSHIPS AND TRANSACTIONS</w:t>
      </w:r>
    </w:p>
    <w:p>
      <w:pPr>
        <w:spacing w:after="0" w:line="116"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We have entered into the Investment Advisory Agreement with Oxford Lane Management. Oxford Lane Management is controlled by Oxford Funds, its managing member. In addition to Oxford Funds, Oxford Lane Management is owned in part by Charles M. Royce as a non-managing member. Oxford Funds, as the managing member of Oxford Lane Management, manages the business and internal affairs of Oxford Lane Management. In addition, Oxford Funds provides us with office facilities and administrative services pursuant to the Administration Agreement. Jonathan H. Cohen, our Chief Executive Officer, as well as a director, is the managing member of and controls Oxford Funds. Saul B. Rosenthal, our President, is a member of Oxford Funds.</w:t>
      </w:r>
    </w:p>
    <w:p>
      <w:pPr>
        <w:spacing w:after="0" w:line="92"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In addition, Mr. Cohen currently serves as Chief Executive Officer and Mr. Rosenthal currently serves as President and Chief Operating Officer of Oxford Square Capital Corp., a publicly-traded business development company that invests principally in the debt of U.S.-based companies and, to a lesser extent, CLO debt and equity, and Oxford Square Capital Corp.’s investment adviser, Oxford Square Management, LLC. Oxford Funds is also the managing member of Oxford Square Management, LLC. Mr. Cohen also serves as Chief Executive Officer and Mr. Rosenthal also serves as President of Oxford Park Income Fund, Inc., a non-traded registered closed-end fund that invests principally in CLO debt and equity and Oxford Park Income Fund, Inc.’s investment adviser, Oxford Park Management, LLC. Oxford Funds is also the managing member of Oxford Park Management, LLC. Messrs. Cohen and Rosenthal also currently serve as Chief Executive Officer and President, respectively, at Oxford Gate Management, LLC, the investment adviser to the Oxford Gate Funds and Oxford Bridge II, LLC. Oxford Funds is the managing member of Oxford Gate Management, LLC. As a result, Messrs. Cohen and Rosenthal may be subject to certain conflicts of interests with respect to their management of our portfolio on the one hand, and their respective obligations to manage Oxford Square Capital Corp., Oxford Park Income Fund, Inc., Oxford Bridge II, LLC and the Oxford Gate Funds, on the other hand.</w:t>
      </w:r>
    </w:p>
    <w:p>
      <w:pPr>
        <w:spacing w:after="0" w:line="101"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We, Oxford Square Capital Corp., Oxford Park Income Fund, Inc., Oxford Bridge II, LLC and the Oxford Gate Funds, are subject to a written policy with respect to the allocation of investment opportunities among us, Oxford Square Capital Corp., Oxford Park Income Fund, Inc., Oxford Bridge II, LLC and the Oxford Gate Funds in view of the potential conflicts of interest raised by the relationships described above. The allocation policy generally provides that, depending on the amount of the investment opportunity and subject to current and anticipated cash availability, among other factors, investment opportunities that are suitable for more than one entity will be allocated on a pro-rata basis, based on each entity’s order size.</w:t>
      </w:r>
    </w:p>
    <w:p>
      <w:pPr>
        <w:spacing w:after="0" w:line="79"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policies and procedures whereby our executive officers screen each of our transactions for any possible affiliations between the proposed portfolio investment, us, companies controlled by us and our employees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of Directors reviews these procedures on an annual basis. As a registered closed-end fund, we are limited in our ability to co-invest in privately negotiated transactions with certain funds or entities managed by Oxford Lane Management or its affiliates without an exemptive order from the SEC. On June 14, 2017, the SEC issued the Exemptive Order which permits us to co-invest in portfolio companies with certain funds or entities managed by Oxford Lane Management or its affiliates in certain negotiated transactions where co-investing would otherwise be prohibited under the 1940 Act, subject to the conditions of the Exemptive Order. Pursuant to the Exemptive Order, we are permitted to co-invest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17" w:name="page118"/>
    <w:bookmarkEnd w:id="117"/>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We have also adopted a Code of Business Conduct and Ethics which applies to, among others, our senior officers, including our Chief Executive Officer and Chief Financial Officer, as well as every officer, director and employee of Oxford Lane Capital. Our Code of Business Conduct and Ethics requires that all employees and directors avoid any conflict, or the appearance of a conflict, between an individual’s personal interests and the interests of Oxford Lane Capital. Pursuant to our Code of Business Conduct and Ethics, each employee and director must disclose any conflicts of interest, or actions or relationships that might give rise to a conflict. Our Audit Committee is charged with approving any waivers under our Code of Business Conduct and Ethics. As required by the NASDAQ Stock Market corporate governance listing standards, the Audit Committee of our Board of Directors is also required to review and approve any transactions with related parties (as such term is defined in Item 404 of Regulation S-K).</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18" w:name="page119"/>
    <w:bookmarkEnd w:id="118"/>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CONTROL PERSONS AND PRINCIPAL STOCKHOLDERS</w:t>
      </w:r>
    </w:p>
    <w:p>
      <w:pPr>
        <w:spacing w:after="0" w:line="116" w:lineRule="exact"/>
        <w:rPr>
          <w:sz w:val="20"/>
          <w:szCs w:val="20"/>
          <w:color w:val="auto"/>
        </w:rPr>
      </w:pPr>
    </w:p>
    <w:p>
      <w:pPr>
        <w:jc w:val="both"/>
        <w:ind w:left="1320" w:right="1359" w:firstLine="339"/>
        <w:spacing w:after="0" w:line="26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in the section titled “Security Ownership of Certain Beneficial Owners and Management” in our most recent </w:t>
      </w:r>
      <w:hyperlink r:id="rId170">
        <w:r>
          <w:rPr>
            <w:rFonts w:ascii="Times New Roman" w:cs="Times New Roman" w:eastAsia="Times New Roman" w:hAnsi="Times New Roman"/>
            <w:sz w:val="14"/>
            <w:szCs w:val="14"/>
            <w:u w:val="single" w:color="auto"/>
            <w:color w:val="0000EE"/>
          </w:rPr>
          <w:t>Annual Proxy Statement</w:t>
        </w:r>
      </w:hyperlink>
      <w:r>
        <w:rPr>
          <w:rFonts w:ascii="Times New Roman" w:cs="Times New Roman" w:eastAsia="Times New Roman" w:hAnsi="Times New Roman"/>
          <w:sz w:val="14"/>
          <w:szCs w:val="14"/>
          <w:color w:val="auto"/>
        </w:rPr>
        <w:t>, filed with the SEC on September 6, 2024, is incorporated herein by reference.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19" w:name="page120"/>
    <w:bookmarkEnd w:id="119"/>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REGULATION AS A REGISTERED CLOSED-END MANAGEMENT INVESTMENT COMPANY</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16" w:lineRule="exact"/>
        <w:rPr>
          <w:sz w:val="20"/>
          <w:szCs w:val="20"/>
          <w:color w:val="auto"/>
        </w:rPr>
      </w:pPr>
    </w:p>
    <w:p>
      <w:pPr>
        <w:jc w:val="both"/>
        <w:ind w:left="1320" w:right="1339" w:firstLine="339"/>
        <w:spacing w:after="0" w:line="266" w:lineRule="auto"/>
        <w:rPr>
          <w:sz w:val="20"/>
          <w:szCs w:val="20"/>
          <w:color w:val="auto"/>
        </w:rPr>
      </w:pPr>
      <w:r>
        <w:rPr>
          <w:rFonts w:ascii="Times New Roman" w:cs="Times New Roman" w:eastAsia="Times New Roman" w:hAnsi="Times New Roman"/>
          <w:sz w:val="14"/>
          <w:szCs w:val="14"/>
          <w:color w:val="auto"/>
        </w:rPr>
        <w:t>We are a closed-end management investment company that has registered as an investment company under the 1940 Act. As a registered closed-end investment company, we are subject to regulation under the 1940 Act. Under the 1940 Act, unless authorized by vote of a majority of the outstanding voting securities, we may not:</w:t>
      </w:r>
    </w:p>
    <w:p>
      <w:pPr>
        <w:spacing w:after="0" w:line="258" w:lineRule="exact"/>
        <w:rPr>
          <w:sz w:val="20"/>
          <w:szCs w:val="20"/>
          <w:color w:val="auto"/>
        </w:rPr>
      </w:pPr>
    </w:p>
    <w:p>
      <w:pPr>
        <w:ind w:left="2000" w:hanging="332"/>
        <w:spacing w:after="0"/>
        <w:tabs>
          <w:tab w:leader="none" w:pos="20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our classification to an open-end management investment company;</w:t>
      </w:r>
    </w:p>
    <w:p>
      <w:pPr>
        <w:spacing w:after="0" w:line="124"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in each case in accordance with our policies with respect thereto set forth in this prospectus, borrow money, issue senior securities, underwrite securities issued by other persons, purchase or sell real estate or commodities or make loans to other persons;</w:t>
      </w:r>
    </w:p>
    <w:p>
      <w:pPr>
        <w:spacing w:after="0" w:line="72" w:lineRule="exact"/>
        <w:rPr>
          <w:rFonts w:ascii="Times New Roman" w:cs="Times New Roman" w:eastAsia="Times New Roman" w:hAnsi="Times New Roman"/>
          <w:sz w:val="14"/>
          <w:szCs w:val="14"/>
          <w:color w:val="auto"/>
        </w:rPr>
      </w:pPr>
    </w:p>
    <w:p>
      <w:pPr>
        <w:jc w:val="both"/>
        <w:ind w:left="2000" w:right="1339" w:hanging="332"/>
        <w:spacing w:after="0" w:line="262" w:lineRule="auto"/>
        <w:tabs>
          <w:tab w:leader="none" w:pos="199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deviate from any policy in respect of concentration of investments in any particular industry or group of industries as recited in this prospectus, deviate from any investment policy which is changeable only if authorized by shareholder vote under the 1940 Act, or deviate from any fundamental policy recited in its registration statement in accordance with the requirements of the 1940 Act; or</w:t>
      </w:r>
    </w:p>
    <w:p>
      <w:pPr>
        <w:spacing w:after="0" w:line="259"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nature of our business so as to cease to be an investment company.</w:t>
      </w:r>
    </w:p>
    <w:p>
      <w:pPr>
        <w:spacing w:after="0" w:line="125"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w:t>
      </w:r>
    </w:p>
    <w:p>
      <w:pPr>
        <w:spacing w:after="0" w:line="77"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As with other companies regulated by the 1940 Act, a registered closed-end management investment company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closed-end management investment company. Furthermore, as a registered closed-end management investment company, we are prohibited from protecting any director or officer against any liability to us or our stockholders arising from willful misfeasance, bad faith, gross negligence or reckless disregard of the duties involved in the conduct of such person’s office. We may also be prohibited under the 1940 Act from knowingly participating in certain transactions with our affiliates without the prior approval of our directors who are not interested persons and, in some cases, prior approval by the SEC.</w:t>
      </w:r>
    </w:p>
    <w:p>
      <w:pPr>
        <w:spacing w:after="0" w:line="92"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As a registered closed-end management investment company, we are generally required to meet an asset coverage ratio with respect to our outstanding senior securities representing indebtedness, defined under the 1940 Act as the ratio of our gross assets (less all liabilities and indebtedness not represented by senior securities) to our outstanding senior securities representing indebtedness, of at least 300% after each issuance of senior securities representing indebtedness. In addition, we are generally required to meet an asset coverage ratio with respect to our outstanding preferred stock, as defined under the 1940 Act as the ratio of our gross assets (less all liabilities and indebtedness not represented by senior securities) to our outstanding senior securities representing indebtedness, plus the aggregate involuntary liquidation preference of our outstanding preferred stock, of at least 200% immediately after each issuance of such preferred stock. We are also prohibited from issuing or selling any senior security if, immediately after such issuance, we would have outstanding more than (i) one class of senior security representing indebtedness, exclusive of any promissory notes or other evidences of indebtedness issued in consideration of any loan, extension, or renewal thereof, made by a bank or other person and privately arranged, and not intended to be publicly distributed, or (ii) one class of senior security which is stock, except that in each case any such class of indebtedness or stock may be issued in one or more series.</w:t>
      </w:r>
    </w:p>
    <w:p>
      <w:pPr>
        <w:spacing w:after="0" w:line="270"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We are generally not able to issue and sell our common stock at a price below net asset value per share. See “Risk Factors — Risks Relating to Our Business and Structure — Regulations governing our operation as a registered closed-end management investment company affect our ability to raise additional capital and the way in which we do so. The raising of debt capital may expose us to risks, including the typical risks associated with leverage.” We may, however, sell our common stock, or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20" w:name="page121"/>
    <w:bookmarkEnd w:id="120"/>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As a registered closed-end management investment company, we are generally limited in our ability to invest in any portfolio company in which Oxford Lane Management or any of its affiliates currently has an investment or to make any co-investments with Oxford Lane Management or its affiliates without an exemptive order from the SEC, subject to certain exceptions. On June 14, 2017, the SEC issued the Exemptive Order which permits us to co-invest in portfolio companies with certain funds or entities managed by Oxford Lane Management or its affiliates in certain negotiated transactions where co-investing would otherwise be prohibited under the 1940 Act, subject to the conditions of the Exemptive Order. Pursuant to the Exemptive Order, we are permitted to co-invest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263"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Although we do not presently expect to do so, we are authorized to borrow funds up to an amount not to exceed the limitations of the 1940 Act to make investments. We may also borrow funds, consistent with the foregoing limitations of the 1940 Act, in order to make the distributions required to maintain our status as a RIC under Subchapter M of the Code.</w:t>
      </w:r>
    </w:p>
    <w:p>
      <w:pPr>
        <w:spacing w:after="0" w:line="8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We will be periodically examined by the SEC for compliance with the 1940 Act.</w:t>
      </w:r>
    </w:p>
    <w:p>
      <w:pPr>
        <w:spacing w:after="0" w:line="114"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As a registered closed-end management investment company, we are subject to certain risks and uncertainties. See “Risk Factors — Risks Relating to Our Business and Structure” in our most recent annual or semi-annual report on Form N-CSR.</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Temporary Investments</w:t>
      </w:r>
    </w:p>
    <w:p>
      <w:pPr>
        <w:spacing w:after="0" w:line="127"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Pending investment in portfolio securities consistent with our investment objective and strategies described in this prospectus, our investments may consist of cash, cash equivalents, U.S. government securities or high-quality debt securities maturing in one year or less from the time of investment, which we refer to, collectively, as temporary investments.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Oxford Lane Management will monitor the creditworthiness of the counterparties with which we enter into repurchase agreement transactions.</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Senior Securities</w:t>
      </w:r>
    </w:p>
    <w:p>
      <w:pPr>
        <w:spacing w:after="0" w:line="127"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With respect to senior securities representing indebtedness (i.e., borrowing or deemed borrowing), other than temporary borrowings as defined under the 1940 Act, we are required to have an asset coverage ratio of at least 300%, as measured at the time of borrowing and calculated as the ratio of our total assets (less all liabilities and indebtedness not represented by senior securities) over the aggregate amount of our outstanding senior securities representing indebtedness. With respect to senior securities that are stocks (i.e., shares of preferred stock), we are required to have an asset coverage ratio of at least 200%, as measured at the time of the issuance of any such shares of preferred stock and calculated as the ratio of our total assets (less all liabilities and indebtedness not represented by senior securities) over the aggregate amount our outstanding senior securities representing indebtedness plus the aggregate liquidation preference of any outstanding shares of preferred stock. If our asset coverage ratio declines below 300% (or 200%, as applicable), we would not be able to incur additional debt or issue additional preferred stock, and could be required by law to sell a portion of our investments to repay some debt when it is disadvantageous to do so, which could have a material adverse effect on our operations, and we would not be able to make certain distributions or pay dividends. We may also borrow amounts up to 5% of the value of our gross assets for temporary purposes without regard to asset coverage. For a discussion of the risks associated with leverage, see “Risk Factors — Risks Relating to Our Business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21" w:name="page122"/>
    <w:bookmarkEnd w:id="121"/>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69" w:lineRule="auto"/>
        <w:rPr>
          <w:sz w:val="20"/>
          <w:szCs w:val="20"/>
          <w:color w:val="auto"/>
        </w:rPr>
      </w:pPr>
      <w:r>
        <w:rPr>
          <w:rFonts w:ascii="Times New Roman" w:cs="Times New Roman" w:eastAsia="Times New Roman" w:hAnsi="Times New Roman"/>
          <w:sz w:val="14"/>
          <w:szCs w:val="14"/>
          <w:color w:val="auto"/>
        </w:rPr>
        <w:t>and Structure — We may borrow money and/or issue preferred stock to leverage our portfolio, which would magnify the potential for gain or loss on amounts invested and will increase the risk of investing in us” in our most recent annual or semi-annual report on Form N-CSR.</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127"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 xml:space="preserve">We and Oxford Lane Management have each adopted a code of ethics pursuant to Rule 17j-1 under the 1940 Act and Rule 204A-1 under the Advisers Act, respectively, that establishes procedures for personal investments and restricts certain transactions by our personnel. Our code of ethics generally does not permit investments by our employees in securities that may be purchased or held by us. Our code of ethics is incorporated by reference as an exhibit to the registration statement of which this prospectus is a part, and is available on the EDGAR Database on the SEC’s Internet 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xml:space="preserve"> You may also obtain copies of our code of ethics via our website at </w:t>
      </w:r>
      <w:r>
        <w:rPr>
          <w:rFonts w:ascii="Times New Roman" w:cs="Times New Roman" w:eastAsia="Times New Roman" w:hAnsi="Times New Roman"/>
          <w:sz w:val="14"/>
          <w:szCs w:val="14"/>
          <w:i w:val="1"/>
          <w:iCs w:val="1"/>
          <w:color w:val="auto"/>
        </w:rPr>
        <w:t>http://www.oxfordlanecapital.com</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Compliance Policies and Procedures</w:t>
      </w:r>
    </w:p>
    <w:p>
      <w:pPr>
        <w:spacing w:after="0" w:line="127"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We and Oxford Lane Management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Gerald Cummins currently serves as our Chief Compliance Officer.</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Sarbanes-Oxley Act of 2002</w:t>
      </w:r>
    </w:p>
    <w:p>
      <w:pPr>
        <w:spacing w:after="0" w:line="116"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The Sarbanes-Oxley Act of 2002 imposes a wide variety of regulatory requirements on publicly-held companies and their insiders. Many of these requirements affect us. For example:</w:t>
      </w:r>
    </w:p>
    <w:p>
      <w:pPr>
        <w:spacing w:after="0" w:line="71" w:lineRule="exact"/>
        <w:rPr>
          <w:sz w:val="20"/>
          <w:szCs w:val="20"/>
          <w:color w:val="auto"/>
        </w:rPr>
      </w:pPr>
    </w:p>
    <w:p>
      <w:pPr>
        <w:ind w:left="2000" w:right="1339" w:hanging="332"/>
        <w:spacing w:after="0" w:line="286" w:lineRule="auto"/>
        <w:tabs>
          <w:tab w:leader="none" w:pos="1996"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30a-2 of the 1940 Act, our chief executive officer and chief financial officer must certify the accuracy of the financial statements contained in our periodic reports;</w:t>
      </w:r>
    </w:p>
    <w:p>
      <w:pPr>
        <w:spacing w:after="0" w:line="71"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Form N-CSR, our annual and semi-annual reports must disclose our conclusions about the effectiveness of our disclosure controls and procedures;</w:t>
      </w:r>
    </w:p>
    <w:p>
      <w:pPr>
        <w:spacing w:after="0" w:line="60"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Form N-CSR, our annual and semi-annual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 and</w:t>
      </w:r>
    </w:p>
    <w:p>
      <w:pPr>
        <w:spacing w:after="0" w:line="87"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Form N-CEN, our annual reports must include a report from our independent registered public accountant on our internal controls over financial reporting and we must disclose whether such report identified any material weaknesses in our internal controls.</w:t>
      </w:r>
    </w:p>
    <w:p>
      <w:pPr>
        <w:spacing w:after="0" w:line="83"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Fundamental Investment Policies</w:t>
      </w:r>
    </w:p>
    <w:p>
      <w:pPr>
        <w:spacing w:after="0" w:line="116"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The restrictions identified as fundamental in the following paragraph, along with our investment objective, are our only fundamental policies. Fundamental policies may not be changed without the approval of the holders of a majority of our outstanding voting securities, as defined in the 1940 Act. The percentage restrictions set forth below, apply at the time a transaction is effected, and a subsequent change in a percentage resulting from market fluctuations or any cause will not require us to dispose of portfolio securities or to take other action to satisfy the percentage restriction.</w:t>
      </w:r>
    </w:p>
    <w:p>
      <w:pPr>
        <w:spacing w:after="0" w:line="90"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As a matter of fundamental policy, we will not: (1) act as an underwriter of securities of other issuers (except to the extent that we may be deemed an “underwriter” of securities we purchase that must be registered under the Securities Act before they may be offered or sold to the public); (2) purchase or sell real estate or interests in real</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22" w:name="page123"/>
    <w:bookmarkEnd w:id="122"/>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59" w:lineRule="auto"/>
        <w:rPr>
          <w:sz w:val="20"/>
          <w:szCs w:val="20"/>
          <w:color w:val="auto"/>
        </w:rPr>
      </w:pPr>
      <w:r>
        <w:rPr>
          <w:rFonts w:ascii="Times New Roman" w:cs="Times New Roman" w:eastAsia="Times New Roman" w:hAnsi="Times New Roman"/>
          <w:sz w:val="14"/>
          <w:szCs w:val="14"/>
          <w:color w:val="auto"/>
        </w:rPr>
        <w:t>estate or real estate investment trusts (except that we may (A) purchase and sell real estate or interests in real estate in connection with the orderly liquidation of investments, or in connection with foreclosure on collateral, or (B) own the securities of companies that are in the business of buying, selling or developing real estate);</w:t>
      </w:r>
    </w:p>
    <w:p>
      <w:pPr>
        <w:spacing w:after="0" w:line="1" w:lineRule="exact"/>
        <w:rPr>
          <w:sz w:val="20"/>
          <w:szCs w:val="20"/>
          <w:color w:val="auto"/>
        </w:rPr>
      </w:pPr>
    </w:p>
    <w:p>
      <w:pPr>
        <w:jc w:val="both"/>
        <w:ind w:left="1320" w:right="1339" w:firstLine="10"/>
        <w:spacing w:after="0" w:line="252" w:lineRule="auto"/>
        <w:tabs>
          <w:tab w:leader="none" w:pos="1528"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securities short (except with regard to managing the risks associated with publicly-traded securities we may hold in our portfolio); (4) purchase securities on margin (except to the extent that we may purchase securities with borrowed money); (5) engage in the purchase or sale of commodities or commodity contracts, including futures contracts (except where necessary in working out distressed investment situations or in hedging the risks associated with interest rate fluctuations), and, in such cases, only after all necessary registrations (or exemptions from registration) with the Commodity Futures Trading Commission have been obtained; (6) borrow money, except as permitted by (i) the 1940 Act, or interpretations or modifications by the SEC, SEC staff or other authority with appropriate jurisdiction, or (ii) exemptive or other relief or permission from the SEC, SEC staff or other authority with appropriate jurisdiction; (7) make loans, except to the extent permitted by (i) the 1940 Act, or interpretations or modifications by the SEC, SEC staff or other authority with appropriate jurisdiction, or (ii) exemptive or other relief or permission from the SEC, SEC staff or other authority with appropriate jurisdiction (for purposes of this investment restriction, the purchase of debt obligations (including acquisitions of loans, loan participations, debt or equity tranches of CLO vehicles or other forms of debt instruments) shall not constitute loans by us; (8) issue senior securities, except to the extent permitted by (i) the 1940 Act, or interpretations or modifications by the SEC, the SEC staff or other authority with appropriate jurisdiction, or (ii) exemptive or other relief or permission from the SEC, SEC staff or other authority with appropriate jurisdiction; or (9) invest in any security if as a result of such investment, 25% or more of the value of our total assets, taken at market value at the time of each investment, are in the securities of issuers in any particular industry except (a) securities issued or guaranteed by the U.S. government and its agencies and instrumentalities or tax-exempt securities of state and municipal governments or their political subdivisions (however, not including private purpose industrial development bonds issued on behalf of non-government issuers), (b) as otherwise provided by the 1940 Act, as amended from time to time, and as modified or supplemented from time to time by (i) the rules and regulations promulgated by the SEC under the 1940 Act, as amended from time to time, and (ii) any exemption or other relief applicable to us from the provisions of the 1940 Act, as amended from time to time, or (c) as set forth in the following paragraph.</w:t>
      </w:r>
    </w:p>
    <w:p>
      <w:pPr>
        <w:spacing w:after="0" w:line="108"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We may invest up to 100% of our assets in securities issued by CLO vehicles and in corporate debt instruments, which may be acquired directly in privately negotiated transactions or in secondary market purchases. With respect to securities we acquired directly in privately negotiated transactions, we may, for the purpose of public resale, be deemed an “underwriter” as that term is defined in the Securities Act. Our intention is to not write (sell) or buy put or call options to manage risks associated with any publicly-traded securities we may hold, except that we may enter into hedging transactions to manage the risks associated with interest rate fluctuations, and, in such cases, only after all necessary registrations (or exemptions from registration) with the Commodity Futures Trading Commission have been obtained. We also do not intend to acquire securities issued by any investment company that exceed the limits imposed by the 1940 Act. Under these limits, unless otherwise permitted by the 1940 Act, we currently cannot acquire more than 3% of the voting securities of any registered investment company, invest more than 5% of the value of our total assets in the securities of one investment company or invest, in the aggregate, in excess of 10% of the value of our total assets in the securities of one or more investment companies. With regard to that portion of our portfolio invested in securities issued by investment companies, it should be noted that such investments might subject our stockholders to additional expenses.</w:t>
      </w:r>
    </w:p>
    <w:p>
      <w:pPr>
        <w:spacing w:after="0" w:line="1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Proxy Voting Policies and Procedures</w:t>
      </w:r>
    </w:p>
    <w:p>
      <w:pPr>
        <w:spacing w:after="0" w:line="127" w:lineRule="exact"/>
        <w:rPr>
          <w:sz w:val="20"/>
          <w:szCs w:val="20"/>
          <w:color w:val="auto"/>
        </w:rPr>
      </w:pPr>
    </w:p>
    <w:p>
      <w:pPr>
        <w:jc w:val="both"/>
        <w:ind w:left="1320" w:right="1359" w:firstLine="339"/>
        <w:spacing w:after="0" w:line="286" w:lineRule="auto"/>
        <w:rPr>
          <w:sz w:val="20"/>
          <w:szCs w:val="20"/>
          <w:color w:val="auto"/>
        </w:rPr>
      </w:pPr>
      <w:r>
        <w:rPr>
          <w:rFonts w:ascii="Times New Roman" w:cs="Times New Roman" w:eastAsia="Times New Roman" w:hAnsi="Times New Roman"/>
          <w:sz w:val="14"/>
          <w:szCs w:val="14"/>
          <w:color w:val="auto"/>
        </w:rPr>
        <w:t>We have delegated proxy voting responsibility to Oxford Lane Management. The Proxy Voting Policies and Procedures of Oxford Lane Management are set forth below.</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23" w:name="page124"/>
    <w:bookmarkEnd w:id="123"/>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OXFORD LANE MANAGEMENT, LLC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STATEMENT OF POLICIES AND PROCEDURES REGARDING THE VOTING OF SECURITIES</w:t>
      </w:r>
    </w:p>
    <w:p>
      <w:pPr>
        <w:spacing w:after="0" w:line="100"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The Proxy Voting Policies and Procedures of Oxford Lane Management are set forth below. You may obtain information about how Oxford Lane Management voted proxies with respect to our portfolio securities by making a written request for proxy voting information to: Chief Compliance Officer, Oxford Lane Management, LLC, 8 Sound Shore Drive, Suite 255, Greenwich, CT 06830.</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Introduction</w:t>
      </w:r>
    </w:p>
    <w:p>
      <w:pPr>
        <w:spacing w:after="0" w:line="127"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As an investment adviser registered under the Advisers Act, Oxford Lane Management has a fiduciary duty to act solely in the best interests of its clients. As part of this duty, Oxford Lane Management recognizes that it must vote client securities in a timely manner free of conflicts of interest and in the best interests of its clients.</w:t>
      </w:r>
    </w:p>
    <w:p>
      <w:pPr>
        <w:spacing w:after="0" w:line="88"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These policies and procedures for voting proxies for the Adviser’s investment advisory clients are intended to comply with Section 206 of, and Rule 206(4)-6 under, the Advisers Act.</w:t>
      </w:r>
    </w:p>
    <w:p>
      <w:pPr>
        <w:spacing w:after="0" w:line="1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Proxy Policies</w:t>
      </w:r>
    </w:p>
    <w:p>
      <w:pPr>
        <w:spacing w:after="0" w:line="116"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Oxford Lane Management will vote proxies relating to our portfolio securities in the best interests of our shareholders. Oxford Lane Management will review on a case-by-case basis each proposal submitted for a shareholder vote to determine its impact on the portfolio securities held by us. Although Oxford Lane Management will generally vote against proposals that may have a negative impact on our portfolio securities, it may vote for such a proposal if there exist compelling long-term reasons to do so.</w:t>
      </w:r>
    </w:p>
    <w:p>
      <w:pPr>
        <w:spacing w:after="0" w:line="91"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The proxy voting decisions of Oxford Lane Management are made by the senior officers of Oxford Lane Management who are responsible for monitoring each of our investments. To ensure that its vote is not the product of a conflict of interest, Oxford Lane Management requires that: (i) anyone involved in the decision making process to disclose to Oxford Lane Management’s Chief Compliance Officer any potential conflict that he or she is aware of and any contact that he or she has had with any interested party regarding a proxy vote; and (ii) employees involved in the decision making process or vote administration are prohibited from revealing how Oxford Lane Management intends to vote on a proposal without the prior approval of the Chief Compliance Officer and Senior Management in order to reduce any attempted influence from interested parties.</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Proxy Voting Records</w:t>
      </w:r>
    </w:p>
    <w:p>
      <w:pPr>
        <w:spacing w:after="0" w:line="127"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You may obtain information about how Oxford Lane Management voted proxies with respect to our portfolio securities by making a written request for proxy voting information to: Chief Compliance Officer, Oxford Lane Management, LLC, 8 Sound Shore Drive, Suite 255, Greenwich, CT 06830.</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Privacy Policy</w:t>
      </w:r>
    </w:p>
    <w:p>
      <w:pPr>
        <w:spacing w:after="0" w:line="116"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We are committed to protecting your privacy. This privacy notice, which is required by federal law, explains privacy policies of Oxford Lane Capital Corp. and its affiliated companies. This notice supersedes any other privacy notice you may have received from Oxford Lane Capital Corp., and its terms apply both to our current stockholders and to former stockholders as well.</w:t>
      </w:r>
    </w:p>
    <w:p>
      <w:pPr>
        <w:spacing w:after="0" w:line="88"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We will safeguard, according to strict standards of security and confidentiality, all information we receive about you. With regard to this information, we maintain procedural safeguards that comply with federal standards.</w:t>
      </w:r>
    </w:p>
    <w:p>
      <w:pPr>
        <w:spacing w:after="0" w:line="83"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Our goal is to limit the collection and use of information about you. When you purchase shares of our common stock, our transfer agent collects personal information about you, such as your name, address, social security number or tax identification number.</w:t>
      </w:r>
    </w:p>
    <w:p>
      <w:pPr>
        <w:spacing w:after="0" w:line="72" w:lineRule="exact"/>
        <w:rPr>
          <w:sz w:val="20"/>
          <w:szCs w:val="20"/>
          <w:color w:val="auto"/>
        </w:rPr>
      </w:pPr>
    </w:p>
    <w:p>
      <w:pPr>
        <w:jc w:val="both"/>
        <w:ind w:left="1320" w:right="1359" w:firstLine="339"/>
        <w:spacing w:after="0" w:line="286" w:lineRule="auto"/>
        <w:rPr>
          <w:sz w:val="20"/>
          <w:szCs w:val="20"/>
          <w:color w:val="auto"/>
        </w:rPr>
      </w:pPr>
      <w:r>
        <w:rPr>
          <w:rFonts w:ascii="Times New Roman" w:cs="Times New Roman" w:eastAsia="Times New Roman" w:hAnsi="Times New Roman"/>
          <w:sz w:val="14"/>
          <w:szCs w:val="14"/>
          <w:color w:val="auto"/>
        </w:rPr>
        <w:t>This information is used only so that we can send you annual reports, proxy statements and other information required by law, and to send you information we believe may be of interest to you.</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24" w:name="page125"/>
    <w:bookmarkEnd w:id="124"/>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We do not share such information with any non-affiliated third party except as described below:</w:t>
      </w:r>
    </w:p>
    <w:p>
      <w:pPr>
        <w:spacing w:after="0" w:line="125" w:lineRule="exact"/>
        <w:rPr>
          <w:sz w:val="20"/>
          <w:szCs w:val="20"/>
          <w:color w:val="auto"/>
        </w:rPr>
      </w:pPr>
    </w:p>
    <w:p>
      <w:pPr>
        <w:ind w:left="2000" w:right="1339" w:hanging="332"/>
        <w:spacing w:after="0" w:line="286" w:lineRule="auto"/>
        <w:tabs>
          <w:tab w:leader="none" w:pos="199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our policy that only authorized employees of our investment adviser, Oxford Lane Management, LLC, who need to know your personal information will have access to it.</w:t>
      </w:r>
    </w:p>
    <w:p>
      <w:pPr>
        <w:spacing w:after="0" w:line="71"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disclose stockholder-related information to companies that provide services on our behalf, such as record keeping, processing your trades, and mailing you information. These companies are required to protect your information and use it solely for the purpose for which they received it.</w:t>
      </w:r>
    </w:p>
    <w:p>
      <w:pPr>
        <w:spacing w:after="0" w:line="72"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required by law, we may disclose stockholder-related information in accordance with a court order or at the request of government regulators. Only that information required by law, subpoena, or court order will be disclosed.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25" w:name="page126"/>
    <w:bookmarkEnd w:id="125"/>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DETERMINATION OF NET ASSET VALUE</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Quarterly Net Asset Value Determinations</w:t>
      </w:r>
    </w:p>
    <w:p>
      <w:pPr>
        <w:spacing w:after="0" w:line="116"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We determine the net asset value per share of our common stock by dividing the value of our portfolio investments, cash and other assets (including interest accrued but not collected) less all its liabilities (including accrued expenses, borrowings and interest payable) by the total number of shares of our common stock outstanding on a quarterly basis. The most significant estimate inherent in the preparation of our financial statements is the valuation of investments and the related amounts of unrealized appreciation and depreciation of investments recorded. We believe that there is no single best method for determining fair value in good faith. As a result, determining fair value requires that judgment be applied to the specific facts and circumstances of each portfolio investment while employing a consistently applied valuation process for the types of investments we make. We fair value each individual investment on a quarterly basis.</w:t>
      </w:r>
    </w:p>
    <w:p>
      <w:pPr>
        <w:spacing w:after="0" w:line="95"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We value our investments in accordance with Rule 2a-5 under the 1940 Act, which sets forth requirements for determining fair value in good faith. The Board of Directors determines the value of our investment portfolio each quarter, after consideration of the Valuation Committee’s recommendation of fair value. The Adviser compiles relevant information, including a financial summary, recent trading activity in the security, if known, price indications from third-party pricing services and recent purchases and sales known to the Adviser in similar securities. All available information, including non-binding indications of pricing from a third-party pricing service, which may not be considered reliable, will be considered by us and/or the Valuation Committee. In some instances, there may be limited trading activity in a security even though the market for the security is considered not active. In such cases we and/or the Valuation Committee will consider the number of trades, the size and timing of each trade, and other circumstances around such trades, to the extent such information is available. The Valuation Committee will evaluate the impact of such additional information, and factor it into its consideration of fair value.</w:t>
      </w:r>
    </w:p>
    <w:p>
      <w:pPr>
        <w:spacing w:after="0" w:line="95"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As part of the valuation process, the Board will take into account relevant factors in determining the fair value of our investments for which reliable market quotations are not readily available, including and in combination, as relevant, of: the nature of any restrictions on disposition of the securities; structure of the securities as described in the indenture; assessment of the general liquidity/illiquidity of the securities; the issuer’s financial condition, including but not limited to its overcollateralization test, interest coverage test and size of its CCC bucket; the markets in which the issuers of the underlying collateral do business; the nature and value of the collateral; the prices of any actual trades or bids/offers for the securities or the prices of any actual trades or bids/offers for any comparable securities within the period seven days prior or seven days after the net asset value date, subject to a shorter window during periods of enhanced volatility where in the judgement of the Board of Directors trades executed outside of the shorter window would not represent a better representation of fair-value than prices provided by the pricing service; broker firm bids; broker firm offers; the reputation of the collateral manager; information resulting from bids-wanted in competition; if the CLO equity distribution and/or corporate dividend payment falls on the last day of the period and whether a prospective purchaser would require a downward adjustment to the price; any available analyst, media or other reports or information deemed reliable by the Board of Directors regarding the issuer or the markets or industry in which it operates; and such other information the Board of Directors deems material to the pricing of individual securities.</w:t>
      </w:r>
    </w:p>
    <w:p>
      <w:pPr>
        <w:spacing w:after="0" w:line="88"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26" w:name="page127"/>
    <w:bookmarkEnd w:id="126"/>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Determinations in Connection with Offerings</w:t>
      </w:r>
    </w:p>
    <w:p>
      <w:pPr>
        <w:spacing w:after="0" w:line="116"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We are not generally able to issue and sell our common stock at a price below net asset value per share, other than in connection with a rights offering to our existing stockholders. In connection with any offering of shares of our common stock, we are required to make the determination that we are not selling shares of our common stock at a price below the then current net asset value of our common stock at the time at which the sale is made. Factors that may be considered in making such determination may include, among others:</w:t>
      </w:r>
    </w:p>
    <w:p>
      <w:pPr>
        <w:spacing w:after="0" w:line="91" w:lineRule="exact"/>
        <w:rPr>
          <w:sz w:val="20"/>
          <w:szCs w:val="20"/>
          <w:color w:val="auto"/>
        </w:rPr>
      </w:pPr>
    </w:p>
    <w:p>
      <w:pPr>
        <w:ind w:left="2000" w:right="1339" w:hanging="332"/>
        <w:spacing w:after="0" w:line="286" w:lineRule="auto"/>
        <w:tabs>
          <w:tab w:leader="none" w:pos="1996"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asset value of our common stock disclosed in the most recent periodic report that we filed with the SEC;</w:t>
      </w:r>
    </w:p>
    <w:p>
      <w:pPr>
        <w:spacing w:after="0" w:line="71" w:lineRule="exact"/>
        <w:rPr>
          <w:rFonts w:ascii="Times New Roman" w:cs="Times New Roman" w:eastAsia="Times New Roman" w:hAnsi="Times New Roman"/>
          <w:sz w:val="14"/>
          <w:szCs w:val="14"/>
          <w:color w:val="auto"/>
        </w:rPr>
      </w:pPr>
    </w:p>
    <w:p>
      <w:pPr>
        <w:jc w:val="both"/>
        <w:ind w:left="2000" w:right="1339" w:hanging="332"/>
        <w:spacing w:after="0" w:line="260" w:lineRule="auto"/>
        <w:tabs>
          <w:tab w:leader="none" w:pos="1996"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as of a time within 48 hours (excluding Sundays and holidays) of the sale of our common stock; and</w:t>
      </w:r>
    </w:p>
    <w:p>
      <w:pPr>
        <w:spacing w:after="0" w:line="80" w:lineRule="exact"/>
        <w:rPr>
          <w:rFonts w:ascii="Times New Roman" w:cs="Times New Roman" w:eastAsia="Times New Roman" w:hAnsi="Times New Roman"/>
          <w:sz w:val="14"/>
          <w:szCs w:val="14"/>
          <w:color w:val="auto"/>
        </w:rPr>
      </w:pPr>
    </w:p>
    <w:p>
      <w:pPr>
        <w:jc w:val="both"/>
        <w:ind w:left="2000" w:right="1339" w:hanging="332"/>
        <w:spacing w:after="0" w:line="258" w:lineRule="auto"/>
        <w:tabs>
          <w:tab w:leader="none" w:pos="1996"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magnitude of the difference between (i) a value that we have determined reflects the current (as of a time within 48 hours, excluding Sundays and holidays) net asset value of our common stock, which is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90"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Moreover, to the extent that there is even a remote possibility that we may issue shares of our common stock at a price below the then current net asset value of our common stock at the time at which the sale is made, we will either postpone the offering until such time that there is no longer the possibility of the occurrence of such event or undertake to determine the net asset value of our common stock within two days prior to any such sale to ensure that such sale will not be below our then current net asset value.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27" w:name="page128"/>
    <w:bookmarkEnd w:id="127"/>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DISTRIBUTION REINVESTMENT PLAN</w:t>
      </w:r>
    </w:p>
    <w:p>
      <w:pPr>
        <w:spacing w:after="0" w:line="116"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We have adopted a distribution reinvestment plan that provides for reinvestment of our distributions on behalf of our stockholders, unless a stockholder elects to receive cash as provided below. As a result, if our Board of Directors authorizes, and we declare, a cash distribution, our stockholders who have not opted out of our distribution reinvestment plan will have their cash distributions automatically reinvested in additional shares of our common stock, rather than receiving the cash distributions.</w:t>
      </w:r>
    </w:p>
    <w:p>
      <w:pPr>
        <w:spacing w:after="0" w:line="91"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No action will be required on the part of a registered stockholder to have his cash distribution reinvested in shares of our common stock. A registered stockholder may elect to receive an entire distribution in cash by notifying Computershare Trust Company, N.A., the plan administrator and our transfer agent and registrar, by telephone, through the Internet or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by telephone, through the Internet or writing prior to the record date, the plan administrator will, instead of crediting shares to the participant’s account, issue a certificate registered in the participant’s name for the number of whole shares of our common stock and a check for any fractional share, less any applicable fees.</w:t>
      </w:r>
    </w:p>
    <w:p>
      <w:pPr>
        <w:spacing w:after="0" w:line="92"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Those stockholders whose shares are held by a broker or other financial intermediary may receive distributions in cash by notifying their broker or other financial intermediary of their election.</w:t>
      </w:r>
    </w:p>
    <w:p>
      <w:pPr>
        <w:spacing w:after="0" w:line="61"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We expect to use primarily newly-issued shares to implement the plan, whether our shares are trading at a premium or at a discount to net asset value. Under such circumstances, the number of shares to be issued to a stockholder is determined by dividing the total dollar amount of the distribution payable to such stockholder by an amount equal to ninety-five (95%) percent of the market price per share of our common stock at the close of regular trading on the Nasdaq Global Select Market on the valuation date fixed by our Board of Directors for such distribution. Market price per share on that date will be the closing price for such shares on the Nasdaq Global Select Market or, if no sale is reported for such day, at the average of their electronically reported bid and asked prices. We reserve the right to purchase shares in the open market in connection with our implementation of the plan.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97"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There is no charge to stockholders for receiving their distributions in the form of additional shares of our common stock. Any transaction fees, brokerage charges, plan administrator’s fees or any other charges for handling distributions in stock are paid by us. There are no brokerage charges with respect to shares we have issued directly as a result of distributions payable in stock. If a participant elects by telephonic, Internet or written notice to the plan administrator to have the plan administrator sell part or all of the shares held by the plan administrator in the participant’s account and remit the proceeds to the participant, the plan administrator is authorized to deduct a $2.50 transaction fee plus brokerage charges from the proceeds.</w:t>
      </w:r>
    </w:p>
    <w:p>
      <w:pPr>
        <w:spacing w:after="0" w:line="90"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Stockholders who receive distributions in the form of stock are subject to the same federal, state and local tax consequences as are stockholders who elect to receive their distributions in cash. The amount of the distribution for U.S. federal income tax purposes will be equal to the fair market value of the stock received. A stockholder’s basis for determining gain or loss upon the sale of stock received in a distribution from us will be equal to the amount treated as a distribution for U.S. federal income tax purposes.</w:t>
      </w:r>
    </w:p>
    <w:p>
      <w:pPr>
        <w:spacing w:after="0" w:line="80"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 xml:space="preserve">The plan may be terminated by us upon notice in writing mailed to each participant at least 30 days prior to any record date for the payment of any dividend or distribution by us. All correspondence concerning the plan should be directed to the plan administrator as follows: through the Internet at </w:t>
      </w:r>
      <w:r>
        <w:rPr>
          <w:rFonts w:ascii="Times New Roman" w:cs="Times New Roman" w:eastAsia="Times New Roman" w:hAnsi="Times New Roman"/>
          <w:sz w:val="14"/>
          <w:szCs w:val="14"/>
          <w:i w:val="1"/>
          <w:iCs w:val="1"/>
          <w:color w:val="auto"/>
        </w:rPr>
        <w:t>www.computershare/investor</w:t>
      </w:r>
      <w:r>
        <w:rPr>
          <w:rFonts w:ascii="Times New Roman" w:cs="Times New Roman" w:eastAsia="Times New Roman" w:hAnsi="Times New Roman"/>
          <w:sz w:val="14"/>
          <w:szCs w:val="14"/>
          <w:color w:val="auto"/>
        </w:rPr>
        <w:t>, telephone number is 1-800-426-5523 and written correspondence can be mailed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Computershare Trust Company, N.A., P.O. Box 43078, Providence, RI, 02940-3078.</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28" w:name="page129"/>
    <w:bookmarkEnd w:id="128"/>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CERTAIN U.S. FEDERAL INCOME TAX CONSIDERATIONS</w:t>
      </w:r>
    </w:p>
    <w:p>
      <w:pPr>
        <w:spacing w:after="0" w:line="127"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The following discussion is a general summary of certain U.S. federal income tax considerations applicable to us and to an investment in our shares of common stock. This summary does not purport to be a complete description of the income tax considerations applicable to such an investment. For example, we have not described tax consequences that may be relevant to certain types of holders subject to special treatment under U.S. federal income tax laws, including stockholders subject to the alternative minimum tax, tax-exempt organizations, insurance companies, dealers in securities, a trader in securities that elects to use a market-to-market method of accounting for its securities holdings,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01"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This summary does not discuss the consequences of an investment in shares of our preferred stock, subscription rights to purchase shares of our common stock or debt securities. The U.S. federal income tax consequences of such an investment will be discussed in a relevant prospectus supplement.</w:t>
      </w:r>
    </w:p>
    <w:p>
      <w:pPr>
        <w:spacing w:after="0" w:line="7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 “U.S. stockholder” generally is a beneficial owner of shares of our common stock who is for</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U.S. federal income tax purposes:</w:t>
      </w:r>
    </w:p>
    <w:p>
      <w:pPr>
        <w:spacing w:after="0" w:line="110" w:lineRule="exact"/>
        <w:rPr>
          <w:sz w:val="20"/>
          <w:szCs w:val="20"/>
          <w:color w:val="auto"/>
        </w:rPr>
      </w:pPr>
    </w:p>
    <w:p>
      <w:pPr>
        <w:ind w:left="2000" w:hanging="332"/>
        <w:spacing w:after="0"/>
        <w:tabs>
          <w:tab w:leader="none" w:pos="20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citizen or individual resident of the United States;</w:t>
      </w:r>
    </w:p>
    <w:p>
      <w:pPr>
        <w:spacing w:after="0" w:line="124" w:lineRule="exact"/>
        <w:rPr>
          <w:rFonts w:ascii="Times New Roman" w:cs="Times New Roman" w:eastAsia="Times New Roman" w:hAnsi="Times New Roman"/>
          <w:sz w:val="14"/>
          <w:szCs w:val="14"/>
          <w:color w:val="auto"/>
        </w:rPr>
      </w:pPr>
    </w:p>
    <w:p>
      <w:pPr>
        <w:jc w:val="both"/>
        <w:ind w:left="2000" w:right="1339" w:hanging="332"/>
        <w:spacing w:after="0" w:line="286" w:lineRule="auto"/>
        <w:tabs>
          <w:tab w:leader="none" w:pos="1996"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treated as a corporation, for U.S. federal income tax purposes, created or organized in or under the laws of the United States, any state thereof, or the District of Columbia;</w:t>
      </w:r>
    </w:p>
    <w:p>
      <w:pPr>
        <w:spacing w:after="0" w:line="60"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a court within the United States is asked to exercise primary supervision over the administration of the trust and one or more United States persons have the authority to control all substantive decisions of the trust (or a trust that has made a valid election to be treated as a U.S. trust); or</w:t>
      </w:r>
    </w:p>
    <w:p>
      <w:pPr>
        <w:spacing w:after="0" w:line="87"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w:t>
      </w:r>
    </w:p>
    <w:p>
      <w:pPr>
        <w:spacing w:after="0" w:line="125"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A “Non-U.S. stockholder” generally is a beneficial owner of shares of our common stock who is not a U.S. stockholder.</w:t>
      </w:r>
    </w:p>
    <w:p>
      <w:pPr>
        <w:spacing w:after="0" w:line="61"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his, her or its tax advisers with respect to the purchase, ownership and disposition of shares of our common stock.</w:t>
      </w:r>
    </w:p>
    <w:p>
      <w:pPr>
        <w:spacing w:after="0" w:line="91"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Tax matters are complicated and the tax consequences to an investor of an investment in our shares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Election to be Taxed as a RIC</w:t>
      </w:r>
    </w:p>
    <w:p>
      <w:pPr>
        <w:spacing w:after="0" w:line="127"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We have elected to be treated, and intend to continue to qualify, as a RIC under Subchapter M of the Code. As a RIC, we generally will not have to pay corporate-level U.S. federal income taxes on any income that we distribute to our stockholders as dividends. To qualify as a RIC, we must, among other things, meet certain source-of-income and asset diversification requirements (as described below). In addition, in order to be eligible for pass-through tax treatment as a RIC, we must timely distribute to our stockholders, for each taxable year, at least 90% of our “investment company taxable income,” which is generally our net ordinary income plus the excess of realized net short-term capital gains over realized net long-term capital losses, or the “Annual Distribution Requirement.”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29" w:name="page130"/>
    <w:bookmarkEnd w:id="129"/>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Taxation as a Regulated Investment Company</w:t>
      </w:r>
    </w:p>
    <w:p>
      <w:pPr>
        <w:spacing w:after="0" w:line="1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If we:</w:t>
      </w:r>
    </w:p>
    <w:p>
      <w:pPr>
        <w:spacing w:after="0" w:line="125" w:lineRule="exact"/>
        <w:rPr>
          <w:sz w:val="20"/>
          <w:szCs w:val="20"/>
          <w:color w:val="auto"/>
        </w:rPr>
      </w:pPr>
    </w:p>
    <w:p>
      <w:pPr>
        <w:ind w:left="2000" w:hanging="332"/>
        <w:spacing w:after="0"/>
        <w:tabs>
          <w:tab w:leader="none" w:pos="20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 as a RIC; and</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satisfy the Annual Distribution Requirement,</w:t>
      </w:r>
    </w:p>
    <w:p>
      <w:pPr>
        <w:spacing w:after="0" w:line="114"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then we will not be subject to U.S. federal income tax on the portion of our income we timely distribute (or are deemed to distribute) to stockholders. We will be subject to U.S. federal income tax at the regular corporate rates on any income or capital gains not distributed (or deemed distributed) to our stockholders.</w:t>
      </w:r>
    </w:p>
    <w:p>
      <w:pPr>
        <w:spacing w:after="0" w:line="83"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We will be subject to a 4% nondeductible U.S.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income and net capital gain that we recognized in preceding years but were not distributed in such years, or the “Excise Tax Avoidance Requirement.” We generally will endeavor in each year to make sufficient distributions to our stockholders to avoid any U.S. federal excise tax on our earnings.</w:t>
      </w:r>
    </w:p>
    <w:p>
      <w:pPr>
        <w:spacing w:after="0" w:line="9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 order to qualify as a RIC for U.S. federal income tax purposes, we must, among other things:</w:t>
      </w:r>
    </w:p>
    <w:p>
      <w:pPr>
        <w:spacing w:after="0" w:line="104" w:lineRule="exact"/>
        <w:rPr>
          <w:sz w:val="20"/>
          <w:szCs w:val="20"/>
          <w:color w:val="auto"/>
        </w:rPr>
      </w:pPr>
    </w:p>
    <w:p>
      <w:pPr>
        <w:jc w:val="both"/>
        <w:ind w:left="2000" w:right="1339" w:hanging="332"/>
        <w:spacing w:after="0" w:line="263" w:lineRule="auto"/>
        <w:tabs>
          <w:tab w:leader="none" w:pos="1996"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 in each taxable year at least 90% of our gross income from dividends, interest, payments with respect to loans of certain securities, gains from the sale of stock or other securities, net income from certain “qualified publicly traded partnerships,” or other income derived with respect to our business of investing in such stock or securities, or the “90% Income Test”; and</w:t>
      </w:r>
    </w:p>
    <w:p>
      <w:pPr>
        <w:spacing w:after="0" w:line="66"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diversify our holdings so that at the end of each quarter of the taxable year:</w:t>
      </w:r>
    </w:p>
    <w:p>
      <w:pPr>
        <w:spacing w:after="0" w:line="114" w:lineRule="exact"/>
        <w:rPr>
          <w:rFonts w:ascii="Times New Roman" w:cs="Times New Roman" w:eastAsia="Times New Roman" w:hAnsi="Times New Roman"/>
          <w:sz w:val="14"/>
          <w:szCs w:val="14"/>
          <w:color w:val="auto"/>
        </w:rPr>
      </w:pPr>
    </w:p>
    <w:p>
      <w:pPr>
        <w:jc w:val="both"/>
        <w:ind w:left="2340" w:right="1339" w:hanging="333"/>
        <w:spacing w:after="0" w:line="263" w:lineRule="auto"/>
        <w:tabs>
          <w:tab w:leader="none" w:pos="2336"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50% of the value of our assets consists of cash, cash equivalents, U.S. Government securities, securities of other RICs, and other securities if such other securities of any one issuer do not represent more than 5% of the value of our assets nor more than 10% of the outstanding voting securities of the issuer; and</w:t>
      </w:r>
    </w:p>
    <w:p>
      <w:pPr>
        <w:spacing w:after="0" w:line="66" w:lineRule="exact"/>
        <w:rPr>
          <w:rFonts w:ascii="Times New Roman" w:cs="Times New Roman" w:eastAsia="Times New Roman" w:hAnsi="Times New Roman"/>
          <w:sz w:val="14"/>
          <w:szCs w:val="14"/>
          <w:color w:val="auto"/>
        </w:rPr>
      </w:pPr>
    </w:p>
    <w:p>
      <w:pPr>
        <w:jc w:val="both"/>
        <w:ind w:left="2340" w:right="1339" w:hanging="333"/>
        <w:spacing w:after="0" w:line="260" w:lineRule="auto"/>
        <w:tabs>
          <w:tab w:leader="none" w:pos="2336"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or the “Diversification Tests.”</w:t>
      </w:r>
    </w:p>
    <w:p>
      <w:pPr>
        <w:spacing w:after="0" w:line="70"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PIK interest (which represents contractual interest added to the loan balance and due at the end of the loan term)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and the Excise Tax Avoidance Requirement, even though we will not have received any corresponding cash amount. Under certain circumstances, we also may be required to take into account income for tax purposes no later than when such income is taken into account for accounting purposes.</w:t>
      </w:r>
    </w:p>
    <w:p>
      <w:pPr>
        <w:spacing w:after="0" w:line="91"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 as a Registered Closed-End Management Investment Company —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30" w:name="page131"/>
    <w:bookmarkEnd w:id="130"/>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(vii) accelerate the timing of when we recognize income; and (viii) produce income that will not be qualifying income for purposes of the 90% gross income test described above. We will monitor its transactions and may make certain tax elections in order to mitigate the potential adverse effect of these provisions.</w:t>
      </w:r>
    </w:p>
    <w:p>
      <w:pPr>
        <w:spacing w:after="0" w:line="92"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Our investment in foreign securities may be subject to non-U.S. withholding taxes. In that case, our yield on those securities would be decreased. Stockholders will generally not be entitled to claim a credit or deduction with respect to non-U.S. taxes paid by us.</w:t>
      </w:r>
    </w:p>
    <w:p>
      <w:pPr>
        <w:spacing w:after="0" w:line="83"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We anticipate that the CLO vehicles in which we invest may constitute PFICs. Because we acquire shares in PFICs (including equity tranche investments in CLO vehicles that are PFICs), we may be subject to U.S. federal income tax on a portion of any “excess distribution” or gain from the disposition of such shares even if such income is distributed as a taxable dividend by us to our stockholders. Additional charges in the nature of interest may be imposed on us in respect of deferred taxes arising from any such excess distributions or gains. If we invest in a PFIC and elect to treat the PFIC as a “qualified electing fund” under the Code, or “QEF,” in lieu of the foregoing requirements, we will be required to include in income each year our proportionate share of the ordinary earnings and net capital gain of the QEF, even if such income is not distributed to us. Alternatively, we can elect to mark-to-market at the end of each taxable year our shares in a PFIC; in this case, we will recognize as ordinary income any increase in the value of such shares, and as ordinary loss any decrease in such value to the extent it does not exceed prior increases included in our income. Under either election, we may be required to recognize in a year income in excess of our distributions from PFICs and our proceeds from dispositions of PFIC stock during that year, and we must distribute such income to satisfy the Annual Distribution Requirement and the Excise Tax Avoidance Requirement.</w:t>
      </w:r>
    </w:p>
    <w:p>
      <w:pPr>
        <w:spacing w:after="0" w:line="91"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If we hold more than 10% of the shares in a foreign corporation that is treated as a controlled foreign corporation, or “CFC,” (including equity tranche investments in a CLO vehicle treated as CFC) we may be treated as receiving a deemed distribution (taxable as ordinary income) each year from such foreign corporation in an amount equal to our pro rata share of the corporation’s income for the tax year (including both ordinary earnings and capital gains), whether or not the corporation makes an actual distribution during such year. This deemed distribution is required to be included in the income of a U.S. Shareholder of a CFC regardless of whether the shareholder has made a QEF election with respect to such CFC. In general, a foreign corporation will be classified as a CFC if more than 50% of the shares of the corporation, measured by reference to combined voting power or value, is owned (directly, indirectly or by attribution) by U.S. Shareholders. A “U.S. Shareholder,” for this purpose, is any U.S. person that possesses (actually or constructively) 10% or more of the combined voting power of all classes of shares entitled to vote of a foreign corporation or 10% or more of the total value of all classes of stock of a foreign corporation. If we are treated as receiving a deemed distribution from a CFC, we will be required to include such distribution in our investment company taxable income regardless of whether we receive any actual distributions from such CFC, and we must timely distribute such income to satisfy the Annual Distribution Requirement and the Excise Tax Avoidance Requirement.</w:t>
      </w:r>
    </w:p>
    <w:p>
      <w:pPr>
        <w:spacing w:after="0" w:line="100"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Income inclusions from a QEF or a CFC will be “good income” for purposes of the 90% Income Test provided that they are derived in connection with our business of investing in stocks and securities or the QEF or the CFC distribute such income to us in the same taxable year in which the income is included in our income.</w:t>
      </w:r>
    </w:p>
    <w:p>
      <w:pPr>
        <w:spacing w:after="0" w:line="83"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FATCA generally imposes a withholding tax of 30% on payments of U.S. source interest and dividends paid to certain non-U.S. entities, including certain non-U.S. financial institutions and investment funds, unless such non-U.S. entity complies with certain reporting requirements regarding its United States account holders and its United States owners. While existing U.S. Treasury regulations would also require withholding on payments of the gross proceeds from the sale of any property that could produce U.S. source interest or dividends, the U.S. Treasury Department has indicated in subsequent proposed regulations its intent to eliminate this requirement. Most CLO vehicles in which we invest will be treated as non-U.S. financial entities for this purpose, and therefore will be required to comply with these reporting requirements to avoid the 30% withholding. If a CLO vehicle in which we invest fails to properly comply with these reporting requirements, it could reduce the amounts available to distribute to equity and junior debt holders in such CLO vehicle, which could materially and adversely affect our operating results and cash flows.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31" w:name="page132"/>
    <w:bookmarkEnd w:id="131"/>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Under Section 988 of the Code, gains or losses attributable to fluctuations in exchange rates between the time we accrue income, expenses or other liabilities denominated in a foreign currency and the time we actually collect such income or pay such expenses or liabilities are generally treated as ordinary income or loss. Similarly, gains or losses on foreign currency forward contracts and the disposition of debt obligations denominated in a foreign currency, to the extent attributable to fluctuations in exchange rates between the acquisition and disposition dates, are also treated as ordinary income or loss.</w:t>
      </w:r>
    </w:p>
    <w:p>
      <w:pPr>
        <w:spacing w:after="0" w:line="90"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tax basis in the stock purchased under the warrant will equal the sum of the amount paid for the warrant plus the strike price paid on the exercise of the warrant.</w:t>
      </w:r>
    </w:p>
    <w:p>
      <w:pPr>
        <w:spacing w:after="0" w:line="91"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A RIC is limited in its ability to deduct expenses in excess of its investment company taxable income. If our deductible expenses in a given taxable year exceed our investment company taxable income, we may incur a net operating loss for that taxable year. However, a RIC is not permitted to carry forward net operating losses to subsequent taxable years and such net operating losses do not pass through to its stockholders. In addition, deductible expenses can be used only to offset investment company taxable income, not net capital gain. A RIC may not use any net capital losses (that is, the excess of realized capital losses over realized capital gains) to offset its investment company taxable income, but may carry forward such net capital losses, and use them to offset future capital gains, indefinitely. Due to these limits on deductibility of expenses and net capital losses, we may for tax purposes have aggregate taxable income for a taxable year that we are required to distribute and that is taxable to stockholders even if such taxable income is greater than the net income we actually earn during such taxable year. Any underwriting fees paid by us are not deductible.</w:t>
      </w:r>
    </w:p>
    <w:p>
      <w:pPr>
        <w:spacing w:after="0" w:line="86"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The remainder of this discussion assumes that we qualify as a RIC and have satisfied the Annual Distribution Requirement and quarterly Diversification Tests.</w:t>
      </w:r>
    </w:p>
    <w:p>
      <w:pPr>
        <w:spacing w:after="0" w:line="1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Taxation of U.S. Stockholders</w:t>
      </w:r>
    </w:p>
    <w:p>
      <w:pPr>
        <w:spacing w:after="0" w:line="127"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Distributions by us generally are taxable to U.S. stockholders as ordinary income or capital gains. Distributions of our “investment company taxable income” (which is, generally, our net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U.S. stockholders (including individuals) are attributable to dividends from U.S. corporations and certain qualified foreign corporations, such distributions, or “Qualifying Dividends” may be eligible for a maximum tax rate of 20% (provided that certain requirements, including a holding period requirement, are satisfied). In this regard, it is anticipated that distributions paid by us will generally not be attributable to dividends and, therefore, generally will not qualify for the 20% maximum rate applicable to Qualifying Dividends. Distributions of our net capital gains (which are generally our realized net long-term capital gains in excess of realized net short-term capital losses) and properly reported by us as “capital gain dividends” will be taxable to a U.S. stockholder as long-term capital gains that are currently taxable at a maximum rate of 20%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U.S. stockholder’s common stock and, after the adjusted basis is reduced to zero, will constitute capital gains to such U.S. stockholder.</w:t>
      </w:r>
    </w:p>
    <w:p>
      <w:pPr>
        <w:spacing w:after="0" w:line="267"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Certain distributions reported by us as Section 163(j) interest dividends may be eligible to be treated as interest income by U.S. stockholders for purposes of the tax rules applicable to interest expense limitations under Section 163(j) of the Code. Such treatment by the U.S. stockholder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32" w:name="page133"/>
    <w:bookmarkEnd w:id="132"/>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Under the dividend reinvestment plan, our U.S. stockholders who have not “opted out” of our dividend reinvestment plan will have their cash distributions automatically reinvested in additional shares of our common stock, rather than receiving the cash distributions. Any distributions reinvested under the plan will nevertheless remain taxable to U.S. stockholders. A U.S. stockholder will have an adjusted basis in the additional common shares purchased through the plan equal to the amount of the reinvested distribution. The additional shares will have a new holding period commencing on the day following the day on which the shares are credited to the U.S. stockholder’s account.</w:t>
      </w:r>
    </w:p>
    <w:p>
      <w:pPr>
        <w:spacing w:after="0" w:line="90" w:lineRule="exact"/>
        <w:rPr>
          <w:sz w:val="20"/>
          <w:szCs w:val="20"/>
          <w:color w:val="auto"/>
        </w:rPr>
      </w:pPr>
    </w:p>
    <w:p>
      <w:pPr>
        <w:jc w:val="both"/>
        <w:ind w:left="1320" w:right="1339" w:firstLine="339"/>
        <w:spacing w:after="0" w:line="253" w:lineRule="auto"/>
        <w:rPr>
          <w:sz w:val="20"/>
          <w:szCs w:val="20"/>
          <w:color w:val="auto"/>
        </w:rPr>
      </w:pPr>
      <w:r>
        <w:rPr>
          <w:rFonts w:ascii="Times New Roman" w:cs="Times New Roman" w:eastAsia="Times New Roman" w:hAnsi="Times New Roman"/>
          <w:sz w:val="14"/>
          <w:szCs w:val="14"/>
          <w:color w:val="auto"/>
        </w:rPr>
        <w:t>We may distribute taxable distributions that are payable in cash or shares of our common stock at the election of each stockholder. Under certain applicable IRS guidance, distributions by publicly offered RICs that are payable in cash or in shares of stock at the election of stockholders are treated as taxable distributions. The IRS has published a revenue procedure indicating that this rule will apply even where the total amount of cash to be distributed is not less than 20% of the total distribution. Under this revenue procedure, if too many stockholders elect to receive their distributions in cash, the cash available for distribution must be allocated among the stockholders electing to receive cash (with the balance of the distribution paid in stock). In no event will any stockholder electing to receive cash, receive less than the lesser of (a) the portion of the distribution such stockholder has elected to receive in cash or (b) an amount equal to his, her or its entire distribution times the percentage limitation on cash available for distribution. If we decide to make any distributions consistent with this revenue procedure that are payable in part in our stock, taxable stockholders receiving such distributions will be required to include the full amount of the distribution (whether received in cash, our stock, or a combination thereof) as ordinary income (or as long-term capital gain to the extent such distribution is properly reported as a capital gain distribution) to the extent of our current and accumulated earnings and profits for U.S. federal income tax purposes. As a result, a U.S. stockholder may be required to pay tax with respect to such distributions in excess of any cash received. If a U.S. stockholder sells the stock it receives as a distribution in order to pay this tax, the sales proceeds may be less than the amount included in income with respect to the distribution, depending on the market price of our stock at the time of the sale. Furthermore, with respect to non-U.S. stockholders, we may be required to withhold U.S. tax with respect to such distributions, including in respect of all or a portion of such distribution that is payable in stock. In addition, if a significant number of our stockholders determine to sell shares of our stock in order to pay taxes owed on distributions, it may put downward pressure on the trading price of our stock.</w:t>
      </w:r>
    </w:p>
    <w:p>
      <w:pPr>
        <w:spacing w:after="0" w:line="107"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We may retain some or all of our realized net long-term capital gains in excess of realized net short-term capital losses, but designate the retained net capital gain as a “deemed distribution.” In that case, among other consequences, we will pay U.S. federal income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Because we expect to pay tax on any retained capital gains at our regular corporate tax rate, and because that rate is in excess of the maximum rate currently payable by individuals on long-term capital gains, the amount of tax that individual U.S. stockholders will be treated as having paid will exceed the tax they owe on the capital gain distribution and such excess generally may be refunded or claimed as a credit against the U.S. stockholder’s other U.S. federal income tax obligations. The amount of the deemed distribution net of the tax paid by us on the retained capital gains will be added to the U.S. stockholder’s cost basis for his, her or its common stock. In order to utilize the deemed distribution approach, we must provide written notice to our U.S. stockholders prior to the expiration of 60 days after the close of the relevant taxable year. We cannot treat any of our investment company taxable income as a “deemed distribution.”</w:t>
      </w:r>
    </w:p>
    <w:p>
      <w:pPr>
        <w:spacing w:after="0" w:line="260"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U.S. stockholders of record on a specified date in such a month and actually paid during January of the following year, will be treated as if it had been received by our U.S. stockholders on December 31 of the year in which the dividend was declared.</w:t>
      </w:r>
    </w:p>
    <w:p>
      <w:pPr>
        <w:spacing w:after="0" w:line="92"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33" w:name="page134"/>
    <w:bookmarkEnd w:id="133"/>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The IRS currently requires that a RIC that has two or more classes of stock allocate to each such class proportionate amounts of each type of its income (such as ordinary income and capital gains) based upon the percentage of total dividends paid to each class for the tax year. We will allocate capital gain dividends, if any, between shares of our common stock and shares of our preferred stock in proportion to the total dividends paid to each class with respect to such tax year.</w:t>
      </w:r>
    </w:p>
    <w:p>
      <w:pPr>
        <w:spacing w:after="0" w:line="91"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A U.S. stockholder generally will recognize taxable gain or loss if the U.S. stockholder sells or otherwise disposes of his, her or its shares of our common stock. The amount of gain or loss will be measured by the difference between such stockholder’s adjusted tax basis in the common stock sold and the amount of the proceeds received in exchange. Any gain arising from such sale or disposition generally will be treated as long-term capital gain or loss if the U.S.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distributions or otherwise) within 30 days before or after the disposition.</w:t>
      </w:r>
    </w:p>
    <w:p>
      <w:pPr>
        <w:spacing w:after="0" w:line="97"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The maximum rate on long-term capital gains for non-corporate taxpayers is 20%. Corporate U.S. stockholders currently are subject to U.S. federal income tax on net capital gain at the maximum 21% rate also applied to ordinary income. Non-corporate stockholders with net capital losses for a year (i.e., capital losses in excess of capital gains) generally may deduct up to $3,000 of such losses against their ordinary income each year; any net capital losses of a non-corporate U.S. stockholder in excess of $3,000 generally may be carried forward and used in subsequent years as provided in the Code. Corporate stockholders generally may not deduct any net capital losses for a year, but may carry back such losses for three years or carry forward such losses for five years.</w:t>
      </w:r>
    </w:p>
    <w:p>
      <w:pPr>
        <w:spacing w:after="0" w:line="81"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Gain or loss, if any, recognized by a holder in connection with our redemption of Term Preferred Shares generally will be characterized as gain or loss from a sale or exchange of the Term Preferred Shares if the redemption (a) is “not essentially equivalent to a dividend” with respect to the holder, (b) results in a “complete termination” of holder’s ownership of our stock, or (c) is “substantially disproportionate” with respect to the holder, in each case, within the meaning of Section 302(b) of the Code. In determining whether any of these alternative tests has been met, stock considered to be owned by a holder of Term Preferred Shares by reason of certain constructive ownership rules under the Code and the related administrative guidance promulgated thereunder as well as judicial interpretations thereof, as well as stock actually owned by the holder, generally must be taken into account. The determination as to whether any of the alternative tests described above will be satisfied with respect to a holder of Term Preferred Shares depends upon the facts and circumstances at the time that the determination must be made. Even if a redemption of Term Preferred Shares is treated as a sale or exchange, a portion of the amount received by a holder on the redemption may be characterized as dividend income for federal income tax purposes to the extent such portion is attributable to declared but unpaid dividends. If a redemption of Term Preferred Shares from a holder is not treated as a sale or exchange for federal income tax purposes, the proceeds of such distribution generally will be characterized for federal income tax purposes as a dividend. Holder of Term Preferred Shares are advised to consult their tax advisors to determine their own tax treatment in the event of a redemption of such stock.</w:t>
      </w:r>
    </w:p>
    <w:p>
      <w:pPr>
        <w:spacing w:after="0" w:line="98"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An additional 3.8% Medicare tax is imposed on certain net investment income (including ordinary dividends and capital gain distributions received from us and net gains from redemptions or other taxable dispositions of shares) of U.S. individuals, estates and trusts to the extent that such person’s “modified adjusted gross income” (in the case of an individual) or “adjusted gross income” (in the case of an estate or trust) exceeds certain threshold amounts. U.S. persons that are individuals, estates or trusts are urged to consult their tax advisors regarding the applicability of this tax to their income and gains in respect of their investment in our shares.</w:t>
      </w:r>
    </w:p>
    <w:p>
      <w:pPr>
        <w:spacing w:after="0" w:line="90"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Under U.S. Treasury regulations, if a stockholder recognizes losses with respect to shares of $2 million or more for a non-corporate stockholder or $10 million or more for a corporate stockholder, the stockholder must file with the IRS a disclosure statement on IRS Form 8886. Direct stockholders of portfolio securities are in many cases excepted from this reporting requirement, but under current guidance, stockholders of a RIC are not excepted. Future guidance may extend the current exception from this reporting requirement to stockholders of most or all RICs. The fact that a</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34" w:name="page135"/>
    <w:bookmarkEnd w:id="134"/>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69" w:lineRule="auto"/>
        <w:rPr>
          <w:sz w:val="20"/>
          <w:szCs w:val="20"/>
          <w:color w:val="auto"/>
        </w:rPr>
      </w:pPr>
      <w:r>
        <w:rPr>
          <w:rFonts w:ascii="Times New Roman" w:cs="Times New Roman" w:eastAsia="Times New Roman" w:hAnsi="Times New Roman"/>
          <w:sz w:val="14"/>
          <w:szCs w:val="14"/>
          <w:color w:val="auto"/>
        </w:rPr>
        <w:t>loss is reportable under these regulations does not affect the legal determination of whether the taxpayer’s treatment of the loss is proper. Stockholders should consult their tax advisors to determine the applicability of these regulations in light of their individual circumstances.</w:t>
      </w:r>
    </w:p>
    <w:p>
      <w:pPr>
        <w:spacing w:after="0" w:line="83"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We or the applicable withholding agent will report to each of our U.S. stockholders, as promptly as possible after the end of each calendar year, the amounts includible in such U.S. stockholder’s taxable income for such year as ordinary income and as long-term capital gain. In addition, the federal tax status of each year’s distributions generally will be reported to the IRS (including the amount of dividends, if any, eligible for the 20% maximum rate). Dividends paid by us generally will not be eligible for the dividends-received deduction or the preferential tax rate applicable to Qualifying Dividends because our income generally will not consist of dividends. Distributions may also be subject to additional state, local and foreign taxes depending on a U.S. stockholder’s particular situation.</w:t>
      </w:r>
    </w:p>
    <w:p>
      <w:pPr>
        <w:spacing w:after="0" w:line="92"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We or your financial intermediary are also generally required to report to each stockholder and to the IRS cost basis information for shares of our stock sold by or redeemed from the stockholder. Stockholders should consult their financial intermediaries and tax advisers with respect to reporting of cost basis and available elections for their accounts.</w:t>
      </w:r>
    </w:p>
    <w:p>
      <w:pPr>
        <w:spacing w:after="0" w:line="77"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We may be required to withhold U.S. federal income tax, or “backup withholding” from all distributions to any U.S. stockholder (other than a corporation, a financial institution, or a U.S. stockholder that otherwise qualifies for an exemption) (1) who fails to furnish us with a correct taxpayer identification number or a certificate that such U.S. stockholder is exempt from backup withholding or (2) with respect to whom the IRS notifies us that such U.S. stockholder has failed to properly report certain interest and dividend income to the IRS and to respond to notices to that effect. An individual’s taxpayer identification number is his or her social security number. Any amount withheld under backup withholding is allowed as a credit against the U.S. stockholder’s U.S. federal income tax liability, provided that proper information is provided to the IRS.</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Taxation of Non-U.S. Stockholders</w:t>
      </w:r>
    </w:p>
    <w:p>
      <w:pPr>
        <w:spacing w:after="0" w:line="127"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83"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Distributions of our “investment company taxable income” to Non-U.S. stockholders (including interest income and realized net short-term capital gains in excess of realized long-term capital losses, which generally would be free of withholding if paid to Non-U.S. stockholders directly) will be subject to withholding of federal tax at a 30% rate (or lower rate provided by an applicable treaty) to the extent of our current and accumulated earnings and profits unless an applicable exception applies. If the distributions are effectively connected with a U.S. trade or business of the Non-U.S. stockholder, we will not be required to withhold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w:t>
      </w:r>
    </w:p>
    <w:p>
      <w:pPr>
        <w:spacing w:after="0" w:line="81"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We or the applicable withholding agent generally are not required to withhold any amounts with respect to certain distributions of (i) U.S. source interest income, and (ii) net short term capital gains in excess of net long term capital losses, in each case to the extent we properly report such distributions as “interest-related dividends” or “short-term capital gain dividends” and certain other requirements were satisfied. We anticipate that a portion of our distributions will be eligible for this exemption from withholding; however, we cannot determine what portion of our distributions (if any) will be eligible for this exception until after the end of our taxable year. No certainty can be provided that any of our distributions will be reported as eligible for this exception.</w:t>
      </w:r>
    </w:p>
    <w:p>
      <w:pPr>
        <w:spacing w:after="0" w:line="264"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Actual or deemed distributions of our net capital gains to a stockholder that is a Non-U.S. stockholder, and gains realized by a Non-U.S. stockholder upon the sale or redemption of our common stock, will not be subject to U.S.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 or, in the case of an individual, the Non-U.S. stockholder was present in the United States for 183 days or more during the taxable year and certain other conditions are met.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35" w:name="page136"/>
    <w:bookmarkEnd w:id="135"/>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If we distribute our net capital gains in the form of deemed rather than actual distributions, a stockholder that is a Non-U.S. stockholder will be entitled to a U.S. federal income tax credit or tax refund equal to the stockholder’s allocable share of the corporate-level U.S. federal income tax we pay on the capital gains deemed to have been distributed; however,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263"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For a corporate Non-U.S. stockholder, distributions (both actual and deemed), and gains realized upon the sale or redemption of our common stock that are effectively connected to a U.S. trade or business may, under certain circumstances, be subject to an additional “branch profits tax” at a 30% rate (or at a lower rate if provided for by an applicable treaty).</w:t>
      </w:r>
    </w:p>
    <w:p>
      <w:pPr>
        <w:spacing w:after="0" w:line="88"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Under the dividend reinvestment plan, our stockholders who have not “opted out” of our dividend reinvestment plan will have their cash distributions automatically reinvested in additional shares of our common stock, rather than receiving the cash distributions. If the distribution is a distribution of our investment company taxable income, is not properly reported by us as a short-term capital gains dividend or interest-related dividend (assuming extension of the exemption discussed above), and is not effectively connected with a U.S. trade or business of the Non-U.S. stockholder (and, if a treaty applies, is not attributable to a permanent establishment), the amount distributed (to the extent of our current and accumulated earnings and profits) will be subject to U.S. federal withholding tax at a 30% rate (or lower rate provided by an applicable treaty) and only the net after-tax amount will be reinvested in common shares. If the distribution is effectively connected with a U.S. trade or business of the Non-U.S. stockholder (and no withholding applies because applicable certifications are provided by the Non-U.S. stockholder), generally the full amount of the distribution will be reinvested in the plan and will nevertheless be subject to U.S. federal income tax at the ordinary income rates applicable to U.S. persons. The Non-U.S. stockholder will have an adjusted basis in the additional common shares purchased through the plan equal to the amount reinvested. The additional shares will have a new holding period commencing on the day following the day on which the shares are credited to the Non-U.S. stockholder’s account.</w:t>
      </w:r>
    </w:p>
    <w:p>
      <w:pPr>
        <w:spacing w:after="0" w:line="259"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A Non-U.S. stockholder who is a non-resident alien individual, and who is otherwise subject to withholding of U.S. federal tax, may be subject to information reporting and backup withholding of U.S. federal income tax on dividends unless the Non-U.S. stockholder provides us or the dividend paying agent with an IRS Form W-8BEN or IRS Form W-8BEN-E or an acceptable substitute form or otherwise meets documentary evidence requirements for establishing that it is a Non-U.S. stockholder or otherwise establishes an exemption from backup withholding.</w:t>
      </w:r>
    </w:p>
    <w:p>
      <w:pPr>
        <w:spacing w:after="0" w:line="90"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Legislation commonly referred to as the “Foreign Account Tax Compliance Act,” or “FATCA,” generally imposes a 30% withholding tax on payments of certain types of income to foreign financial institutions, or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or “IGA” with the United States to collect and share such information and are in compliance with the terms of such IGA and any enabling legislation or regulations. The types of income subject to the tax include U.S. source interest and dividends. While existing U.S. Treasury regulations would also require withholding on payments of the gross proceeds from the sale of any property that could produce U.S. source interest or dividends, the U.S. Treasury Department has indicated in subsequent proposed regulations its intent to eliminate this requirement.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FFIs unless the foreign entity certifies that it does not have a greater than 10% U.S. owner or provides the withholding agent with identifying information on each greater than 10% U.S. owner. Depending on the status of a Non-U.S. stockholder and the status of the intermediaries through which they hold their shares, Non-U.S. stockholders could be subject to this 30% withholding tax with respect to distributions on their shares and potentially proceeds from the sale of their shares. Under certain circumstances, a Non-U.S. stockholder might be eligible for refunds or credits of such taxes.</w:t>
      </w:r>
    </w:p>
    <w:p>
      <w:pPr>
        <w:spacing w:after="0" w:line="96" w:lineRule="exact"/>
        <w:rPr>
          <w:sz w:val="20"/>
          <w:szCs w:val="20"/>
          <w:color w:val="auto"/>
        </w:rPr>
      </w:pPr>
    </w:p>
    <w:p>
      <w:pPr>
        <w:jc w:val="both"/>
        <w:ind w:left="1320" w:right="1359" w:firstLine="339"/>
        <w:spacing w:after="0" w:line="286" w:lineRule="auto"/>
        <w:rPr>
          <w:sz w:val="20"/>
          <w:szCs w:val="20"/>
          <w:color w:val="auto"/>
        </w:rPr>
      </w:pPr>
      <w:r>
        <w:rPr>
          <w:rFonts w:ascii="Times New Roman" w:cs="Times New Roman" w:eastAsia="Times New Roman" w:hAnsi="Times New Roman"/>
          <w:sz w:val="14"/>
          <w:szCs w:val="14"/>
          <w:color w:val="auto"/>
        </w:rPr>
        <w:t>Non-U.S. persons should consult their own tax advisers with respect to the U.S. federal income tax and withholding tax, and state, local and foreign tax consequences of an investment in the shares.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36" w:name="page137"/>
    <w:bookmarkEnd w:id="136"/>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Failure to Qualify as a Regulated Investment Company</w:t>
      </w:r>
    </w:p>
    <w:p>
      <w:pPr>
        <w:spacing w:after="0" w:line="116"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If we were unable to qualify for treatment as a RIC, we would be subject to tax on all of our taxable income at regular corporate rates, regardless of whether we make any distributions to our stockholders. Distributions would not be required, and any distributions would be taxable to our stockholders as ordinary dividend income, and provided that certain holding periods and other requirements are met, could be eligible for the 20% maximum rate to the extent of our current and accumulated earnings and profits. Subject to certain limitations under the Code, corporate distributes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it during the period in which it failed to qualify as a RIC that are recognized within the subsequent 5 years, unless we made a special election to pay corporate-level U.S. federal income tax on such built-in gain at the time of its requalification as a RIC.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37" w:name="page138"/>
    <w:bookmarkEnd w:id="137"/>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16"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This prospectus contains a summary of the common stock, preferred stock, subscription rights to purchase shares of common stock and debt securities. These summaries are not meant to be a complete description of each security. However, this prospectus and any accompanying prospectus supplement will contain the material terms and conditions for each security.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38" w:name="page139"/>
    <w:bookmarkEnd w:id="138"/>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16"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Stock</w:t>
      </w:r>
    </w:p>
    <w:p>
      <w:pPr>
        <w:spacing w:after="0" w:line="127"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The authorized stock of Oxford Lane Capital consists of 950,000,000 shares of stock, par value $0.01 per share, 900,000,000 of which are currently designated as common stock and 50,000,000 of which are currently designated as preferred stock. Our common stock, Series 2027 Term Preferred Shares, 6.00% Series 2029 Term Preferred Shares and 7.125% Series 2029 Term Preferred Shares are traded on the NASDAQ Global Select Market under the ticker symbols “OXLC,” “OXLCP,” “OXLCO” and “OXLCN” respectively.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9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following are our outstanding classes of securities as of November 5, 2024:</w:t>
      </w:r>
    </w:p>
    <w:p>
      <w:pPr>
        <w:spacing w:after="0" w:line="148" w:lineRule="exact"/>
        <w:rPr>
          <w:sz w:val="20"/>
          <w:szCs w:val="20"/>
          <w:color w:val="auto"/>
        </w:rPr>
      </w:pPr>
    </w:p>
    <w:tbl>
      <w:tblPr>
        <w:tblLayout w:type="fixed"/>
        <w:tblInd w:w="1320" w:type="dxa"/>
        <w:tblCellMar>
          <w:top w:w="0" w:type="dxa"/>
          <w:left w:w="0" w:type="dxa"/>
          <w:bottom w:w="0" w:type="dxa"/>
          <w:right w:w="0" w:type="dxa"/>
        </w:tblCellMar>
      </w:tblPr>
      <w:tr>
        <w:trPr>
          <w:trHeight w:val="159"/>
        </w:trPr>
        <w:tc>
          <w:tcPr>
            <w:tcW w:w="3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(4)</w:t>
            </w:r>
          </w:p>
        </w:tc>
      </w:tr>
      <w:tr>
        <w:trPr>
          <w:trHeight w:val="159"/>
        </w:trPr>
        <w:tc>
          <w:tcPr>
            <w:tcW w:w="3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Amount</w:t>
            </w:r>
          </w:p>
        </w:tc>
      </w:tr>
      <w:tr>
        <w:trPr>
          <w:trHeight w:val="159"/>
        </w:trPr>
        <w:tc>
          <w:tcPr>
            <w:tcW w:w="3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(3)</w:t>
            </w:r>
          </w:p>
        </w:tc>
        <w:tc>
          <w:tcPr>
            <w:tcW w:w="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r>
      <w:tr>
        <w:trPr>
          <w:trHeight w:val="159"/>
        </w:trPr>
        <w:tc>
          <w:tcPr>
            <w:tcW w:w="3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8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Amount Held</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Exclusive of</w:t>
            </w:r>
          </w:p>
        </w:tc>
      </w:tr>
      <w:tr>
        <w:trPr>
          <w:trHeight w:val="159"/>
        </w:trPr>
        <w:tc>
          <w:tcPr>
            <w:tcW w:w="3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by Us or for</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Amounts</w:t>
            </w:r>
          </w:p>
        </w:tc>
      </w:tr>
      <w:tr>
        <w:trPr>
          <w:trHeight w:val="167"/>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Title of Class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Authorized</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Our Account</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Shown Under (3)</w:t>
            </w:r>
          </w:p>
        </w:tc>
      </w:tr>
      <w:tr>
        <w:trPr>
          <w:trHeight w:val="36"/>
        </w:trPr>
        <w:tc>
          <w:tcPr>
            <w:tcW w:w="3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2"/>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900,000,000</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345,906,253</w:t>
            </w:r>
          </w:p>
        </w:tc>
      </w:t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Preferred Stock</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50,000,000</w:t>
            </w:r>
          </w:p>
        </w:tc>
        <w:tc>
          <w:tcPr>
            <w:tcW w:w="9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8,761,706</w:t>
            </w:r>
          </w:p>
        </w:tc>
      </w:tr>
    </w:tbl>
    <w:p>
      <w:pPr>
        <w:spacing w:after="0" w:line="155"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Under our Charter our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4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27"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All shares of our common stock have equal rights as to earnings, assets, voting, and dividends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127"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Our Charter authorizes our Board of Directors to classify and reclassify any unissued shares of stock into other classes or series of stock, including preferred stock. The cost of any such reclassification would be borne by our existing common stockholders.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39" w:name="page140"/>
    <w:bookmarkEnd w:id="139"/>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56" w:lineRule="auto"/>
        <w:rPr>
          <w:sz w:val="20"/>
          <w:szCs w:val="20"/>
          <w:color w:val="auto"/>
        </w:rPr>
      </w:pPr>
      <w:r>
        <w:rPr>
          <w:rFonts w:ascii="Times New Roman" w:cs="Times New Roman" w:eastAsia="Times New Roman" w:hAnsi="Times New Roman"/>
          <w:sz w:val="14"/>
          <w:szCs w:val="14"/>
          <w:color w:val="auto"/>
        </w:rPr>
        <w:t>any issuance of preferred stock must comply with the requirements of the 1940 Act. The 1940 Act requires, among other things, that (1) immediately after issuance and before any dividend or other distribution is made with respect to our common stock and before any purchase of common stock is made, such preferred stock together with all other senior securities must not exceed an amount equal to 50% of our gross assets after deducting the amount of such dividend, distribution or purchase price, as the case may be, and (2) the holders of shares of preferred stock, if any are issued, must be entitled as a class to elect two directors at all times and to elect a majority of the directors if dividends on such preferred stock are in arrears by two full years or more. Certain matters under the 1940 Act require the separate vote of the holders of any issued and outstanding preferred stock. We believe that the availability for issuance of preferred stock will provide us with increased flexibility in structuring future financings and acquisitions.</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Limitation on Liability of Directors and Officers; Indemnification and Advance of Expenses</w:t>
      </w:r>
    </w:p>
    <w:p>
      <w:pPr>
        <w:spacing w:after="0" w:line="127"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90"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85"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40" w:name="page141"/>
    <w:bookmarkEnd w:id="140"/>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Our insurance policy does not currently provide coverage for claims, liabilities and expenses that may arise out of activities that our present or former directors or officers have performed for another entity at our request. There is no assurance that such entities will in fact carry such insurance. However, we note that we do not expect to request our present or former directors or officers to serve another entity as a director, officer, partner or trustee unless we can obtain insurance providing coverage for such persons for any claims, liabilities or expenses that may arise out of their activities while serving in such capacities.</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Certain Provisions of the Maryland General Corporation Law and Our Charter and Bylaws</w:t>
      </w:r>
    </w:p>
    <w:p>
      <w:pPr>
        <w:spacing w:after="0" w:line="127"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4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127"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Our Board of Directors is divided into three classes of directors serving staggered three-year terms.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4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Election of Directors</w:t>
      </w:r>
    </w:p>
    <w:p>
      <w:pPr>
        <w:spacing w:after="0" w:line="116"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Our Charter and Bylaws provide that a plurality of the votes cast at a meeting of stockholders duly called and at which a quorum is present shall be sufficient to elect a director in an uncontested election. In a contested election, a majority of all votes entitled to be cast at a meeting of stockholders duly called and at which a quorum is present shall be sufficient to elect a director. Pursuant to our Charter our Board of Directors may amend the Bylaws to alter the vote required to elect directors.</w:t>
      </w:r>
    </w:p>
    <w:p>
      <w:pPr>
        <w:spacing w:after="0" w:line="14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Number of Directors; Vacancies; Removal</w:t>
      </w:r>
    </w:p>
    <w:p>
      <w:pPr>
        <w:spacing w:after="0" w:line="127"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nine. Our Charter provides that, at such time as we have at least three independent directors and our common stock is registered under the Securities Exchange Act of 1934, as amended, we elect to be subject to the provision of Subtitle 8 of Title 3 of the Maryland General Corporation Law regarding the filling of vacancies on the Board of Directors. Accordingly, at such time,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95"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Our Charter provides that a director may be removed only for cause, as defined in our Charter, and then only by the affirmative vote of at least two-thirds of the votes entitled to be cast in the election of directors.</w:t>
      </w:r>
    </w:p>
    <w:p>
      <w:pPr>
        <w:spacing w:after="0" w:line="12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Action by Stockholders</w:t>
      </w:r>
    </w:p>
    <w:p>
      <w:pPr>
        <w:spacing w:after="0" w:line="116"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41" w:name="page142"/>
    <w:bookmarkEnd w:id="141"/>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Provisions for Stockholder Nominations and Stockholder Proposals</w:t>
      </w:r>
    </w:p>
    <w:p>
      <w:pPr>
        <w:spacing w:after="0" w:line="116"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95"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4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Calling of Special Meetings of Stockholders</w:t>
      </w:r>
    </w:p>
    <w:p>
      <w:pPr>
        <w:spacing w:after="0" w:line="127"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the holders of shares of our stock entitled to cast a majority of the votes entitled to be cast (without regard to class).</w:t>
      </w:r>
    </w:p>
    <w:p>
      <w:pPr>
        <w:spacing w:after="0" w:line="14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Approval of Extraordinary Corporate Action; Amendment of Charter and Bylaws</w:t>
      </w:r>
    </w:p>
    <w:p>
      <w:pPr>
        <w:spacing w:after="0" w:line="116"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In either event, in accordance with the requirements of the 1940 Act, any such amendment or proposal that would have the effect of changing the nature of our business so as to cause us to cease to be a registered management investment company would be required to be approved by a majority of our outstanding voting securities, as defined under the 1940 Act. The “continuing directors” are defined in our Charter as (1) our current directors, (2) those directors whose nomination for election by the stockholders or whose election by the directors to fill vacancies is approved by a majority of our current directors then on the Board of Directors or (3) any successor directors whose nomination for election by the stockholders or whose election by the directors to fill vacancies is approved by a majority of continuing directors or the successor continuing directors then in office.</w:t>
      </w:r>
    </w:p>
    <w:p>
      <w:pPr>
        <w:spacing w:after="0" w:line="93"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Our Charter and Bylaws provide that the Board of Directors will have the exclusive power to make, alter, amend or repeal any provision of our Bylaws.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42" w:name="page143"/>
    <w:bookmarkEnd w:id="142"/>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No Appraisal Rights</w:t>
      </w:r>
    </w:p>
    <w:p>
      <w:pPr>
        <w:spacing w:after="0" w:line="116"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Except with respect to appraisal rights arising in connection with the Control Share Act discussed below, as permitted by the Maryland General Corporation Law, our Charter provides that stockholders will not be entitled to exercise appraisal rights unless a majority of the Board of Directors shall determine such rights apply.</w:t>
      </w:r>
    </w:p>
    <w:p>
      <w:pPr>
        <w:spacing w:after="0" w:line="13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Control Share Acquisitions</w:t>
      </w:r>
    </w:p>
    <w:p>
      <w:pPr>
        <w:spacing w:after="0" w:line="127"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We have elected to be subject to the Control Share Act. In general, the Control Share Act limits the ability of holders of “control shares” to vote those shares above various threshold levels that start at 10% unless the other stockholders of the company reinstate those voting rights at a meeting of stockholders as provided in the Control Share Act. “Control shares” are generally defined in the Control Share Act as shares of stock that, if aggregated with all other shares of stock that are either (i) owned by a person or (ii) as to which that person is entitled to exercise or direct the exercise of voting power, except solely by virtue of a revocable proxy, would entitle that person to exercise voting power in electing directors above various thresholds of voting power starting at 10%. Our Bylaws provide that a stockholder who obtains voting rights of shares of common stock in a control share acquisition shall have no voting rights with respect to such shares to the extent provided in such provisions of the Control Share Act. Such authorization shall require the affirmative vote of the holders of two-thirds of our shares entitled to be cast on the matter, excluding interested shares. Our Bylaws also provide that the provisions of the Control Share Act shall not apply to the voting rights of (A) the holders of any shares of preferred stock (but only with respect to such preferred stock) and (B) any person acquiring shares of stock in a control share acquisition if, prior to the acquisition, the person obtains approval of the Board of Directs exempting the acquisition from the Control Share Act specifically, generally or generally by types, which exemption may include the person and the person’s affiliates or associates or other persons.</w:t>
      </w:r>
    </w:p>
    <w:p>
      <w:pPr>
        <w:spacing w:after="0" w:line="15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27"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or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79" w:lineRule="exact"/>
        <w:rPr>
          <w:sz w:val="20"/>
          <w:szCs w:val="20"/>
          <w:color w:val="auto"/>
        </w:rPr>
      </w:pPr>
    </w:p>
    <w:p>
      <w:pPr>
        <w:ind w:left="2000" w:right="1339" w:hanging="332"/>
        <w:spacing w:after="0" w:line="286" w:lineRule="auto"/>
        <w:tabs>
          <w:tab w:leader="none" w:pos="1996"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beneficially owns 10% or more of the voting power of the corporation’s outstanding voting stock; or</w:t>
      </w:r>
    </w:p>
    <w:p>
      <w:pPr>
        <w:spacing w:after="0" w:line="71"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83"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77"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83" w:lineRule="exact"/>
        <w:rPr>
          <w:sz w:val="20"/>
          <w:szCs w:val="20"/>
          <w:color w:val="auto"/>
        </w:rPr>
      </w:pPr>
    </w:p>
    <w:p>
      <w:pPr>
        <w:ind w:left="2000" w:right="1339" w:hanging="332"/>
        <w:spacing w:after="0" w:line="286" w:lineRule="auto"/>
        <w:tabs>
          <w:tab w:leader="none" w:pos="1996"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 of the votes entitled to be cast by holders of outstanding shares of voting stock of the corporation; and</w:t>
      </w:r>
    </w:p>
    <w:p>
      <w:pPr>
        <w:spacing w:after="0" w:line="71"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72"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43" w:name="page144"/>
    <w:bookmarkEnd w:id="143"/>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spacing w:after="0" w:line="14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i w:val="1"/>
          <w:iCs w:val="1"/>
          <w:color w:val="auto"/>
        </w:rPr>
        <w:t>Conflict with 1940 Act</w:t>
      </w:r>
    </w:p>
    <w:p>
      <w:pPr>
        <w:spacing w:after="0" w:line="127"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Our Bylaws provide that, if and to the extent that any provision of the Maryland General Corporation Law, including the Control Share Act and the Business Combination Act, or any provision of our Charter or Bylaws conflicts with any provision of the 1940 Act, the applicable provision of the 1940 Act will control.</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44" w:name="page145"/>
    <w:bookmarkEnd w:id="144"/>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OUR PREFERRED STOCK</w:t>
      </w:r>
    </w:p>
    <w:p>
      <w:pPr>
        <w:spacing w:after="0" w:line="116"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In addition to shares of common stock, our Charter authorizes the issuance of preferred stock. We currently have the Series 2027 Term Preferred Shares, 6.00% Series 2029 Term Preferred Shares and 7.125% Series 2029 Term Preferred Shares outstanding. If we offer additional preferred stock under this prospectus, we will issue an appropriate prospectus supplement. We may issue additional preferred stock from time to time in one or more classes or series, without stockholder approval. Prior to issuance of shares of each class or series, our Board of Directors is required by Maryland law and by our Charter to set the terms, preferences, conversion or other rights, voting powers, restrictions, limitations as to dividends or other distributions, qualifications and terms or conditions of redemption for each class or series. Any such an issuance must adhere to the requirements of the 1940 Act, Maryland law and any other limitations imposed by law.</w:t>
      </w:r>
    </w:p>
    <w:p>
      <w:pPr>
        <w:spacing w:after="0" w:line="95"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The 1940 Act currently requires, among other things, that (a) immediately after issuance and before any distribution is made with respect to common stock, the liquidation preference of the preferred stock, together with all other senior securities, must not exceed an amount equal to one-third of our total assets (taking into account such distribution), (b) the holders of shares of preferred stock, if any are issued, must be entitled as a class to elect two directors at all times and to elect a majority of the directors if dividends on the preferred stock are in arrears by two years or more and (c) such class of stock have complete priority over any other class of stock as to distribution of assets and payment of dividends, which dividends shall be cumulative.</w:t>
      </w:r>
    </w:p>
    <w:p>
      <w:pPr>
        <w:spacing w:after="0" w:line="90"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For any series of preferred stock that we may issue, our board of directors will determine and the articles supplementary and the prospectus supplement relating to such series will describe:</w:t>
      </w:r>
    </w:p>
    <w:p>
      <w:pPr>
        <w:spacing w:after="0" w:line="61" w:lineRule="exact"/>
        <w:rPr>
          <w:sz w:val="20"/>
          <w:szCs w:val="20"/>
          <w:color w:val="auto"/>
        </w:rPr>
      </w:pPr>
    </w:p>
    <w:p>
      <w:pPr>
        <w:ind w:left="2000" w:hanging="332"/>
        <w:spacing w:after="0"/>
        <w:tabs>
          <w:tab w:leader="none" w:pos="20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number of shares of such series;</w:t>
      </w:r>
    </w:p>
    <w:p>
      <w:pPr>
        <w:spacing w:after="0" w:line="124"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time at which, and the preferences and conditions under which, any dividends will be paid on shares of such series, as well as whether such dividends are participating or non-participating;</w:t>
      </w:r>
    </w:p>
    <w:p>
      <w:pPr>
        <w:spacing w:after="0" w:line="82"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convertibility or exchangeability of the shares of such series, including adjustments to the conversion price of such series;</w:t>
      </w:r>
    </w:p>
    <w:p>
      <w:pPr>
        <w:spacing w:after="0" w:line="60"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and preferences, if any, of holders of shares of such series upon our liquidation, dissolution or winding up of our affairs;</w:t>
      </w:r>
    </w:p>
    <w:p>
      <w:pPr>
        <w:spacing w:after="0" w:line="71"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powers, if any, of the holders of shares of such series;</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the redemption of the shares of such series;</w:t>
      </w:r>
    </w:p>
    <w:p>
      <w:pPr>
        <w:spacing w:after="0" w:line="11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our ability to pay dividends or make distributions on, or acquire or redeem, other securities while shares of such series are outstanding;</w:t>
      </w:r>
    </w:p>
    <w:p>
      <w:pPr>
        <w:spacing w:after="0" w:line="71"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conditions or restrictions on our ability to issue additional shares of such series or other securities;</w:t>
      </w:r>
    </w:p>
    <w:p>
      <w:pPr>
        <w:spacing w:after="0" w:line="71"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certain U.S. federal income tax considerations; and</w:t>
      </w:r>
    </w:p>
    <w:p>
      <w:pPr>
        <w:spacing w:after="0" w:line="114" w:lineRule="exact"/>
        <w:rPr>
          <w:rFonts w:ascii="Times New Roman" w:cs="Times New Roman" w:eastAsia="Times New Roman" w:hAnsi="Times New Roman"/>
          <w:sz w:val="14"/>
          <w:szCs w:val="14"/>
          <w:color w:val="auto"/>
        </w:rPr>
      </w:pPr>
    </w:p>
    <w:p>
      <w:pPr>
        <w:ind w:left="2000" w:right="1359" w:hanging="332"/>
        <w:spacing w:after="0" w:line="286" w:lineRule="auto"/>
        <w:tabs>
          <w:tab w:leader="none" w:pos="1996"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relative powers, preferences and participating, optional or special rights of shares of such series, and the qualifications, limitations or restrictions thereof.</w:t>
      </w:r>
    </w:p>
    <w:p>
      <w:pPr>
        <w:spacing w:after="0" w:line="71"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dividends, if any, thereon will be cumulative.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45" w:name="page146"/>
    <w:bookmarkEnd w:id="145"/>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OUR SUBSCRIPTION RIGHTS</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16"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In accordance with the 1940 Act, any transferable subscription rights offering will entitle our record date stockholders at the time of such offering one right for each share of common stock held, entitling the rights holder to purchase one new share of common stock for a minimum of every three rights held.</w:t>
      </w:r>
    </w:p>
    <w:p>
      <w:pPr>
        <w:spacing w:after="0" w:line="92"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The applicable prospectus supplement would describe the following terms of subscription rights in respect of which this prospectus is being delivered:</w:t>
      </w:r>
    </w:p>
    <w:p>
      <w:pPr>
        <w:spacing w:after="0" w:line="71" w:lineRule="exact"/>
        <w:rPr>
          <w:sz w:val="20"/>
          <w:szCs w:val="20"/>
          <w:color w:val="auto"/>
        </w:rPr>
      </w:pPr>
    </w:p>
    <w:p>
      <w:pPr>
        <w:jc w:val="both"/>
        <w:ind w:left="2000" w:right="1339" w:hanging="332"/>
        <w:spacing w:after="0" w:line="269" w:lineRule="auto"/>
        <w:tabs>
          <w:tab w:leader="none" w:pos="1996"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of time the offering would remain open (which shall be open a minimum number of days such that all record holders would be eligible to participate in the offering and shall not be open longer than 120 days);</w:t>
      </w:r>
    </w:p>
    <w:p>
      <w:pPr>
        <w:spacing w:after="0" w:line="72"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subscription rights;</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for such subscription rights (or method of calculation thereof);</w:t>
      </w:r>
    </w:p>
    <w:p>
      <w:pPr>
        <w:spacing w:after="0" w:line="12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the offering (which, in the case of transferable rights, will require a minimum of three shares to be held of record before a person is entitled to purchase an additional share);</w:t>
      </w:r>
    </w:p>
    <w:p>
      <w:pPr>
        <w:spacing w:after="0" w:line="60"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such subscription rights issued to each stockholder;</w:t>
      </w:r>
    </w:p>
    <w:p>
      <w:pPr>
        <w:spacing w:after="0" w:line="12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such subscription rights are transferable and the market on which they may be traded if they are transferable;</w:t>
      </w:r>
    </w:p>
    <w:p>
      <w:pPr>
        <w:spacing w:after="0" w:line="71"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certain U.S. federal income tax considerations applicable to the issuance or exercise of such subscription rights;</w:t>
      </w:r>
    </w:p>
    <w:p>
      <w:pPr>
        <w:spacing w:after="0" w:line="60" w:lineRule="exact"/>
        <w:rPr>
          <w:rFonts w:ascii="Times New Roman" w:cs="Times New Roman" w:eastAsia="Times New Roman" w:hAnsi="Times New Roman"/>
          <w:sz w:val="14"/>
          <w:szCs w:val="14"/>
          <w:color w:val="auto"/>
        </w:rPr>
      </w:pPr>
    </w:p>
    <w:p>
      <w:pPr>
        <w:ind w:left="2000" w:right="1359" w:hanging="332"/>
        <w:spacing w:after="0" w:line="286" w:lineRule="auto"/>
        <w:tabs>
          <w:tab w:leader="none" w:pos="1996"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subscription rights shall commence, and the date on which such right shall expire (subject to any extension);</w:t>
      </w:r>
    </w:p>
    <w:p>
      <w:pPr>
        <w:spacing w:after="0" w:line="71"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such subscription rights include an over-subscription privilege with respect to unsubscribed securities and the terms of such over-subscription privilege;</w:t>
      </w:r>
    </w:p>
    <w:p>
      <w:pPr>
        <w:spacing w:after="0" w:line="71"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termination right we may have in connection with such subscription rights offering; and</w:t>
      </w:r>
    </w:p>
    <w:p>
      <w:pPr>
        <w:spacing w:after="0" w:line="114" w:lineRule="exact"/>
        <w:rPr>
          <w:rFonts w:ascii="Times New Roman" w:cs="Times New Roman" w:eastAsia="Times New Roman" w:hAnsi="Times New Roman"/>
          <w:sz w:val="14"/>
          <w:szCs w:val="14"/>
          <w:color w:val="auto"/>
        </w:rPr>
      </w:pPr>
    </w:p>
    <w:p>
      <w:pPr>
        <w:ind w:left="2000" w:right="1359" w:hanging="332"/>
        <w:spacing w:after="0" w:line="286" w:lineRule="auto"/>
        <w:tabs>
          <w:tab w:leader="none" w:pos="1996"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subscription rights, including exercise, settlement and other procedures and limitations relating to the transfer and exercise of such subscription rights.</w:t>
      </w:r>
    </w:p>
    <w:p>
      <w:pPr>
        <w:spacing w:after="0" w:line="1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Exercise of Subscription Rights</w:t>
      </w:r>
    </w:p>
    <w:p>
      <w:pPr>
        <w:spacing w:after="0" w:line="127"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90"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46" w:name="page147"/>
    <w:bookmarkEnd w:id="146"/>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OUR DEBT SECURITIES</w:t>
      </w:r>
    </w:p>
    <w:p>
      <w:pPr>
        <w:spacing w:after="0" w:line="116"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91"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 with respect to our debt securities.</w:t>
      </w:r>
    </w:p>
    <w:p>
      <w:pPr>
        <w:spacing w:after="0" w:line="90"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This section includes a description of the material provisions of the indenture. Because this section is a summary, however, it does not describe every aspect of the debt securities and the indenture. We urge you to read the indenture because it, and not this description, defines your rights as a holder of debt securities. A copy of the indenture is filed as an exhibit to the registration statement of which this prospectus is a part. We will file a supplemental indenture with the SEC in connection with any debt offering, at which time the supplemental indenture would be publicly available. In connection with any debt offering, all of the material terms of the indenture and the supplemental indenture, as well as an explanation of your rights as a holder of debt securities, will be described in the prospectus supplement relating to such debt offering, which will include this prospectus together with the prospectus supplement accompanying this prospectus. See “Available Information” for information on how to obtain a copy of the indenture.</w:t>
      </w:r>
    </w:p>
    <w:p>
      <w:pPr>
        <w:spacing w:after="0" w:line="81"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The prospectus supplement, which will accompany this prospectus, will describe the particular series of debt securities being offered by including:</w:t>
      </w:r>
    </w:p>
    <w:p>
      <w:pPr>
        <w:spacing w:after="0" w:line="71" w:lineRule="exact"/>
        <w:rPr>
          <w:sz w:val="20"/>
          <w:szCs w:val="20"/>
          <w:color w:val="auto"/>
        </w:rPr>
      </w:pPr>
    </w:p>
    <w:p>
      <w:pPr>
        <w:ind w:left="2000" w:hanging="332"/>
        <w:spacing w:after="0"/>
        <w:tabs>
          <w:tab w:leader="none" w:pos="20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debt securities, including CUSIP numbers;</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principal amount of the series of debt securities;</w:t>
      </w:r>
    </w:p>
    <w:p>
      <w:pPr>
        <w:spacing w:after="0" w:line="11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the principal amount at which the series of debt securities will be offered;</w:t>
      </w:r>
    </w:p>
    <w:p>
      <w:pPr>
        <w:spacing w:after="0" w:line="124" w:lineRule="exact"/>
        <w:rPr>
          <w:rFonts w:ascii="Times New Roman" w:cs="Times New Roman" w:eastAsia="Times New Roman" w:hAnsi="Times New Roman"/>
          <w:sz w:val="14"/>
          <w:szCs w:val="14"/>
          <w:color w:val="auto"/>
        </w:rPr>
      </w:pPr>
    </w:p>
    <w:p>
      <w:pPr>
        <w:ind w:left="2000" w:right="1339" w:hanging="332"/>
        <w:spacing w:after="0" w:line="263" w:lineRule="auto"/>
        <w:tabs>
          <w:tab w:leader="none" w:pos="1996"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principal will be payable or the method of determining such date or dates;</w:t>
      </w:r>
    </w:p>
    <w:p>
      <w:pPr>
        <w:spacing w:after="0" w:line="278"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either fixed or variable) or the method of determining such rate or rates of interest, if any;</w:t>
      </w:r>
    </w:p>
    <w:p>
      <w:pPr>
        <w:spacing w:after="0" w:line="60"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any interest will accrue, or the method of determining such date or dates, and the date or dates on which any interest will be payable;</w:t>
      </w:r>
    </w:p>
    <w:p>
      <w:pPr>
        <w:spacing w:after="0" w:line="71"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if any, other than or in addition to the Borough of Manhattan in the City of New York, of payment, transfer, conversion and/or exchange of the debt securities;</w:t>
      </w:r>
    </w:p>
    <w:p>
      <w:pPr>
        <w:spacing w:after="0" w:line="71" w:lineRule="exact"/>
        <w:rPr>
          <w:rFonts w:ascii="Times New Roman" w:cs="Times New Roman" w:eastAsia="Times New Roman" w:hAnsi="Times New Roman"/>
          <w:sz w:val="14"/>
          <w:szCs w:val="14"/>
          <w:color w:val="auto"/>
        </w:rPr>
      </w:pPr>
    </w:p>
    <w:p>
      <w:pPr>
        <w:ind w:left="2000" w:right="1359" w:hanging="332"/>
        <w:spacing w:after="0" w:line="286" w:lineRule="auto"/>
        <w:tabs>
          <w:tab w:leader="none" w:pos="1996"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interest may be paid by issuing additional securities of the same series in lieu of cash (and the terms upon which any such interest may be paid by issuing additional securities);</w:t>
      </w:r>
    </w:p>
    <w:p>
      <w:pPr>
        <w:spacing w:after="0" w:line="60"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for redemption, extension or early repayment, if any;</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currencies in which the series of debt securities are issued and payable;</w:t>
      </w:r>
    </w:p>
    <w:p>
      <w:pPr>
        <w:spacing w:after="0" w:line="124"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77" w:lineRule="exact"/>
        <w:rPr>
          <w:rFonts w:ascii="Times New Roman" w:cs="Times New Roman" w:eastAsia="Times New Roman" w:hAnsi="Times New Roman"/>
          <w:sz w:val="14"/>
          <w:szCs w:val="14"/>
          <w:color w:val="auto"/>
        </w:rPr>
      </w:pPr>
    </w:p>
    <w:p>
      <w:pPr>
        <w:ind w:left="2000" w:right="1359" w:hanging="332"/>
        <w:spacing w:after="0" w:line="286" w:lineRule="auto"/>
        <w:tabs>
          <w:tab w:leader="none" w:pos="1996"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offered debt securities will be issued (if other than $1,000 and any integral multiple thereof);</w:t>
      </w:r>
    </w:p>
    <w:p>
      <w:pPr>
        <w:spacing w:after="0" w:line="71"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trustee, the identity of each security registrar and/or paying agent;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47" w:name="page148"/>
    <w:bookmarkEnd w:id="147"/>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2000" w:right="1339" w:hanging="332"/>
        <w:spacing w:after="0" w:line="263" w:lineRule="auto"/>
        <w:tabs>
          <w:tab w:leader="none" w:pos="199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 portion of the principal amount of the debt securities of a series that shall be payable upon declaration of acceleration of the maturity, upon redemption before stated maturity, upon surrender for repayment at the option of the debt security holder, or which the trustee shall be entitled to claim or the method by which such portion shall be determined;</w:t>
      </w:r>
    </w:p>
    <w:p>
      <w:pPr>
        <w:spacing w:after="0" w:line="87"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principal, premium or interest, if any, on a series of debt securities are to be payable, at the election of the Company or a debt security holder thereof, in one or more currencies other than that in which such debt securities are denominated or stated to be payable and the terms and provisions for such election;</w:t>
      </w:r>
    </w:p>
    <w:p>
      <w:pPr>
        <w:spacing w:after="0" w:line="87"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if any, granting special rights to the debt security holders of a series upon the occurrence of such events as may be specified;</w:t>
      </w:r>
    </w:p>
    <w:p>
      <w:pPr>
        <w:spacing w:after="0" w:line="60"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any sinking fund;</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restrictive covenants;</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 (as defined in “Events of Default” below);</w:t>
      </w:r>
    </w:p>
    <w:p>
      <w:pPr>
        <w:spacing w:after="0" w:line="11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series of debt securities are issuable in certificated form;</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defeasance or covenant defeasance;</w:t>
      </w:r>
    </w:p>
    <w:p>
      <w:pPr>
        <w:spacing w:after="0" w:line="12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special U.S. federal income tax implications, including, if applicable, U.S. federal income tax considerations relating to original issue discount;</w:t>
      </w:r>
    </w:p>
    <w:p>
      <w:pPr>
        <w:spacing w:after="0" w:line="60"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as of which any temporary global security representing outstanding debt securities of a series shall be dated if other than the date of original issuance of the first debt security of the series to be issued;</w:t>
      </w:r>
    </w:p>
    <w:p>
      <w:pPr>
        <w:spacing w:after="0" w:line="82" w:lineRule="exact"/>
        <w:rPr>
          <w:rFonts w:ascii="Times New Roman" w:cs="Times New Roman" w:eastAsia="Times New Roman" w:hAnsi="Times New Roman"/>
          <w:sz w:val="14"/>
          <w:szCs w:val="14"/>
          <w:color w:val="auto"/>
        </w:rPr>
      </w:pPr>
    </w:p>
    <w:p>
      <w:pPr>
        <w:jc w:val="both"/>
        <w:ind w:left="2000" w:right="1339" w:hanging="332"/>
        <w:spacing w:after="0" w:line="259" w:lineRule="auto"/>
        <w:tabs>
          <w:tab w:leader="none" w:pos="199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to whom any interest on any registered debt security of the series shall be payable, if other than the person in whose name such debt security (or one or more predecessor securities) is registered at the close of business on the regular record date for such interest, and the extent to which, or the manner in which, any interest payable on a temporary or permanent global debt security on an interest payment date will be paid, if other than in the manner provided in the indenture;</w:t>
      </w:r>
    </w:p>
    <w:p>
      <w:pPr>
        <w:spacing w:after="0" w:line="89"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a series are to be issuable in definitive form (whether upon original issue or upon exchange of a temporary debt security of such series) only upon receipt of certain certificates or other documents or satisfaction of other conditions, then the form and/or terms of such certificates, documents or conditions;</w:t>
      </w:r>
    </w:p>
    <w:p>
      <w:pPr>
        <w:spacing w:after="0" w:line="77"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82"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initial exchange rate agent, if any;</w:t>
      </w:r>
    </w:p>
    <w:p>
      <w:pPr>
        <w:spacing w:after="0" w:line="12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a series are to be issued upon the exercise of warrants, the time, manner and place for such debt securities to be authenticated and delivered;</w:t>
      </w:r>
    </w:p>
    <w:p>
      <w:pPr>
        <w:spacing w:after="0" w:line="60"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convertibility or exchangeability of the debt securities into or for any other securities;</w:t>
      </w:r>
    </w:p>
    <w:p>
      <w:pPr>
        <w:spacing w:after="0" w:line="71"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subject to subordination and the terms of such subordination;</w:t>
      </w:r>
    </w:p>
    <w:p>
      <w:pPr>
        <w:spacing w:after="0" w:line="11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appointment of any calculation agent, foreign currency exchange agent or other additional agents;</w:t>
      </w:r>
    </w:p>
    <w:p>
      <w:pPr>
        <w:spacing w:after="0" w:line="71"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secured and the terms of any security interest;</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listing, if any, on a securities exchange; and</w:t>
      </w:r>
    </w:p>
    <w:p>
      <w:pPr>
        <w:spacing w:after="0" w:line="11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w:t>
      </w:r>
    </w:p>
    <w:p>
      <w:pPr>
        <w:spacing w:after="0" w:line="125" w:lineRule="exact"/>
        <w:rPr>
          <w:sz w:val="20"/>
          <w:szCs w:val="20"/>
          <w:color w:val="auto"/>
        </w:rPr>
      </w:pPr>
    </w:p>
    <w:p>
      <w:pPr>
        <w:jc w:val="both"/>
        <w:ind w:left="1320" w:right="1339" w:firstLine="339"/>
        <w:spacing w:after="0" w:line="279" w:lineRule="auto"/>
        <w:rPr>
          <w:sz w:val="20"/>
          <w:szCs w:val="20"/>
          <w:color w:val="auto"/>
        </w:rPr>
      </w:pPr>
      <w:r>
        <w:rPr>
          <w:rFonts w:ascii="Times New Roman" w:cs="Times New Roman" w:eastAsia="Times New Roman" w:hAnsi="Times New Roman"/>
          <w:sz w:val="14"/>
          <w:szCs w:val="14"/>
          <w:color w:val="auto"/>
        </w:rPr>
        <w:t>The debt securities may be secured or unsecured obligations. Unless the prospectus supplement states otherwise, principal (and premium, if any) and interest, if any, will be paid by us in immediately available funds.</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48" w:name="page149"/>
    <w:bookmarkEnd w:id="148"/>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We are permitted, under specified conditions, to issue multiple classes of indebtedness if our asset coverage, as defined in the 1940 Act, is at least equal to 300% immediately after each such issuance, after giving effect to any exemptive relief granted to us by the SEC. We may also borrow amounts up to 5% of the value of our total assets for temporary purposes without regard to asset coverage. For a discussion of the risks associated with leverage, see “Risk Factors — Risks Relating to Our Business and Structure — Regulations governing our operation as a registered closed-end management investment company affect our ability to raise additional capital and the way in which we do so. The raising of debt capital may expose us to risks, including the typical risks associated with leverage.” in our most recent annual or semi-annual report on Form N-CSR.</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7"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The indenture provides that any debt securities proposed to be sold under this prospectus and the accompanying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88"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For purposes of this prospectus, any reference to the payment of principal of, or premium or interest, if any, on, debt securities will include additional amounts if required by the terms of the debt securities.</w:t>
      </w:r>
    </w:p>
    <w:p>
      <w:pPr>
        <w:spacing w:after="0" w:line="61"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268"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Except as described under “— Events of Default” and “— Merger or Consolidation” below, the indenture does not contain any provisions that give you protection in the event we issue a large amount of debt or we are acquired by another entity.</w:t>
      </w:r>
    </w:p>
    <w:p>
      <w:pPr>
        <w:spacing w:after="0" w:line="83" w:lineRule="exact"/>
        <w:rPr>
          <w:sz w:val="20"/>
          <w:szCs w:val="20"/>
          <w:color w:val="auto"/>
        </w:rPr>
      </w:pPr>
    </w:p>
    <w:p>
      <w:pPr>
        <w:jc w:val="both"/>
        <w:ind w:left="1320" w:right="1359" w:firstLine="339"/>
        <w:spacing w:after="0" w:line="269" w:lineRule="auto"/>
        <w:rPr>
          <w:sz w:val="20"/>
          <w:szCs w:val="20"/>
          <w:color w:val="auto"/>
        </w:rPr>
      </w:pPr>
      <w:r>
        <w:rPr>
          <w:rFonts w:ascii="Times New Roman" w:cs="Times New Roman" w:eastAsia="Times New Roman" w:hAnsi="Times New Roman"/>
          <w:sz w:val="14"/>
          <w:szCs w:val="14"/>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protection or similar protection.</w:t>
      </w:r>
    </w:p>
    <w:p>
      <w:pPr>
        <w:spacing w:after="0" w:line="72"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Conversion and Exchange</w:t>
      </w:r>
    </w:p>
    <w:p>
      <w:pPr>
        <w:spacing w:after="0" w:line="127"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Issuance of Securities in Registered Form</w:t>
      </w:r>
    </w:p>
    <w:p>
      <w:pPr>
        <w:spacing w:after="0" w:line="127"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49" w:name="page150"/>
    <w:bookmarkEnd w:id="149"/>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Book-Entry Holders</w:t>
      </w:r>
    </w:p>
    <w:p>
      <w:pPr>
        <w:spacing w:after="0" w:line="116"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90"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90"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Street Name Holders</w:t>
      </w:r>
    </w:p>
    <w:p>
      <w:pPr>
        <w:spacing w:after="0" w:line="116"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spacing w:after="0" w:line="91"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Legal Holders</w:t>
      </w:r>
    </w:p>
    <w:p>
      <w:pPr>
        <w:spacing w:after="0" w:line="127"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80"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90"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When we refer to you in this Description of Our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50" w:name="page151"/>
    <w:bookmarkEnd w:id="150"/>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Special Considerations for Indirect Holders</w:t>
      </w:r>
    </w:p>
    <w:p>
      <w:pPr>
        <w:spacing w:after="0" w:line="116" w:lineRule="exact"/>
        <w:rPr>
          <w:sz w:val="20"/>
          <w:szCs w:val="20"/>
          <w:color w:val="auto"/>
        </w:rPr>
      </w:pPr>
    </w:p>
    <w:p>
      <w:pPr>
        <w:ind w:left="1320" w:right="1359" w:firstLine="339"/>
        <w:spacing w:after="0" w:line="286" w:lineRule="auto"/>
        <w:rPr>
          <w:sz w:val="20"/>
          <w:szCs w:val="20"/>
          <w:color w:val="auto"/>
        </w:rPr>
      </w:pPr>
      <w:r>
        <w:rPr>
          <w:rFonts w:ascii="Times New Roman" w:cs="Times New Roman" w:eastAsia="Times New Roman" w:hAnsi="Times New Roman"/>
          <w:sz w:val="14"/>
          <w:szCs w:val="14"/>
          <w:color w:val="auto"/>
        </w:rPr>
        <w:t>If you hold debt securities through a bank, broker or other financial institution, either in book-entry form or in street name, we urge you to check with that institution to find out:</w:t>
      </w:r>
    </w:p>
    <w:p>
      <w:pPr>
        <w:spacing w:after="0" w:line="71" w:lineRule="exact"/>
        <w:rPr>
          <w:sz w:val="20"/>
          <w:szCs w:val="20"/>
          <w:color w:val="auto"/>
        </w:rPr>
      </w:pPr>
    </w:p>
    <w:p>
      <w:pPr>
        <w:ind w:left="2000" w:hanging="332"/>
        <w:spacing w:after="0"/>
        <w:tabs>
          <w:tab w:leader="none" w:pos="20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handles securities payments and notices;</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imposes fees or charges;</w:t>
      </w:r>
    </w:p>
    <w:p>
      <w:pPr>
        <w:spacing w:after="0" w:line="11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handle a request for the holders’ consent, if ever required;</w:t>
      </w:r>
    </w:p>
    <w:p>
      <w:pPr>
        <w:spacing w:after="0" w:line="12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how you can instruct it to send you debt securities registered in your own name so you can be a holder, if that is permitted in the future for a particular series of debt securities;</w:t>
      </w:r>
    </w:p>
    <w:p>
      <w:pPr>
        <w:spacing w:after="0" w:line="71"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exercise rights under the debt securities if there were a default or other event triggering the need for holders to act to protect their interests; and</w:t>
      </w:r>
    </w:p>
    <w:p>
      <w:pPr>
        <w:spacing w:after="0" w:line="60"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are in book-entry form, how the depositary’s rules and procedures will affect these matters.</w:t>
      </w:r>
    </w:p>
    <w:p>
      <w:pPr>
        <w:spacing w:after="0" w:line="1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27"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3"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80"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A global security may not be transferred to or registered in the name of anyone other than the depositary or its nominee, unless special termination situations arise. We describe those situations below under “— Termination of a Global Security.”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Special Considerations for Global Securities</w:t>
      </w:r>
    </w:p>
    <w:p>
      <w:pPr>
        <w:spacing w:after="0" w:line="127"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88" w:lineRule="exact"/>
        <w:rPr>
          <w:sz w:val="20"/>
          <w:szCs w:val="20"/>
          <w:color w:val="auto"/>
        </w:rPr>
      </w:pPr>
    </w:p>
    <w:p>
      <w:pPr>
        <w:jc w:val="both"/>
        <w:ind w:left="1320" w:right="1359" w:firstLine="339"/>
        <w:spacing w:after="0" w:line="286" w:lineRule="auto"/>
        <w:rPr>
          <w:sz w:val="20"/>
          <w:szCs w:val="20"/>
          <w:color w:val="auto"/>
        </w:rPr>
      </w:pPr>
      <w:r>
        <w:rPr>
          <w:rFonts w:ascii="Times New Roman" w:cs="Times New Roman" w:eastAsia="Times New Roman" w:hAnsi="Times New Roman"/>
          <w:sz w:val="14"/>
          <w:szCs w:val="14"/>
          <w:color w:val="auto"/>
        </w:rPr>
        <w:t>If debt securities are issued only in the form of a global security, an investor should be aware of the following:</w:t>
      </w:r>
    </w:p>
    <w:p>
      <w:pPr>
        <w:spacing w:after="0" w:line="61" w:lineRule="exact"/>
        <w:rPr>
          <w:sz w:val="20"/>
          <w:szCs w:val="20"/>
          <w:color w:val="auto"/>
        </w:rPr>
      </w:pPr>
    </w:p>
    <w:p>
      <w:pPr>
        <w:jc w:val="both"/>
        <w:ind w:left="2000" w:right="1339" w:hanging="332"/>
        <w:spacing w:after="0" w:line="269" w:lineRule="auto"/>
        <w:tabs>
          <w:tab w:leader="none" w:pos="1996"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cannot cause the debt securities to be registered in his or her name and cannot obtain certificates for his or her interest in the debt securities, except in the special situations we describe below;</w:t>
      </w:r>
    </w:p>
    <w:p>
      <w:pPr>
        <w:spacing w:after="0" w:line="82"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will be an indirect holder and must look to his or her own bank or broker for payments on the debt securities and protection of his or her legal rights relating to the debt securities, as we describe under “— Issuance of Securities in Registered Form” above;</w:t>
      </w:r>
    </w:p>
    <w:p>
      <w:pPr>
        <w:spacing w:after="0" w:line="82"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sell interests in the debt securities to some insurance companies and other institutions that are required by law to own their securities in non-book-entry form;</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51" w:name="page152"/>
    <w:bookmarkEnd w:id="151"/>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2000" w:right="1339" w:hanging="332"/>
        <w:spacing w:after="0" w:line="269" w:lineRule="auto"/>
        <w:tabs>
          <w:tab w:leader="none" w:pos="199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82"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87"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redeem less than all the debt securities of a particular series being redeemed, DTC’s practice is to determine by lot the amount to be redeemed from each of its participants holding that series;</w:t>
      </w:r>
    </w:p>
    <w:p>
      <w:pPr>
        <w:spacing w:after="0" w:line="60"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7"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2" w:lineRule="exact"/>
        <w:rPr>
          <w:rFonts w:ascii="Times New Roman" w:cs="Times New Roman" w:eastAsia="Times New Roman" w:hAnsi="Times New Roman"/>
          <w:sz w:val="14"/>
          <w:szCs w:val="14"/>
          <w:color w:val="auto"/>
        </w:rPr>
      </w:pPr>
    </w:p>
    <w:p>
      <w:pPr>
        <w:jc w:val="both"/>
        <w:ind w:left="2000" w:right="1339" w:hanging="332"/>
        <w:spacing w:after="0" w:line="260" w:lineRule="auto"/>
        <w:tabs>
          <w:tab w:leader="none" w:pos="199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Termination of a Global Security</w:t>
      </w:r>
    </w:p>
    <w:p>
      <w:pPr>
        <w:spacing w:after="0" w:line="116"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 Issuance of Securities in Registered Form” above.</w:t>
      </w:r>
    </w:p>
    <w:p>
      <w:pPr>
        <w:spacing w:after="0" w:line="90"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investors in whose names the debt securities represented by the global security will be registered and, therefore, who will be the holders of those debt securities.</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127"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Payments on Global Securities</w:t>
      </w:r>
    </w:p>
    <w:p>
      <w:pPr>
        <w:spacing w:after="0" w:line="116"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Special Considerations for Global Securities.”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52" w:name="page153"/>
    <w:bookmarkEnd w:id="152"/>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Payments on Certificated Securities</w:t>
      </w:r>
    </w:p>
    <w:p>
      <w:pPr>
        <w:spacing w:after="0" w:line="116"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We will make payments on a certificated debt security as follows. We will pay interest that is due on an interest payment date to the holder of debt securities as shown on the trustee’s records as of the close of business on the regular record date at our office and/or at other offices that may be specified in the prospectus supplement. We will make all payments of principal and premium, if any, by check at the office of the applicable trustee and/or at other offices that may be specified in the prospectus supplement or in a notice to holders against surrender of the debt security.</w:t>
      </w:r>
    </w:p>
    <w:p>
      <w:pPr>
        <w:spacing w:after="0" w:line="90" w:lineRule="exact"/>
        <w:rPr>
          <w:sz w:val="20"/>
          <w:szCs w:val="20"/>
          <w:color w:val="auto"/>
        </w:rPr>
      </w:pPr>
    </w:p>
    <w:p>
      <w:pPr>
        <w:jc w:val="both"/>
        <w:ind w:left="1320" w:right="1359" w:firstLine="339"/>
        <w:spacing w:after="0" w:line="263" w:lineRule="auto"/>
        <w:rPr>
          <w:sz w:val="20"/>
          <w:szCs w:val="20"/>
          <w:color w:val="auto"/>
        </w:rPr>
      </w:pPr>
      <w:r>
        <w:rPr>
          <w:rFonts w:ascii="Times New Roman" w:cs="Times New Roman" w:eastAsia="Times New Roman" w:hAnsi="Times New Roman"/>
          <w:sz w:val="14"/>
          <w:szCs w:val="14"/>
          <w:color w:val="auto"/>
        </w:rPr>
        <w:t>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Payment When Offices Are Closed</w:t>
      </w:r>
    </w:p>
    <w:p>
      <w:pPr>
        <w:spacing w:after="0" w:line="127"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80"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Book-entry and other indirect holders should consult their banks or brokers for information on how they will receive payments on their debt securities.</w:t>
      </w:r>
    </w:p>
    <w:p>
      <w:pPr>
        <w:spacing w:after="0" w:line="1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27"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You will have rights if an Event of Default occurs in respect of the debt securities of your series and is not cured, as described later in this subsection.</w:t>
      </w:r>
    </w:p>
    <w:p>
      <w:pPr>
        <w:spacing w:after="0" w:line="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The term “Event of Default” in respect of the debt securities of your series means any of the following:</w:t>
      </w:r>
    </w:p>
    <w:p>
      <w:pPr>
        <w:spacing w:after="0" w:line="114" w:lineRule="exact"/>
        <w:rPr>
          <w:sz w:val="20"/>
          <w:szCs w:val="20"/>
          <w:color w:val="auto"/>
        </w:rPr>
      </w:pPr>
    </w:p>
    <w:p>
      <w:pPr>
        <w:ind w:left="2000" w:right="1359" w:hanging="332"/>
        <w:spacing w:after="0" w:line="286" w:lineRule="auto"/>
        <w:tabs>
          <w:tab w:leader="none" w:pos="199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the principal of, or any premium on, a debt security of the series within five business days following its due date;</w:t>
      </w:r>
    </w:p>
    <w:p>
      <w:pPr>
        <w:spacing w:after="0" w:line="71"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interest on a debt security of the series within 30 days following its due date;</w:t>
      </w:r>
    </w:p>
    <w:p>
      <w:pPr>
        <w:spacing w:after="0" w:line="12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deposit any sinking fund payment in respect of debt securities of the series within five business days following its due date;</w:t>
      </w:r>
    </w:p>
    <w:p>
      <w:pPr>
        <w:spacing w:after="0" w:line="60"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the outstanding debt securities of the series);</w:t>
      </w:r>
    </w:p>
    <w:p>
      <w:pPr>
        <w:spacing w:after="0" w:line="87"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file for bankruptcy or certain other events of bankruptcy, insolvency or reorganization occur and remain undischarged or unstayed for a period of 90 days;</w:t>
      </w:r>
    </w:p>
    <w:p>
      <w:pPr>
        <w:spacing w:after="0" w:line="71"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of debt securities has an asset coverage, as such term is defined in the 1940 Act, of less than 100 per centum on the last business day of each of twenty-four consecutive calendar months, giving effect to any exemptive relief granted to the Company by the SEC; or</w:t>
      </w:r>
    </w:p>
    <w:p>
      <w:pPr>
        <w:spacing w:after="0" w:line="72"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in respect of debt securities of the series described in the prospectus supplement occurs.</w:t>
      </w:r>
    </w:p>
    <w:p>
      <w:pPr>
        <w:spacing w:after="0" w:line="71"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interest, or sinking or purchase fund installment, if it in good faith considers the withholding of notice to be in the interest of the holders.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53" w:name="page154"/>
    <w:bookmarkEnd w:id="153"/>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Remedies if an Event of Default Occurs</w:t>
      </w:r>
    </w:p>
    <w:p>
      <w:pPr>
        <w:spacing w:after="0" w:line="116"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If an Event of Default has occurred and is continuing, the trustee or the holders of not less than 25% in principal amount of the outstanding debt securities of the affected series may (and the trustee shall at the request of such holders)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spacing w:after="0" w:line="92"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The trustee is not required to take any action under the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90"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2" w:lineRule="exact"/>
        <w:rPr>
          <w:sz w:val="20"/>
          <w:szCs w:val="20"/>
          <w:color w:val="auto"/>
        </w:rPr>
      </w:pPr>
    </w:p>
    <w:p>
      <w:pPr>
        <w:ind w:left="2000" w:right="1339" w:hanging="332"/>
        <w:spacing w:after="0" w:line="286" w:lineRule="auto"/>
        <w:tabs>
          <w:tab w:leader="none" w:pos="199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must give the trustee written notice that an Event of Default with respect to the relevant series of debt securities has occurred and remains uncured;</w:t>
      </w:r>
    </w:p>
    <w:p>
      <w:pPr>
        <w:spacing w:after="0" w:line="71"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principal amount of all outstanding debt securities of the relevant series must make a written request that the trustee take action because of the default and must offer reasonable indemnity, security, or both to the trustee against the costs, expenses and other liabilities of taking that action;</w:t>
      </w:r>
    </w:p>
    <w:p>
      <w:pPr>
        <w:spacing w:after="0" w:line="87"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must not have taken action for 60 days after receipt of the above notice, request and offer of indemnity and/or security; and</w:t>
      </w:r>
    </w:p>
    <w:p>
      <w:pPr>
        <w:spacing w:after="0" w:line="60"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principal amount of the outstanding debt securities of that series must not have given the trustee a direction inconsistent with the above notice during that 60-day period.</w:t>
      </w:r>
    </w:p>
    <w:p>
      <w:pPr>
        <w:spacing w:after="0" w:line="71"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However, you are entitled at any time to bring a lawsuit for the payment of money due on your debt securities on or after the due date.</w:t>
      </w:r>
    </w:p>
    <w:p>
      <w:pPr>
        <w:spacing w:after="0" w:line="69" w:lineRule="exact"/>
        <w:rPr>
          <w:sz w:val="20"/>
          <w:szCs w:val="20"/>
          <w:color w:val="auto"/>
        </w:rPr>
      </w:pPr>
    </w:p>
    <w:p>
      <w:pPr>
        <w:jc w:val="both"/>
        <w:ind w:left="1320" w:right="1339" w:firstLine="339"/>
        <w:spacing w:after="0" w:line="270" w:lineRule="auto"/>
        <w:rPr>
          <w:sz w:val="20"/>
          <w:szCs w:val="20"/>
          <w:color w:val="auto"/>
        </w:rPr>
      </w:pPr>
      <w:r>
        <w:rPr>
          <w:rFonts w:ascii="Times New Roman" w:cs="Times New Roman" w:eastAsia="Times New Roman" w:hAnsi="Times New Roman"/>
          <w:sz w:val="14"/>
          <w:szCs w:val="14"/>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72"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Waiver of Default</w:t>
      </w:r>
    </w:p>
    <w:p>
      <w:pPr>
        <w:spacing w:after="0" w:line="127"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Holders of a majority in principal amount of the outstanding debt securities of the affected series may waive any past defaults other than a default</w:t>
      </w:r>
    </w:p>
    <w:p>
      <w:pPr>
        <w:spacing w:after="0" w:line="71" w:lineRule="exact"/>
        <w:rPr>
          <w:sz w:val="20"/>
          <w:szCs w:val="20"/>
          <w:color w:val="auto"/>
        </w:rPr>
      </w:pPr>
    </w:p>
    <w:p>
      <w:pPr>
        <w:ind w:left="2000" w:hanging="332"/>
        <w:spacing w:after="0"/>
        <w:tabs>
          <w:tab w:leader="none" w:pos="20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payment of principal, any premium or interest; or</w:t>
      </w:r>
    </w:p>
    <w:p>
      <w:pPr>
        <w:spacing w:after="0" w:line="11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a covenant that cannot be modified or amended without the consent of each holder of the affected series.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54" w:name="page155"/>
    <w:bookmarkEnd w:id="154"/>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Merger or Consolidation</w:t>
      </w:r>
    </w:p>
    <w:p>
      <w:pPr>
        <w:spacing w:after="0" w:line="116"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83" w:lineRule="exact"/>
        <w:rPr>
          <w:sz w:val="20"/>
          <w:szCs w:val="20"/>
          <w:color w:val="auto"/>
        </w:rPr>
      </w:pPr>
    </w:p>
    <w:p>
      <w:pPr>
        <w:ind w:left="2000" w:right="1339" w:hanging="332"/>
        <w:spacing w:after="0" w:line="286" w:lineRule="auto"/>
        <w:tabs>
          <w:tab w:leader="none" w:pos="199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the Company is the continuing entity or the resulting entity or transferee must agree to be legally responsible for our obligations under the debt securities;</w:t>
      </w:r>
    </w:p>
    <w:p>
      <w:pPr>
        <w:spacing w:after="0" w:line="71" w:lineRule="exact"/>
        <w:rPr>
          <w:rFonts w:ascii="Times New Roman" w:cs="Times New Roman" w:eastAsia="Times New Roman" w:hAnsi="Times New Roman"/>
          <w:sz w:val="14"/>
          <w:szCs w:val="14"/>
          <w:color w:val="auto"/>
        </w:rPr>
      </w:pPr>
    </w:p>
    <w:p>
      <w:pPr>
        <w:jc w:val="both"/>
        <w:ind w:left="2000" w:right="1339" w:hanging="332"/>
        <w:spacing w:after="0" w:line="259" w:lineRule="auto"/>
        <w:tabs>
          <w:tab w:leader="none" w:pos="199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w:t>
      </w:r>
    </w:p>
    <w:p>
      <w:pPr>
        <w:spacing w:after="0" w:line="79"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certain certificates and documents to the trustee; and</w:t>
      </w:r>
    </w:p>
    <w:p>
      <w:pPr>
        <w:spacing w:after="0" w:line="12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satisfy any other requirements specified in the prospectus supplement relating to a particular series of debt securities.</w:t>
      </w:r>
    </w:p>
    <w:p>
      <w:pPr>
        <w:spacing w:after="0" w:line="1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Modification or Waiver</w:t>
      </w:r>
    </w:p>
    <w:p>
      <w:pPr>
        <w:spacing w:after="0" w:line="1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There are three types of changes we can make to the indenture and the debt securities issued thereunder.</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Changes Requiring Your Approval</w:t>
      </w:r>
    </w:p>
    <w:p>
      <w:pPr>
        <w:spacing w:after="0" w:line="116" w:lineRule="exact"/>
        <w:rPr>
          <w:sz w:val="20"/>
          <w:szCs w:val="20"/>
          <w:color w:val="auto"/>
        </w:rPr>
      </w:pPr>
    </w:p>
    <w:p>
      <w:pPr>
        <w:ind w:left="1320" w:right="1359" w:firstLine="339"/>
        <w:spacing w:after="0" w:line="286" w:lineRule="auto"/>
        <w:rPr>
          <w:sz w:val="20"/>
          <w:szCs w:val="20"/>
          <w:color w:val="auto"/>
        </w:rPr>
      </w:pPr>
      <w:r>
        <w:rPr>
          <w:rFonts w:ascii="Times New Roman" w:cs="Times New Roman" w:eastAsia="Times New Roman" w:hAnsi="Times New Roman"/>
          <w:sz w:val="14"/>
          <w:szCs w:val="14"/>
          <w:color w:val="auto"/>
        </w:rPr>
        <w:t>First, there are changes that we cannot make to your debt securities without your specific approval. The following is a list of those types of changes:</w:t>
      </w:r>
    </w:p>
    <w:p>
      <w:pPr>
        <w:spacing w:after="0" w:line="71" w:lineRule="exact"/>
        <w:rPr>
          <w:sz w:val="20"/>
          <w:szCs w:val="20"/>
          <w:color w:val="auto"/>
        </w:rPr>
      </w:pPr>
    </w:p>
    <w:p>
      <w:pPr>
        <w:ind w:left="2000" w:right="1339" w:hanging="332"/>
        <w:spacing w:after="0" w:line="286" w:lineRule="auto"/>
        <w:tabs>
          <w:tab w:leader="none" w:pos="199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premium, if any) or any installment of principal of or interest on a debt security or the terms of any sinking fund with respect to any security;</w:t>
      </w:r>
    </w:p>
    <w:p>
      <w:pPr>
        <w:spacing w:after="0" w:line="71"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amounts due on a debt security;</w:t>
      </w:r>
    </w:p>
    <w:p>
      <w:pPr>
        <w:spacing w:after="0" w:line="11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obligation we have to pay additional amounts;</w:t>
      </w:r>
    </w:p>
    <w:p>
      <w:pPr>
        <w:spacing w:after="0" w:line="124"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principal payable upon a declaration of acceleration of the maturity of an original issue discount or indexed security following a default or upon the redemption thereof or the amount thereof provable in a bankruptcy proceeding;</w:t>
      </w:r>
    </w:p>
    <w:p>
      <w:pPr>
        <w:spacing w:after="0" w:line="82"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any right of repayment at the holder’s option;</w:t>
      </w:r>
    </w:p>
    <w:p>
      <w:pPr>
        <w:spacing w:after="0" w:line="114" w:lineRule="exact"/>
        <w:rPr>
          <w:rFonts w:ascii="Times New Roman" w:cs="Times New Roman" w:eastAsia="Times New Roman" w:hAnsi="Times New Roman"/>
          <w:sz w:val="14"/>
          <w:szCs w:val="14"/>
          <w:color w:val="auto"/>
        </w:rPr>
      </w:pPr>
    </w:p>
    <w:p>
      <w:pPr>
        <w:ind w:left="2000" w:right="1359" w:hanging="332"/>
        <w:spacing w:after="0" w:line="286" w:lineRule="auto"/>
        <w:tabs>
          <w:tab w:leader="none" w:pos="199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or currency of payment on a debt security (except as otherwise described in the prospectus or prospectus supplement);</w:t>
      </w:r>
    </w:p>
    <w:p>
      <w:pPr>
        <w:spacing w:after="0" w:line="71"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your right to sue for payment;</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any right to convert or exchange a debt security in accordance with its terms;</w:t>
      </w:r>
    </w:p>
    <w:p>
      <w:pPr>
        <w:spacing w:after="0" w:line="11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subordination provisions in the indenture in a manner that is adverse to outstanding holders of the debt securities;</w:t>
      </w:r>
    </w:p>
    <w:p>
      <w:pPr>
        <w:spacing w:after="0" w:line="71"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debt securities of any series, whose holders’ consent is needed to modify or amend the indenture, waive compliance with certain provisions of the indenture or to waive certain defaults, or reduce the requirements for quorum or voting; and</w:t>
      </w:r>
    </w:p>
    <w:p>
      <w:pPr>
        <w:spacing w:after="0" w:line="72"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other aspect of the provisions of the indenture dealing with supplemental indentures with the consent of holders, waiver of past defaults, changes to the quorum or voting requirements or the waiver of certain covenants.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55" w:name="page156"/>
    <w:bookmarkEnd w:id="155"/>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Changes Not Requiring Approval</w:t>
      </w:r>
    </w:p>
    <w:p>
      <w:pPr>
        <w:spacing w:after="0" w:line="116"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The second type of change does not require any vote by the holders of the debt securities. This type is limited to clarifications, evidencing succession of another person to the Company and the assumption by any such successor of the covenants of the Company in the indenture and the applicable debt securities,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Changes Requiring Majority Approval</w:t>
      </w:r>
    </w:p>
    <w:p>
      <w:pPr>
        <w:spacing w:after="0" w:line="1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Any other change to the indenture and the debt securities would require the following approval:</w:t>
      </w:r>
    </w:p>
    <w:p>
      <w:pPr>
        <w:spacing w:after="0" w:line="125" w:lineRule="exact"/>
        <w:rPr>
          <w:sz w:val="20"/>
          <w:szCs w:val="20"/>
          <w:color w:val="auto"/>
        </w:rPr>
      </w:pPr>
    </w:p>
    <w:p>
      <w:pPr>
        <w:ind w:left="2000" w:right="1339" w:hanging="332"/>
        <w:spacing w:after="0" w:line="286" w:lineRule="auto"/>
        <w:tabs>
          <w:tab w:leader="none" w:pos="1996"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only one series of debt securities, it must be approved by the holders of a majority in principal amount of that series; and</w:t>
      </w:r>
    </w:p>
    <w:p>
      <w:pPr>
        <w:spacing w:after="0" w:line="60"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In each case, the required approval must be given by written consent.</w:t>
      </w:r>
    </w:p>
    <w:p>
      <w:pPr>
        <w:spacing w:after="0" w:line="125"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 Changes Requiring Your Approval.”</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Further Details Concerning Voting</w:t>
      </w:r>
    </w:p>
    <w:p>
      <w:pPr>
        <w:spacing w:after="0" w:line="116"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When taking a vote, we will use the following rules to decide how much principal to attribute to a debt security:</w:t>
      </w:r>
    </w:p>
    <w:p>
      <w:pPr>
        <w:spacing w:after="0" w:line="71" w:lineRule="exact"/>
        <w:rPr>
          <w:sz w:val="20"/>
          <w:szCs w:val="20"/>
          <w:color w:val="auto"/>
        </w:rPr>
      </w:pPr>
    </w:p>
    <w:p>
      <w:pPr>
        <w:jc w:val="both"/>
        <w:ind w:left="2000" w:right="1339" w:hanging="332"/>
        <w:spacing w:after="0" w:line="269" w:lineRule="auto"/>
        <w:tabs>
          <w:tab w:leader="none" w:pos="1996"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original issue discount securities, we will use the principal amount that would be due and payable on the voting date if the maturity of these debt securities were accelerated to that date because of a default;</w:t>
      </w:r>
    </w:p>
    <w:p>
      <w:pPr>
        <w:spacing w:after="0" w:line="82"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debt securities whose principal amount is not known (for example, because it is based on an index), we will use the principal face amount at original issuance or a special rule for that debt security described in the prospectus supplement; and</w:t>
      </w:r>
    </w:p>
    <w:p>
      <w:pPr>
        <w:spacing w:after="0" w:line="72" w:lineRule="exact"/>
        <w:rPr>
          <w:rFonts w:ascii="Times New Roman" w:cs="Times New Roman" w:eastAsia="Times New Roman" w:hAnsi="Times New Roman"/>
          <w:sz w:val="14"/>
          <w:szCs w:val="14"/>
          <w:color w:val="auto"/>
        </w:rPr>
      </w:pPr>
    </w:p>
    <w:p>
      <w:pPr>
        <w:ind w:left="2000" w:right="1359" w:hanging="332"/>
        <w:spacing w:after="0" w:line="286" w:lineRule="auto"/>
        <w:tabs>
          <w:tab w:leader="none" w:pos="1996"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debt securities denominated in one or more foreign currencies, we will use the U.S. dollar equivalent.</w:t>
      </w:r>
    </w:p>
    <w:p>
      <w:pPr>
        <w:spacing w:after="0" w:line="71"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 Defeasance — Full Defeasance.”</w:t>
      </w:r>
    </w:p>
    <w:p>
      <w:pPr>
        <w:spacing w:after="0" w:line="88"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77" w:lineRule="exact"/>
        <w:rPr>
          <w:sz w:val="20"/>
          <w:szCs w:val="20"/>
          <w:color w:val="auto"/>
        </w:rPr>
      </w:pPr>
    </w:p>
    <w:p>
      <w:pPr>
        <w:jc w:val="both"/>
        <w:ind w:left="1320" w:right="1339" w:firstLine="339"/>
        <w:spacing w:after="0" w:line="270" w:lineRule="auto"/>
        <w:rPr>
          <w:sz w:val="20"/>
          <w:szCs w:val="20"/>
          <w:color w:val="auto"/>
        </w:rPr>
      </w:pPr>
      <w:r>
        <w:rPr>
          <w:rFonts w:ascii="Times New Roman" w:cs="Times New Roman" w:eastAsia="Times New Roman" w:hAnsi="Times New Roman"/>
          <w:sz w:val="14"/>
          <w:szCs w:val="14"/>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56" w:name="page157"/>
    <w:bookmarkEnd w:id="156"/>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116"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Covenant Defeasance</w:t>
      </w:r>
    </w:p>
    <w:p>
      <w:pPr>
        <w:spacing w:after="0" w:line="127"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 Indenture Provisions — Subordination” below, such subordination would not prevent the trustee under the indenture from applying the funds available to it from the deposit described in the first bullet point below to the payment of amounts due in respect of such debt securities for the benefit of the subordinated debt holders. In order to achieve covenant defeasance, we must do the following:</w:t>
      </w:r>
    </w:p>
    <w:p>
      <w:pPr>
        <w:spacing w:after="0" w:line="95" w:lineRule="exact"/>
        <w:rPr>
          <w:sz w:val="20"/>
          <w:szCs w:val="20"/>
          <w:color w:val="auto"/>
        </w:rPr>
      </w:pPr>
    </w:p>
    <w:p>
      <w:pPr>
        <w:jc w:val="both"/>
        <w:ind w:left="2000" w:right="1339" w:hanging="332"/>
        <w:spacing w:after="0" w:line="259" w:lineRule="auto"/>
        <w:tabs>
          <w:tab w:leader="none" w:pos="1996"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irrevocably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79"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confirming that, under current U.S. federal income tax law, we may make the above deposit without causing you to be taxed on the debt securities any differently than if we did not make the deposit;</w:t>
      </w:r>
    </w:p>
    <w:p>
      <w:pPr>
        <w:spacing w:after="0" w:line="82"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2" w:lineRule="exact"/>
        <w:rPr>
          <w:rFonts w:ascii="Times New Roman" w:cs="Times New Roman" w:eastAsia="Times New Roman" w:hAnsi="Times New Roman"/>
          <w:sz w:val="14"/>
          <w:szCs w:val="14"/>
          <w:color w:val="auto"/>
        </w:rPr>
      </w:pPr>
    </w:p>
    <w:p>
      <w:pPr>
        <w:ind w:left="2000" w:right="1359" w:hanging="332"/>
        <w:spacing w:after="0" w:line="286" w:lineRule="auto"/>
        <w:tabs>
          <w:tab w:leader="none" w:pos="1996"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defeasance must not result in a breach or violation of, or result in a default under, the indenture or any of our other material agreements or instruments;</w:t>
      </w:r>
    </w:p>
    <w:p>
      <w:pPr>
        <w:spacing w:after="0" w:line="60"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such debt securities shall have occurred and be continuing and no defaults or events of default related to bankruptcy, insolvency or reorganization shall occur during the next 90 days; and</w:t>
      </w:r>
    </w:p>
    <w:p>
      <w:pPr>
        <w:spacing w:after="0" w:line="82"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satisfy the conditions for covenant defeasance contained in any supplemental indentures.</w:t>
      </w:r>
    </w:p>
    <w:p>
      <w:pPr>
        <w:spacing w:after="0" w:line="125"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such a shortfall. However, there is no assurance that we would have sufficient funds to make payment of the shortfall.</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Full Defeasance</w:t>
      </w:r>
    </w:p>
    <w:p>
      <w:pPr>
        <w:spacing w:after="0" w:line="116"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If there is a change in U.S. federal tax law or we obtain an IRS ruling, as described in the second bullet point below, we can legally release ourselves from all payment and other obligations on the debt securities of a particular series (called “full defeasance”) if we put in place the following other arrangements for you to be repaid:</w:t>
      </w:r>
    </w:p>
    <w:p>
      <w:pPr>
        <w:spacing w:after="0" w:line="88" w:lineRule="exact"/>
        <w:rPr>
          <w:sz w:val="20"/>
          <w:szCs w:val="20"/>
          <w:color w:val="auto"/>
        </w:rPr>
      </w:pPr>
    </w:p>
    <w:p>
      <w:pPr>
        <w:jc w:val="both"/>
        <w:ind w:left="2000" w:right="1339" w:hanging="332"/>
        <w:spacing w:after="0" w:line="259" w:lineRule="auto"/>
        <w:tabs>
          <w:tab w:leader="none" w:pos="1996"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57" w:name="page158"/>
    <w:bookmarkEnd w:id="157"/>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2000" w:right="1339" w:hanging="332"/>
        <w:spacing w:after="0" w:line="258" w:lineRule="auto"/>
        <w:tabs>
          <w:tab w:leader="none" w:pos="1996"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9"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stating that the above deposit does not require registration by us under the 1940 Act, as amended, and a legal opinion and officers’ certificate stating that all conditions precedent to defeasance have been complied with;</w:t>
      </w:r>
    </w:p>
    <w:p>
      <w:pPr>
        <w:spacing w:after="0" w:line="82"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defeasance must not result in a breach or violation of, or constitute a default under, of the indenture or any of our other material agreements or instruments;</w:t>
      </w:r>
    </w:p>
    <w:p>
      <w:pPr>
        <w:spacing w:after="0" w:line="60"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such debt securities shall have occurred and be continuing and no defaults or events of default related to bankruptcy, insolvency or reorganization shall occur during the next 90 days; and</w:t>
      </w:r>
    </w:p>
    <w:p>
      <w:pPr>
        <w:spacing w:after="0" w:line="82"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satisfy the conditions for full defeasance contained in any supplemental indentures.</w:t>
      </w:r>
    </w:p>
    <w:p>
      <w:pPr>
        <w:spacing w:after="0" w:line="125"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your debt securities were subordinated as described later under “— Indenture Provisions — Subordination,” such subordination would not prevent the trustee under the indenture from applying the funds available to it from the deposit referred to in the first bullet point of the preceding paragraph to the payment of amounts due in respect of such debt securities for the benefit of the subordinated debt holders.</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Form, Exchange and Transfer of Certificated Registered Securities</w:t>
      </w:r>
    </w:p>
    <w:p>
      <w:pPr>
        <w:spacing w:after="0" w:line="1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If registered debt securities cease to be issued in book-entry form, they will be issued:</w:t>
      </w:r>
    </w:p>
    <w:p>
      <w:pPr>
        <w:spacing w:after="0" w:line="125" w:lineRule="exact"/>
        <w:rPr>
          <w:sz w:val="20"/>
          <w:szCs w:val="20"/>
          <w:color w:val="auto"/>
        </w:rPr>
      </w:pPr>
    </w:p>
    <w:p>
      <w:pPr>
        <w:ind w:left="2000" w:hanging="332"/>
        <w:spacing w:after="0"/>
        <w:tabs>
          <w:tab w:leader="none" w:pos="20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in fully registered certificated form;</w:t>
      </w:r>
    </w:p>
    <w:p>
      <w:pPr>
        <w:spacing w:after="0" w:line="124"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interest coupons; and</w:t>
      </w:r>
    </w:p>
    <w:p>
      <w:pPr>
        <w:spacing w:after="0" w:line="114"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we indicate otherwise in the prospectus supplement, in denominations of $1,000 and amounts that are multiples of $1,000.</w:t>
      </w:r>
    </w:p>
    <w:p>
      <w:pPr>
        <w:spacing w:after="0" w:line="71"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w:t>
      </w:r>
    </w:p>
    <w:p>
      <w:pPr>
        <w:spacing w:after="0" w:line="83"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ourselves.</w:t>
      </w:r>
    </w:p>
    <w:p>
      <w:pPr>
        <w:spacing w:after="0" w:line="72"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88"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83"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58" w:name="page159"/>
    <w:bookmarkEnd w:id="158"/>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69" w:lineRule="auto"/>
        <w:rPr>
          <w:sz w:val="20"/>
          <w:szCs w:val="20"/>
          <w:color w:val="auto"/>
        </w:rPr>
      </w:pPr>
      <w:r>
        <w:rPr>
          <w:rFonts w:ascii="Times New Roman" w:cs="Times New Roman" w:eastAsia="Times New Roman" w:hAnsi="Times New Roman"/>
          <w:sz w:val="14"/>
          <w:szCs w:val="14"/>
          <w:color w:val="auto"/>
        </w:rPr>
        <w:t>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83" w:lineRule="exact"/>
        <w:rPr>
          <w:sz w:val="20"/>
          <w:szCs w:val="20"/>
          <w:color w:val="auto"/>
        </w:rPr>
      </w:pPr>
    </w:p>
    <w:p>
      <w:pPr>
        <w:jc w:val="both"/>
        <w:ind w:left="1320" w:right="1339" w:firstLine="339"/>
        <w:spacing w:after="0" w:line="279" w:lineRule="auto"/>
        <w:rPr>
          <w:sz w:val="20"/>
          <w:szCs w:val="20"/>
          <w:color w:val="auto"/>
        </w:rPr>
      </w:pPr>
      <w:r>
        <w:rPr>
          <w:rFonts w:ascii="Times New Roman" w:cs="Times New Roman" w:eastAsia="Times New Roman" w:hAnsi="Times New Roman"/>
          <w:sz w:val="14"/>
          <w:szCs w:val="14"/>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3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Resignation of Trustee</w:t>
      </w:r>
    </w:p>
    <w:p>
      <w:pPr>
        <w:spacing w:after="0" w:line="127"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Indenture Provisions — Subordination</w:t>
      </w:r>
    </w:p>
    <w:p>
      <w:pPr>
        <w:spacing w:after="0" w:line="116"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95"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In the event that, notwithstanding the foregoing, any payment by us at any time is received by the holders of any subordinated debt securities or by the trustee in respect of any of such subordinated debt securities, upon our dissolution, winding up, liquidation or reorganization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92"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w:t>
      </w:r>
    </w:p>
    <w:p>
      <w:pPr>
        <w:spacing w:after="0" w:line="77"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Senior Indebtedness is defined in the indenture as the principal of (and premium, if any) and unpaid interest on:</w:t>
      </w:r>
    </w:p>
    <w:p>
      <w:pPr>
        <w:spacing w:after="0" w:line="71" w:lineRule="exact"/>
        <w:rPr>
          <w:sz w:val="20"/>
          <w:szCs w:val="20"/>
          <w:color w:val="auto"/>
        </w:rPr>
      </w:pPr>
    </w:p>
    <w:p>
      <w:pPr>
        <w:jc w:val="both"/>
        <w:ind w:left="2000" w:right="1339" w:hanging="332"/>
        <w:spacing w:after="0" w:line="263" w:lineRule="auto"/>
        <w:tabs>
          <w:tab w:leader="none" w:pos="1996"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w:t>
      </w:r>
    </w:p>
    <w:p>
      <w:pPr>
        <w:spacing w:after="0" w:line="87" w:lineRule="exact"/>
        <w:rPr>
          <w:rFonts w:ascii="Times New Roman" w:cs="Times New Roman" w:eastAsia="Times New Roman" w:hAnsi="Times New Roman"/>
          <w:sz w:val="14"/>
          <w:szCs w:val="14"/>
          <w:color w:val="auto"/>
        </w:rPr>
      </w:pPr>
    </w:p>
    <w:p>
      <w:pPr>
        <w:ind w:left="2000" w:hanging="332"/>
        <w:spacing w:after="0"/>
        <w:tabs>
          <w:tab w:leader="none" w:pos="20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renewals, extensions, modifications and refinancings of any of this indebtedness.</w:t>
      </w:r>
    </w:p>
    <w:p>
      <w:pPr>
        <w:spacing w:after="0" w:line="114"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59" w:name="page160"/>
    <w:bookmarkEnd w:id="159"/>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Secured Indebtedness and Ranking</w:t>
      </w:r>
    </w:p>
    <w:p>
      <w:pPr>
        <w:spacing w:after="0" w:line="116"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of the Company will rank structurally junior to all existing and future indebtedness (including trade payables) incurred by our subsidiaries, financing vehicles or similar facilities.</w:t>
      </w:r>
    </w:p>
    <w:p>
      <w:pPr>
        <w:spacing w:after="0" w:line="92"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The Trustee under the Indenture</w:t>
      </w:r>
    </w:p>
    <w:p>
      <w:pPr>
        <w:spacing w:after="0" w:line="1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We intend to use a nationally recognized financial institution to serve as the trustee under the indenture.</w:t>
      </w:r>
    </w:p>
    <w:p>
      <w:pPr>
        <w:spacing w:after="0" w:line="1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Certain Considerations Relating to Foreign Currencies</w:t>
      </w:r>
    </w:p>
    <w:p>
      <w:pPr>
        <w:spacing w:after="0" w:line="116"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Book-Entry Procedures</w:t>
      </w:r>
    </w:p>
    <w:p>
      <w:pPr>
        <w:spacing w:after="0" w:line="127"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the debt securities will be issued in book-entry form, and the Depository Trust Company, or DTC, will act as securities depository for the debt securities. Unless otherwise specified in the applicable prospectus supplement, the debt securities will be issued as fully registered securities registered in the name of Cede &amp; Co. (DTC’s partnership nominee) or such other name as may be requested by an authorized representative of DTC. One fully-registered certificate will be issued for the debt securities, in the aggregate principal amount of such issue, and will be deposited with DTC.</w:t>
      </w:r>
    </w:p>
    <w:p>
      <w:pPr>
        <w:spacing w:after="0" w:line="90"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or DTCC.</w:t>
      </w:r>
    </w:p>
    <w:p>
      <w:pPr>
        <w:spacing w:after="0" w:line="85"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a Standard &amp; Poor’s rating of AA+. The DTC Rules applicable to its participants are on file with the SEC. More information about DTC can be found at </w:t>
      </w:r>
      <w:r>
        <w:rPr>
          <w:rFonts w:ascii="Times New Roman" w:cs="Times New Roman" w:eastAsia="Times New Roman" w:hAnsi="Times New Roman"/>
          <w:sz w:val="14"/>
          <w:szCs w:val="14"/>
          <w:i w:val="1"/>
          <w:iCs w:val="1"/>
          <w:color w:val="auto"/>
        </w:rPr>
        <w:t>www.dtcc.com</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www.dtc.org</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60" w:name="page161"/>
    <w:bookmarkEnd w:id="160"/>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Purchases of debt securities under the DTC system must be made by or through Direct Participants, which will receive a credit for the debt securities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92"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92"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77"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83"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95"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DTC may discontinue providing its services as securities depository with respect to the debt securities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80"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61" w:name="page162"/>
    <w:bookmarkEnd w:id="161"/>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16"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We may offer, from time to time, in more than one offering or series, our common stock, preferred stock, subscription rights to purchase shares of our common stock or debt securities, in one or more underwritten public offerings, at-the-market offerings to or through a market maker or into an existing trading market for the securities, on an exchange or otherwise, negotiated transactions, block trades, best efforts or a combination of these methods. We may sell securities through underwriters or dealers, directly to one or more purchasers, including existing stockholders in a rights offering, through agents or through a combination of any such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securities will be named in the applicable prospectus supplement. A prospectus supplement or supplements will also describe the terms of the offering of securities, including: the purchase price of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the securities may be listed. Only underwriters or agents named in the prospectus supplement will be underwriters or agents of the securities offered by the prospectus supplement.</w:t>
      </w:r>
    </w:p>
    <w:p>
      <w:pPr>
        <w:spacing w:after="0" w:line="99"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or discounts, must equal or exceed the net asset value per share of our common stock at the time of the offering except (a) in connection with a rights offering to our existing stockholders, (b) with the consent of the majority (as defined in the 1940 Act) of our common stockholders or (c) under such other circumstances as the SEC may permit. The price at which the securities may be distributed may represent a discount from prevailing market prices.</w:t>
      </w:r>
    </w:p>
    <w:p>
      <w:pPr>
        <w:spacing w:after="0" w:line="92"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compensation to be received by any member of FINRA or independent broker-dealer, including any reimbursements to underwriters or agents for certain fees and legal expenses incurred by them, will not be greater than 8% of the gross proceeds of the sale of the securities offered pursuant to this prospectus and any applicable prospectus supplement.</w:t>
      </w:r>
    </w:p>
    <w:p>
      <w:pPr>
        <w:spacing w:after="0" w:line="83"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92" w:lineRule="exact"/>
        <w:rPr>
          <w:sz w:val="20"/>
          <w:szCs w:val="20"/>
          <w:color w:val="auto"/>
        </w:rPr>
      </w:pPr>
    </w:p>
    <w:p>
      <w:pPr>
        <w:jc w:val="both"/>
        <w:ind w:left="1320" w:right="1339" w:firstLine="339"/>
        <w:spacing w:after="0" w:line="258" w:lineRule="auto"/>
        <w:rPr>
          <w:sz w:val="20"/>
          <w:szCs w:val="20"/>
          <w:color w:val="auto"/>
        </w:rPr>
      </w:pPr>
      <w:r>
        <w:rPr>
          <w:rFonts w:ascii="Times New Roman" w:cs="Times New Roman" w:eastAsia="Times New Roman" w:hAnsi="Times New Roman"/>
          <w:sz w:val="14"/>
          <w:szCs w:val="14"/>
          <w:color w:val="auto"/>
        </w:rPr>
        <w:t>Any underwriters that are qualified market makers on the NASDAQ Global Select Market may engage in passive market making transactions in our common stock on the NASDAQ Global Select Market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62" w:name="page163"/>
    <w:bookmarkEnd w:id="162"/>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spacing w:after="0" w:line="263" w:lineRule="auto"/>
        <w:rPr>
          <w:sz w:val="20"/>
          <w:szCs w:val="20"/>
          <w:color w:val="auto"/>
        </w:rPr>
      </w:pPr>
      <w:r>
        <w:rPr>
          <w:rFonts w:ascii="Times New Roman" w:cs="Times New Roman" w:eastAsia="Times New Roman" w:hAnsi="Times New Roman"/>
          <w:sz w:val="14"/>
          <w:szCs w:val="14"/>
          <w:color w:val="auto"/>
        </w:rPr>
        <w:t>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88"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We may sell the securities directly or through agents we designate from time to time. We will name any agent involved in the offering and sale of the securities and we will describe any commissions we will pay the agent in the prospectus supplement. Unless the prospectus supplement states otherwise, our agent will act on a best-efforts basis for the period of its appointment.</w:t>
      </w:r>
    </w:p>
    <w:p>
      <w:pPr>
        <w:spacing w:after="0" w:line="88"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each class or series of securities will be a new issue with no trading market, other than our common stock and the Series 2027 Term Preferred Shares, the 6.00% Series 2029 Term Preferred Shares, the 7.125% Series 2029 Term Preferred Shares, the 2027 Notes, the 2031 Notes and the 2030 Notes, which are traded on The NASDAQ Global Select Market. We may elect to list any other class or series of securities on any exchanges, but we are not obligated to do so. We cannot guarantee the liquidity of the trading markets for any securities.</w:t>
      </w:r>
    </w:p>
    <w:p>
      <w:pPr>
        <w:spacing w:after="0" w:line="79"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Under agreements that we may enter, underwriters, dealers and agents who participate in the distribution of shares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91"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97" w:lineRule="exact"/>
        <w:rPr>
          <w:sz w:val="20"/>
          <w:szCs w:val="20"/>
          <w:color w:val="auto"/>
        </w:rPr>
      </w:pPr>
    </w:p>
    <w:p>
      <w:pPr>
        <w:jc w:val="both"/>
        <w:ind w:left="1320" w:right="1339" w:firstLine="339"/>
        <w:spacing w:after="0" w:line="257" w:lineRule="auto"/>
        <w:rPr>
          <w:sz w:val="20"/>
          <w:szCs w:val="20"/>
          <w:color w:val="auto"/>
        </w:rPr>
      </w:pPr>
      <w:r>
        <w:rPr>
          <w:rFonts w:ascii="Times New Roman" w:cs="Times New Roman" w:eastAsia="Times New Roman" w:hAnsi="Times New Roman"/>
          <w:sz w:val="14"/>
          <w:szCs w:val="14"/>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81" w:lineRule="exact"/>
        <w:rPr>
          <w:sz w:val="20"/>
          <w:szCs w:val="20"/>
          <w:color w:val="auto"/>
        </w:rPr>
      </w:pPr>
    </w:p>
    <w:p>
      <w:pPr>
        <w:jc w:val="both"/>
        <w:ind w:left="1320" w:right="1339" w:firstLine="339"/>
        <w:spacing w:after="0" w:line="286" w:lineRule="auto"/>
        <w:rPr>
          <w:sz w:val="20"/>
          <w:szCs w:val="20"/>
          <w:color w:val="auto"/>
        </w:rPr>
      </w:pPr>
      <w:r>
        <w:rPr>
          <w:rFonts w:ascii="Times New Roman" w:cs="Times New Roman" w:eastAsia="Times New Roman" w:hAnsi="Times New Roman"/>
          <w:sz w:val="14"/>
          <w:szCs w:val="14"/>
          <w:color w:val="auto"/>
        </w:rPr>
        <w:t>In order to comply with the securities laws of certain states, if applicable, our securities offered hereby will be sold in such jurisdictions only through registered or licensed brokers or dealers.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63" w:name="page164"/>
    <w:bookmarkEnd w:id="163"/>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CUSTODIAN, TRANSFER AGENT, DIVIDEND DISBURSING AGENT AND REDEMPTION AND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PAYING AGENT</w:t>
      </w:r>
    </w:p>
    <w:p>
      <w:pPr>
        <w:spacing w:after="0" w:line="100"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Our securities are held under a custody agreement by U.S. Bank National Association. The address of the custodian is 8 Greenway Plaza Suite 1100, Houston, TX 77046. Computershare Trust Company, N.A. acts as our transfer agent, dividend disbursing agent and redemption and paying agent. The principal business address of our transfer agent is 250 Royall Street, Canton, MA 02021.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BROKERAGE ALLOCATION AND OTHER PRACTICES</w:t>
      </w:r>
    </w:p>
    <w:p>
      <w:pPr>
        <w:spacing w:after="0" w:line="127" w:lineRule="exact"/>
        <w:rPr>
          <w:sz w:val="20"/>
          <w:szCs w:val="20"/>
          <w:color w:val="auto"/>
        </w:rPr>
      </w:pPr>
    </w:p>
    <w:p>
      <w:pPr>
        <w:jc w:val="both"/>
        <w:ind w:left="1320" w:right="1339" w:firstLine="339"/>
        <w:spacing w:after="0" w:line="254" w:lineRule="auto"/>
        <w:rPr>
          <w:sz w:val="20"/>
          <w:szCs w:val="20"/>
          <w:color w:val="auto"/>
        </w:rPr>
      </w:pPr>
      <w:r>
        <w:rPr>
          <w:rFonts w:ascii="Times New Roman" w:cs="Times New Roman" w:eastAsia="Times New Roman" w:hAnsi="Times New Roman"/>
          <w:sz w:val="14"/>
          <w:szCs w:val="14"/>
          <w:color w:val="auto"/>
        </w:rPr>
        <w:t>Since we acquire and dispose of most of our investments in privately negotiated transactions or in the over-the-counter markets, we infrequently use brokers in the normal course of our business. We are generally not required to pay a stated brokerage commission. However, to the extent a broker-dealer is involved in a transaction, the price paid or received by us may reflect a mark-up or mark-down. Subject to policies established by our Board of Directors, Oxford Lane Management is responsible for the execution of securities transactions in our portfolio. The investment adviser in making decisions regarding the selection of broker-dealers used to find a buyer or seller for transactions, takes into account the following factors: (i) whether the broker-dealer has any special knowledge of the security; (ii) whether the broker-dealer originally underwrote or sponsored the security (iii) the ability of the broker-dealer to find a natural buyer or seller for the security</w:t>
      </w:r>
    </w:p>
    <w:p>
      <w:pPr>
        <w:spacing w:after="0" w:line="5" w:lineRule="exact"/>
        <w:rPr>
          <w:sz w:val="20"/>
          <w:szCs w:val="20"/>
          <w:color w:val="auto"/>
        </w:rPr>
      </w:pPr>
    </w:p>
    <w:p>
      <w:pPr>
        <w:jc w:val="both"/>
        <w:ind w:left="1320" w:right="1339" w:firstLine="10"/>
        <w:spacing w:after="0" w:line="255" w:lineRule="auto"/>
        <w:tabs>
          <w:tab w:leader="none" w:pos="157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operational efficiency with which transactions are effected (such as prompt and accurate confirmation and delivery), taking into account the size of order and difficulty of execution; (v) the financial strength, integrity and stability of the broker-dealer; (vi) the value of brokerage services over and above trade execution provided to the Company; and (vii) any other factors the investment adviser considers to be in the best interest of the Company.</w:t>
      </w:r>
    </w:p>
    <w:p>
      <w:pPr>
        <w:spacing w:after="0" w:line="93"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Neither the investment adviser nor the Company has any “soft dollars” arrangement in which a broker-dealer for commissions contracts with and pays a third party on behalf of the investment adviser so that the third party may provide research or brokerage services to the investment adviser. The investment adviser may receive research directly from the broker-dealers with whom it transacts. However, the investment adviser does not “pay up” for such information nor is receipt of the information a primary consideration in broker-dealer selection.</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64" w:name="page165"/>
    <w:bookmarkEnd w:id="164"/>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16" w:lineRule="exact"/>
        <w:rPr>
          <w:sz w:val="20"/>
          <w:szCs w:val="20"/>
          <w:color w:val="auto"/>
        </w:rPr>
      </w:pPr>
    </w:p>
    <w:p>
      <w:pPr>
        <w:jc w:val="both"/>
        <w:ind w:left="1320" w:right="1339" w:firstLine="339"/>
        <w:spacing w:after="0" w:line="269" w:lineRule="auto"/>
        <w:rPr>
          <w:sz w:val="20"/>
          <w:szCs w:val="20"/>
          <w:color w:val="auto"/>
        </w:rPr>
      </w:pPr>
      <w:r>
        <w:rPr>
          <w:rFonts w:ascii="Times New Roman" w:cs="Times New Roman" w:eastAsia="Times New Roman" w:hAnsi="Times New Roman"/>
          <w:sz w:val="14"/>
          <w:szCs w:val="14"/>
          <w:color w:val="auto"/>
        </w:rPr>
        <w:t>Certain legal matters in connection with the securities offered hereby will be passed upon for us by Dechert LLP, Washington, DC. Certain legal matters in connection with the offering of the securities will be passed upon for the underwriters, if any, by the counsel named in the applicable prospectus supplement.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7"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The financial statements incorporated in this Prospectus by reference to the Annual Report on Form N-CSR for the year ended March 31, 2024 have been so incorporated in reliance on the report of PricewaterhouseCoopers LLP, an independent registered public accounting firm, given on the authority of said firm as experts in auditing and accounting.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27" w:lineRule="exact"/>
        <w:rPr>
          <w:sz w:val="20"/>
          <w:szCs w:val="20"/>
          <w:color w:val="auto"/>
        </w:rPr>
      </w:pPr>
    </w:p>
    <w:p>
      <w:pPr>
        <w:jc w:val="both"/>
        <w:ind w:left="1320" w:right="1339" w:firstLine="339"/>
        <w:spacing w:after="0" w:line="263"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77" w:lineRule="exact"/>
        <w:rPr>
          <w:sz w:val="20"/>
          <w:szCs w:val="20"/>
          <w:color w:val="auto"/>
        </w:rPr>
      </w:pPr>
    </w:p>
    <w:p>
      <w:pPr>
        <w:jc w:val="both"/>
        <w:ind w:left="1320" w:right="1339" w:firstLine="339"/>
        <w:spacing w:after="0" w:line="255" w:lineRule="auto"/>
        <w:rPr>
          <w:sz w:val="20"/>
          <w:szCs w:val="20"/>
          <w:color w:val="auto"/>
        </w:rPr>
      </w:pPr>
      <w:r>
        <w:rPr>
          <w:rFonts w:ascii="Times New Roman" w:cs="Times New Roman" w:eastAsia="Times New Roman" w:hAnsi="Times New Roman"/>
          <w:sz w:val="14"/>
          <w:szCs w:val="14"/>
          <w:color w:val="auto"/>
        </w:rPr>
        <w:t xml:space="preserve">We are required to file with or submit to the SEC annual, semi-annual and monthly reports, proxy statements and other information meeting the informational requirements of the Exchange Act. The SEC maintains an Internet site that contains reports, proxy and information statements and other information filed electronically by us with the SEC which are available on the SEC’s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xml:space="preserve"> Copies of these reports, proxy and information statements and other information may be obtained, after paying a duplicating fee, by electronic request at the following e-mail address: publicinfo@sec.gov. This information is also available free of charge by contacting us at Oxford Lane Capital Corp., 8 Sound Shore Drive, Suite 255, Greenwich, CT 06830, by telephone at (203) 983-5275, or on our website at </w:t>
      </w:r>
      <w:r>
        <w:rPr>
          <w:rFonts w:ascii="Times New Roman" w:cs="Times New Roman" w:eastAsia="Times New Roman" w:hAnsi="Times New Roman"/>
          <w:sz w:val="14"/>
          <w:szCs w:val="14"/>
          <w:i w:val="1"/>
          <w:iCs w:val="1"/>
          <w:color w:val="auto"/>
        </w:rPr>
        <w:t>http://www.oxfordlanecapital.com</w:t>
      </w:r>
      <w:r>
        <w:rPr>
          <w:rFonts w:ascii="Times New Roman" w:cs="Times New Roman" w:eastAsia="Times New Roman" w:hAnsi="Times New Roman"/>
          <w:sz w:val="14"/>
          <w:szCs w:val="14"/>
          <w:color w:val="auto"/>
        </w:rPr>
        <w:t>. Information contained on our website or on the SEC’s website about us is not incorporated into this prospectus and you should not consider information contained on our website or on the SEC’s website to be part of this prospectus.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65" w:name="page166"/>
    <w:bookmarkEnd w:id="165"/>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16" w:lineRule="exact"/>
        <w:rPr>
          <w:sz w:val="20"/>
          <w:szCs w:val="20"/>
          <w:color w:val="auto"/>
        </w:rPr>
      </w:pPr>
    </w:p>
    <w:p>
      <w:pPr>
        <w:jc w:val="both"/>
        <w:ind w:left="1320" w:right="1339" w:firstLine="339"/>
        <w:spacing w:after="0" w:line="260" w:lineRule="auto"/>
        <w:rPr>
          <w:sz w:val="20"/>
          <w:szCs w:val="20"/>
          <w:color w:val="auto"/>
        </w:rPr>
      </w:pPr>
      <w:r>
        <w:rPr>
          <w:rFonts w:ascii="Times New Roman" w:cs="Times New Roman" w:eastAsia="Times New Roman" w:hAnsi="Times New Roman"/>
          <w:sz w:val="14"/>
          <w:szCs w:val="14"/>
          <w:color w:val="auto"/>
        </w:rPr>
        <w:t>As noted above, this prospectus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be part of this prospectus, and later information that we file with the SEC will automatically update and supersede this information.</w:t>
      </w:r>
    </w:p>
    <w:p>
      <w:pPr>
        <w:spacing w:after="0" w:line="91" w:lineRule="exact"/>
        <w:rPr>
          <w:sz w:val="20"/>
          <w:szCs w:val="20"/>
          <w:color w:val="auto"/>
        </w:rPr>
      </w:pPr>
    </w:p>
    <w:p>
      <w:pPr>
        <w:jc w:val="both"/>
        <w:ind w:left="1320" w:right="1339" w:firstLine="339"/>
        <w:spacing w:after="0" w:line="256" w:lineRule="auto"/>
        <w:rPr>
          <w:sz w:val="20"/>
          <w:szCs w:val="20"/>
          <w:color w:val="auto"/>
        </w:rPr>
      </w:pPr>
      <w:r>
        <w:rPr>
          <w:rFonts w:ascii="Times New Roman" w:cs="Times New Roman" w:eastAsia="Times New Roman" w:hAnsi="Times New Roman"/>
          <w:sz w:val="14"/>
          <w:szCs w:val="14"/>
          <w:color w:val="auto"/>
        </w:rPr>
        <w:t>We incorporate by reference any future filings (including those made after the date of the filing of the registration statement of which this prospectus is a part) we will make with the SEC under Sections 13(a), 13(c), 14, or 15(d) of the Exchange Act including any filings on or after the date of this prospectus from the date of filing (excluding any information furnished, rather than filed), until we have sold all of the offered securities to which this prospectus and any accompanying prospectus supplement relates or the offering is otherwise terminated. The information incorporated by reference is an important part of this prospectus. Any statement in a document incorporated by reference into this prospectus will be deemed to be automatically modified or superseded to the extent a statement contained in (1) this prospectus or (2) any other subsequently filed document that is incorporated by reference into this prospectus modifies or supersedes such statement. The documents incorporated by reference herein include:</w:t>
      </w:r>
    </w:p>
    <w:p>
      <w:pPr>
        <w:spacing w:after="0" w:line="92" w:lineRule="exact"/>
        <w:rPr>
          <w:sz w:val="20"/>
          <w:szCs w:val="20"/>
          <w:color w:val="auto"/>
        </w:rPr>
      </w:pPr>
    </w:p>
    <w:p>
      <w:pPr>
        <w:ind w:left="2000" w:right="1339" w:hanging="332"/>
        <w:spacing w:after="0" w:line="286" w:lineRule="auto"/>
        <w:tabs>
          <w:tab w:leader="none" w:pos="1996"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152">
        <w:r>
          <w:rPr>
            <w:rFonts w:ascii="Times New Roman" w:cs="Times New Roman" w:eastAsia="Times New Roman" w:hAnsi="Times New Roman"/>
            <w:sz w:val="14"/>
            <w:szCs w:val="14"/>
            <w:u w:val="single" w:color="auto"/>
            <w:color w:val="0000EE"/>
          </w:rPr>
          <w:t>Annual Report on Form N-CSR</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March 31, 2024, filed with the SEC on May 17, 2024;</w:t>
      </w:r>
    </w:p>
    <w:p>
      <w:pPr>
        <w:spacing w:after="0" w:line="60"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153">
        <w:r>
          <w:rPr>
            <w:rFonts w:ascii="Times New Roman" w:cs="Times New Roman" w:eastAsia="Times New Roman" w:hAnsi="Times New Roman"/>
            <w:sz w:val="14"/>
            <w:szCs w:val="14"/>
            <w:u w:val="single" w:color="auto"/>
            <w:color w:val="0000EE"/>
          </w:rPr>
          <w:t>Semi-Annual Report on Form N-CSR</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six months ended September 30, 2024, filed with the SEC on November 1, 2024;</w:t>
      </w:r>
    </w:p>
    <w:p>
      <w:pPr>
        <w:spacing w:after="0" w:line="71" w:lineRule="exact"/>
        <w:rPr>
          <w:rFonts w:ascii="Times New Roman" w:cs="Times New Roman" w:eastAsia="Times New Roman" w:hAnsi="Times New Roman"/>
          <w:sz w:val="14"/>
          <w:szCs w:val="14"/>
          <w:color w:val="auto"/>
        </w:rPr>
      </w:pPr>
    </w:p>
    <w:p>
      <w:pPr>
        <w:ind w:left="2000" w:right="1359" w:hanging="332"/>
        <w:spacing w:after="0" w:line="286" w:lineRule="auto"/>
        <w:tabs>
          <w:tab w:leader="none" w:pos="1996"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w:t>
      </w:r>
      <w:hyperlink r:id="rId170">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annual meeting of the stockholders, filed with the SEC on September 6, 2024;</w:t>
      </w:r>
    </w:p>
    <w:p>
      <w:pPr>
        <w:spacing w:after="0" w:line="71"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referenced in our Registration Statement on </w:t>
      </w:r>
      <w:hyperlink r:id="rId64">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as filed with the SEC on January 19, 2011, including any amendment or report filed for the purpose of updating such description prior to the termination of the offering of the common stock registered hereby;</w:t>
      </w:r>
    </w:p>
    <w:p>
      <w:pPr>
        <w:spacing w:after="0" w:line="77"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6.25% Series 2027 Term Preferred Shares referenced in our Registration Statement on </w:t>
      </w:r>
      <w:hyperlink r:id="rId65">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as filed with the SEC on February 7, 2020 including any amendment or report filed for the purpose of updating such description prior to the termination of the offering of the preferred stock registered hereby;</w:t>
      </w:r>
    </w:p>
    <w:p>
      <w:pPr>
        <w:spacing w:after="0" w:line="87"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6.75% Notes due 2031 referenced in our Registration Statement on </w:t>
      </w:r>
      <w:hyperlink r:id="rId66">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as filed with the SEC on March 16, 2021 including any amendment or report filed for the purpose of updating such description prior to the termination of the offering of the notes registered hereby;</w:t>
      </w:r>
    </w:p>
    <w:p>
      <w:pPr>
        <w:spacing w:after="0" w:line="82"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6.00% Series 2029 Term Preferred Shares referenced in our Registration Statement on </w:t>
      </w:r>
      <w:hyperlink r:id="rId65">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xml:space="preserve">, as filed with the SEC on </w:t>
      </w:r>
      <w:hyperlink r:id="rId67">
        <w:r>
          <w:rPr>
            <w:rFonts w:ascii="Times New Roman" w:cs="Times New Roman" w:eastAsia="Times New Roman" w:hAnsi="Times New Roman"/>
            <w:sz w:val="14"/>
            <w:szCs w:val="14"/>
            <w:u w:val="single" w:color="auto"/>
            <w:color w:val="0000EE"/>
          </w:rPr>
          <w:t>August 17, 2021</w:t>
        </w:r>
      </w:hyperlink>
      <w:r>
        <w:rPr>
          <w:rFonts w:ascii="Times New Roman" w:cs="Times New Roman" w:eastAsia="Times New Roman" w:hAnsi="Times New Roman"/>
          <w:sz w:val="14"/>
          <w:szCs w:val="14"/>
          <w:color w:val="auto"/>
        </w:rPr>
        <w:t>, including any amendment or report filed for the purpose of updating such description prior to the termination of the offering of the preferred stock registered hereby;</w:t>
      </w:r>
    </w:p>
    <w:p>
      <w:pPr>
        <w:spacing w:after="0" w:line="77" w:lineRule="exact"/>
        <w:rPr>
          <w:rFonts w:ascii="Times New Roman" w:cs="Times New Roman" w:eastAsia="Times New Roman" w:hAnsi="Times New Roman"/>
          <w:sz w:val="14"/>
          <w:szCs w:val="14"/>
          <w:color w:val="auto"/>
        </w:rPr>
      </w:pPr>
    </w:p>
    <w:p>
      <w:pPr>
        <w:jc w:val="both"/>
        <w:ind w:left="2000" w:right="1339" w:hanging="332"/>
        <w:spacing w:after="0" w:line="269" w:lineRule="auto"/>
        <w:tabs>
          <w:tab w:leader="none" w:pos="1996"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5.00% Notes due 2027 referenced in our Registration Statement on </w:t>
      </w:r>
      <w:hyperlink r:id="rId65">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xml:space="preserve">, as filed with the SEC on </w:t>
      </w:r>
      <w:hyperlink r:id="rId68">
        <w:r>
          <w:rPr>
            <w:rFonts w:ascii="Times New Roman" w:cs="Times New Roman" w:eastAsia="Times New Roman" w:hAnsi="Times New Roman"/>
            <w:sz w:val="14"/>
            <w:szCs w:val="14"/>
            <w:u w:val="single" w:color="auto"/>
            <w:color w:val="0000EE"/>
          </w:rPr>
          <w:t>January 13, 2022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including any amendment or report filed for the purpose of updating such description prior to the termination of the offering of the notes registered hereby;</w:t>
      </w:r>
    </w:p>
    <w:p>
      <w:pPr>
        <w:spacing w:after="0" w:line="82"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7.125% Series 2029 Term Preferred Shares referenced in our Registration Statement on </w:t>
      </w:r>
      <w:hyperlink r:id="rId65">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xml:space="preserve">, as filed with the SEC on </w:t>
      </w:r>
      <w:hyperlink r:id="rId69">
        <w:r>
          <w:rPr>
            <w:rFonts w:ascii="Times New Roman" w:cs="Times New Roman" w:eastAsia="Times New Roman" w:hAnsi="Times New Roman"/>
            <w:sz w:val="14"/>
            <w:szCs w:val="14"/>
            <w:u w:val="single" w:color="auto"/>
            <w:color w:val="0000EE"/>
          </w:rPr>
          <w:t>June 16, 2022</w:t>
        </w:r>
      </w:hyperlink>
      <w:r>
        <w:rPr>
          <w:rFonts w:ascii="Times New Roman" w:cs="Times New Roman" w:eastAsia="Times New Roman" w:hAnsi="Times New Roman"/>
          <w:sz w:val="14"/>
          <w:szCs w:val="14"/>
          <w:color w:val="auto"/>
        </w:rPr>
        <w:t>, including any amendment or report filed for the purpose of updating such description prior to the termination of the offering of the preferred stock registered hereby;</w:t>
      </w:r>
    </w:p>
    <w:p>
      <w:pPr>
        <w:spacing w:after="0" w:line="87" w:lineRule="exact"/>
        <w:rPr>
          <w:rFonts w:ascii="Times New Roman" w:cs="Times New Roman" w:eastAsia="Times New Roman" w:hAnsi="Times New Roman"/>
          <w:sz w:val="14"/>
          <w:szCs w:val="14"/>
          <w:color w:val="auto"/>
        </w:rPr>
      </w:pPr>
    </w:p>
    <w:p>
      <w:pPr>
        <w:jc w:val="both"/>
        <w:ind w:left="2000" w:right="1339" w:hanging="332"/>
        <w:spacing w:after="0" w:line="263" w:lineRule="auto"/>
        <w:tabs>
          <w:tab w:leader="none" w:pos="1996"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8.75% Notes due 2030 referenced in our Registration Statement on </w:t>
      </w:r>
      <w:hyperlink r:id="rId65">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xml:space="preserve">, as filed with the SEC on </w:t>
      </w:r>
      <w:hyperlink r:id="rId70">
        <w:r>
          <w:rPr>
            <w:rFonts w:ascii="Times New Roman" w:cs="Times New Roman" w:eastAsia="Times New Roman" w:hAnsi="Times New Roman"/>
            <w:sz w:val="14"/>
            <w:szCs w:val="14"/>
            <w:u w:val="single" w:color="auto"/>
            <w:color w:val="0000EE"/>
          </w:rPr>
          <w:t>July 8, 2024</w:t>
        </w:r>
      </w:hyperlink>
      <w:r>
        <w:rPr>
          <w:rFonts w:ascii="Times New Roman" w:cs="Times New Roman" w:eastAsia="Times New Roman" w:hAnsi="Times New Roman"/>
          <w:sz w:val="14"/>
          <w:szCs w:val="14"/>
          <w:color w:val="auto"/>
        </w:rPr>
        <w:t>, including any amendment or report filed for the purpose of updating such description prior to the termination of the offering of the preferred stock registered hereby; and</w:t>
      </w:r>
    </w:p>
    <w:p>
      <w:pPr>
        <w:spacing w:after="0" w:line="77" w:lineRule="exact"/>
        <w:rPr>
          <w:rFonts w:ascii="Times New Roman" w:cs="Times New Roman" w:eastAsia="Times New Roman" w:hAnsi="Times New Roman"/>
          <w:sz w:val="14"/>
          <w:szCs w:val="14"/>
          <w:color w:val="auto"/>
        </w:rPr>
      </w:pPr>
    </w:p>
    <w:p>
      <w:pPr>
        <w:ind w:left="2000" w:right="1339" w:hanging="332"/>
        <w:spacing w:after="0" w:line="286" w:lineRule="auto"/>
        <w:tabs>
          <w:tab w:leader="none" w:pos="1996"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w:t>
      </w:r>
      <w:hyperlink r:id="rId230">
        <w:r>
          <w:rPr>
            <w:rFonts w:ascii="Times New Roman" w:cs="Times New Roman" w:eastAsia="Times New Roman" w:hAnsi="Times New Roman"/>
            <w:sz w:val="14"/>
            <w:szCs w:val="14"/>
            <w:u w:val="single" w:color="auto"/>
            <w:color w:val="0000EE"/>
          </w:rPr>
          <w:t>Form 8-K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(other than information furnished rather than filed) filed with the SEC on July 31, 2024.</w:t>
      </w:r>
    </w:p>
    <w:p>
      <w:pPr>
        <w:spacing w:after="0" w:line="103"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sectPr>
      </w:pPr>
    </w:p>
    <w:bookmarkStart w:id="166" w:name="page167"/>
    <w:bookmarkEnd w:id="166"/>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14"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 xml:space="preserve">Our periodic reports filed pursuant to Section 30(b)(2) of the 1940 Act and Sections 13 or 15(d) of the Exchange Act, as well as this prospectus are available on our website at </w:t>
      </w:r>
      <w:r>
        <w:rPr>
          <w:rFonts w:ascii="Times New Roman" w:cs="Times New Roman" w:eastAsia="Times New Roman" w:hAnsi="Times New Roman"/>
          <w:sz w:val="14"/>
          <w:szCs w:val="14"/>
          <w:i w:val="1"/>
          <w:iCs w:val="1"/>
          <w:color w:val="auto"/>
        </w:rPr>
        <w:t>www.oxfordlanecapital.com.</w:t>
      </w:r>
      <w:r>
        <w:rPr>
          <w:rFonts w:ascii="Times New Roman" w:cs="Times New Roman" w:eastAsia="Times New Roman" w:hAnsi="Times New Roman"/>
          <w:sz w:val="14"/>
          <w:szCs w:val="14"/>
          <w:color w:val="auto"/>
        </w:rPr>
        <w:t xml:space="preserve"> Information contained on our website is not incorporated into this prospectus and you should not consider information contained on our website to be part of this prospectus. You may also request a copy of these filings (other than exhibits, unless the exhibits are specifically incorporated by reference into these documents) at no cost by writing or calling Investor Relations at the following address and telephone number: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 Sound Shore Drive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Suite 255</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Greenwich, Connecticut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(203) 983-5275</w:t>
      </w:r>
    </w:p>
    <w:p>
      <w:pPr>
        <w:spacing w:after="0" w:line="110" w:lineRule="exact"/>
        <w:rPr>
          <w:sz w:val="20"/>
          <w:szCs w:val="20"/>
          <w:color w:val="auto"/>
        </w:rPr>
      </w:pPr>
    </w:p>
    <w:p>
      <w:pPr>
        <w:jc w:val="both"/>
        <w:ind w:left="1320" w:right="1339" w:firstLine="339"/>
        <w:spacing w:after="0" w:line="259" w:lineRule="auto"/>
        <w:rPr>
          <w:sz w:val="20"/>
          <w:szCs w:val="20"/>
          <w:color w:val="auto"/>
        </w:rPr>
      </w:pPr>
      <w:r>
        <w:rPr>
          <w:rFonts w:ascii="Times New Roman" w:cs="Times New Roman" w:eastAsia="Times New Roman" w:hAnsi="Times New Roman"/>
          <w:sz w:val="14"/>
          <w:szCs w:val="14"/>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herein is accurate as of any date other than the date on the front of this prospectus or those documents.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14605</wp:posOffset>
            </wp:positionV>
            <wp:extent cx="403098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67" w:name="page168"/>
    <w:bookmarkEnd w:id="167"/>
    <w:p>
      <w:pPr>
        <w:ind w:left="13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363855</wp:posOffset>
            </wp:positionV>
            <wp:extent cx="4030980" cy="20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4030980" cy="20320"/>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397510</wp:posOffset>
            </wp:positionV>
            <wp:extent cx="4030980" cy="20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403098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$60,000,000</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Oxford Lane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241300</wp:posOffset>
            </wp:positionV>
            <wp:extent cx="551180" cy="5645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551180" cy="56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Shares, 8.25% Series 2031</w:t>
      </w:r>
    </w:p>
    <w:p>
      <w:pPr>
        <w:spacing w:after="0" w:line="15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__________________________</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5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p>
      <w:pPr>
        <w:sectPr>
          <w:pgSz w:w="11900" w:h="16838" w:orient="portrait"/>
          <w:cols w:equalWidth="0" w:num="1">
            <w:col w:w="9019"/>
          </w:cols>
          <w:pgMar w:left="1440" w:top="241" w:right="1440" w:bottom="1440" w:gutter="0" w:footer="0" w:header="0"/>
        </w:sectPr>
      </w:pPr>
    </w:p>
    <w:p>
      <w:pPr>
        <w:spacing w:after="0" w:line="15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9"/>
          <w:szCs w:val="19"/>
          <w:b w:val="1"/>
          <w:bCs w:val="1"/>
          <w:color w:val="auto"/>
        </w:rPr>
        <w:t>Lucid Capital Markets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Piper Sandler</w:t>
      </w:r>
    </w:p>
    <w:p>
      <w:pPr>
        <w:spacing w:after="0" w:line="200" w:lineRule="exact"/>
        <w:rPr>
          <w:sz w:val="20"/>
          <w:szCs w:val="20"/>
          <w:color w:val="auto"/>
        </w:rPr>
      </w:pPr>
    </w:p>
    <w:p>
      <w:pPr>
        <w:sectPr>
          <w:pgSz w:w="11900" w:h="16838" w:orient="portrait"/>
          <w:cols w:equalWidth="0" w:num="2">
            <w:col w:w="5800" w:space="720"/>
            <w:col w:w="2499"/>
          </w:cols>
          <w:pgMar w:left="1440" w:top="241" w:right="1440" w:bottom="1440" w:gutter="0" w:footer="0" w:header="0"/>
          <w:type w:val="continuous"/>
        </w:sectPr>
      </w:pP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Lead Managers</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b w:val="1"/>
          <w:bCs w:val="1"/>
          <w:color w:val="auto"/>
        </w:rPr>
        <w:t>Clear</w:t>
      </w:r>
    </w:p>
    <w:p>
      <w:pPr>
        <w:sectPr>
          <w:pgSz w:w="11900" w:h="16838" w:orient="portrait"/>
          <w:cols w:equalWidth="0" w:num="1">
            <w:col w:w="9019"/>
          </w:cols>
          <w:pgMar w:left="1440" w:top="241" w:right="1440" w:bottom="1440" w:gutter="0" w:footer="0" w:header="0"/>
          <w:type w:val="continuous"/>
        </w:sectPr>
      </w:pPr>
    </w:p>
    <w:p>
      <w:pPr>
        <w:spacing w:after="0" w:line="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9"/>
          <w:szCs w:val="19"/>
          <w:b w:val="1"/>
          <w:bCs w:val="1"/>
          <w:color w:val="auto"/>
        </w:rPr>
        <w:t>Street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InspereX</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William Blair</w:t>
      </w:r>
    </w:p>
    <w:p>
      <w:pPr>
        <w:spacing w:after="0" w:line="200" w:lineRule="exact"/>
        <w:rPr>
          <w:sz w:val="20"/>
          <w:szCs w:val="20"/>
          <w:color w:val="auto"/>
        </w:rPr>
      </w:pPr>
    </w:p>
    <w:p>
      <w:pPr>
        <w:sectPr>
          <w:pgSz w:w="11900" w:h="16838" w:orient="portrait"/>
          <w:cols w:equalWidth="0" w:num="3">
            <w:col w:w="3320" w:space="720"/>
            <w:col w:w="1760" w:space="720"/>
            <w:col w:w="2499"/>
          </w:cols>
          <w:pgMar w:left="1440" w:top="241" w:right="1440" w:bottom="1440" w:gutter="0" w:footer="0" w:header="0"/>
          <w:type w:val="continuous"/>
        </w:sectPr>
      </w:pP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Co-Manager</w:t>
      </w:r>
    </w:p>
    <w:p>
      <w:pPr>
        <w:spacing w:after="0" w:line="1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b w:val="1"/>
          <w:bCs w:val="1"/>
          <w:color w:val="auto"/>
        </w:rPr>
        <w:t>Wedbush Securities</w:t>
      </w:r>
    </w:p>
    <w:p>
      <w:pPr>
        <w:sectPr>
          <w:pgSz w:w="11900" w:h="16838" w:orient="portrait"/>
          <w:cols w:equalWidth="0" w:num="1">
            <w:col w:w="9019"/>
          </w:cols>
          <w:pgMar w:left="1440" w:top="241" w:right="1440" w:bottom="1440" w:gutter="0" w:footer="0" w:header="0"/>
          <w:type w:val="continuous"/>
        </w:sect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520065</wp:posOffset>
            </wp:positionV>
            <wp:extent cx="4030980" cy="20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4030980" cy="20320"/>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553085</wp:posOffset>
            </wp:positionV>
            <wp:extent cx="4030980" cy="20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4030980" cy="20320"/>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768350</wp:posOffset>
            </wp:positionV>
            <wp:extent cx="403098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4030980" cy="698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type w:val="continuous"/>
        </w:sectPr>
      </w:pPr>
    </w:p>
    <w:bookmarkStart w:id="168" w:name="page169"/>
    <w:bookmarkEnd w:id="168"/>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5" w:lineRule="exact"/>
        <w:rPr>
          <w:sz w:val="20"/>
          <w:szCs w:val="20"/>
          <w:color w:val="auto"/>
        </w:rPr>
      </w:pPr>
    </w:p>
    <w:p>
      <w:pPr>
        <w:ind w:left="5340"/>
        <w:spacing w:after="0"/>
        <w:rPr>
          <w:sz w:val="20"/>
          <w:szCs w:val="20"/>
          <w:color w:val="auto"/>
        </w:rPr>
      </w:pPr>
      <w:r>
        <w:rPr>
          <w:rFonts w:ascii="Arial" w:cs="Arial" w:eastAsia="Arial" w:hAnsi="Arial"/>
          <w:sz w:val="28"/>
          <w:szCs w:val="28"/>
          <w:b w:val="1"/>
          <w:bCs w:val="1"/>
          <w:color w:val="auto"/>
        </w:rPr>
        <w:t>N-2</w:t>
      </w:r>
    </w:p>
    <w:p>
      <w:pPr>
        <w:spacing w:after="0" w:line="101"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Oxford Lane Capital Corp.</w: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Maximum</w:t>
            </w:r>
          </w:p>
        </w:tc>
        <w:tc>
          <w:tcPr>
            <w:tcW w:w="4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0"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90"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5"/>
              <w:spacing w:after="0" w:line="190"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Aggregate</w:t>
            </w:r>
          </w:p>
        </w:tc>
        <w:tc>
          <w:tcPr>
            <w:tcW w:w="4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3"/>
              </w:rPr>
              <w:t>with</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0"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90"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90"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Offering</w:t>
            </w:r>
          </w:p>
        </w:tc>
        <w:tc>
          <w:tcPr>
            <w:tcW w:w="40" w:type="dxa"/>
            <w:vAlign w:val="bottom"/>
          </w:tcPr>
          <w:p>
            <w:pPr>
              <w:spacing w:after="0"/>
              <w:rPr>
                <w:sz w:val="16"/>
                <w:szCs w:val="16"/>
                <w:color w:val="auto"/>
              </w:rPr>
            </w:pPr>
          </w:p>
        </w:tc>
        <w:tc>
          <w:tcPr>
            <w:tcW w:w="8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200"/>
              <w:spacing w:after="0" w:line="190"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Price</w:t>
            </w:r>
          </w:p>
        </w:tc>
        <w:tc>
          <w:tcPr>
            <w:tcW w:w="4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jc w:val="center"/>
              <w:ind w:right="35"/>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2" w:lineRule="exact"/>
              <w:rPr>
                <w:sz w:val="20"/>
                <w:szCs w:val="20"/>
                <w:color w:val="auto"/>
              </w:rPr>
            </w:pPr>
            <w:r>
              <w:rPr>
                <w:rFonts w:ascii="Arial" w:cs="Arial" w:eastAsia="Arial" w:hAnsi="Arial"/>
                <w:sz w:val="17"/>
                <w:szCs w:val="17"/>
                <w:color w:val="auto"/>
              </w:rPr>
              <w:t>8.25%</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Series</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left w:val="single" w:sz="8" w:color="auto"/>
            </w:tcBorders>
          </w:tcPr>
          <w:p>
            <w:pPr>
              <w:spacing w:after="0"/>
              <w:rPr>
                <w:sz w:val="22"/>
                <w:szCs w:val="22"/>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22"/>
                <w:szCs w:val="22"/>
                <w:color w:val="auto"/>
              </w:rPr>
            </w:pPr>
          </w:p>
        </w:tc>
        <w:tc>
          <w:tcPr>
            <w:tcW w:w="1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22"/>
                <w:szCs w:val="22"/>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22"/>
                <w:szCs w:val="22"/>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2031</w:t>
            </w:r>
          </w:p>
        </w:tc>
        <w:tc>
          <w:tcPr>
            <w:tcW w:w="20" w:type="dxa"/>
            <w:vAlign w:val="bottom"/>
          </w:tcPr>
          <w:p>
            <w:pPr>
              <w:spacing w:after="0"/>
              <w:rPr>
                <w:sz w:val="22"/>
                <w:szCs w:val="22"/>
                <w:color w:val="auto"/>
              </w:rPr>
            </w:pPr>
          </w:p>
        </w:tc>
        <w:tc>
          <w:tcPr>
            <w:tcW w:w="96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22"/>
                <w:szCs w:val="22"/>
                <w:color w:val="auto"/>
              </w:rPr>
            </w:pPr>
          </w:p>
        </w:tc>
        <w:tc>
          <w:tcPr>
            <w:tcW w:w="9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2,760,000</w:t>
            </w:r>
          </w:p>
        </w:tc>
        <w:tc>
          <w:tcPr>
            <w:tcW w:w="20" w:type="dxa"/>
            <w:vAlign w:val="bottom"/>
          </w:tcPr>
          <w:p>
            <w:pPr>
              <w:spacing w:after="0"/>
              <w:rPr>
                <w:sz w:val="22"/>
                <w:szCs w:val="22"/>
                <w:color w:val="auto"/>
              </w:rPr>
            </w:pPr>
          </w:p>
        </w:tc>
        <w:tc>
          <w:tcPr>
            <w:tcW w:w="8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$ 25.00</w:t>
            </w:r>
          </w:p>
        </w:tc>
        <w:tc>
          <w:tcPr>
            <w:tcW w:w="20" w:type="dxa"/>
            <w:vAlign w:val="bottom"/>
          </w:tcPr>
          <w:p>
            <w:pPr>
              <w:spacing w:after="0"/>
              <w:rPr>
                <w:sz w:val="22"/>
                <w:szCs w:val="22"/>
                <w:color w:val="auto"/>
              </w:rPr>
            </w:pPr>
          </w:p>
        </w:tc>
        <w:tc>
          <w:tcPr>
            <w:tcW w:w="11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22"/>
                <w:szCs w:val="22"/>
                <w:color w:val="auto"/>
              </w:rPr>
            </w:pPr>
          </w:p>
        </w:tc>
        <w:tc>
          <w:tcPr>
            <w:tcW w:w="10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$ 9,528.90</w:t>
            </w:r>
          </w:p>
        </w:tc>
        <w:tc>
          <w:tcPr>
            <w:tcW w:w="20" w:type="dxa"/>
            <w:vAlign w:val="bottom"/>
          </w:tcPr>
          <w:p>
            <w:pPr>
              <w:spacing w:after="0"/>
              <w:rPr>
                <w:sz w:val="22"/>
                <w:szCs w:val="22"/>
                <w:color w:val="auto"/>
              </w:rPr>
            </w:pPr>
          </w:p>
        </w:tc>
        <w:tc>
          <w:tcPr>
            <w:tcW w:w="7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Borders>
              <w:right w:val="single" w:sz="8" w:color="auto"/>
            </w:tcBorders>
            <w:shd w:val="clear" w:color="auto" w:fill="E7E7E2"/>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line="116" w:lineRule="exact"/>
              <w:rPr>
                <w:sz w:val="20"/>
                <w:szCs w:val="20"/>
                <w:color w:val="auto"/>
              </w:rPr>
            </w:pPr>
            <w:r>
              <w:rPr>
                <w:rFonts w:ascii="Arial" w:cs="Arial" w:eastAsia="Arial" w:hAnsi="Arial"/>
                <w:sz w:val="13"/>
                <w:szCs w:val="13"/>
                <w:color w:val="auto"/>
              </w:rPr>
              <w:t>be Paid</w:t>
            </w: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line="116" w:lineRule="exact"/>
              <w:rPr>
                <w:sz w:val="20"/>
                <w:szCs w:val="20"/>
                <w:color w:val="auto"/>
              </w:rPr>
            </w:pPr>
            <w:r>
              <w:rPr>
                <w:rFonts w:ascii="Arial" w:cs="Arial" w:eastAsia="Arial" w:hAnsi="Arial"/>
                <w:sz w:val="13"/>
                <w:szCs w:val="13"/>
                <w:color w:val="auto"/>
              </w:rPr>
              <w:t>Term</w:t>
            </w: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shd w:val="clear" w:color="auto" w:fill="E7E7E2"/>
          </w:tcPr>
          <w:p>
            <w:pPr>
              <w:jc w:val="right"/>
              <w:spacing w:after="0" w:line="116" w:lineRule="exact"/>
              <w:rPr>
                <w:sz w:val="20"/>
                <w:szCs w:val="20"/>
                <w:color w:val="auto"/>
              </w:rPr>
            </w:pPr>
            <w:r>
              <w:rPr>
                <w:rFonts w:ascii="Arial" w:cs="Arial" w:eastAsia="Arial" w:hAnsi="Arial"/>
                <w:sz w:val="13"/>
                <w:szCs w:val="13"/>
                <w:color w:val="auto"/>
              </w:rPr>
              <w:t>69,000,000.00</w:t>
            </w:r>
          </w:p>
        </w:tc>
        <w:tc>
          <w:tcPr>
            <w:tcW w:w="4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w w:val="98"/>
              </w:rPr>
              <w:t>Preferred</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Stock</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jc w:val="center"/>
              <w:ind w:right="35"/>
              <w:spacing w:after="0"/>
              <w:rPr>
                <w:sz w:val="20"/>
                <w:szCs w:val="20"/>
                <w:color w:val="auto"/>
              </w:rPr>
            </w:pPr>
            <w:r>
              <w:rPr>
                <w:rFonts w:ascii="Arial" w:cs="Arial" w:eastAsia="Arial" w:hAnsi="Arial"/>
                <w:sz w:val="17"/>
                <w:szCs w:val="17"/>
                <w:b w:val="1"/>
                <w:bCs w:val="1"/>
                <w:color w:val="auto"/>
                <w:w w:val="99"/>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$ 9,528.90</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69,000,000.00</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$ 9,528.90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3" w:lineRule="exact"/>
        <w:rPr>
          <w:sz w:val="20"/>
          <w:szCs w:val="20"/>
          <w:color w:val="auto"/>
        </w:rPr>
      </w:pPr>
    </w:p>
    <w:p>
      <w:pPr>
        <w:ind w:left="220" w:right="180"/>
        <w:spacing w:after="0" w:line="250" w:lineRule="auto"/>
        <w:rPr>
          <w:sz w:val="20"/>
          <w:szCs w:val="20"/>
          <w:color w:val="auto"/>
        </w:rPr>
      </w:pPr>
      <w:r>
        <w:rPr>
          <w:rFonts w:ascii="Arial" w:cs="Arial" w:eastAsia="Arial" w:hAnsi="Arial"/>
          <w:sz w:val="17"/>
          <w:szCs w:val="17"/>
          <w:color w:val="auto"/>
        </w:rPr>
        <w:t>The registration fee is calculated in accordance with Rule 457(r) of the Securities Act of 1933, as amended. This "Calculation of Filing Fee" table shall be deemed to update the "Calculation of Registration Fee" table in the registrant's Registration Statement on Form N-2 (File No. 333-283109) in accordance with Rules 456(b) and 457(r)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4692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Unsold</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ind w:right="15"/>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8"/>
              </w:rPr>
              <w:t>Securities</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4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ind w:right="15"/>
              <w:spacing w:after="0" w:line="16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jc w:val="center"/>
              <w:ind w:right="275"/>
              <w:spacing w:after="0" w:line="190"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700" w:type="dxa"/>
            <w:vAlign w:val="bottom"/>
            <w:gridSpan w:val="4"/>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40" w:type="dxa"/>
            <w:vAlign w:val="bottom"/>
            <w:shd w:val="clear" w:color="auto" w:fill="9ADAF6"/>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96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6"/>
                <w:szCs w:val="16"/>
                <w:color w:val="auto"/>
              </w:rPr>
            </w:pPr>
          </w:p>
        </w:tc>
        <w:tc>
          <w:tcPr>
            <w:tcW w:w="960" w:type="dxa"/>
            <w:vAlign w:val="bottom"/>
            <w:gridSpan w:val="3"/>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14"/>
          </w:tcPr>
          <w:p>
            <w:pPr>
              <w:jc w:val="center"/>
              <w:ind w:left="515"/>
              <w:spacing w:after="0"/>
              <w:rPr>
                <w:sz w:val="20"/>
                <w:szCs w:val="20"/>
                <w:color w:val="auto"/>
              </w:rPr>
            </w:pPr>
            <w:r>
              <w:rPr>
                <w:rFonts w:ascii="Arial" w:cs="Arial" w:eastAsia="Arial" w:hAnsi="Arial"/>
                <w:sz w:val="17"/>
                <w:szCs w:val="17"/>
                <w:b w:val="1"/>
                <w:bCs w:val="1"/>
                <w:color w:val="auto"/>
                <w:w w:val="98"/>
              </w:rPr>
              <w:t>Rules 457(b) and 0-11(a)(2)</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6"/>
          </w:tcPr>
          <w:p>
            <w:pPr>
              <w:jc w:val="center"/>
              <w:ind w:left="175"/>
              <w:spacing w:after="0"/>
              <w:rPr>
                <w:sz w:val="20"/>
                <w:szCs w:val="20"/>
                <w:color w:val="auto"/>
              </w:rPr>
            </w:pPr>
            <w:r>
              <w:rPr>
                <w:rFonts w:ascii="Arial" w:cs="Arial" w:eastAsia="Arial" w:hAnsi="Arial"/>
                <w:sz w:val="17"/>
                <w:szCs w:val="17"/>
                <w:b w:val="1"/>
                <w:bCs w:val="1"/>
                <w:color w:val="auto"/>
              </w:rPr>
              <w:t>Rule 457(p)</w:t>
            </w: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6"/>
            <w:shd w:val="clear" w:color="auto" w:fill="9ADAF6"/>
          </w:tcPr>
          <w:p>
            <w:pPr>
              <w:jc w:val="center"/>
              <w:ind w:left="255"/>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40" w:type="dxa"/>
            <w:vAlign w:val="bottom"/>
            <w:gridSpan w:val="5"/>
            <w:vMerge w:val="restart"/>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79"/>
              <w:spacing w:after="0" w:line="190"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0"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0"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0"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4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60"/>
              <w:spacing w:after="0" w:line="190"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0"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6"/>
            <w:vMerge w:val="restart"/>
            <w:shd w:val="clear" w:color="auto" w:fill="9ADAF6"/>
          </w:tcPr>
          <w:p>
            <w:pPr>
              <w:jc w:val="center"/>
              <w:ind w:left="275"/>
              <w:spacing w:after="0" w:line="190" w:lineRule="exact"/>
              <w:rPr>
                <w:sz w:val="20"/>
                <w:szCs w:val="20"/>
                <w:color w:val="auto"/>
              </w:rPr>
            </w:pPr>
            <w:r>
              <w:rPr>
                <w:rFonts w:ascii="Arial" w:cs="Arial" w:eastAsia="Arial" w:hAnsi="Arial"/>
                <w:sz w:val="17"/>
                <w:szCs w:val="17"/>
                <w:b w:val="1"/>
                <w:bCs w:val="1"/>
                <w:color w:val="auto"/>
                <w:w w:val="99"/>
              </w:rPr>
              <w:t>Previously</w:t>
            </w:r>
          </w:p>
        </w:tc>
        <w:tc>
          <w:tcPr>
            <w:tcW w:w="3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90"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90"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6"/>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6"/>
            <w:vMerge w:val="restart"/>
            <w:shd w:val="clear" w:color="auto" w:fill="9ADAF6"/>
          </w:tcPr>
          <w:p>
            <w:pPr>
              <w:jc w:val="center"/>
              <w:ind w:left="255"/>
              <w:spacing w:after="0"/>
              <w:rPr>
                <w:sz w:val="20"/>
                <w:szCs w:val="20"/>
                <w:color w:val="auto"/>
              </w:rPr>
            </w:pPr>
            <w:r>
              <w:rPr>
                <w:rFonts w:ascii="Arial" w:cs="Arial" w:eastAsia="Arial" w:hAnsi="Arial"/>
                <w:sz w:val="17"/>
                <w:szCs w:val="17"/>
                <w:b w:val="1"/>
                <w:bCs w:val="1"/>
                <w:color w:val="auto"/>
              </w:rPr>
              <w:t>Registered</w:t>
            </w:r>
          </w:p>
        </w:tc>
        <w:tc>
          <w:tcPr>
            <w:tcW w:w="3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6"/>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decimal"/>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75C6C33A"/>
    <w:multiLevelType w:val="hybridMultilevel"/>
    <w:lvl w:ilvl="0">
      <w:lvlJc w:val="left"/>
      <w:lvlText w:val="•"/>
      <w:numFmt w:val="bullet"/>
      <w:start w:val="1"/>
    </w:lvl>
    <w:lvl w:ilvl="1">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1)"/>
      <w:numFmt w:val="decimal"/>
      <w:start w:val="1"/>
    </w:lvl>
  </w:abstractNum>
  <w:abstractNum w:abstractNumId="13">
    <w:nsid w:val="275AC794"/>
    <w:multiLevelType w:val="hybridMultilevel"/>
    <w:lvl w:ilvl="0">
      <w:lvlJc w:val="left"/>
      <w:lvlText w:val="(%1)"/>
      <w:numFmt w:val="decimal"/>
      <w:start w:val="3"/>
    </w:lvl>
  </w:abstractNum>
  <w:abstractNum w:abstractNumId="14">
    <w:nsid w:val="39386575"/>
    <w:multiLevelType w:val="hybridMultilevel"/>
    <w:lvl w:ilvl="0">
      <w:lvlJc w:val="left"/>
      <w:lvlText w:val="(%1)"/>
      <w:numFmt w:val="lowerRoman"/>
      <w:start w:val="3"/>
    </w:lvl>
  </w:abstractNum>
  <w:abstractNum w:abstractNumId="15">
    <w:nsid w:val="1CF10FD8"/>
    <w:multiLevelType w:val="hybridMultilevel"/>
    <w:lvl w:ilvl="0">
      <w:lvlJc w:val="left"/>
      <w:lvlText w:val="(%1)"/>
      <w:numFmt w:val="lowerRoman"/>
      <w:start w:val="6"/>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1)"/>
      <w:numFmt w:val="lowerRoman"/>
      <w:start w:val="1"/>
    </w:lvl>
  </w:abstractNum>
  <w:abstractNum w:abstractNumId="18">
    <w:nsid w:val="47398C89"/>
    <w:multiLevelType w:val="hybridMultilevel"/>
    <w:lvl w:ilvl="0">
      <w:lvlJc w:val="left"/>
      <w:lvlText w:val="(%1)"/>
      <w:numFmt w:val="lowerRoman"/>
      <w:start w:val="1"/>
    </w:lvl>
  </w:abstractNum>
  <w:abstractNum w:abstractNumId="19">
    <w:nsid w:val="354FE9F9"/>
    <w:multiLevelType w:val="hybridMultilevel"/>
    <w:lvl w:ilvl="0">
      <w:lvlJc w:val="left"/>
      <w:lvlText w:val="(%1)"/>
      <w:numFmt w:val="lowerRoman"/>
      <w:start w:val="2"/>
    </w:lvl>
  </w:abstractNum>
  <w:abstractNum w:abstractNumId="20">
    <w:nsid w:val="15B5AF5C"/>
    <w:multiLevelType w:val="hybridMultilevel"/>
    <w:lvl w:ilvl="0">
      <w:lvlJc w:val="left"/>
      <w:lvlText w:val="%1"/>
      <w:numFmt w:val="upperLetter"/>
      <w:start w:val="1"/>
    </w:lvl>
    <w:lvl w:ilvl="1">
      <w:lvlJc w:val="left"/>
      <w:lvlText w:val="(%2)"/>
      <w:numFmt w:val="lowerRoman"/>
      <w:start w:val="1"/>
    </w:lvl>
  </w:abstractNum>
  <w:abstractNum w:abstractNumId="21">
    <w:nsid w:val="741226BB"/>
    <w:multiLevelType w:val="hybridMultilevel"/>
    <w:lvl w:ilvl="0">
      <w:lvlJc w:val="left"/>
      <w:lvlText w:val="(%1)"/>
      <w:numFmt w:val="upperLetter"/>
      <w:start w:val="1"/>
    </w:lvl>
    <w:lvl w:ilvl="1">
      <w:lvlJc w:val="left"/>
      <w:lvlText w:val="%2"/>
      <w:numFmt w:val="lowerRoman"/>
      <w:start w:val="1"/>
    </w:lvl>
  </w:abstractNum>
  <w:abstractNum w:abstractNumId="22">
    <w:nsid w:val="D34B6A8"/>
    <w:multiLevelType w:val="hybridMultilevel"/>
    <w:lvl w:ilvl="0">
      <w:lvlJc w:val="left"/>
      <w:lvlText w:val="(%1)"/>
      <w:numFmt w:val="lowerLetter"/>
      <w:start w:val="1"/>
    </w:lvl>
  </w:abstractNum>
  <w:abstractNum w:abstractNumId="23">
    <w:nsid w:val="10233C99"/>
    <w:multiLevelType w:val="hybridMultilevel"/>
    <w:lvl w:ilvl="0">
      <w:lvlJc w:val="left"/>
      <w:lvlText w:val="(%1)"/>
      <w:numFmt w:val="lowerLetter"/>
      <w:start w:val="1"/>
    </w:lvl>
    <w:lvl w:ilvl="1">
      <w:lvlJc w:val="left"/>
      <w:lvlText w:val="(%2)"/>
      <w:numFmt w:val="lowerRoman"/>
      <w:start w:val="2"/>
    </w:lvl>
  </w:abstractNum>
  <w:abstractNum w:abstractNumId="24">
    <w:nsid w:val="3F6AB60F"/>
    <w:multiLevelType w:val="hybridMultilevel"/>
    <w:lvl w:ilvl="0">
      <w:lvlJc w:val="left"/>
      <w:lvlText w:val="(%1)"/>
      <w:numFmt w:val="lowerLetter"/>
      <w:start w:val="5"/>
    </w:lvl>
    <w:lvl w:ilvl="1">
      <w:lvlJc w:val="left"/>
      <w:lvlText w:val="(%2)"/>
      <w:numFmt w:val="lowerLetter"/>
      <w:start w:val="35"/>
    </w:lvl>
  </w:abstractNum>
  <w:abstractNum w:abstractNumId="25">
    <w:nsid w:val="61574095"/>
    <w:multiLevelType w:val="hybridMultilevel"/>
    <w:lvl w:ilvl="0">
      <w:lvlJc w:val="left"/>
      <w:lvlText w:val="(%1)"/>
      <w:numFmt w:val="lowerLetter"/>
      <w:start w:val="1"/>
    </w:lvl>
  </w:abstractNum>
  <w:abstractNum w:abstractNumId="26">
    <w:nsid w:val="7E0C57B1"/>
    <w:multiLevelType w:val="hybridMultilevel"/>
    <w:lvl w:ilvl="0">
      <w:lvlJc w:val="left"/>
      <w:lvlText w:val="(%1)"/>
      <w:numFmt w:val="lowerLetter"/>
      <w:start w:val="2"/>
    </w:lvl>
  </w:abstractNum>
  <w:abstractNum w:abstractNumId="27">
    <w:nsid w:val="77AE35EB"/>
    <w:multiLevelType w:val="hybridMultilevel"/>
    <w:lvl w:ilvl="0">
      <w:lvlJc w:val="left"/>
      <w:lvlText w:val="(%1)"/>
      <w:numFmt w:val="lowerLetter"/>
      <w:start w:val="1"/>
    </w:lvl>
  </w:abstractNum>
  <w:abstractNum w:abstractNumId="28">
    <w:nsid w:val="579BE4F1"/>
    <w:multiLevelType w:val="hybridMultilevel"/>
    <w:lvl w:ilvl="0">
      <w:lvlJc w:val="left"/>
      <w:lvlText w:val="(%1)"/>
      <w:numFmt w:val="lowerLetter"/>
      <w:start w:val="1"/>
    </w:lvl>
  </w:abstractNum>
  <w:abstractNum w:abstractNumId="29">
    <w:nsid w:val="310C50B3"/>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0">
    <w:nsid w:val="5FF87E05"/>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31">
    <w:nsid w:val="2F305DEF"/>
    <w:multiLevelType w:val="hybridMultilevel"/>
    <w:lvl w:ilvl="0">
      <w:lvlJc w:val="left"/>
      <w:lvlText w:val="(%1)"/>
      <w:numFmt w:val="upperLetter"/>
      <w:start w:val="3"/>
    </w:lvl>
    <w:lvl w:ilvl="1">
      <w:lvlJc w:val="left"/>
      <w:lvlText w:val="(%2)"/>
      <w:numFmt w:val="lowerLetter"/>
      <w:start w:val="3"/>
    </w:lvl>
    <w:lvl w:ilvl="2">
      <w:lvlJc w:val="left"/>
      <w:lvlText w:val="(%3)"/>
      <w:numFmt w:val="lowerLetter"/>
      <w:start w:val="61"/>
    </w:lvl>
  </w:abstractNum>
  <w:abstractNum w:abstractNumId="32">
    <w:nsid w:val="25A70BF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33">
    <w:nsid w:val="1DBABF00"/>
    <w:multiLevelType w:val="hybridMultilevel"/>
    <w:lvl w:ilvl="0">
      <w:lvlJc w:val="left"/>
      <w:lvlText w:val="(%1)"/>
      <w:numFmt w:val="lowerRoman"/>
      <w:start w:val="2"/>
    </w:lvl>
  </w:abstractNum>
  <w:abstractNum w:abstractNumId="34">
    <w:nsid w:val="4AD084E9"/>
    <w:multiLevelType w:val="hybridMultilevel"/>
    <w:lvl w:ilvl="0">
      <w:lvlJc w:val="left"/>
      <w:lvlText w:val="%1"/>
      <w:numFmt w:val="lowerLetter"/>
      <w:start w:val="1"/>
    </w:lvl>
    <w:lvl w:ilvl="1">
      <w:lvlJc w:val="left"/>
      <w:lvlText w:val="(%2)"/>
      <w:numFmt w:val="lowerRoman"/>
      <w:start w:val="4"/>
    </w:lvl>
  </w:abstractNum>
  <w:abstractNum w:abstractNumId="35">
    <w:nsid w:val="1F48EAA1"/>
    <w:multiLevelType w:val="hybridMultilevel"/>
    <w:lvl w:ilvl="0">
      <w:lvlJc w:val="left"/>
      <w:lvlText w:val="(%1)"/>
      <w:numFmt w:val="lowerLetter"/>
      <w:start w:val="5"/>
    </w:lvl>
    <w:lvl w:ilvl="1">
      <w:lvlJc w:val="left"/>
      <w:lvlText w:val="%2"/>
      <w:numFmt w:val="lowerRoman"/>
      <w:start w:val="1"/>
    </w:lvl>
  </w:abstractNum>
  <w:abstractNum w:abstractNumId="36">
    <w:nsid w:val="138182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
    <w:nsid w:val="5DB70AE5"/>
    <w:multiLevelType w:val="hybridMultilevel"/>
    <w:lvl w:ilvl="0">
      <w:lvlJc w:val="left"/>
      <w:lvlText w:val="(%1)"/>
      <w:numFmt w:val="lowerRoman"/>
      <w:start w:val="2"/>
    </w:lvl>
  </w:abstractNum>
  <w:abstractNum w:abstractNumId="38">
    <w:nsid w:val="100F8FCA"/>
    <w:multiLevelType w:val="hybridMultilevel"/>
    <w:lvl w:ilvl="0">
      <w:lvlJc w:val="left"/>
      <w:lvlText w:val="%1"/>
      <w:numFmt w:val="lowerLetter"/>
      <w:start w:val="1"/>
    </w:lvl>
    <w:lvl w:ilvl="1">
      <w:lvlJc w:val="left"/>
      <w:lvlText w:val="(%2)"/>
      <w:numFmt w:val="lowerRoman"/>
      <w:start w:val="3"/>
    </w:lvl>
  </w:abstractNum>
  <w:abstractNum w:abstractNumId="39">
    <w:nsid w:val="6590700B"/>
    <w:multiLevelType w:val="hybridMultilevel"/>
    <w:lvl w:ilvl="0">
      <w:lvlJc w:val="left"/>
      <w:lvlText w:val="(%1)"/>
      <w:numFmt w:val="lowerLetter"/>
      <w:start w:val="3"/>
    </w:lvl>
    <w:lvl w:ilvl="1">
      <w:lvlJc w:val="left"/>
      <w:lvlText w:val="(%2)"/>
      <w:numFmt w:val="lowerRoman"/>
      <w:start w:val="1"/>
    </w:lvl>
  </w:abstractNum>
  <w:abstractNum w:abstractNumId="40">
    <w:nsid w:val="15014ACB"/>
    <w:multiLevelType w:val="hybridMultilevel"/>
    <w:lvl w:ilvl="0">
      <w:lvlJc w:val="left"/>
      <w:lvlText w:val="(%1)"/>
      <w:numFmt w:val="lowerLetter"/>
      <w:start w:val="4"/>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1)"/>
      <w:numFmt w:val="decimal"/>
      <w:start w:val="1"/>
    </w:lvl>
  </w:abstractNum>
  <w:abstractNum w:abstractNumId="47">
    <w:nsid w:val="1EBA5D23"/>
    <w:multiLevelType w:val="hybridMultilevel"/>
    <w:lvl w:ilvl="0">
      <w:lvlJc w:val="left"/>
      <w:lvlText w:val="(%1)"/>
      <w:numFmt w:val="decimal"/>
      <w:start w:val="5"/>
    </w:lvl>
    <w:lvl w:ilvl="1">
      <w:lvlJc w:val="left"/>
      <w:lvlText w:val="•"/>
      <w:numFmt w:val="bullet"/>
      <w:start w:val="1"/>
    </w:lvl>
  </w:abstractNum>
  <w:abstractNum w:abstractNumId="48">
    <w:nsid w:val="661E3F1E"/>
    <w:multiLevelType w:val="hybridMultilevel"/>
    <w:lvl w:ilvl="0">
      <w:lvlJc w:val="left"/>
      <w:lvlText w:val="(%1)"/>
      <w:numFmt w:val="decimal"/>
      <w:start w:val="7"/>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1)"/>
      <w:numFmt w:val="decimal"/>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1)"/>
      <w:numFmt w:val="decimal"/>
      <w:start w:val="1"/>
    </w:lvl>
  </w:abstractNum>
  <w:abstractNum w:abstractNumId="58">
    <w:nsid w:val="8F2B15E"/>
    <w:multiLevelType w:val="hybridMultilevel"/>
    <w:lvl w:ilvl="0">
      <w:lvlJc w:val="left"/>
      <w:lvlText w:val="(%1)"/>
      <w:numFmt w:val="decimal"/>
      <w:start w:val="1"/>
    </w:lvl>
  </w:abstractNum>
  <w:abstractNum w:abstractNumId="59">
    <w:nsid w:val="1A32234B"/>
    <w:multiLevelType w:val="hybridMultilevel"/>
    <w:lvl w:ilvl="0">
      <w:lvlJc w:val="left"/>
      <w:lvlText w:val="(%1)"/>
      <w:numFmt w:val="lowerRoman"/>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1)"/>
      <w:numFmt w:val="decimal"/>
      <w:start w:val="1"/>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1)"/>
      <w:numFmt w:val="decimal"/>
      <w:start w:val="3"/>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
      <w:numFmt w:val="bullet"/>
      <w:start w:val="1"/>
    </w:lvl>
    <w:lvl w:ilvl="1">
      <w:lvlJc w:val="left"/>
      <w:lvlText w:val="•"/>
      <w:numFmt w:val="bullet"/>
      <w:start w:val="1"/>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
      <w:numFmt w:val="bullet"/>
      <w:start w:val="1"/>
    </w:lvl>
  </w:abstractNum>
  <w:abstractNum w:abstractNumId="79">
    <w:nsid w:val="3222E7CD"/>
    <w:multiLevelType w:val="hybridMultilevel"/>
    <w:lvl w:ilvl="0">
      <w:lvlJc w:val="left"/>
      <w:lvlText w:val="•"/>
      <w:numFmt w:val="bullet"/>
      <w:start w:val="1"/>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
      <w:numFmt w:val="bullet"/>
      <w:start w:val="1"/>
    </w:lvl>
  </w:abstractNum>
  <w:abstractNum w:abstractNumId="83">
    <w:nsid w:val="46B7D447"/>
    <w:multiLevelType w:val="hybridMultilevel"/>
    <w:lvl w:ilvl="0">
      <w:lvlJc w:val="left"/>
      <w:lvlText w:val="•"/>
      <w:numFmt w:val="bullet"/>
      <w:start w:val="1"/>
    </w:lvl>
  </w:abstractNum>
  <w:abstractNum w:abstractNumId="84">
    <w:nsid w:val="4A2AC315"/>
    <w:multiLevelType w:val="hybridMultilevel"/>
    <w:lvl w:ilvl="0">
      <w:lvlJc w:val="left"/>
      <w:lvlText w:val="•"/>
      <w:numFmt w:val="bullet"/>
      <w:start w:val="1"/>
    </w:lvl>
  </w:abstractNum>
  <w:abstractNum w:abstractNumId="85">
    <w:nsid w:val="39EE015C"/>
    <w:multiLevelType w:val="hybridMultilevel"/>
    <w:lvl w:ilvl="0">
      <w:lvlJc w:val="left"/>
      <w:lvlText w:val="•"/>
      <w:numFmt w:val="bullet"/>
      <w:start w:val="1"/>
    </w:lvl>
  </w:abstractNum>
  <w:abstractNum w:abstractNumId="86">
    <w:nsid w:val="57FC4FBB"/>
    <w:multiLevelType w:val="hybridMultilevel"/>
    <w:lvl w:ilvl="0">
      <w:lvlJc w:val="left"/>
      <w:lvlText w:val="•"/>
      <w:numFmt w:val="bullet"/>
      <w:start w:val="1"/>
    </w:lvl>
  </w:abstractNum>
  <w:abstractNum w:abstractNumId="87">
    <w:nsid w:val="CC1016F"/>
    <w:multiLevelType w:val="hybridMultilevel"/>
    <w:lvl w:ilvl="0">
      <w:lvlJc w:val="left"/>
      <w:lvlText w:val="•"/>
      <w:numFmt w:val="bullet"/>
      <w:start w:val="1"/>
    </w:lvl>
  </w:abstractNum>
  <w:abstractNum w:abstractNumId="88">
    <w:nsid w:val="43F18422"/>
    <w:multiLevelType w:val="hybridMultilevel"/>
    <w:lvl w:ilvl="0">
      <w:lvlJc w:val="left"/>
      <w:lvlText w:val="•"/>
      <w:numFmt w:val="bullet"/>
      <w:start w:val="1"/>
    </w:lvl>
  </w:abstractNum>
  <w:abstractNum w:abstractNumId="89">
    <w:nsid w:val="60EF0119"/>
    <w:multiLevelType w:val="hybridMultilevel"/>
    <w:lvl w:ilvl="0">
      <w:lvlJc w:val="left"/>
      <w:lvlText w:val="•"/>
      <w:numFmt w:val="bullet"/>
      <w:start w:val="1"/>
    </w:lvl>
  </w:abstractNum>
  <w:abstractNum w:abstractNumId="90">
    <w:nsid w:val="26F324BA"/>
    <w:multiLevelType w:val="hybridMultilevel"/>
    <w:lvl w:ilvl="0">
      <w:lvlJc w:val="left"/>
      <w:lvlText w:val="•"/>
      <w:numFmt w:val="bullet"/>
      <w:start w:val="1"/>
    </w:lvl>
  </w:abstractNum>
  <w:abstractNum w:abstractNumId="91">
    <w:nsid w:val="7F01579B"/>
    <w:multiLevelType w:val="hybridMultilevel"/>
    <w:lvl w:ilvl="0">
      <w:lvlJc w:val="left"/>
      <w:lvlText w:val="•"/>
      <w:numFmt w:val="bullet"/>
      <w:start w:val="1"/>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
      <w:numFmt w:val="bullet"/>
      <w:start w:val="1"/>
    </w:lvl>
  </w:abstractNum>
  <w:abstractNum w:abstractNumId="95">
    <w:nsid w:val="50801EE1"/>
    <w:multiLevelType w:val="hybridMultilevel"/>
    <w:lvl w:ilvl="0">
      <w:lvlJc w:val="left"/>
      <w:lvlText w:val="•"/>
      <w:numFmt w:val="bullet"/>
      <w:start w:val="1"/>
    </w:lvl>
  </w:abstractNum>
  <w:abstractNum w:abstractNumId="96">
    <w:nsid w:val="488AC1A"/>
    <w:multiLevelType w:val="hybridMultilevel"/>
    <w:lvl w:ilvl="0">
      <w:lvlJc w:val="left"/>
      <w:lvlText w:val="(%1)"/>
      <w:numFmt w:val="lowerRoman"/>
      <w:start w:val="4"/>
    </w:lvl>
  </w:abstractNum>
  <w:abstractNum w:abstractNumId="97">
    <w:nsid w:val="5FB8011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jpe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jpe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jpe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jpe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61" Type="http://schemas.openxmlformats.org/officeDocument/2006/relationships/hyperlink" Target="http://www.sec.gov/Archives/edgar/data/1495222/000121390025045605/ea0238885-01_ncsr.htm" TargetMode="External"/><Relationship Id="rId62" Type="http://schemas.openxmlformats.org/officeDocument/2006/relationships/hyperlink" Target="http://www.sec.gov/Archives/edgar/data/1495222/000121390025106331/ea0261739-01_ncsrs.htm" TargetMode="External"/><Relationship Id="rId63" Type="http://schemas.openxmlformats.org/officeDocument/2006/relationships/hyperlink" Target="http://www.sec.gov/Archives/edgar/data/1495222/000121390025084505/ea0255797-01_def14a.htm" TargetMode="External"/><Relationship Id="rId64" Type="http://schemas.openxmlformats.org/officeDocument/2006/relationships/hyperlink" Target="http://www.sec.gov/Archives/edgar/data/1495222/000114420411002793/v207990_8a12b.htm" TargetMode="External"/><Relationship Id="rId65" Type="http://schemas.openxmlformats.org/officeDocument/2006/relationships/hyperlink" Target="http://www.sec.gov/Archives/edgar/data/1495222/000161577420001656/s123159_8a12b.htm" TargetMode="External"/><Relationship Id="rId66" Type="http://schemas.openxmlformats.org/officeDocument/2006/relationships/hyperlink" Target="http://www.sec.gov/Archives/edgar/data/1495222/000121390021015723/s131113_8a12b.htm" TargetMode="External"/><Relationship Id="rId67" Type="http://schemas.openxmlformats.org/officeDocument/2006/relationships/hyperlink" Target="http://www.sec.gov/Archives/edgar/data/1495222/000121390021043443/s133173_8a12b.htm" TargetMode="External"/><Relationship Id="rId68" Type="http://schemas.openxmlformats.org/officeDocument/2006/relationships/hyperlink" Target="http://www.sec.gov/Archives/edgar/data/1495222/000121390022001929/s134974_8a12b.htm" TargetMode="External"/><Relationship Id="rId69" Type="http://schemas.openxmlformats.org/officeDocument/2006/relationships/hyperlink" Target="http://www.sec.gov/Archives/edgar/data/1495222/000121390022033312/s137989_8a12b.htm" TargetMode="External"/><Relationship Id="rId70" Type="http://schemas.openxmlformats.org/officeDocument/2006/relationships/hyperlink" Target="http://www.sec.gov/Archives/edgar/data/1495222/000121390024059809/ea0209035-02_8a12b.htm" TargetMode="External"/><Relationship Id="rId71" Type="http://schemas.openxmlformats.org/officeDocument/2006/relationships/hyperlink" Target="http://www.sec.gov/Archives/edgar/data/1495222/000121390025018001/ea0232364-01_8a12b.htm" TargetMode="External"/><Relationship Id="rId152" Type="http://schemas.openxmlformats.org/officeDocument/2006/relationships/hyperlink" Target="http://www.sec.gov/Archives/edgar/data/1495222/000121390024044489/ea020448201_ncsr.htm" TargetMode="External"/><Relationship Id="rId153" Type="http://schemas.openxmlformats.org/officeDocument/2006/relationships/hyperlink" Target="http://www.sec.gov/Archives/edgar/data/1495222/000121390024093518/ea0218152-01_ncsrs.htm" TargetMode="External"/><Relationship Id="rId170" Type="http://schemas.openxmlformats.org/officeDocument/2006/relationships/hyperlink" Target="http://www.sec.gov/Archives/edgar/data/1495222/000121390024076510/ea0213567-01_def14a.htm" TargetMode="External"/><Relationship Id="rId230" Type="http://schemas.openxmlformats.org/officeDocument/2006/relationships/hyperlink" Target="http://www.sec.gov/Archives/edgar/data/1495222/000101376224003242/ea0210385-0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2026-03-16T07:30:40Z</dcterms:created>
  <dcterms:modified xsi:type="dcterms:W3CDTF">2026-03-16T07:30:40Z</dcterms:modified>
</cp:coreProperties>
</file>