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200660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243205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N-CSR</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 MANAGEMENT</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INVESTMENT COMPANIES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811-22432</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16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1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7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983-5275</w:t>
      </w:r>
    </w:p>
    <w:p>
      <w:pPr>
        <w:spacing w:after="0" w:line="19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 of fiscal year end: March 31</w:t>
      </w:r>
    </w:p>
    <w:p>
      <w:pPr>
        <w:spacing w:after="0" w:line="18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 of reporting period: 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448945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491490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937260</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t>Item 1. Reports to Stockholders.</w:t>
      </w:r>
    </w:p>
    <w:p>
      <w:pPr>
        <w:spacing w:after="0" w:line="189" w:lineRule="exact"/>
        <w:rPr>
          <w:sz w:val="20"/>
          <w:szCs w:val="20"/>
          <w:color w:val="auto"/>
        </w:rPr>
      </w:pPr>
    </w:p>
    <w:p>
      <w:pPr>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semi-annual report to stockholders for the six months ended September 30, 2018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263525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tbl>
      <w:tblPr>
        <w:tblLayout w:type="fixed"/>
        <w:tblInd w:w="4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OXFORD LANE CAPITAL CORP.</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gridSpan w:val="14"/>
            <w:shd w:val="clear" w:color="auto" w:fill="CCEEFF"/>
          </w:tcPr>
          <w:p>
            <w:pPr>
              <w:spacing w:after="0" w:line="195"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Letter to Stockholders</w:t>
              </w:r>
            </w:hyperlink>
          </w:p>
        </w:tc>
        <w:tc>
          <w:tcPr>
            <w:tcW w:w="16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Top Ten Holdings</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Statement of Assets and Liabilities</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Schedule of Investments</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Statement of Operations</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Statement of Changes in Net Assets</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Statement of Cash Flows</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Notes to Financial Statements</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Distribution Reinvestment Plan</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Board Approval of the Investment Advisory Agreement</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Submission of Matters to a Vote of Stockholders</w:t>
              </w:r>
            </w:hyperlink>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vMerge w:val="restart"/>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Additional Information</w:t>
              </w:r>
            </w:hyperlink>
          </w:p>
        </w:tc>
        <w:tc>
          <w:tcPr>
            <w:tcW w:w="1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November 5, 2018</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80"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We are pleased to submit to you the report of Oxford Lane Capital Corp. (“we”, “us”, “our”, the “Fund” or “Oxford Lane”) for the six months ended September 30, 2018. The net asset value of our shares at that date was $9.93 per common share. The Fund’s common stock is traded on the NASDAQ Global Select Market and its share price can differ from its net asset value. The Fund’s closing price at September 30, 2018 was $10.60, up from $10.13 at March 31, 2018. The total return based on market value for Oxford Lane, for the six months ended September 30, 2018, as reflected in the Fund’s financial highlights, was 12.86%. This return reflects the change in market price for the six month period ended September 30, 2018, as well as the impact of $0.81 per share in distributions declared and paid. The total return based on net asset value (“NAV”) for the six months ended September 30, 2018, as reflected in the Fund’s financial highlights, was 6.55%. Please refer to “Note 13. Financial Highlights” for further details. On November 2, 2018, the last reported sale price of the Fund’s common stock was $10.50.</w:t>
      </w:r>
    </w:p>
    <w:p>
      <w:pPr>
        <w:spacing w:after="0" w:line="152"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revenue from our CLO equity investments for the six months ended September 30, 2018 was approximately $41.6 million, we received or were entitled to receive approximately $68.9 million in distributions from our CLO equity investments.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Review</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Fund’s investment objective is to maximize its portfolio’s risk-adjusted total return over its investment</w:t>
      </w:r>
    </w:p>
    <w:p>
      <w:pPr>
        <w:spacing w:after="0" w:line="50"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horizon. Our current focus is to seek that return by investing in equity and junior tranches of CLO vehicles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which are collateralized primarily by a diverse portfolio of senior loans, and which generally have little to no exposure to real estate loans, mortgage loans or pools of consumer-based debt, such as credit card receivables or auto loans. Our investment strategy also includes investing in warehouse facilities, which are financing structures intended to aggregate senior loans that may be used to form the basis of a CLO vehicle. As of September 30, 2018, we held debt investments in three different CLO structures, equity investments in approximately 100 different CLO structures and two investments in warehouse facilities.</w:t>
      </w:r>
    </w:p>
    <w:p>
      <w:pPr>
        <w:spacing w:after="0" w:line="16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Structurally, CLO vehicles are entities formed to purchase and manage a portfolio of loans. The loans within a CLO vehicle are limited to those which, on an aggregated basis, meet established credit criteria. They are subject to concentration limitations in order to limit a CLO vehicle’s exposure to a single credit.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Outlook</w:t>
      </w:r>
    </w:p>
    <w:p>
      <w:pPr>
        <w:spacing w:after="0" w:line="18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market for CLO-related assets continues to provide us with opportunities to generate attractive risk-adjusted returns over the long term. We believe that a number of factors support this conclusion, including:</w:t>
      </w:r>
    </w:p>
    <w:p>
      <w:pPr>
        <w:spacing w:after="0" w:line="136" w:lineRule="exact"/>
        <w:rPr>
          <w:sz w:val="20"/>
          <w:szCs w:val="20"/>
          <w:color w:val="auto"/>
        </w:rPr>
      </w:pPr>
    </w:p>
    <w:p>
      <w:pPr>
        <w:ind w:left="1120" w:right="459" w:hanging="324"/>
        <w:spacing w:after="0" w:line="258" w:lineRule="auto"/>
        <w:rPr>
          <w:sz w:val="20"/>
          <w:szCs w:val="20"/>
          <w:color w:val="auto"/>
        </w:rPr>
      </w:pPr>
      <w:r>
        <w:rPr>
          <w:rFonts w:ascii="Times New Roman" w:cs="Times New Roman" w:eastAsia="Times New Roman" w:hAnsi="Times New Roman"/>
          <w:sz w:val="18"/>
          <w:szCs w:val="18"/>
          <w:color w:val="auto"/>
        </w:rPr>
        <w:t>— 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156" w:lineRule="exact"/>
        <w:rPr>
          <w:sz w:val="20"/>
          <w:szCs w:val="20"/>
          <w:color w:val="auto"/>
        </w:rPr>
      </w:pPr>
    </w:p>
    <w:p>
      <w:pPr>
        <w:ind w:left="1120" w:right="459" w:hanging="324"/>
        <w:spacing w:after="0" w:line="282" w:lineRule="auto"/>
        <w:rPr>
          <w:sz w:val="20"/>
          <w:szCs w:val="20"/>
          <w:color w:val="auto"/>
        </w:rPr>
      </w:pPr>
      <w:r>
        <w:rPr>
          <w:rFonts w:ascii="Times New Roman" w:cs="Times New Roman" w:eastAsia="Times New Roman" w:hAnsi="Times New Roman"/>
          <w:sz w:val="18"/>
          <w:szCs w:val="18"/>
          <w:color w:val="auto"/>
        </w:rPr>
        <w:t>— The market to invest in warehouse facilities has created additional attractive risk-adjusted investment opportunities for us.</w:t>
      </w:r>
    </w:p>
    <w:p>
      <w:pPr>
        <w:spacing w:after="0" w:line="121" w:lineRule="exact"/>
        <w:rPr>
          <w:sz w:val="20"/>
          <w:szCs w:val="20"/>
          <w:color w:val="auto"/>
        </w:rPr>
      </w:pPr>
    </w:p>
    <w:p>
      <w:pPr>
        <w:ind w:left="1120" w:right="459" w:hanging="324"/>
        <w:spacing w:after="0" w:line="282" w:lineRule="auto"/>
        <w:rPr>
          <w:sz w:val="20"/>
          <w:szCs w:val="20"/>
          <w:color w:val="auto"/>
        </w:rPr>
      </w:pPr>
      <w:r>
        <w:rPr>
          <w:rFonts w:ascii="Times New Roman" w:cs="Times New Roman" w:eastAsia="Times New Roman" w:hAnsi="Times New Roman"/>
          <w:sz w:val="18"/>
          <w:szCs w:val="18"/>
          <w:color w:val="auto"/>
        </w:rPr>
        <w:t>— Investing in CLO securities, and CLO equity instruments and warehouse facilities in particular, requires a high level of research and analysis best conducted by knowledgeable market participants.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780"/>
        <w:spacing w:after="0"/>
        <w:rPr>
          <w:sz w:val="20"/>
          <w:szCs w:val="20"/>
          <w:color w:val="auto"/>
        </w:rPr>
      </w:pPr>
      <w:r>
        <w:rPr>
          <w:rFonts w:ascii="Times New Roman" w:cs="Times New Roman" w:eastAsia="Times New Roman" w:hAnsi="Times New Roman"/>
          <w:sz w:val="18"/>
          <w:szCs w:val="18"/>
          <w:color w:val="auto"/>
        </w:rPr>
        <w:t>—  The U.S. CLO market is relatively large with total assets under management of approximately $544</w:t>
      </w:r>
    </w:p>
    <w:p>
      <w:pPr>
        <w:spacing w:after="0" w:line="50" w:lineRule="exact"/>
        <w:rPr>
          <w:sz w:val="20"/>
          <w:szCs w:val="20"/>
          <w:color w:val="auto"/>
        </w:rPr>
      </w:pPr>
    </w:p>
    <w:p>
      <w:pPr>
        <w:ind w:left="1120" w:right="459"/>
        <w:spacing w:after="0" w:line="242" w:lineRule="auto"/>
        <w:rPr>
          <w:sz w:val="20"/>
          <w:szCs w:val="20"/>
          <w:color w:val="auto"/>
        </w:rPr>
      </w:pPr>
      <w:r>
        <w:rPr>
          <w:rFonts w:ascii="Times New Roman" w:cs="Times New Roman" w:eastAsia="Times New Roman" w:hAnsi="Times New Roman"/>
          <w:sz w:val="18"/>
          <w:szCs w:val="18"/>
          <w:color w:val="auto"/>
        </w:rPr>
        <w:t>billion.</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 xml:space="preserve"> We estimate that the notional amount outstanding of the junior-most debt tranches (specifically the tranches originally rated “BB” and “B”) is approximately $26 billion and the notional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amount outstanding of the equity tranches is approximately $52 billion.</w:t>
      </w:r>
      <w:r>
        <w:rPr>
          <w:rFonts w:ascii="Times New Roman" w:cs="Times New Roman" w:eastAsia="Times New Roman" w:hAnsi="Times New Roman"/>
          <w:sz w:val="21"/>
          <w:szCs w:val="21"/>
          <w:color w:val="auto"/>
          <w:vertAlign w:val="superscript"/>
        </w:rPr>
        <w:t>(3)</w:t>
      </w:r>
    </w:p>
    <w:p>
      <w:pPr>
        <w:spacing w:after="0" w:line="164"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Fund carries with it a significant number of meaningful risks, certain of which are discussed in the notes to our financial statements. Investors should read “Note 14. Risks and Uncertainties” carefully.</w:t>
      </w:r>
    </w:p>
    <w:p>
      <w:pPr>
        <w:spacing w:after="0" w:line="136"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We continue to review a large number of CLO investment opportunities in the current market environment, and we expect that our portfolio holdings, over the near to intermediate-term, will continue to be comprised of CLO debt and equity securities, with the more significant focus over the near-term likely to be on CLO equity securities and warehouse facilities.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45" w:lineRule="exact"/>
        <w:rPr>
          <w:sz w:val="20"/>
          <w:szCs w:val="20"/>
          <w:color w:val="auto"/>
        </w:rPr>
      </w:pPr>
    </w:p>
    <w:p>
      <w:pPr>
        <w:jc w:val="both"/>
        <w:ind w:left="780" w:right="459" w:hanging="318"/>
        <w:spacing w:after="0" w:line="254" w:lineRule="auto"/>
        <w:tabs>
          <w:tab w:leader="none" w:pos="7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ind w:left="780" w:right="459" w:hanging="318"/>
        <w:spacing w:after="0" w:line="250" w:lineRule="auto"/>
        <w:tabs>
          <w:tab w:leader="none" w:pos="7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2018 — Source: Wells Fargo Securities, The CLO Monthly Market Overview, dated October 2, 2018.</w:t>
      </w:r>
    </w:p>
    <w:p>
      <w:pPr>
        <w:ind w:left="780" w:right="459" w:hanging="318"/>
        <w:spacing w:after="0" w:line="261" w:lineRule="auto"/>
        <w:tabs>
          <w:tab w:leader="none" w:pos="7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Lane has estimated this amount based in part on the Wells Fargo Securities report (noted in footnote 2 above).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 TEN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5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2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Atrium XII CLO – CLO subordinated notes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22, 2027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30,938,625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Madison Park Funding XXX, Ltd. – CLO subordinated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21,471,630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MidOcean Credit CLO VI – CLO income notes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 2029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18,772,000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Madison Park Funding XXIX, Ltd. – CLO subordinated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warehouse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10, 2020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18,000,000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 33 CLO, Limited – CLO subordinated notes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17,053,125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OFSI Fund VII, Ltd. – CLO subordinated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18, 2026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15,862,000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 XXI CLO, Limited – CLO subordinated notes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15,503,000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Shackleton 2013-IV-R CLO, Ltd. – CLO subordinated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13, 2031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14,602,747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Madison Park Funding XXIX, Ltd. – CLO subordinated</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18, 2030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14,413,960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THL Credit Wind River 2014-3 CLO Ltd. – CLO</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22, 2031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13,747,300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Investment Breakdown as of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(Excludes cash and cash equivalents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142875</wp:posOffset>
            </wp:positionV>
            <wp:extent cx="4853940" cy="3773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5394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at fair value (cost: $583,320,655)</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560,006,658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7,957,188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receivable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8,981,923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offering costs on common stock</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355,995</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receivable, including accrued interest purchased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198,743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74,755</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577,607,763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Mandatorily redeemable preferred stock, net of discount and deferred issuance costs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(10,000,000 shares authorized, 6,345,416 shares issued and outstanding)</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152,307,833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sold under agreement to repurchase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42,493,500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15,190,260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2,934,442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advisory fee payable to affiliate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2,775,092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589,422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fees payable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offering costs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Administrator expense payable</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216,694,252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6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ASSETS applicable to common stock, $0.01 par value, 90,000,000 shares</w:t>
            </w:r>
          </w:p>
        </w:tc>
        <w:tc>
          <w:tcPr>
            <w:tcW w:w="4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360,913,511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authorized, and 36,357,391 shares issued and outstanding</w:t>
            </w:r>
          </w:p>
        </w:tc>
        <w:tc>
          <w:tcPr>
            <w:tcW w:w="44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42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consist of:</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Paid in capital</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452,809,888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net realized losses on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(56,531,199)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realized gains on redemption of debt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(23,313,997)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(12,626,131)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360,913,511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4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42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market price premium to net asset value per share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200" w:type="dxa"/>
            <w:vAlign w:val="bottom"/>
          </w:tcPr>
          <w:p>
            <w:pPr>
              <w:spacing w:after="0"/>
              <w:rPr>
                <w:sz w:val="13"/>
                <w:szCs w:val="13"/>
                <w:color w:val="auto"/>
              </w:rPr>
            </w:pP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8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3"/>
                <w:szCs w:val="23"/>
                <w:b w:val="1"/>
                <w:bCs w:val="1"/>
                <w:color w:val="auto"/>
                <w:vertAlign w:val="superscript"/>
              </w:rPr>
              <w:t>(2)</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Debt Investments</w:t>
            </w: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right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Dryden 42 Senior Loan Fund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secured notes – Class FR</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9.54% (LIBOR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1,371,000</w:t>
            </w: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1,236,309</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1,277,772</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7.20%, due July 15, 2030)</w:t>
            </w: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7.15% (LIBOR +</w:t>
            </w:r>
          </w:p>
        </w:tc>
        <w:tc>
          <w:tcPr>
            <w:tcW w:w="2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8,000,000</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6,915,655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7,424,000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4.80%, due July 20, 2024)</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OZLM XXII, Ltd.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9.73% (LIBOR +</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2,670,000</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2,580,933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2,500,722</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7.39%, due January 17, 2031)</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Structured Finance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10,732,897</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11,202,494</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Total Collateralized Loan Obligation – Debt</w:t>
            </w:r>
          </w:p>
        </w:tc>
        <w:tc>
          <w:tcPr>
            <w:tcW w:w="20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tcBorders>
              <w:right w:val="single" w:sz="8" w:color="CCEEFF"/>
            </w:tcBorders>
            <w:shd w:val="clear" w:color="auto" w:fill="CCEEFF"/>
          </w:tcPr>
          <w:p>
            <w:pPr>
              <w:spacing w:after="0"/>
              <w:rPr>
                <w:sz w:val="9"/>
                <w:szCs w:val="9"/>
                <w:color w:val="auto"/>
              </w:rPr>
            </w:pP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10,732,897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11,202,494</w:t>
            </w:r>
          </w:p>
        </w:tc>
        <w:tc>
          <w:tcPr>
            <w:tcW w:w="1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CCEEFF"/>
            </w:tcBorders>
            <w:gridSpan w:val="2"/>
            <w:vMerge w:val="continue"/>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right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AMMC CLO XI, Ltd.</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15.37%,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2,100,000</w:t>
            </w: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1,211,162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1,197,000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maturity April 30, 2031)</w:t>
            </w:r>
          </w:p>
        </w:tc>
        <w:tc>
          <w:tcPr>
            <w:tcW w:w="2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AMMC CLO XII, Ltd.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15.28%,</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11,428,571</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5,662,161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5,028,571</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maturity November 10, 2030)</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Anchorage Capital CLO 5-R, Ltd.</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12.40%,</w:t>
            </w:r>
          </w:p>
        </w:tc>
        <w:tc>
          <w:tcPr>
            <w:tcW w:w="2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4,088,584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3,669,236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maturity January 15, 2030)</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Apidos CLO XXI</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16.96%,</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8,700,000</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6,273,483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5,916,000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maturity July 18, 2027)</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Apex Credit CLO 2018 Ltd.</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9,750,000</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8,302,511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8,970,000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19.90%, maturity April 25, 2031)</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3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Apex Credit CLO 2015-II, Ltd. (fka: JFIN CLO</w:t>
            </w: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2015-II Ltd.)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33.83%,</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5,750,000</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4,926,709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4,881,406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maturity October 17, 2026)</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Ares XL CLO Ltd.</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10.66%,</w:t>
            </w:r>
          </w:p>
        </w:tc>
        <w:tc>
          <w:tcPr>
            <w:tcW w:w="2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5,100,000</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4,293,177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3,585,026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maturity October 15, 2027)</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Atrium XII CLO</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34,762,500</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24,456,220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30,938,625</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25.92%, maturity April 22, 2027)</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Babson CLO Ltd. 2016-III</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15.22%,</w:t>
            </w:r>
          </w:p>
        </w:tc>
        <w:tc>
          <w:tcPr>
            <w:tcW w:w="2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3,750,000</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2,606,636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2,550,000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maturity January 15, 2028)</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Battalion CLO VI Ltd.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5,000,000</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1,439,894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-6.73%, maturity October 17, 2026)</w:t>
            </w:r>
          </w:p>
        </w:tc>
        <w:tc>
          <w:tcPr>
            <w:tcW w:w="200" w:type="dxa"/>
            <w:vAlign w:val="bottom"/>
            <w:shd w:val="clear" w:color="auto" w:fill="CCEEFF"/>
          </w:tcPr>
          <w:p>
            <w:pPr>
              <w:spacing w:after="0"/>
              <w:rPr>
                <w:sz w:val="16"/>
                <w:szCs w:val="16"/>
                <w:color w:val="auto"/>
              </w:rPr>
            </w:pPr>
          </w:p>
        </w:tc>
        <w:tc>
          <w:tcPr>
            <w:tcW w:w="114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180" w:type="dxa"/>
            <w:vAlign w:val="bottom"/>
          </w:tcPr>
          <w:p>
            <w:pPr>
              <w:spacing w:after="0"/>
              <w:rPr>
                <w:sz w:val="13"/>
                <w:szCs w:val="13"/>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Battalion CLO VII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26,900,000</w:t>
            </w: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17,555,339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12,912,000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8.80%, maturity July 17, 2028)</w:t>
            </w:r>
          </w:p>
        </w:tc>
        <w:tc>
          <w:tcPr>
            <w:tcW w:w="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Benefit Street Partners CLO V Ltd.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preference shares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1,307,569</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0.00%, maturity October 20, 2026)</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Blue Hill CLO,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15,125,000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783,578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0.00%, maturity January 15, 2026)</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2"/>
                <w:szCs w:val="12"/>
                <w:color w:val="auto"/>
              </w:rPr>
              <w:t>, (Maturity January 15,</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96,635</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17,931</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B&amp;M CLO 2014-1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799,660</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-5.79%, maturity April 16, 2026)</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Bristol Park CLO, Ltd.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11.95%,</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7,777,702</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15, 2029)</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Canyon Capital CLO 2015-1,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6,010,714</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6,400,000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23.66%, maturity April 15, 2029)</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4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Carlyle Global Market Strategies CLO 2013-2,</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Ltd.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10,422,586</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11,273,155</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18.98%, maturity April 18, 2025)</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Covenant Credit Partners CLO II,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8,650,000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2,652,361</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2,595,000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31.36%, maturity October 17, 2026)</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2"/>
                <w:szCs w:val="12"/>
                <w:color w:val="auto"/>
              </w:rPr>
              <w:t>, (Maturity October 17,</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53,244</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Cathedral Lake CLO 2013,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5,250,000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2,460,739</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2,415,000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20.18%, maturity October 15, 2029)</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Cathedral Lake II, Ltd.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1,993,284</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19.20%, maturity July 16, 2029)</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2013-II,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20.32%,</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10,532,500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4,790,688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4,844,950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maturity October 18, 2030)</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2014-III, Ltd.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17.95%,</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6,859,509</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5,940,000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22, 2026)</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 Ltd.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4,986,412</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4,420,000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15.94%, maturity January 18, 2031)</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220" w:type="dxa"/>
            <w:vAlign w:val="bottom"/>
          </w:tcPr>
          <w:p>
            <w:pPr>
              <w:spacing w:after="0"/>
              <w:rPr>
                <w:sz w:val="13"/>
                <w:szCs w:val="13"/>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Dryden 42 Senior Loan Fund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4,712,676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4,994,913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21.67%, maturity July 15, 2030)</w:t>
            </w:r>
          </w:p>
        </w:tc>
        <w:tc>
          <w:tcPr>
            <w:tcW w:w="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Dryden 49 Senior Loan Fund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5,302,337</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4,947,250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16.19%, maturity July 18, 2030)</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Dryden 54 Senior Loan Fund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2,040,226</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17.73%, maturity October 19, 2029)</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Ellington CLO 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3,675,777</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21.23%, maturity February 15, 2029)</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Figueroa CLO 2013-2,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4,287,663</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4,675,000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25.44%, maturity June 20, 2027)</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Golub Capital Partners CLO 35(B),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10,256,939</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9,940,000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17.62%, maturity July 20, 2029)</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Halcyon Loan Advisors Funding 2015-1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3,699,175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3,500,000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24.35%, maturity April 20, 2027)</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Halcyon Loan Advisors Funding 2015-2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3,380,528</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30.91%, maturity July 25, 2027)</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Halcyon Loan Advisors Funding 2018-1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10,513,848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10,350,000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18.49%, maturity July 20, 2031)</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Hull Street CLO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5,988,797</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-28.71%, maturity October 18, 2026)</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ICG US CLO 2016-1,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4,744,998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4,080,773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10.58%, maturity July 29, 2028)</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Ivy Hill Middle Market Credit VII,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4,552,412</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3,720,535</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15.74%, maturity October 20, 2029)</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Jamestown CLO III,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15,575,000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2,483,795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1,401,750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3.07%, maturity January 15, 2026)</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Jamestown CLO IV,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3,442,545</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2,143,319</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14.51%, maturity July 15, 2026)</w:t>
            </w: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200" w:type="dxa"/>
            <w:vAlign w:val="bottom"/>
          </w:tcPr>
          <w:p>
            <w:pPr>
              <w:spacing w:after="0"/>
              <w:rPr>
                <w:sz w:val="13"/>
                <w:szCs w:val="13"/>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Jamestown CLO V,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3,149,855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2,720,000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11.41%, maturity January 17, 2027)</w:t>
            </w:r>
          </w:p>
        </w:tc>
        <w:tc>
          <w:tcPr>
            <w:tcW w:w="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Jamestown CLO VII,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4,840,840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19.06%, maturity July 25, 2027)</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Longfellow Place CLO,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15,640,000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7,237,987</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6,778,230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18.67%, maturity April 15, 2029)</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5,272,581</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8.54%, maturity January 20, 2025)</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XI,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1,236,843</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868,283</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816,316</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10.34%, maturity October 23, 2025)</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XXIV,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892,188</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818,061</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813,006</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10.53%, maturity January 20, 2028)</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XXV,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1,198,558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1,261,000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14.05%, maturity April 25, 2029)</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XXVII,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1,837,500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1,792,568</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1,984,500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13.61%, maturity April 20, 2030)</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XXIX,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14,432,521</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14,413,960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15.67%, maturity October 18, 2030)</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XXIX,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warehouse notes</w:t>
            </w:r>
            <w:r>
              <w:rPr>
                <w:rFonts w:ascii="Times New Roman" w:cs="Times New Roman" w:eastAsia="Times New Roman" w:hAnsi="Times New Roman"/>
                <w:sz w:val="19"/>
                <w:szCs w:val="19"/>
                <w:color w:val="auto"/>
                <w:vertAlign w:val="superscript"/>
              </w:rPr>
              <w:t>(5)(7)(10)</w:t>
            </w: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(Estimated yield 13.96%, maturity March 10,</w:t>
            </w: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18,000,000</w:t>
            </w: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XXX,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18,355,965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21,471,630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15.07%, maturity April 15, 2029)</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Midocean Credit CLO VI</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 11.45%,</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20,858,693</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18,772,000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20, 2029)</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7,122,714</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3,593,800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-17.33%, maturity July 20, 2024)</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View CLO 2014-1 Ltd.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4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4,029,441</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3,859,182</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41.93%, maturity October 15, 2026)</w:t>
            </w:r>
          </w:p>
        </w:tc>
        <w:tc>
          <w:tcPr>
            <w:tcW w:w="2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220" w:type="dxa"/>
            <w:vAlign w:val="bottom"/>
          </w:tcPr>
          <w:p>
            <w:pPr>
              <w:spacing w:after="0"/>
              <w:rPr>
                <w:sz w:val="13"/>
                <w:szCs w:val="13"/>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Northwoods Capital XI-B, Limited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4,906,952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4,900,000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18.48%, maturity April 19, 2031)</w:t>
            </w:r>
          </w:p>
        </w:tc>
        <w:tc>
          <w:tcPr>
            <w:tcW w:w="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XXII,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3,168,750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2,047,933</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2,028,000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19.24%, maturity January 22, 2030)</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27,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3,363,848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3,418,945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30.90%, maturity July 15, 2030)</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33,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9,123,403</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16.44%, maturity January 20, 2031)</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38,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4,321,842</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4,156,250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17.95%, maturity July 20, 2030)</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40,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warehouse notes</w:t>
            </w:r>
            <w:r>
              <w:rPr>
                <w:rFonts w:ascii="Times New Roman" w:cs="Times New Roman" w:eastAsia="Times New Roman" w:hAnsi="Times New Roman"/>
                <w:sz w:val="19"/>
                <w:szCs w:val="19"/>
                <w:color w:val="auto"/>
                <w:vertAlign w:val="superscript"/>
              </w:rPr>
              <w:t>(5)(7)(10)</w:t>
            </w: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(Estimated yield 12.04%, maturity September 10,</w:t>
            </w:r>
          </w:p>
        </w:tc>
        <w:tc>
          <w:tcPr>
            <w:tcW w:w="2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6,250,000</w:t>
            </w: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2020)</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OFSI Fund VII,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28,840,000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20,174,765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15,862,000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5.13%, maturity October 18, 2026)</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OFSI BSL IX,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preferred shares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10,089,828</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10,676,400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20.95%, maturity July 15, 2031)</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Funding III,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7,349,775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7,320,000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13.89%, maturity January 22, 2029)</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OZLM XII,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4,337,628</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4,185,000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18.86%, maturity April 30, 2027)</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XIII,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3,020,056</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2,547,000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14.42%, maturity July 30, 2027)</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OZLM XIV,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8,249,149</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7,217,965</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12.56%, maturity January 15, 2029)</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Regatta III Funding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161,958</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75,701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0.00%, maturity April 15, 2026)</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2013-IV-R CLO,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13,949,262</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14,602,747</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 maturity April 13, 2031)</w:t>
            </w: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220" w:type="dxa"/>
            <w:vAlign w:val="bottom"/>
          </w:tcPr>
          <w:p>
            <w:pPr>
              <w:spacing w:after="0"/>
              <w:rPr>
                <w:sz w:val="13"/>
                <w:szCs w:val="13"/>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2015-VII CLO,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8,706,176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7,350,000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13.75%, maturity July 15, 2031)</w:t>
            </w:r>
          </w:p>
        </w:tc>
        <w:tc>
          <w:tcPr>
            <w:tcW w:w="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2017-X CLO,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9,075,874</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7,700,000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11.17%, maturity April 20, 2029)</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Sheridan Square CLO,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167,753</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49,500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0.00%, maturity April 15, 2025)</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VI,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8,093,378</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4,613,840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4,046,689</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23.77%, maturity October 20, 2026)</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VIII,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2"/>
                <w:szCs w:val="12"/>
                <w:color w:val="auto"/>
              </w:rPr>
              <w:t>, (Maturity April 15,</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224,719</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202,247</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26,336</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XVIII,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3,658,000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16.66%, maturity January 21, 2031)</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Steele Creek CLO 2016-1,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3,650,953</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3,760,000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19.84%, maturity June 15, 2031)</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Symphony CLO XVIII,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4,059,824</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3,960,000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19.21%, maturity January 23, 2028)</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2013-3,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14,332,210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9,082,595</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7,739,393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10.14%, maturity July 17, 2026)</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2013-4,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7,422,850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7,142,674</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19.95%, maturity January 17, 2030)</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2014-6,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4,027,940</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3,519,523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20.04%, maturity January 17, 2027)</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THL Credit Wind River 2014-3 CLO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19,639,000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14,937,966</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13,747,300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20.06%, maturity October 22, 2031)</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THL Credit Wind River 2017-1 CLO Ltd.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(5)(7)(12)</w:t>
            </w:r>
            <w:r>
              <w:rPr>
                <w:rFonts w:ascii="Times New Roman" w:cs="Times New Roman" w:eastAsia="Times New Roman" w:hAnsi="Times New Roman"/>
                <w:sz w:val="12"/>
                <w:szCs w:val="12"/>
                <w:color w:val="auto"/>
              </w:rPr>
              <w:t>, (Estimated yield</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10,288,221</w:t>
            </w:r>
          </w:p>
        </w:tc>
        <w:tc>
          <w:tcPr>
            <w:tcW w:w="14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8,880,000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13.84%, maturity April 18, 2029)</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Tralee CLO II, Ltd.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6,300,000</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2,420,380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2,646,000</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32.35%, maturity July 20, 2029)</w:t>
            </w: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r>
              <w:rPr>
                <w:rFonts w:ascii="Times New Roman" w:cs="Times New Roman" w:eastAsia="Times New Roman" w:hAnsi="Times New Roman"/>
                <w:sz w:val="23"/>
                <w:szCs w:val="23"/>
                <w:b w:val="1"/>
                <w:bCs w:val="1"/>
                <w:color w:val="auto"/>
                <w:vertAlign w:val="superscript"/>
              </w:rPr>
              <w:t>(1)(14)</w:t>
            </w:r>
          </w:p>
        </w:tc>
        <w:tc>
          <w:tcPr>
            <w:tcW w:w="180" w:type="dxa"/>
            <w:vAlign w:val="bottom"/>
          </w:tcPr>
          <w:p>
            <w:pPr>
              <w:spacing w:after="0"/>
              <w:rPr>
                <w:sz w:val="13"/>
                <w:szCs w:val="13"/>
                <w:color w:val="auto"/>
              </w:rPr>
            </w:pP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3"/>
                <w:szCs w:val="23"/>
                <w:b w:val="1"/>
                <w:bCs w:val="1"/>
                <w:color w:val="auto"/>
                <w:vertAlign w:val="superscript"/>
              </w:rPr>
              <w:t>(2)</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33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35"/>
        </w:trPr>
        <w:tc>
          <w:tcPr>
            <w:tcW w:w="332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Tralee CLO IV, Ltd.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13,270,000</w:t>
            </w:r>
          </w:p>
        </w:tc>
        <w:tc>
          <w:tcPr>
            <w:tcW w:w="2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11,899,286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11,943,000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18.86%, maturity January 20, 2030)</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XIV CLO, Limited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4,745,301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18.73%, maturity August 28, 2029)</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XV CLO, Limited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4,522,028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4,095,000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12.45%, maturity July 15, 2028)</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XVII CLO, Limited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11,703,352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11,203,294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18.04%, maturity April 15, 2027)</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XX CLO, Limited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4,544,182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4,380,000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12.02%, maturity April 15, 2027)</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XXI CLO, Limited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14,832,538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15,503,000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18.58%, maturity July 15, 2027)</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33 CLO, Limited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20,062,500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17,299,850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17,053,125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19.19%, maturity July 15, 2031)</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Wellfleet 2016-2 CLO, Ltd.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8,360,865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15.30%, maturity October 15, 2028)</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Zais CLO 8, Limited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2,471,778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3,060,000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25.28%, maturity April 15, 2029)</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Zais CLO 9, Limited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3,752,048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18.81%, maturity July 20, 2031)</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Other CLO equity related investments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4"/>
          </w:tcPr>
          <w:p>
            <w:pPr>
              <w:ind w:left="180"/>
              <w:spacing w:after="0" w:line="230" w:lineRule="exact"/>
              <w:rPr>
                <w:sz w:val="20"/>
                <w:szCs w:val="20"/>
                <w:color w:val="auto"/>
              </w:rPr>
            </w:pPr>
            <w:r>
              <w:rPr>
                <w:rFonts w:ascii="Times New Roman" w:cs="Times New Roman" w:eastAsia="Times New Roman" w:hAnsi="Times New Roman"/>
                <w:sz w:val="14"/>
                <w:szCs w:val="14"/>
                <w:color w:val="auto"/>
              </w:rPr>
              <w:t>CLO other</w:t>
            </w:r>
            <w:r>
              <w:rPr>
                <w:rFonts w:ascii="Times New Roman" w:cs="Times New Roman" w:eastAsia="Times New Roman" w:hAnsi="Times New Roman"/>
                <w:sz w:val="23"/>
                <w:szCs w:val="23"/>
                <w:color w:val="auto"/>
                <w:vertAlign w:val="superscript"/>
              </w:rPr>
              <w:t>(8)</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3,342,945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572,587,758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548,804,164</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152.06%</w:t>
            </w:r>
          </w:p>
        </w:tc>
        <w:tc>
          <w:tcPr>
            <w:tcW w:w="0" w:type="dxa"/>
            <w:vAlign w:val="bottom"/>
          </w:tcPr>
          <w:p>
            <w:pPr>
              <w:spacing w:after="0"/>
              <w:rPr>
                <w:sz w:val="1"/>
                <w:szCs w:val="1"/>
                <w:color w:val="auto"/>
              </w:rPr>
            </w:pPr>
          </w:p>
        </w:tc>
      </w:tr>
      <w:tr>
        <w:trPr>
          <w:trHeight w:val="20"/>
        </w:trPr>
        <w:tc>
          <w:tcPr>
            <w:tcW w:w="3320" w:type="dxa"/>
            <w:vAlign w:val="bottom"/>
            <w:gridSpan w:val="4"/>
            <w:vMerge w:val="restart"/>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Total Collateralized Loan Obligation - Equity</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3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572,587,758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548,804,164</w:t>
            </w:r>
          </w:p>
        </w:tc>
        <w:tc>
          <w:tcPr>
            <w:tcW w:w="120" w:type="dxa"/>
            <w:vAlign w:val="bottom"/>
          </w:tcPr>
          <w:p>
            <w:pPr>
              <w:spacing w:after="0"/>
              <w:rPr>
                <w:sz w:val="9"/>
                <w:szCs w:val="9"/>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152.06%</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583,320,655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560,006,658</w:t>
            </w:r>
          </w:p>
        </w:tc>
        <w:tc>
          <w:tcPr>
            <w:tcW w:w="120" w:type="dxa"/>
            <w:vAlign w:val="bottom"/>
          </w:tcPr>
          <w:p>
            <w:pPr>
              <w:spacing w:after="0"/>
              <w:rPr>
                <w:sz w:val="22"/>
                <w:szCs w:val="22"/>
                <w:color w:val="auto"/>
              </w:rPr>
            </w:pPr>
          </w:p>
        </w:tc>
        <w:tc>
          <w:tcPr>
            <w:tcW w:w="100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3"/>
                <w:szCs w:val="13"/>
                <w:b w:val="1"/>
                <w:bCs w:val="1"/>
                <w:color w:val="auto"/>
              </w:rPr>
              <w:t>155.16</w:t>
            </w:r>
            <w:r>
              <w:rPr>
                <w:rFonts w:ascii="Times New Roman" w:cs="Times New Roman" w:eastAsia="Times New Roman" w:hAnsi="Times New Roman"/>
                <w:sz w:val="25"/>
                <w:szCs w:val="25"/>
                <w:b w:val="1"/>
                <w:bCs w:val="1"/>
                <w:color w:val="auto"/>
                <w:vertAlign w:val="superscript"/>
              </w:rPr>
              <w:t>%</w:t>
            </w:r>
          </w:p>
        </w:tc>
        <w:tc>
          <w:tcPr>
            <w:tcW w:w="0" w:type="dxa"/>
            <w:vAlign w:val="bottom"/>
          </w:tcPr>
          <w:p>
            <w:pPr>
              <w:spacing w:after="0"/>
              <w:rPr>
                <w:sz w:val="1"/>
                <w:szCs w:val="1"/>
                <w:color w:val="auto"/>
              </w:rPr>
            </w:pPr>
          </w:p>
        </w:tc>
      </w:tr>
      <w:tr>
        <w:trPr>
          <w:trHeight w:val="129"/>
        </w:trPr>
        <w:tc>
          <w:tcPr>
            <w:tcW w:w="18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4"/>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gridSpan w:val="4"/>
            <w:shd w:val="clear" w:color="auto" w:fill="CCEEFF"/>
          </w:tcPr>
          <w:p>
            <w:pPr>
              <w:ind w:left="180"/>
              <w:spacing w:after="0" w:line="230" w:lineRule="exact"/>
              <w:rPr>
                <w:sz w:val="20"/>
                <w:szCs w:val="20"/>
                <w:color w:val="auto"/>
              </w:rPr>
            </w:pPr>
            <w:r>
              <w:rPr>
                <w:rFonts w:ascii="Times New Roman" w:cs="Times New Roman" w:eastAsia="Times New Roman" w:hAnsi="Times New Roman"/>
                <w:sz w:val="14"/>
                <w:szCs w:val="14"/>
                <w:color w:val="auto"/>
              </w:rPr>
              <w:t>First American Government Obligations Fund</w:t>
            </w:r>
            <w:r>
              <w:rPr>
                <w:rFonts w:ascii="Times New Roman" w:cs="Times New Roman" w:eastAsia="Times New Roman" w:hAnsi="Times New Roman"/>
                <w:sz w:val="23"/>
                <w:szCs w:val="23"/>
                <w:color w:val="auto"/>
                <w:vertAlign w:val="superscript"/>
              </w:rPr>
              <w:t>(13)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7,957,188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7,957,188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3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Cash and Cash Equivalents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7,957,188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7,957,188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Investments, Cash and Cash Equivalents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591,277,843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567,963,846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3"/>
                <w:szCs w:val="13"/>
                <w:b w:val="1"/>
                <w:bCs w:val="1"/>
                <w:color w:val="auto"/>
              </w:rPr>
              <w:t>157.36</w:t>
            </w:r>
            <w:r>
              <w:rPr>
                <w:rFonts w:ascii="Times New Roman" w:cs="Times New Roman" w:eastAsia="Times New Roman" w:hAnsi="Times New Roman"/>
                <w:sz w:val="25"/>
                <w:szCs w:val="25"/>
                <w:b w:val="1"/>
                <w:bCs w:val="1"/>
                <w:color w:val="auto"/>
                <w:vertAlign w:val="superscript"/>
              </w:rPr>
              <w:t>%</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38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780" w:right="459" w:hanging="318"/>
        <w:spacing w:after="0" w:line="261" w:lineRule="auto"/>
        <w:tabs>
          <w:tab w:leader="none" w:pos="7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25% or more of its voting securities and would be an “affiliate” of a portfolio company if we owned 5% or more of its voting securities.</w:t>
      </w:r>
    </w:p>
    <w:p>
      <w:pPr>
        <w:sectPr>
          <w:pgSz w:w="11900" w:h="16838" w:orient="portrait"/>
          <w:cols w:equalWidth="0" w:num="1">
            <w:col w:w="9019"/>
          </w:cols>
          <w:pgMar w:left="1440" w:top="333"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p>
      <w:pPr>
        <w:ind w:left="760" w:hanging="29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in good faith by the Board of Directors of the Fund.</w:t>
      </w:r>
    </w:p>
    <w:p>
      <w:pPr>
        <w:spacing w:after="0" w:line="27" w:lineRule="exact"/>
        <w:rPr>
          <w:rFonts w:ascii="Times New Roman" w:cs="Times New Roman" w:eastAsia="Times New Roman" w:hAnsi="Times New Roman"/>
          <w:sz w:val="18"/>
          <w:szCs w:val="18"/>
          <w:color w:val="auto"/>
        </w:rPr>
      </w:pPr>
    </w:p>
    <w:p>
      <w:pPr>
        <w:ind w:left="760" w:hanging="29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bear interest at variable rates.</w:t>
      </w:r>
    </w:p>
    <w:p>
      <w:pPr>
        <w:spacing w:after="0" w:line="9" w:lineRule="exact"/>
        <w:rPr>
          <w:rFonts w:ascii="Times New Roman" w:cs="Times New Roman" w:eastAsia="Times New Roman" w:hAnsi="Times New Roman"/>
          <w:sz w:val="18"/>
          <w:szCs w:val="18"/>
          <w:color w:val="auto"/>
        </w:rPr>
      </w:pPr>
    </w:p>
    <w:p>
      <w:pPr>
        <w:ind w:left="760" w:hanging="29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original issue discount or market discount.</w:t>
      </w:r>
    </w:p>
    <w:p>
      <w:pPr>
        <w:spacing w:after="0" w:line="9" w:lineRule="exact"/>
        <w:rPr>
          <w:rFonts w:ascii="Times New Roman" w:cs="Times New Roman" w:eastAsia="Times New Roman" w:hAnsi="Times New Roman"/>
          <w:sz w:val="18"/>
          <w:szCs w:val="18"/>
          <w:color w:val="auto"/>
        </w:rPr>
      </w:pPr>
    </w:p>
    <w:p>
      <w:pPr>
        <w:ind w:left="780" w:right="459" w:hanging="318"/>
        <w:spacing w:after="0" w:line="250" w:lineRule="auto"/>
        <w:tabs>
          <w:tab w:leader="none" w:pos="7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effective yield less any cash distributions received or entitled to be received from CLO equity investments.</w:t>
      </w:r>
    </w:p>
    <w:p>
      <w:pPr>
        <w:ind w:left="780" w:right="459" w:hanging="318"/>
        <w:spacing w:after="0" w:line="250" w:lineRule="auto"/>
        <w:tabs>
          <w:tab w:leader="none" w:pos="7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secured notes generally bear interest at a rate determined by reference to three-month LIBOR which resets quarterly. For each CLO debt investment, the rate provided is as of September 30, 2018.</w:t>
      </w:r>
    </w:p>
    <w:p>
      <w:pPr>
        <w:jc w:val="both"/>
        <w:ind w:left="780" w:right="459" w:hanging="318"/>
        <w:spacing w:after="0" w:line="250" w:lineRule="auto"/>
        <w:tabs>
          <w:tab w:leader="none" w:pos="7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Times New Roman" w:cs="Times New Roman" w:eastAsia="Times New Roman" w:hAnsi="Times New Roman"/>
          <w:sz w:val="18"/>
          <w:szCs w:val="18"/>
          <w:color w:val="auto"/>
        </w:rPr>
      </w:pPr>
    </w:p>
    <w:p>
      <w:pPr>
        <w:ind w:left="760" w:hanging="29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represents discounted cash flows associated with fees earned from CLO equity investments.</w:t>
      </w:r>
    </w:p>
    <w:p>
      <w:pPr>
        <w:spacing w:after="0" w:line="9" w:lineRule="exact"/>
        <w:rPr>
          <w:rFonts w:ascii="Times New Roman" w:cs="Times New Roman" w:eastAsia="Times New Roman" w:hAnsi="Times New Roman"/>
          <w:sz w:val="18"/>
          <w:szCs w:val="18"/>
          <w:color w:val="auto"/>
        </w:rPr>
      </w:pPr>
    </w:p>
    <w:p>
      <w:pPr>
        <w:ind w:left="780" w:right="459" w:hanging="318"/>
        <w:spacing w:after="0" w:line="250" w:lineRule="auto"/>
        <w:tabs>
          <w:tab w:leader="none" w:pos="8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has not made inaugural distribution for relevant period end. See “Note 3. Summary of Significant Accounting Policies — Investment Income.”</w:t>
      </w:r>
    </w:p>
    <w:p>
      <w:pPr>
        <w:ind w:left="780" w:right="459" w:hanging="318"/>
        <w:spacing w:after="0" w:line="250" w:lineRule="auto"/>
        <w:tabs>
          <w:tab w:leader="none" w:pos="8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shares represent an investment in a warehouse facility, which is a financing structure intended to aggregate loans that may be used to form the basis of a CLO vehicle.</w:t>
      </w:r>
    </w:p>
    <w:p>
      <w:pPr>
        <w:ind w:left="780" w:right="459" w:hanging="318"/>
        <w:spacing w:after="0" w:line="250" w:lineRule="auto"/>
        <w:tabs>
          <w:tab w:leader="none" w:pos="8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equity investment was optionally redeemed. See “Note 3. Summary of Significant Accounting Policies — Securities Transactions.”</w:t>
      </w:r>
    </w:p>
    <w:p>
      <w:pPr>
        <w:ind w:left="780" w:right="459" w:hanging="318"/>
        <w:spacing w:after="0" w:line="250" w:lineRule="auto"/>
        <w:tabs>
          <w:tab w:leader="none" w:pos="8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held as collateral pursuant to repurchase agreement with Nomura Securities International, Inc. See “Note 3. Summary of Significant Accounting Policies — Investment Valuation.”</w:t>
      </w:r>
    </w:p>
    <w:p>
      <w:pPr>
        <w:ind w:left="800" w:hanging="33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equivalents held in a money market account as of September 30, 2018.</w:t>
      </w:r>
    </w:p>
    <w:p>
      <w:pPr>
        <w:spacing w:after="0" w:line="9" w:lineRule="exact"/>
        <w:rPr>
          <w:rFonts w:ascii="Times New Roman" w:cs="Times New Roman" w:eastAsia="Times New Roman" w:hAnsi="Times New Roman"/>
          <w:sz w:val="18"/>
          <w:szCs w:val="18"/>
          <w:color w:val="auto"/>
        </w:rPr>
      </w:pPr>
    </w:p>
    <w:p>
      <w:pPr>
        <w:ind w:left="780" w:right="459" w:hanging="318"/>
        <w:spacing w:after="0" w:line="261" w:lineRule="auto"/>
        <w:tabs>
          <w:tab w:leader="none" w:pos="8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determined using significant unobservable inputs. See “Note 4. Fair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securitization vehicles and investments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 debt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818,715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43,112,459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advisory fees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5,373,326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Incentive fees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5,801,690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Administrator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fees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 expense</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agent and custodian fees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19,905,693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23,206,766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(8,208,832)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and net change in unrealized 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(6,512,912)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23,206,766</w:t>
            </w:r>
          </w:p>
        </w:tc>
        <w:tc>
          <w:tcPr>
            <w:tcW w:w="1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40,353,995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1,695,920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realized losses on the redemption of mandatorily redeemable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(1,709,991)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(8,208,832)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(1,264,099)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16,693,854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38,005,588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of net investment income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(23,960,604)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(35,198,279)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of return of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(1,709,638)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(6,318,441)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distributions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(25,670,242)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(41,516,720)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share transaction:</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underwriting fees and offering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$1,813,352 and $1,090,419,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78,726,139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61,392,800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Reinvestment of dividends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1,233,647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from capital share transactions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79,959,786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61,392,800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70,983,398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57,881,668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289,930,113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232,048,445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assets at end of period (including distributions in excess of net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vMerge w:val="continue"/>
          </w:tcPr>
          <w:p>
            <w:pPr>
              <w:spacing w:after="0"/>
              <w:rPr>
                <w:sz w:val="15"/>
                <w:szCs w:val="15"/>
                <w:color w:val="auto"/>
              </w:rPr>
            </w:pPr>
          </w:p>
        </w:tc>
        <w:tc>
          <w:tcPr>
            <w:tcW w:w="12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360,913,511</w:t>
            </w:r>
          </w:p>
        </w:tc>
        <w:tc>
          <w:tcPr>
            <w:tcW w:w="140" w:type="dxa"/>
            <w:vAlign w:val="bottom"/>
          </w:tcPr>
          <w:p>
            <w:pPr>
              <w:spacing w:after="0"/>
              <w:rPr>
                <w:sz w:val="15"/>
                <w:szCs w:val="15"/>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289,930,113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 of $12,626,131 and $10,162,655, respectively)</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0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Capital share activity: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7,467,718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6,017,467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from reinvestment of dividends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capital share activity</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7,588,492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6,017,467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16,693,854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increase in net assets resulting from</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to net cash used in operating activities: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Amortization/accretion of discounts and premiums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issuance costs on mandatorily redeemable preferred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discount on mandatorily redeemable preferred stock</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offering costs on 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(286,839,148)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investments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122,292,090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principal and reductions to investment cost value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50,250,000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8,208,832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reductions to CLO equity cost 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27,285,448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distributions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fee receivable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interest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investment advisory fee payable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incentive fee payable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interest payable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directors’ fees payable.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administrator expense payable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(66,338,231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paid (net of dividend reinvestment plan of $1,233,647)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(24,436,595)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80,539,491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Underwriting fees and offering costs for the issuance of 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53,961,197</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(12,377,034)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20,334,222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7,957,188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6,757,175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Value of shares issued in connection with dividend reinvestment plan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15,190,260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Receipt of distribution in-kind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UNAUDITED INTERIM FINANCIAL STATEMENTS</w:t>
      </w:r>
    </w:p>
    <w:p>
      <w:pPr>
        <w:spacing w:after="0" w:line="189" w:lineRule="exact"/>
        <w:rPr>
          <w:sz w:val="20"/>
          <w:szCs w:val="20"/>
          <w:color w:val="auto"/>
        </w:rPr>
      </w:pPr>
    </w:p>
    <w:p>
      <w:pPr>
        <w:jc w:val="both"/>
        <w:ind w:left="460" w:right="459" w:firstLine="324"/>
        <w:spacing w:after="0" w:line="271" w:lineRule="auto"/>
        <w:rPr>
          <w:sz w:val="20"/>
          <w:szCs w:val="20"/>
          <w:color w:val="auto"/>
        </w:rPr>
      </w:pPr>
      <w:r>
        <w:rPr>
          <w:rFonts w:ascii="Times New Roman" w:cs="Times New Roman" w:eastAsia="Times New Roman" w:hAnsi="Times New Roman"/>
          <w:sz w:val="17"/>
          <w:szCs w:val="17"/>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2018, as filed with the Securities and Exchange Commission (“SEC”).</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ORGANIZATION</w:t>
      </w:r>
    </w:p>
    <w:p>
      <w:pPr>
        <w:spacing w:after="0" w:line="202"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OXLC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collateralized loan obligation (“CLO”) vehicles, which primarily own senior corporate debt securities.</w:t>
      </w:r>
    </w:p>
    <w:p>
      <w:pPr>
        <w:spacing w:after="0" w:line="145"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OXLC’s investment activities are managed by Oxford Lane Management, LLC (“OXLC Management”), a registered investment adviser under the Investment Advisers Act of 1940, as amended (the “Advisers Act.”) Oxford Funds, LLC (“Oxford Funds”), is the managing member of OXLC Management and serves as the administrator of OXLC. Under the investment advisory agreement with OXLC Management (the “Investment Advisory Agreement”), OXLC has agreed to pay OXLC Management an annual base management fee based on gross assets as well as an incentive fee based on its performance. For further detail please refer to “Note 5. 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8"/>
          <w:szCs w:val="18"/>
          <w:i w:val="1"/>
          <w:iCs w:val="1"/>
          <w:color w:val="auto"/>
        </w:rPr>
        <w:t>Financial Services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Certain prior period figures have been reclassified from those originally published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 to conform to the current period presentation for comparative purposes. The Fund maintains its accounting records in U.S. dollars.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136"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demand deposits and cash held in a money market fund which contain investments with original maturities of three months or less. The Fund places its cash and cash equivalents with financial institutions and, at times, cash held in bank accounts may exceed the Federal Deposit Insurance Corporation (“FDIC”) insured limit. Cash equivalents are carried at cost or amortized cost which approximates fair value.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200"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Fund fair values its investment portfolio in accordance with the provisions of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and Disclosure</w:t>
      </w:r>
      <w:r>
        <w:rPr>
          <w:rFonts w:ascii="Times New Roman" w:cs="Times New Roman" w:eastAsia="Times New Roman" w:hAnsi="Times New Roman"/>
          <w:sz w:val="18"/>
          <w:szCs w:val="18"/>
          <w:color w:val="auto"/>
        </w:rPr>
        <w:t>. Estimates made in the preparation of OXLC’s financial statements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45"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 — Debt and Equity</w:t>
      </w:r>
    </w:p>
    <w:p>
      <w:pPr>
        <w:spacing w:after="0" w:line="189"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OXLC has acquired debt and equity positions in Collateralized Loan Obligations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the Adviser. If a third-party valuation firm is engaged by the Company,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Securities Sold Under Agreement to Repurchase</w:t>
      </w:r>
    </w:p>
    <w:p>
      <w:pPr>
        <w:spacing w:after="0" w:line="202"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Fund has entered into an agreement whereby it sold securities to be repurchased at an agreed-upon price and date. In such an agreement, the Fund accounts for this transaction as a collateralized financing transaction and is recorded at its</w:t>
      </w:r>
    </w:p>
    <w:p>
      <w:pPr>
        <w:sectPr>
          <w:pgSz w:w="11900" w:h="16838" w:orient="portrait"/>
          <w:cols w:equalWidth="0" w:num="1">
            <w:col w:w="9019"/>
          </w:cols>
          <w:pgMar w:left="1440" w:top="333" w:right="1440" w:bottom="1440"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contracted repurchase amount plus interest. The Fund’s securities sold under the agreement to repurchase are carried at cost; which approximates fair value. Refer to “Note 9. Borrowings Related to Securities Sold Under Agreement to Repurchase” for further details.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02"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for the six months ended September 30, 2018.</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left="460" w:right="459" w:firstLine="324"/>
        <w:spacing w:after="0" w:line="313" w:lineRule="auto"/>
        <w:rPr>
          <w:sz w:val="20"/>
          <w:szCs w:val="20"/>
          <w:color w:val="auto"/>
        </w:rPr>
      </w:pPr>
      <w:r>
        <w:rPr>
          <w:rFonts w:ascii="Times New Roman" w:cs="Times New Roman" w:eastAsia="Times New Roman" w:hAnsi="Times New Roman"/>
          <w:sz w:val="17"/>
          <w:szCs w:val="17"/>
          <w:color w:val="auto"/>
        </w:rPr>
        <w:t>The Fund carries its mandatorily redeemable preferred stock at accreted cost on the Statement of Assets and Liabilities, and not fair value. Refer to “Note 8. Mandatorily Redeemable Preferred Stock” for further details.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Prepaid expenses and other assets consist primarily of insurance costs.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from securitization vehicles and investments</w:t>
      </w:r>
    </w:p>
    <w:p>
      <w:pPr>
        <w:spacing w:after="0" w:line="202"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8"/>
          <w:szCs w:val="18"/>
          <w:i w:val="1"/>
          <w:iCs w:val="1"/>
          <w:color w:val="auto"/>
        </w:rPr>
        <w:t>Beneficial Interests in Securitized Financial Assets</w:t>
      </w:r>
      <w:r>
        <w:rPr>
          <w:rFonts w:ascii="Times New Roman" w:cs="Times New Roman" w:eastAsia="Times New Roman" w:hAnsi="Times New Roman"/>
          <w:sz w:val="18"/>
          <w:szCs w:val="18"/>
          <w:color w:val="auto"/>
        </w:rPr>
        <w:t>, based upon an effective yield to the expected redemption utilizing estimated cash flows,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45"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 Debt Investments</w:t>
      </w:r>
    </w:p>
    <w:p>
      <w:pPr>
        <w:spacing w:after="0" w:line="18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57"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2018, the Fund had no non-accrual investments in its portfolio.</w:t>
      </w:r>
    </w:p>
    <w:p>
      <w:pPr>
        <w:sectPr>
          <w:pgSz w:w="11900" w:h="16838" w:orient="portrait"/>
          <w:cols w:equalWidth="0" w:num="1">
            <w:col w:w="9019"/>
          </w:cols>
          <w:pgMar w:left="1440" w:top="333"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TAXES</w:t>
      </w:r>
    </w:p>
    <w:p>
      <w:pPr>
        <w:spacing w:after="0" w:line="202"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intends to operate so as to continue to qualify to be taxed as a RIC under Subchapter M of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40"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47"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2019 tax returns. The Fund identifies its major tax jurisdictions as U.S Federal and Connecticut State. The Fund is not aware of any tax position for which it is reasonably possible that the total amounts of unrecognized tax benefits will change materially in the next six months or year.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Our distribution policy is based upon our estimate of our distributable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14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Amounts required to be distributed reflect estimates made by the Fund. Distributions paid by the Fund in accordance with RIC requirements are subject to re-characterization for tax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18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Securities transactions are recorded on trade date. Realized gains and losses on investments sold are recorded on the basis of specific identification.</w:t>
      </w:r>
    </w:p>
    <w:p>
      <w:pPr>
        <w:spacing w:after="0" w:line="135"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w:t>
      </w:r>
    </w:p>
    <w:p>
      <w:pPr>
        <w:sectPr>
          <w:pgSz w:w="11900" w:h="16838" w:orient="portrait"/>
          <w:cols w:equalWidth="0" w:num="1">
            <w:col w:w="9019"/>
          </w:cols>
          <w:pgMar w:left="1440" w:top="333" w:right="1440"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Distributions received on CLO equity investments which were optionally redeemed for which the cost basis has been reduced to zero are recorded as realized gains.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 ON COMMON STOCK</w:t>
      </w:r>
    </w:p>
    <w:p>
      <w:pPr>
        <w:spacing w:after="0" w:line="202"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costs are periodically reviewed and expensed if the related registration statement is no longer active or if the offering is unsuccessful.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ISSUANCE COSTS ON MANDATORILY REDEEMABLE PREFERRED STOCK</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Deferred issuance costs on mandatorily redeemable preferred stock consist of fees and expenses incurred in connection with the closing of preferred stock offerings, and are capitalized at the time of payment. These costs are amortized using the straight line method over the term of the respective preferred stock series. This amortization expense is included in interest expense in the Fund’s financial statements. Upon early termination of preferred stock, the remaining balance of unamortized fees related to such debt is accelerated into realized loss on redemption of mandatorily redeemable preferred stock on the Fund’s Statement of Operations. Deferred issuance costs are presented on the Statement of Assets and Liabilities as a direct deduction from the related debt liability.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Fund’s assets measured at fair value on a recurring basis subject to the disclosure requirements of ASC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820-10 at September 30, 2018,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 in millions)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equity</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
        </w:trPr>
        <w:tc>
          <w:tcPr>
            <w:tcW w:w="3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187"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Fund’s financial liabilities disclosed, but not carried at fair value as of September 30, 2018 and the level of each financial liability within the fair value hierarchy:</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4"/>
        </w:trPr>
        <w:tc>
          <w:tcPr>
            <w:tcW w:w="20" w:type="dxa"/>
            <w:vAlign w:val="bottom"/>
          </w:tcPr>
          <w:p>
            <w:pPr>
              <w:spacing w:after="0"/>
              <w:rPr>
                <w:sz w:val="16"/>
                <w:szCs w:val="16"/>
                <w:color w:val="auto"/>
              </w:rPr>
            </w:pPr>
          </w:p>
        </w:tc>
        <w:tc>
          <w:tcPr>
            <w:tcW w:w="2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2023 Term Preferred</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2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tcBorders>
              <w:bottom w:val="single" w:sz="8" w:color="CCEEFF"/>
            </w:tcBorders>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940" w:type="dxa"/>
            <w:vAlign w:val="bottom"/>
            <w:tcBorders>
              <w:bottom w:val="single" w:sz="8" w:color="CCEEFF"/>
            </w:tcBorders>
            <w:gridSpan w:val="2"/>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20" w:type="dxa"/>
            <w:vAlign w:val="bottom"/>
          </w:tcPr>
          <w:p>
            <w:pPr>
              <w:spacing w:after="0"/>
              <w:rPr>
                <w:sz w:val="17"/>
                <w:szCs w:val="17"/>
                <w:color w:val="auto"/>
              </w:rPr>
            </w:pPr>
          </w:p>
        </w:tc>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Series 2024 Term</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r>
      <w:tr>
        <w:trPr>
          <w:trHeight w:val="41"/>
        </w:trPr>
        <w:tc>
          <w:tcPr>
            <w:tcW w:w="212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900" w:type="dxa"/>
            <w:vAlign w:val="bottom"/>
          </w:tcPr>
          <w:p>
            <w:pPr>
              <w:spacing w:after="0"/>
              <w:rPr>
                <w:sz w:val="3"/>
                <w:szCs w:val="3"/>
                <w:color w:val="auto"/>
              </w:rPr>
            </w:pPr>
          </w:p>
        </w:tc>
      </w:tr>
      <w:tr>
        <w:trPr>
          <w:trHeight w:val="255"/>
        </w:trPr>
        <w:tc>
          <w:tcPr>
            <w:tcW w:w="20" w:type="dxa"/>
            <w:vAlign w:val="bottom"/>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FAIR VALUE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Significant Unobservable Inputs for Level 3 Investments</w:t>
      </w:r>
    </w:p>
    <w:p>
      <w:pPr>
        <w:spacing w:after="0" w:line="187"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ASC 820-10, the following table provides quantitative information about the Fund’s Level 3 fair value measurements as of September 30, 2018.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Quantitative Information about Level 3 Fair Value Measurements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Valuation from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Techniques /</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 Weighted</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 Increase in</w:t>
            </w:r>
          </w:p>
        </w:tc>
        <w:tc>
          <w:tcPr>
            <w:tcW w:w="0" w:type="dxa"/>
            <w:vAlign w:val="bottom"/>
          </w:tcPr>
          <w:p>
            <w:pPr>
              <w:spacing w:after="0"/>
              <w:rPr>
                <w:sz w:val="1"/>
                <w:szCs w:val="1"/>
                <w:color w:val="auto"/>
              </w:rPr>
            </w:pPr>
          </w:p>
        </w:tc>
      </w:tr>
      <w:tr>
        <w:trPr>
          <w:trHeight w:val="232"/>
        </w:trPr>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Methodologies</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80" w:type="dxa"/>
            <w:vAlign w:val="bottom"/>
          </w:tcPr>
          <w:p>
            <w:pPr>
              <w:spacing w:after="0"/>
              <w:rPr>
                <w:sz w:val="20"/>
                <w:szCs w:val="20"/>
                <w:color w:val="auto"/>
              </w:rPr>
            </w:pPr>
          </w:p>
        </w:tc>
        <w:tc>
          <w:tcPr>
            <w:tcW w:w="162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5"/>
              </w:rPr>
              <w:t>Average</w:t>
            </w:r>
            <w:r>
              <w:rPr>
                <w:rFonts w:ascii="Times New Roman" w:cs="Times New Roman" w:eastAsia="Times New Roman" w:hAnsi="Times New Roman"/>
                <w:sz w:val="21"/>
                <w:szCs w:val="21"/>
                <w:color w:val="auto"/>
                <w:w w:val="95"/>
                <w:vertAlign w:val="superscript"/>
              </w:rPr>
              <w:t>(3)</w:t>
            </w:r>
          </w:p>
        </w:tc>
        <w:tc>
          <w:tcPr>
            <w:tcW w:w="100" w:type="dxa"/>
            <w:vAlign w:val="bottom"/>
          </w:tcPr>
          <w:p>
            <w:pPr>
              <w:spacing w:after="0"/>
              <w:rPr>
                <w:sz w:val="20"/>
                <w:szCs w:val="20"/>
                <w:color w:val="auto"/>
              </w:rPr>
            </w:pPr>
          </w:p>
        </w:tc>
        <w:tc>
          <w:tcPr>
            <w:tcW w:w="12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5"/>
              </w:rPr>
              <w:t>Input</w:t>
            </w:r>
            <w:r>
              <w:rPr>
                <w:rFonts w:ascii="Times New Roman" w:cs="Times New Roman" w:eastAsia="Times New Roman" w:hAnsi="Times New Roman"/>
                <w:sz w:val="21"/>
                <w:szCs w:val="21"/>
                <w:color w:val="auto"/>
                <w:w w:val="95"/>
                <w:vertAlign w:val="superscript"/>
              </w:rPr>
              <w:t>(4</w:t>
            </w:r>
            <w:r>
              <w:rPr>
                <w:rFonts w:ascii="Times New Roman" w:cs="Times New Roman" w:eastAsia="Times New Roman" w:hAnsi="Times New Roman"/>
                <w:sz w:val="21"/>
                <w:szCs w:val="21"/>
                <w:b w:val="1"/>
                <w:bCs w:val="1"/>
                <w:color w:val="auto"/>
                <w:w w:val="95"/>
                <w:vertAlign w:val="superscript"/>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in millions)</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w:t>
            </w:r>
          </w:p>
        </w:tc>
        <w:tc>
          <w:tcPr>
            <w:tcW w:w="3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Market quotes</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line="276" w:lineRule="exact"/>
              <w:rPr>
                <w:sz w:val="20"/>
                <w:szCs w:val="20"/>
                <w:color w:val="auto"/>
              </w:rPr>
            </w:pPr>
            <w:r>
              <w:rPr>
                <w:rFonts w:ascii="Times New Roman" w:cs="Times New Roman" w:eastAsia="Times New Roman" w:hAnsi="Times New Roman"/>
                <w:sz w:val="18"/>
                <w:szCs w:val="18"/>
                <w:color w:val="auto"/>
                <w:w w:val="92"/>
              </w:rPr>
              <w:t>NBIP</w:t>
            </w:r>
            <w:r>
              <w:rPr>
                <w:rFonts w:ascii="Times New Roman" w:cs="Times New Roman" w:eastAsia="Times New Roman" w:hAnsi="Times New Roman"/>
                <w:sz w:val="25"/>
                <w:szCs w:val="25"/>
                <w:color w:val="auto"/>
                <w:w w:val="92"/>
                <w:vertAlign w:val="superscript"/>
              </w:rPr>
              <w:t>(1)</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92.8%-93.7% / 93.0%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equity</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Market quotes</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2"/>
              </w:rPr>
              <w:t>NBIP</w:t>
            </w:r>
            <w:r>
              <w:rPr>
                <w:rFonts w:ascii="Times New Roman" w:cs="Times New Roman" w:eastAsia="Times New Roman" w:hAnsi="Times New Roman"/>
                <w:sz w:val="25"/>
                <w:szCs w:val="25"/>
                <w:color w:val="auto"/>
                <w:w w:val="92"/>
                <w:vertAlign w:val="superscript"/>
              </w:rPr>
              <w:t>(1)</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1.5%-108.0% / 65.5%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Recent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Transaction</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 trade</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48.0%-91.1% / 60.5%</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Yield Analysis</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2"/>
              </w:rPr>
              <w:t>NBIP</w:t>
            </w:r>
            <w:r>
              <w:rPr>
                <w:rFonts w:ascii="Times New Roman" w:cs="Times New Roman" w:eastAsia="Times New Roman" w:hAnsi="Times New Roman"/>
                <w:sz w:val="25"/>
                <w:szCs w:val="25"/>
                <w:color w:val="auto"/>
                <w:w w:val="92"/>
                <w:vertAlign w:val="superscript"/>
              </w:rPr>
              <w:t>(1)</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14.0%-65.9% / 37.0%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CLO equity - side</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Discounted</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letters</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cash flow</w:t>
            </w:r>
            <w:r>
              <w:rPr>
                <w:rFonts w:ascii="Times New Roman" w:cs="Times New Roman" w:eastAsia="Times New Roman" w:hAnsi="Times New Roman"/>
                <w:sz w:val="25"/>
                <w:szCs w:val="25"/>
                <w:color w:val="auto"/>
                <w:w w:val="94"/>
                <w:vertAlign w:val="superscript"/>
              </w:rPr>
              <w:t>(2)</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Discount rate</w:t>
            </w:r>
            <w:r>
              <w:rPr>
                <w:rFonts w:ascii="Times New Roman" w:cs="Times New Roman" w:eastAsia="Times New Roman" w:hAnsi="Times New Roman"/>
                <w:sz w:val="25"/>
                <w:szCs w:val="25"/>
                <w:color w:val="auto"/>
                <w:w w:val="96"/>
                <w:vertAlign w:val="superscript"/>
              </w:rPr>
              <w:t>(2)</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10.5%-16.0% / 14.2%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 Fair Value</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Level 3</w:t>
            </w:r>
          </w:p>
        </w:tc>
        <w:tc>
          <w:tcPr>
            <w:tcW w:w="3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Borders>
              <w:bottom w:val="single" w:sz="8" w:color="CCEEFF"/>
            </w:tcBorders>
            <w:gridSpan w:val="2"/>
            <w:vMerge w:val="continue"/>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jc w:val="both"/>
        <w:ind w:left="780" w:right="459" w:hanging="318"/>
        <w:spacing w:after="0" w:line="250" w:lineRule="auto"/>
        <w:tabs>
          <w:tab w:leader="none" w:pos="8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Times New Roman" w:cs="Times New Roman" w:eastAsia="Times New Roman" w:hAnsi="Times New Roman"/>
          <w:sz w:val="18"/>
          <w:szCs w:val="18"/>
          <w:color w:val="auto"/>
        </w:rPr>
      </w:pPr>
    </w:p>
    <w:p>
      <w:pPr>
        <w:jc w:val="both"/>
        <w:ind w:left="780" w:right="459" w:hanging="318"/>
        <w:spacing w:after="0" w:line="250" w:lineRule="auto"/>
        <w:tabs>
          <w:tab w:leader="none" w:pos="7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calculate the fair value of certain CLO equity side letters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2" w:lineRule="exact"/>
        <w:rPr>
          <w:rFonts w:ascii="Times New Roman" w:cs="Times New Roman" w:eastAsia="Times New Roman" w:hAnsi="Times New Roman"/>
          <w:sz w:val="18"/>
          <w:szCs w:val="18"/>
          <w:color w:val="auto"/>
        </w:rPr>
      </w:pPr>
    </w:p>
    <w:p>
      <w:pPr>
        <w:ind w:left="760" w:hanging="29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averages are calculated based on fair value of investments.</w:t>
      </w:r>
    </w:p>
    <w:p>
      <w:pPr>
        <w:spacing w:after="0" w:line="9" w:lineRule="exact"/>
        <w:rPr>
          <w:rFonts w:ascii="Times New Roman" w:cs="Times New Roman" w:eastAsia="Times New Roman" w:hAnsi="Times New Roman"/>
          <w:sz w:val="18"/>
          <w:szCs w:val="18"/>
          <w:color w:val="auto"/>
        </w:rPr>
      </w:pPr>
    </w:p>
    <w:p>
      <w:pPr>
        <w:jc w:val="both"/>
        <w:ind w:left="780" w:right="459" w:hanging="318"/>
        <w:spacing w:after="0" w:line="253" w:lineRule="auto"/>
        <w:tabs>
          <w:tab w:leader="none" w:pos="8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FAIR VALUE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fair value of investments for the six months ended September 30, 2018, utilizing significant unobservable inputs, is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Collateralized</w:t>
            </w:r>
          </w:p>
        </w:tc>
        <w:tc>
          <w:tcPr>
            <w:tcW w:w="12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Collateralized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included in earnings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included in earnings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and premiums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and sales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to CLO equity cost value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vMerge w:val="continue"/>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amount of total gains for the period included in earnings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the change in unrealized gains or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our Level 3 assets still held at the reporting date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reported within the net change in unrealized gains or</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on investments in our Statement of Operations</w:t>
            </w:r>
          </w:p>
        </w:tc>
        <w:tc>
          <w:tcPr>
            <w:tcW w:w="240" w:type="dxa"/>
            <w:vAlign w:val="bottom"/>
            <w:tcBorders>
              <w:bottom w:val="single" w:sz="8" w:color="CCEEFF"/>
            </w:tcBorders>
            <w:gridSpan w:val="2"/>
            <w:vMerge w:val="continue"/>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vMerge w:val="continue"/>
            <w:shd w:val="clear" w:color="auto" w:fill="CCEEFF"/>
          </w:tcPr>
          <w:p>
            <w:pPr>
              <w:spacing w:after="0"/>
              <w:rPr>
                <w:sz w:val="22"/>
                <w:szCs w:val="22"/>
                <w:color w:val="auto"/>
              </w:rPr>
            </w:pPr>
          </w:p>
        </w:tc>
        <w:tc>
          <w:tcPr>
            <w:tcW w:w="1000" w:type="dxa"/>
            <w:vAlign w:val="bottom"/>
            <w:tcBorders>
              <w:bottom w:val="single" w:sz="8" w:color="CCEEFF"/>
            </w:tcBorders>
            <w:gridSpan w:val="2"/>
            <w:vMerge w:val="continue"/>
            <w:shd w:val="clear" w:color="auto" w:fill="CCEEFF"/>
          </w:tcPr>
          <w:p>
            <w:pPr>
              <w:spacing w:after="0"/>
              <w:rPr>
                <w:sz w:val="22"/>
                <w:szCs w:val="22"/>
                <w:color w:val="auto"/>
              </w:rPr>
            </w:pPr>
          </w:p>
        </w:tc>
        <w:tc>
          <w:tcPr>
            <w:tcW w:w="340" w:type="dxa"/>
            <w:vAlign w:val="bottom"/>
            <w:tcBorders>
              <w:bottom w:val="single" w:sz="8" w:color="CCEEFF"/>
            </w:tcBorders>
            <w:gridSpan w:val="2"/>
            <w:vMerge w:val="continue"/>
            <w:shd w:val="clear" w:color="auto" w:fill="CCEEFF"/>
          </w:tcPr>
          <w:p>
            <w:pPr>
              <w:spacing w:after="0"/>
              <w:rPr>
                <w:sz w:val="22"/>
                <w:szCs w:val="22"/>
                <w:color w:val="auto"/>
              </w:rPr>
            </w:pPr>
          </w:p>
        </w:tc>
        <w:tc>
          <w:tcPr>
            <w:tcW w:w="8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jc w:val="both"/>
        <w:ind w:left="780" w:right="459" w:hanging="318"/>
        <w:spacing w:after="0" w:line="254" w:lineRule="auto"/>
        <w:tabs>
          <w:tab w:leader="none" w:pos="7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to cost value on OXLC’s CLO equity investments represents the difference between distributions received, or entitled to be received, for the six months ended September 30, 2018, of approximately $68.9 million and the effective yield interest income of approximately $41.6 million. A reduction to cost value is not made for CLO warehouse investments.</w:t>
      </w:r>
    </w:p>
    <w:p>
      <w:pPr>
        <w:spacing w:after="0" w:line="145"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Fund’s policy is to recognize transfers in and transfers out of valuation levels as of the beginning of the reporting period. There were no transfers among Level 1, Level 2 and Level 3 during the six months ended September 30, 2018.</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Effective September 9, 2010, the Fund entered into the Investment Advisory Agreement with OXLC Management, a registered investment adviser under the Advisers Act. Oxford Funds is the managing member of OXLC Management and serves as the administrator of OXLC.</w:t>
      </w:r>
    </w:p>
    <w:p>
      <w:pPr>
        <w:spacing w:after="0" w:line="10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Effective September 9, 2010, the Fund entered into an agreement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16"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OXLC Management a fee for advisory and management services consisting of two components — a base management fee (the “Base Fee” or “Investment Advisory Fee”) and an incentive fee.</w:t>
      </w:r>
    </w:p>
    <w:p>
      <w:pPr>
        <w:sectPr>
          <w:pgSz w:w="11900" w:h="16838" w:orient="portrait"/>
          <w:cols w:equalWidth="0" w:num="1">
            <w:col w:w="9019"/>
          </w:cols>
          <w:pgMar w:left="1440" w:top="333" w:right="1440" w:bottom="1440"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2.00% of the Fund’s gross assets. For services rendered under the Investment Advisory Agreement, the base management fee is payable quarterly in arrears. The base management fee is calculated based on the average value of the Fund’s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07"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OXLC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our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OXLC’s net investment income used to calculate the incentive fee is also included in the amount of its gross assets used to calculate the 2.00% base management fee. The Fund pays OXLC Management an incentive fee with respect to the Fund’s pre-incentive fee net investment income in each calendar quarter as follows:</w:t>
      </w:r>
    </w:p>
    <w:p>
      <w:pPr>
        <w:spacing w:after="0" w:line="125" w:lineRule="exact"/>
        <w:rPr>
          <w:sz w:val="20"/>
          <w:szCs w:val="20"/>
          <w:color w:val="auto"/>
        </w:rPr>
      </w:pPr>
    </w:p>
    <w:p>
      <w:pPr>
        <w:ind w:left="1120" w:right="459" w:hanging="333"/>
        <w:spacing w:after="0" w:line="282" w:lineRule="auto"/>
        <w:tabs>
          <w:tab w:leader="none" w:pos="11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Fund’s pre-incentive fee net investment income does not exceed the hurdle of 1.75%;</w:t>
      </w:r>
    </w:p>
    <w:p>
      <w:pPr>
        <w:spacing w:after="0" w:line="94" w:lineRule="exact"/>
        <w:rPr>
          <w:rFonts w:ascii="Times New Roman" w:cs="Times New Roman" w:eastAsia="Times New Roman" w:hAnsi="Times New Roman"/>
          <w:sz w:val="18"/>
          <w:szCs w:val="18"/>
          <w:color w:val="auto"/>
        </w:rPr>
      </w:pPr>
    </w:p>
    <w:p>
      <w:pPr>
        <w:jc w:val="both"/>
        <w:ind w:left="1120" w:right="459" w:hanging="333"/>
        <w:spacing w:after="0" w:line="256" w:lineRule="auto"/>
        <w:tabs>
          <w:tab w:leader="none" w:pos="10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the investment adviser with 20% of the pre-incentive fee net investment income as if a hurdle did not apply if the net investment income exceeds 2.1875% in any calendar quarter; and</w:t>
      </w:r>
    </w:p>
    <w:p>
      <w:pPr>
        <w:spacing w:after="0" w:line="106" w:lineRule="exact"/>
        <w:rPr>
          <w:rFonts w:ascii="Times New Roman" w:cs="Times New Roman" w:eastAsia="Times New Roman" w:hAnsi="Times New Roman"/>
          <w:sz w:val="18"/>
          <w:szCs w:val="18"/>
          <w:color w:val="auto"/>
        </w:rPr>
      </w:pPr>
    </w:p>
    <w:p>
      <w:pPr>
        <w:jc w:val="both"/>
        <w:ind w:left="1120" w:right="459" w:hanging="333"/>
        <w:spacing w:after="0" w:line="261" w:lineRule="auto"/>
        <w:tabs>
          <w:tab w:leader="none" w:pos="11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pre-incentive fee net investment income, if any, that exceeds 2.1875% in any calendar quarter (8.75% annualized) is payable to OXLC Management (once the hurdle is reached and the “catch-up” is achieved, 20% of all pre-incentive fee net investment income thereafter is allocated to OXLC Management).</w:t>
      </w:r>
    </w:p>
    <w:p>
      <w:pPr>
        <w:spacing w:after="0" w:line="113"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There is no offset in subsequent quarters for any quarter in which an incentive fee is not earned. For the six months ended September 30, 2018, the Fund recognized incentive fee expense of approximately $5.8 million. At September 30, 2018, the Fund had an incentive fee payable of approximately $2.9 million.</w:t>
      </w:r>
    </w:p>
    <w:p>
      <w:pPr>
        <w:spacing w:after="0" w:line="109"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Oxford Funds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 The costs associated with the functions performed by OXLC’s chief compliance officer are paid indirectly by the Fund pursuant to the terms of an agreement between the Fund and Alaric Compliance Services, LLC.</w:t>
      </w:r>
    </w:p>
    <w:p>
      <w:pPr>
        <w:sectPr>
          <w:pgSz w:w="11900" w:h="16838" w:orient="portrait"/>
          <w:cols w:equalWidth="0" w:num="1">
            <w:col w:w="9019"/>
          </w:cols>
          <w:pgMar w:left="1440" w:top="333" w:right="1440"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Until July 31, 2018, independent directors received an annual fee of $75,000, which was increased to $90,000 effective August 1, 2018.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58"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Certain directors, officers and other related parties, including members of OXLC Management, owned, directly or indirectly, an aggregate 1.6% of the common stock of the Fund at September 30,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Co-Investment Exemptive Relief</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On June 14, 2017,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145"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CONCENTRATION OF CREDIT RISK</w:t>
      </w:r>
    </w:p>
    <w:p>
      <w:pPr>
        <w:spacing w:after="0" w:line="202"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DISTRIBUTIONS</w:t>
      </w:r>
    </w:p>
    <w:p>
      <w:pPr>
        <w:spacing w:after="0" w:line="189"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For the six months ended September 30, 2018, the Fund declared and paid distributions on common stock of $0.81 per share, or $25,670,242. The Fund declared and paid distributions on common stock of $1.605 per share, or $41,516,720, for the year ended March 31, 2018. The tax character of distributions paid for the six months ended September 30, 2018 represented, on an estimated basis, $23,960,604 from ordinary income and $1,709,638 from tax return of capital. For the six months ended September 30, 2018, the amounts and sources of distributions reported are only estimates (based on an average of our three most recent years’ reported tax character) and are not being provided for U.S. tax reporting purposes. Because the Fund believes the historical tax characteristics of distributions is the most useful information which is readily available, the Fund has used the average of the three most recent years in providing the estimates herein. However, the timing and character of distributions for federal income tax purposes (which are determined in accordance with the U.S. federal tax rules which may differ from GAAP) may be materially different than the historical information the Fund used in providing the estimates herein. The tax character of distributions paid for the year ended March 31, 2018 represented, on an estimated basis, $35,198,279 from ordinary income and $6,318,441 from tax return of capital. The ultimate tax character of distributions is unknown until our tax return is filed.</w:t>
      </w:r>
    </w:p>
    <w:p>
      <w:pPr>
        <w:sectPr>
          <w:pgSz w:w="11900" w:h="16838" w:orient="portrait"/>
          <w:cols w:equalWidth="0" w:num="1">
            <w:col w:w="9019"/>
          </w:cols>
          <w:pgMar w:left="1440" w:top="333"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DISTRIBUTIONS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2018 and the year ended March 31, 2018 the Fund also declared and paid dividends on preferred stock of $5,692,945 and $11,626,167, respectively. The tax character of distributions paid on preferred stock represented ordinary income.</w:t>
      </w:r>
    </w:p>
    <w:p>
      <w:pPr>
        <w:spacing w:after="0" w:line="122"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Pursuant to the Regulated Investment Company Modernization Act of 2010, the Fund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spacing w:after="0" w:line="135"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31, 2018, the Fund had available $58,073,106 of long-term capital losses, which can be used to offset future capital gains. These losses represent post-RIC modernization losses not subject to expiration. Under the current law, capital losses related to securities realized after October 31 and prior to the Fund’s fiscal year end may be deferred as occurring the first day of the following fiscal year. For the fiscal year ended March 31, 2018, the Fund had no losses to defer.</w:t>
      </w:r>
    </w:p>
    <w:p>
      <w:pPr>
        <w:spacing w:after="0" w:line="1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of March 31, 2018, the estimated components of accumulated earnings on a tax basis were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ordinary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long-term capital gains (capital loss carry forward)</w:t>
            </w:r>
          </w:p>
        </w:tc>
        <w:tc>
          <w:tcPr>
            <w:tcW w:w="1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(58,073,106)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1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(24,839,133)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timing differences</w:t>
            </w:r>
          </w:p>
        </w:tc>
        <w:tc>
          <w:tcPr>
            <w:tcW w:w="1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The tax basis components of accumulated earnings differ from the amounts reflected in the Statement of Assets and Liabilities due to temporary book/tax differences primarily arising from investments in CLO equity investments and permanent book/tax differences attributable to CLO equity investments. For the year ended March 31, 2018, the permanent differences between financial and tax reporting were due to basis adjustments on the sale of CLO equity investments, resulting in an increase of distributions in excess of investment income of $10,927,988, and a decrease in accumulated net realized loss on investments of $352,055. These amounts will be finalized before filing the federal tax return.</w:t>
      </w:r>
    </w:p>
    <w:p>
      <w:pPr>
        <w:spacing w:after="0" w:line="135"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2018, the aggregate gross unrealized appreciation for tax purposes was $21,411,630, and aggregate gross unrealized depreciation was $75,267,189. For tax purposes, the cost basis of the portfolio investments at September 30, 2018 was $613,862,217.</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MANDATORILY REDEEMABLE PREFERRED STOCK</w:t>
      </w:r>
    </w:p>
    <w:p>
      <w:pPr>
        <w:spacing w:after="0" w:line="175"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The Fund has authorized 10 million shares of mandatorily redeemable preferred stock, at a par value of $0.01 per share, and had 6,345,416 shares issued and outstanding at September 30, 2018. Since 2012 and through June 2017, the Fund completed underwritten public offerings of its 7.50% Series 2023 Term Preferred Shares (the “Series 2023 Shares”); 8.125% Series 2024 Term Preferred Shares (the “Series 2024 Shares”) and 6.75% Series 2024 Term Preferred Shares (the “New Series 2024 Shares”), collectively the “Term Preferred Shares” or “Term Shares”. The Fund is required to redeem all of the outstanding Term Preferred Shares on their respective redemption dates, at a redemption price equal to $25 per share plus an amount equal to accumulated but unpaid dividends, if any, to the date of the redemption. OXLC cannot effect any amendment, alteration, or repeal of the Fund’s obligation to redeem all of the Term Shares without the prior unanimous vote or consent of the holders of such Term Shares. At any time on or after the optional redemption date, at the Fund’s sole option, the Fund may redeem the Term Shares at a redemption price per share equal to the sum of the $25 liquidation preference per share plus an amount equal to accumulated but unpaid dividends, if any, on such Term Shares. The Fund, with the authorization by the Board of Directors, may repurchase any of the Term Preferred Shares from time to time in the open market and effectively extinguish the debt.</w:t>
      </w:r>
    </w:p>
    <w:p>
      <w:pPr>
        <w:spacing w:after="0" w:line="145"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On March 21, 2016, the Fund announced a program for the purpose of repurchasing up to $25 million worth of the outstanding shares of the Series 2023 Shares and up to $25 million worth of the outstanding shares of the Series 2024 Shares.</w:t>
      </w:r>
    </w:p>
    <w:p>
      <w:pPr>
        <w:sectPr>
          <w:pgSz w:w="11900" w:h="16838" w:orient="portrait"/>
          <w:cols w:equalWidth="0" w:num="1">
            <w:col w:w="9019"/>
          </w:cols>
          <w:pgMar w:left="1440" w:top="333" w:right="1440" w:bottom="1440"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MANDATORILY REDEEMABLE PREFERRED STOCK </w:t>
      </w:r>
      <w:r>
        <w:rPr>
          <w:rFonts w:ascii="Times New Roman" w:cs="Times New Roman" w:eastAsia="Times New Roman" w:hAnsi="Times New Roman"/>
          <w:sz w:val="18"/>
          <w:szCs w:val="18"/>
          <w:color w:val="auto"/>
        </w:rPr>
        <w:t>(cont.)</w:t>
      </w:r>
    </w:p>
    <w:p>
      <w:pPr>
        <w:spacing w:after="0" w:line="17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this repurchase program, the Fund repurchased 609,537 shares of the Series 2023 Shares, at an average price of $25.20 per share, and 2,712 shares of the Series 2024 Shares, at an average price of $25.40 per share, for the year ended March 31, 2017. In connection with the repurchased Series 2023 Shares, the Fund realized a net redemption loss of approximately $615,000, consisting of previously unamortized deferred issuance costs of approximately $490,000, in addition to repurchases at a net premium to par of approximately $125,000. In connection with the repurchased Series 2024 Shares, the Fund realized a net redemption loss of approximately $3,000, consisting of previously unamortized deferred issuance costs of approximately $2,000, in addition to repurchases at a net premium to par of approximately $1,000.</w:t>
      </w:r>
    </w:p>
    <w:p>
      <w:pPr>
        <w:spacing w:after="0" w:line="131"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On March 14, 2017, the Fund entered into an equity distribution agreement to sell, through an “at-the-market” offering, up to 600,000 shares of the Fund’s Series 2023 Shares and up to 600,000 shares of the Fund’s Series 2024 Shares. The Fund sold a total of 600,000 shares of its Series 2023 Shares and 1,300 shares of its Series 2024 Shares pursuant to the “at-the-market” offering during the year ended March 31, 2017. The total amount of net proceeds raised under this “at-the-market” offering was approximately $15.0 million after deducting the sales agent’s commissions and offering expenses.</w:t>
      </w:r>
    </w:p>
    <w:p>
      <w:pPr>
        <w:spacing w:after="0" w:line="134"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On June 14, 2017, the Fund completed an underwritten public offering of 2,729,415 shares of its newly designated New Series 2024 Shares at a public offering price of $25 per share, raising $68.2 million in gross proceeds. The New Series 2024 Shares are listed on the NASDAQ Global Select Market and trade under the symbol “OXLCM”.</w:t>
      </w:r>
    </w:p>
    <w:p>
      <w:pPr>
        <w:spacing w:after="0" w:line="126"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On July 14, 2017 (the “Redemption Date”), the Fund redeemed all of the issued and outstanding shares (an aggregate of 2,020,179 shares) of the Series 2024 Shares for a redemption price of $25 per share plus $0.07336 in accrued but unpaid dividends per share to the Redemption Date, for an aggregate redemption price of $25.07336 per share. In connection with the July 14, 2017 redemption of approximately $50.5 million of the Series 2024 Shares, the Fund incurred redemption costs of approximately $1.7 million, which consisted of accelerated deferred issuance costs.</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Fund’s Term Preferred Share activity for the six months ended September 30, 2018,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2024 Term</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March 31, 2018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3,616,001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2,729,415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redeemed</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 at September 30, 2018</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3,616,001</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2,729,415</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6,345,416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Fund’s Term Preferred Share balances as of September 30, 2018,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2024 Term</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value</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90,400,025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68,235,375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$ 158,635,400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(1,660,383)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(1,919,437)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(3,579,820)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(2,747,747)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(2,747,747)</w:t>
            </w:r>
          </w:p>
        </w:tc>
        <w:tc>
          <w:tcPr>
            <w:tcW w:w="0" w:type="dxa"/>
            <w:vAlign w:val="bottom"/>
          </w:tcPr>
          <w:p>
            <w:pPr>
              <w:spacing w:after="0"/>
              <w:rPr>
                <w:sz w:val="1"/>
                <w:szCs w:val="1"/>
                <w:color w:val="auto"/>
              </w:rPr>
            </w:pPr>
          </w:p>
        </w:tc>
      </w:tr>
      <w:tr>
        <w:trPr>
          <w:trHeight w:val="22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85,991,895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66,315,938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$ 152,307,833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326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1"/>
                <w:szCs w:val="21"/>
                <w:color w:val="auto"/>
                <w:vertAlign w:val="superscript"/>
              </w:rPr>
              <w:t>(1)</w:t>
            </w:r>
          </w:p>
        </w:tc>
        <w:tc>
          <w:tcPr>
            <w:tcW w:w="13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91,557,145</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70,282,436</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$ 161,839,581</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40" w:type="dxa"/>
            <w:vAlign w:val="bottom"/>
          </w:tcPr>
          <w:p>
            <w:pPr>
              <w:spacing w:after="0" w:line="238" w:lineRule="exact"/>
              <w:rPr>
                <w:sz w:val="20"/>
                <w:szCs w:val="20"/>
                <w:color w:val="auto"/>
              </w:rPr>
            </w:pPr>
            <w:r>
              <w:rPr>
                <w:rFonts w:ascii="Times New Roman" w:cs="Times New Roman" w:eastAsia="Times New Roman" w:hAnsi="Times New Roman"/>
                <w:sz w:val="18"/>
                <w:szCs w:val="18"/>
                <w:color w:val="auto"/>
              </w:rPr>
              <w:t>Fair value price per share</w:t>
            </w:r>
            <w:r>
              <w:rPr>
                <w:rFonts w:ascii="Times New Roman" w:cs="Times New Roman" w:eastAsia="Times New Roman" w:hAnsi="Times New Roman"/>
                <w:sz w:val="21"/>
                <w:szCs w:val="21"/>
                <w:color w:val="auto"/>
                <w:vertAlign w:val="superscript"/>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80" w:right="459" w:hanging="318"/>
        <w:spacing w:after="0" w:line="261"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September 30, 2018 closing market price per share of each respective series of Term Preferred Shares on the NASDAQ Global Select Market.</w:t>
      </w:r>
    </w:p>
    <w:p>
      <w:pPr>
        <w:sectPr>
          <w:pgSz w:w="11900" w:h="16838" w:orient="portrait"/>
          <w:cols w:equalWidth="0" w:num="1">
            <w:col w:w="9019"/>
          </w:cols>
          <w:pgMar w:left="1440" w:top="333"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MANDATORILY REDEEMABLE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terms of the Fund’s Term Preferred Share offerings are as set forth in the table below:</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 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ind w:right="97"/>
              <w:spacing w:after="0"/>
              <w:rPr>
                <w:sz w:val="20"/>
                <w:szCs w:val="20"/>
                <w:color w:val="auto"/>
              </w:rPr>
            </w:pPr>
            <w:r>
              <w:rPr>
                <w:rFonts w:ascii="Times New Roman" w:cs="Times New Roman" w:eastAsia="Times New Roman" w:hAnsi="Times New Roman"/>
                <w:sz w:val="18"/>
                <w:szCs w:val="18"/>
                <w:color w:val="auto"/>
                <w:w w:val="99"/>
              </w:rPr>
              <w:t>$ 25.00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Term redemption date</w:t>
            </w:r>
          </w:p>
        </w:tc>
        <w:tc>
          <w:tcPr>
            <w:tcW w:w="28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June 30, 2023</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redemption price per share</w:t>
            </w:r>
          </w:p>
        </w:tc>
        <w:tc>
          <w:tcPr>
            <w:tcW w:w="2820" w:type="dxa"/>
            <w:vAlign w:val="bottom"/>
            <w:tcBorders>
              <w:bottom w:val="single" w:sz="8" w:color="CCEEFF"/>
            </w:tcBorders>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rPr>
              <w:t>$25.00</w:t>
            </w: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date</w:t>
            </w:r>
          </w:p>
        </w:tc>
        <w:tc>
          <w:tcPr>
            <w:tcW w:w="28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June 30, 2016</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28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8"/>
              </w:rPr>
              <w:t>7.50%</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The Fund’s Term Preferred Shares had no accrued interest payable at September 30, 2018. Deferred issuance costs represent underwriting fees and other direct costs incurred that are related to the Fund’s Term Preferred Shares. As of September 30, 2018, OXLC had a deferred debt issuance cost balance of approximately $3.6 million related to the issuance of the Term Preferred Shares. Aggregate net discount on the Series 2023 Shares at the time of issuance totaled approximately $5.3 million. As of September 30, 2018, OXLC had an unamortized discount balance of approximately $2.7 million. These amounts are being amortized and are included in interest expense in the Statement of Operations over the term of the respective shares. The realized gain on redemption of debt incurred in prior periods was reclassified from Interest expense in the Statement of Operations to conform with the current period presentation.</w:t>
      </w:r>
    </w:p>
    <w:p>
      <w:pPr>
        <w:spacing w:after="0" w:line="14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components of interest expense, effective interest rates and cash paid on the Term Preferred Shares for the six months ended September 30, 2018:</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Series 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2024 Term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1"/>
                <w:szCs w:val="21"/>
                <w:color w:val="auto"/>
                <w:vertAlign w:val="superscript"/>
              </w:rPr>
              <w:t>(1)</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3,390,001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2,302,944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5,692,945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issuance costs.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expense</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8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3,848,140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6,318,349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370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r>
              <w:rPr>
                <w:rFonts w:ascii="Times New Roman" w:cs="Times New Roman" w:eastAsia="Times New Roman" w:hAnsi="Times New Roman"/>
                <w:sz w:val="21"/>
                <w:szCs w:val="21"/>
                <w:color w:val="auto"/>
                <w:vertAlign w:val="superscript"/>
              </w:rPr>
              <w:t>(2)</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3,390,001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2,302,944</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5,692,945</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80" w:right="459" w:hanging="318"/>
        <w:spacing w:after="0" w:line="249"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interest is composed of distributions declared and paid of approximately $5.7 million for the six months ended September 30, 2018.</w:t>
      </w:r>
    </w:p>
    <w:p>
      <w:pPr>
        <w:ind w:left="760" w:hanging="29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effective rate for each respective series of Term Preferred Shares.</w:t>
      </w:r>
    </w:p>
    <w:p>
      <w:pPr>
        <w:spacing w:after="0" w:line="203" w:lineRule="exact"/>
        <w:rPr>
          <w:sz w:val="20"/>
          <w:szCs w:val="20"/>
          <w:color w:val="auto"/>
        </w:rPr>
      </w:pPr>
    </w:p>
    <w:p>
      <w:pPr>
        <w:ind w:left="460" w:right="1459"/>
        <w:spacing w:after="0" w:line="286" w:lineRule="auto"/>
        <w:rPr>
          <w:sz w:val="20"/>
          <w:szCs w:val="20"/>
          <w:color w:val="auto"/>
        </w:rPr>
      </w:pPr>
      <w:r>
        <w:rPr>
          <w:rFonts w:ascii="Times New Roman" w:cs="Times New Roman" w:eastAsia="Times New Roman" w:hAnsi="Times New Roman"/>
          <w:sz w:val="18"/>
          <w:szCs w:val="18"/>
          <w:b w:val="1"/>
          <w:bCs w:val="1"/>
          <w:color w:val="auto"/>
        </w:rPr>
        <w:t>NOTE 9. BORROWINGS RELATED TO SECURITIES SOLD UNDER AGREEMENT TO REPURCHASE</w:t>
      </w:r>
    </w:p>
    <w:p>
      <w:pPr>
        <w:spacing w:after="0" w:line="118"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On January 2, 2018, the Fund entered into a Master Repurchase Agreement (“MRA”) with Nomura Securities International, Inc. (“Nomura”). Pursuant to the MRA and a transaction confirmation, Oxford Lane entered into a repurchase transaction (the “Repo”) with Nomura pursuant to which the Fund sold CLO securities to Nomura with a market value of approximately $106.2 million, at January 2, 2018, for a purchase price of approximately $42.5 million. At the end of the Repo term, the Fund is obligated to repurchase those securities from Nomura, and Nomura is obligated to sell the securities to the Fund, for the original purchase price of $42.5 million plus accrued but unpaid funding costs. The Repo had a nine-month term, from trade date, that may be extended by mutual agreement. The Repo has a funding cost of 3-month LIBOR plus 3.15 percent per annum, which may be adjusted in the event of an extension of the Repo term. On July 23, 2018, OXLC entered into an amended and</w:t>
      </w:r>
    </w:p>
    <w:p>
      <w:pPr>
        <w:sectPr>
          <w:pgSz w:w="11900" w:h="16838" w:orient="portrait"/>
          <w:cols w:equalWidth="0" w:num="1">
            <w:col w:w="9019"/>
          </w:cols>
          <w:pgMar w:left="1440" w:top="333" w:right="1440"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right="14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9. BORROWINGS RELATED TO SECURITIES SOLD UNDER AGREEMENT TO REPURCHASE </w:t>
      </w:r>
      <w:r>
        <w:rPr>
          <w:rFonts w:ascii="Times New Roman" w:cs="Times New Roman" w:eastAsia="Times New Roman" w:hAnsi="Times New Roman"/>
          <w:sz w:val="18"/>
          <w:szCs w:val="18"/>
          <w:color w:val="auto"/>
        </w:rPr>
        <w:t>(cont.)</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restated MRA with Nomura to extend the Repo term. Under this agreement, the term of the Repo was extended until April 2, 2019. The Fund treats the transaction as a secured financing for financial reporting purposes in accordance with GAAP.</w:t>
      </w:r>
    </w:p>
    <w:p>
      <w:pPr>
        <w:spacing w:after="0" w:line="14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2018, and pursuant to the terms of the MRA with Nomura, the Fund had an interest payable of approximately $0.6 million. In connection with the Repo funding costs, the Fund recognized interest expense of approximately $1.2 million for the six months ended September 30, 2018.</w:t>
      </w:r>
    </w:p>
    <w:p>
      <w:pPr>
        <w:spacing w:after="0" w:line="136"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certain assets and liabilities representing financial instruments as of September 30, 2018:</w:t>
      </w:r>
    </w:p>
    <w:p>
      <w:pPr>
        <w:spacing w:after="0" w:line="124"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Amounts not offset in the</w:t>
      </w:r>
    </w:p>
    <w:p>
      <w:pPr>
        <w:spacing w:after="0" w:line="28"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Statement of Assets and</w:t>
      </w:r>
    </w:p>
    <w:p>
      <w:pPr>
        <w:spacing w:after="0" w:line="19"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Gross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-106045</wp:posOffset>
            </wp:positionV>
            <wp:extent cx="3198495" cy="780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98495" cy="780415"/>
                    </a:xfrm>
                    <a:prstGeom prst="rect">
                      <a:avLst/>
                    </a:prstGeom>
                    <a:noFill/>
                  </pic:spPr>
                </pic:pic>
              </a:graphicData>
            </a:graphic>
          </wp:anchor>
        </w:drawing>
      </w:r>
    </w:p>
    <w:p>
      <w:pPr>
        <w:spacing w:after="0" w:line="8"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Net amounts</w:t>
      </w:r>
    </w:p>
    <w:p>
      <w:pPr>
        <w:spacing w:after="0" w:line="19"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presented in</w:t>
      </w:r>
    </w:p>
    <w:p>
      <w:pPr>
        <w:spacing w:after="0" w:line="19"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the Statement</w:t>
      </w:r>
    </w:p>
    <w:p>
      <w:pPr>
        <w:spacing w:after="0" w:line="19" w:lineRule="exact"/>
        <w:rPr>
          <w:sz w:val="20"/>
          <w:szCs w:val="20"/>
          <w:color w:val="auto"/>
        </w:rPr>
      </w:pPr>
    </w:p>
    <w:p>
      <w:pPr>
        <w:ind w:left="3840"/>
        <w:spacing w:after="0"/>
        <w:tabs>
          <w:tab w:leader="none" w:pos="5300" w:val="left"/>
          <w:tab w:leader="none" w:pos="6480" w:val="left"/>
        </w:tabs>
        <w:rPr>
          <w:sz w:val="20"/>
          <w:szCs w:val="20"/>
          <w:color w:val="auto"/>
        </w:rPr>
      </w:pPr>
      <w:r>
        <w:rPr>
          <w:rFonts w:ascii="Times New Roman" w:cs="Times New Roman" w:eastAsia="Times New Roman" w:hAnsi="Times New Roman"/>
          <w:sz w:val="16"/>
          <w:szCs w:val="16"/>
          <w:b w:val="1"/>
          <w:bCs w:val="1"/>
          <w:color w:val="auto"/>
        </w:rPr>
        <w:t>of Assets and</w:t>
      </w:r>
      <w:r>
        <w:rPr>
          <w:sz w:val="20"/>
          <w:szCs w:val="20"/>
          <w:color w:val="auto"/>
        </w:rPr>
        <w:tab/>
      </w:r>
      <w:r>
        <w:rPr>
          <w:rFonts w:ascii="Times New Roman" w:cs="Times New Roman" w:eastAsia="Times New Roman" w:hAnsi="Times New Roman"/>
          <w:sz w:val="16"/>
          <w:szCs w:val="16"/>
          <w:b w:val="1"/>
          <w:bCs w:val="1"/>
          <w:color w:val="auto"/>
        </w:rPr>
        <w:t>Financial</w:t>
      </w:r>
      <w:r>
        <w:rPr>
          <w:sz w:val="20"/>
          <w:szCs w:val="20"/>
          <w:color w:val="auto"/>
        </w:rPr>
        <w:tab/>
      </w:r>
      <w:r>
        <w:rPr>
          <w:rFonts w:ascii="Times New Roman" w:cs="Times New Roman" w:eastAsia="Times New Roman" w:hAnsi="Times New Roman"/>
          <w:sz w:val="16"/>
          <w:szCs w:val="16"/>
          <w:b w:val="1"/>
          <w:bCs w:val="1"/>
          <w:color w:val="auto"/>
        </w:rPr>
        <w:t>Securities</w:t>
      </w:r>
    </w:p>
    <w:p>
      <w:pPr>
        <w:spacing w:after="0" w:line="19" w:lineRule="exact"/>
        <w:rPr>
          <w:sz w:val="20"/>
          <w:szCs w:val="20"/>
          <w:color w:val="auto"/>
        </w:rPr>
      </w:pPr>
    </w:p>
    <w:p>
      <w:pPr>
        <w:ind w:left="3980"/>
        <w:spacing w:after="0"/>
        <w:tabs>
          <w:tab w:leader="none" w:pos="5220" w:val="left"/>
          <w:tab w:leader="none" w:pos="6500" w:val="left"/>
          <w:tab w:leader="none" w:pos="7600" w:val="left"/>
        </w:tabs>
        <w:rPr>
          <w:sz w:val="20"/>
          <w:szCs w:val="20"/>
          <w:color w:val="auto"/>
        </w:rPr>
      </w:pPr>
      <w:r>
        <w:rPr>
          <w:rFonts w:ascii="Times New Roman" w:cs="Times New Roman" w:eastAsia="Times New Roman" w:hAnsi="Times New Roman"/>
          <w:sz w:val="16"/>
          <w:szCs w:val="16"/>
          <w:b w:val="1"/>
          <w:bCs w:val="1"/>
          <w:color w:val="auto"/>
        </w:rPr>
        <w:t>Liabilities</w:t>
      </w:r>
      <w:r>
        <w:rPr>
          <w:sz w:val="20"/>
          <w:szCs w:val="20"/>
          <w:color w:val="auto"/>
        </w:rPr>
        <w:tab/>
      </w:r>
      <w:r>
        <w:rPr>
          <w:rFonts w:ascii="Times New Roman" w:cs="Times New Roman" w:eastAsia="Times New Roman" w:hAnsi="Times New Roman"/>
          <w:sz w:val="16"/>
          <w:szCs w:val="16"/>
          <w:b w:val="1"/>
          <w:bCs w:val="1"/>
          <w:color w:val="auto"/>
        </w:rPr>
        <w:t>instruments</w:t>
      </w:r>
      <w:r>
        <w:rPr>
          <w:sz w:val="20"/>
          <w:szCs w:val="20"/>
          <w:color w:val="auto"/>
        </w:rPr>
        <w:tab/>
      </w:r>
      <w:r>
        <w:rPr>
          <w:rFonts w:ascii="Times New Roman" w:cs="Times New Roman" w:eastAsia="Times New Roman" w:hAnsi="Times New Roman"/>
          <w:sz w:val="16"/>
          <w:szCs w:val="16"/>
          <w:b w:val="1"/>
          <w:bCs w:val="1"/>
          <w:color w:val="auto"/>
        </w:rPr>
        <w:t>collateral</w:t>
      </w:r>
      <w:r>
        <w:rPr>
          <w:sz w:val="20"/>
          <w:szCs w:val="20"/>
          <w:color w:val="auto"/>
        </w:rPr>
        <w:tab/>
      </w:r>
      <w:r>
        <w:rPr>
          <w:rFonts w:ascii="Times New Roman" w:cs="Times New Roman" w:eastAsia="Times New Roman" w:hAnsi="Times New Roman"/>
          <w:sz w:val="16"/>
          <w:szCs w:val="16"/>
          <w:b w:val="1"/>
          <w:bCs w:val="1"/>
          <w:color w:val="auto"/>
        </w:rPr>
        <w:t>Net amount</w:t>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sold under agreements to</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75"/>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(42,493,500)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42,493,500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(42,493,500)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42,493,500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Fund’s outstanding borrowings by remaining maturity as of September 30, 2018:</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Contractual Maturity of the Agreements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Overnight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Greater Than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Remaining Maturity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Continuous</w:t>
            </w:r>
          </w:p>
        </w:tc>
        <w:tc>
          <w:tcPr>
            <w:tcW w:w="12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Up to 30 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30 - 90 days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Borrowings related to</w:t>
            </w: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sold under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to repurchase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CLO equity investments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42,493,500</w:t>
            </w: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42,493,500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 borrowings related to</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sold under</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42,493,500</w:t>
            </w:r>
          </w:p>
        </w:tc>
        <w:tc>
          <w:tcPr>
            <w:tcW w:w="8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42,493,500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to repurchase</w:t>
            </w:r>
          </w:p>
        </w:tc>
        <w:tc>
          <w:tcPr>
            <w:tcW w:w="220" w:type="dxa"/>
            <w:vAlign w:val="bottom"/>
            <w:tcBorders>
              <w:bottom w:val="single" w:sz="8" w:color="CCEEFF"/>
            </w:tcBorders>
            <w:gridSpan w:val="2"/>
            <w:vMerge w:val="continue"/>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600" w:type="dxa"/>
            <w:vAlign w:val="bottom"/>
            <w:tcBorders>
              <w:bottom w:val="single" w:sz="8" w:color="CCEEFF"/>
            </w:tcBorders>
            <w:gridSpan w:val="2"/>
            <w:vMerge w:val="continue"/>
            <w:shd w:val="clear" w:color="auto" w:fill="CCEEFF"/>
          </w:tcPr>
          <w:p>
            <w:pPr>
              <w:spacing w:after="0"/>
              <w:rPr>
                <w:sz w:val="22"/>
                <w:szCs w:val="22"/>
                <w:color w:val="auto"/>
              </w:rPr>
            </w:pPr>
          </w:p>
        </w:tc>
        <w:tc>
          <w:tcPr>
            <w:tcW w:w="60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gridSpan w:val="2"/>
            <w:vMerge w:val="continue"/>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280" w:type="dxa"/>
            <w:vAlign w:val="bottom"/>
            <w:tcBorders>
              <w:bottom w:val="single" w:sz="8" w:color="CCEEFF"/>
            </w:tcBorders>
            <w:gridSpan w:val="2"/>
            <w:vMerge w:val="continue"/>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vMerge w:val="continue"/>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principal value, carrying value and fair value of the Fund’s securities sold under its outstanding borrowing agreement to repurchase as of September 30, 2018:</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of Net Assets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Atrium XII CLO - CLO subordinated notes</w:t>
            </w:r>
          </w:p>
        </w:tc>
        <w:tc>
          <w:tcPr>
            <w:tcW w:w="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$ 34,762,500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$ 24,456,220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$ 30,938,625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Madison Park Funding XXX, Ltd. - CLO</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16,107,359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18,841,355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5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Midocean Credit CLO VI - CLO income notes</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24,700,000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20,858,693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18,772,000</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OZLM XIV, Ltd. - CLO subordinated notes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8,249,149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7,217,965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THL Credit Wind River 2014-3 CLO Ltd. - CLO</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18,530,000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14,094,430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12,971,000</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THL Credit Wind River 2017-l CLO Ltd. - CLO</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10,288,221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8,880,000</w:t>
            </w:r>
          </w:p>
        </w:tc>
        <w:tc>
          <w:tcPr>
            <w:tcW w:w="1320" w:type="dxa"/>
            <w:vAlign w:val="bottom"/>
            <w:gridSpan w:val="3"/>
          </w:tcPr>
          <w:p>
            <w:pPr>
              <w:jc w:val="right"/>
              <w:spacing w:after="0" w:line="275" w:lineRule="exact"/>
              <w:rPr>
                <w:sz w:val="20"/>
                <w:szCs w:val="20"/>
                <w:color w:val="auto"/>
              </w:rPr>
            </w:pPr>
            <w:r>
              <w:rPr>
                <w:rFonts w:ascii="Times New Roman" w:cs="Times New Roman" w:eastAsia="Times New Roman" w:hAnsi="Times New Roman"/>
                <w:sz w:val="16"/>
                <w:szCs w:val="16"/>
                <w:color w:val="auto"/>
              </w:rPr>
              <w:t>2.46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$ 117,542,500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$ 94,054,072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$ 97,620,945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PURCHASES, SALES AND REPAYMENTS OF SECURITIES</w:t>
      </w:r>
    </w:p>
    <w:p>
      <w:pPr>
        <w:spacing w:after="0" w:line="18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Purchases of securities totaled approximately $278.0 million, comprised of approximately $262.8 million of purchases for the six months ended September 30, 2018 and approximately $15.2 million of purchases unsettled as of September 30, 2018. The Fund’s sales and repayments of securities totaled approximately $166.9 million, comprised of approximately $116.6 million of sales, and approximately $50.3 million of repayments, excluding short-term investments, for the six months ended September 30, 2018.</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62"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w:t>
      </w:r>
    </w:p>
    <w:p>
      <w:pPr>
        <w:spacing w:after="0" w:line="10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2018, the Fund had a commitment to fund an additional $18.75 million of Octagon Investment Partners 40 Ltd. Preference Warehouse Shares.</w:t>
      </w:r>
    </w:p>
    <w:p>
      <w:pPr>
        <w:spacing w:after="0" w:line="81"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 of these legal proceedings, if any, cannot be predicted with certainty, the Fund does not expect that these proceedings will have a material effect upon its financial condition or results of operations.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INDEMNIFICATION</w:t>
      </w:r>
    </w:p>
    <w:p>
      <w:pPr>
        <w:spacing w:after="0" w:line="121"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FINANCIAL HIGHLIGHTS</w:t>
      </w:r>
    </w:p>
    <w:p>
      <w:pPr>
        <w:spacing w:after="0" w:line="121"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Financial highlights for the six months ended September 30, 2018 and years ended March 31, 2018, 2017, 2016, 2015 are as follows:</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 beginning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income</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and unrealized (losses) gains</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from investment operations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of net investment income</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from realized gain 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vMerge w:val="continue"/>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of return of capital</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per share based on weighted</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average share impact</w:t>
            </w:r>
            <w:r>
              <w:rPr>
                <w:rFonts w:ascii="Times New Roman" w:cs="Times New Roman" w:eastAsia="Times New Roman" w:hAnsi="Times New Roman"/>
                <w:sz w:val="21"/>
                <w:szCs w:val="21"/>
                <w:color w:val="auto"/>
                <w:vertAlign w:val="superscript"/>
              </w:rPr>
              <w:t>(3)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vMerge w:val="continue"/>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distributions</w:t>
            </w:r>
            <w:r>
              <w:rPr>
                <w:rFonts w:ascii="Times New Roman" w:cs="Times New Roman" w:eastAsia="Times New Roman" w:hAnsi="Times New Roman"/>
                <w:sz w:val="21"/>
                <w:szCs w:val="21"/>
                <w:color w:val="auto"/>
                <w:vertAlign w:val="superscript"/>
              </w:rPr>
              <w:t>(3)</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Effect of shares issued/repurchased, net of</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underwriting expense</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Effect of offering costs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
        </w:trPr>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shares issued/repurchased, net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FINANCIAL HIGHLIGHTS </w:t>
      </w:r>
      <w:r>
        <w:rPr>
          <w:rFonts w:ascii="Times New Roman" w:cs="Times New Roman" w:eastAsia="Times New Roman" w:hAnsi="Times New Roman"/>
          <w:sz w:val="18"/>
          <w:szCs w:val="18"/>
          <w:color w:val="auto"/>
        </w:rPr>
        <w:t>(cont.)</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0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40" w:type="dxa"/>
            <w:vAlign w:val="bottom"/>
          </w:tcPr>
          <w:p>
            <w:pPr>
              <w:spacing w:after="0"/>
              <w:rPr>
                <w:sz w:val="16"/>
                <w:szCs w:val="16"/>
                <w:color w:val="auto"/>
              </w:rPr>
            </w:pP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market value at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beginning of period</w:t>
            </w: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Per share market value at end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return based on market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23"/>
                <w:szCs w:val="23"/>
                <w:color w:val="auto"/>
              </w:rPr>
            </w:pPr>
          </w:p>
        </w:tc>
        <w:tc>
          <w:tcPr>
            <w:tcW w:w="1000" w:type="dxa"/>
            <w:vAlign w:val="bottom"/>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based on net asset</w:t>
            </w: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(5)</w:t>
            </w:r>
          </w:p>
        </w:tc>
        <w:tc>
          <w:tcPr>
            <w:tcW w:w="14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6"/>
              </w:rPr>
              <w:t>36,357,391</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8"/>
              </w:rPr>
              <w:t>28,768,899</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6"/>
              </w:rPr>
              <w:t>22,751,432</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8"/>
              </w:rPr>
              <w:t>18,751,696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96"/>
              </w:rPr>
              <w:t>15,972,381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(000’s)</w:t>
            </w:r>
          </w:p>
        </w:tc>
        <w:tc>
          <w:tcPr>
            <w:tcW w:w="140" w:type="dxa"/>
            <w:vAlign w:val="bottom"/>
            <w:vMerge w:val="continue"/>
          </w:tcPr>
          <w:p>
            <w:pPr>
              <w:spacing w:after="0"/>
              <w:rPr>
                <w:sz w:val="18"/>
                <w:szCs w:val="18"/>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360,914</w:t>
            </w:r>
          </w:p>
        </w:tc>
        <w:tc>
          <w:tcPr>
            <w:tcW w:w="140" w:type="dxa"/>
            <w:vAlign w:val="bottom"/>
            <w:vMerge w:val="continue"/>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289,930</w:t>
            </w:r>
          </w:p>
        </w:tc>
        <w:tc>
          <w:tcPr>
            <w:tcW w:w="140" w:type="dxa"/>
            <w:vAlign w:val="bottom"/>
            <w:vMerge w:val="continue"/>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232,048</w:t>
            </w:r>
          </w:p>
        </w:tc>
        <w:tc>
          <w:tcPr>
            <w:tcW w:w="140" w:type="dxa"/>
            <w:vAlign w:val="bottom"/>
            <w:vMerge w:val="continue"/>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131,950</w:t>
            </w:r>
          </w:p>
        </w:tc>
        <w:tc>
          <w:tcPr>
            <w:tcW w:w="2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auto"/>
              </w:rPr>
              <w:t>224,933</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net assets (000’s)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312,329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254,893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173,005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185,211</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color w:val="auto"/>
              </w:rPr>
              <w:t>239,703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Ratio of net investment income to</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average daily</w:t>
            </w: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Pr>
          <w:p>
            <w:pPr>
              <w:spacing w:after="0"/>
              <w:rPr>
                <w:sz w:val="17"/>
                <w:szCs w:val="17"/>
                <w:color w:val="auto"/>
              </w:rPr>
            </w:pP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15.57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assets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expenses to average</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daily net assets</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Pr>
          <w:p>
            <w:pPr>
              <w:spacing w:after="0" w:line="238" w:lineRule="exact"/>
              <w:rPr>
                <w:sz w:val="20"/>
                <w:szCs w:val="20"/>
                <w:color w:val="auto"/>
              </w:rPr>
            </w:pPr>
            <w:r>
              <w:rPr>
                <w:rFonts w:ascii="Times New Roman" w:cs="Times New Roman" w:eastAsia="Times New Roman" w:hAnsi="Times New Roman"/>
                <w:sz w:val="16"/>
                <w:szCs w:val="16"/>
                <w:color w:val="auto"/>
              </w:rPr>
              <w:t>Portfolio turnover rate</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hanging="29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net investment income per share for the period, based upon average shares outstanding.</w:t>
      </w:r>
    </w:p>
    <w:p>
      <w:pPr>
        <w:spacing w:after="0" w:line="9" w:lineRule="exact"/>
        <w:rPr>
          <w:rFonts w:ascii="Times New Roman" w:cs="Times New Roman" w:eastAsia="Times New Roman" w:hAnsi="Times New Roman"/>
          <w:sz w:val="18"/>
          <w:szCs w:val="18"/>
          <w:color w:val="auto"/>
        </w:rPr>
      </w:pPr>
    </w:p>
    <w:p>
      <w:pPr>
        <w:ind w:left="780" w:right="459" w:hanging="318"/>
        <w:spacing w:after="0" w:line="250"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capital gains and losses based upon average shares outstanding include adjustments to reconcile change in net asset value per share.</w:t>
      </w:r>
    </w:p>
    <w:p>
      <w:pPr>
        <w:jc w:val="both"/>
        <w:ind w:left="780" w:right="459" w:hanging="318"/>
        <w:spacing w:after="0" w:line="250" w:lineRule="auto"/>
        <w:tabs>
          <w:tab w:leader="none" w:pos="8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available taxable earnings, including net investment income and realized capital gains, to determine if a tax return of capital may occur for the year.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respective fiscal year end, see “Note 7. Distributions”.</w:t>
      </w:r>
    </w:p>
    <w:p>
      <w:pPr>
        <w:spacing w:after="0" w:line="3" w:lineRule="exact"/>
        <w:rPr>
          <w:rFonts w:ascii="Times New Roman" w:cs="Times New Roman" w:eastAsia="Times New Roman" w:hAnsi="Times New Roman"/>
          <w:sz w:val="18"/>
          <w:szCs w:val="18"/>
          <w:color w:val="auto"/>
        </w:rPr>
      </w:pPr>
    </w:p>
    <w:p>
      <w:pPr>
        <w:jc w:val="both"/>
        <w:ind w:left="780" w:right="459" w:hanging="318"/>
        <w:spacing w:after="0" w:line="250" w:lineRule="auto"/>
        <w:tabs>
          <w:tab w:leader="none" w:pos="7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2" w:lineRule="exact"/>
        <w:rPr>
          <w:rFonts w:ascii="Times New Roman" w:cs="Times New Roman" w:eastAsia="Times New Roman" w:hAnsi="Times New Roman"/>
          <w:sz w:val="18"/>
          <w:szCs w:val="18"/>
          <w:color w:val="auto"/>
        </w:rPr>
      </w:pPr>
    </w:p>
    <w:p>
      <w:pPr>
        <w:jc w:val="both"/>
        <w:ind w:left="780" w:right="459" w:hanging="318"/>
        <w:spacing w:after="0" w:line="250" w:lineRule="auto"/>
        <w:tabs>
          <w:tab w:leader="none" w:pos="7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(“NAV”) is the change in ending NAV per share plus distributions per share paid during the period assuming participation in the Fund’s dividend reinvestment plan divided by the beginning NAV per share.</w:t>
      </w:r>
    </w:p>
    <w:p>
      <w:pPr>
        <w:spacing w:after="0" w:line="1" w:lineRule="exact"/>
        <w:rPr>
          <w:rFonts w:ascii="Times New Roman" w:cs="Times New Roman" w:eastAsia="Times New Roman" w:hAnsi="Times New Roman"/>
          <w:sz w:val="18"/>
          <w:szCs w:val="18"/>
          <w:color w:val="auto"/>
        </w:rPr>
      </w:pPr>
    </w:p>
    <w:p>
      <w:pPr>
        <w:jc w:val="both"/>
        <w:ind w:left="780" w:right="459" w:hanging="318"/>
        <w:spacing w:after="0" w:line="255" w:lineRule="auto"/>
        <w:tabs>
          <w:tab w:leader="none" w:pos="7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the year-to-date purchases or sales and repayments of investments divided by the monthly average of the fair value of total investments. Exclude from both numerator and denominator, the fair value of all investments whose maturity date was one year or less.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RISKS AND UNCERTAINTIES</w:t>
      </w:r>
    </w:p>
    <w:p>
      <w:pPr>
        <w:spacing w:after="0" w:line="202"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The U.S. capital markets have experienced periods of volatility and disruption. Disruptions in the capital markets tend to increase the spread between the yields realized on risk-free and higher risk securities, resulting in illiquidity in parts of the capital markets. The Fund believes these conditions may reoccur in the future. A prolonged period of market illiquidity may have an adverse effect on the Fund’s business, financial condition and results of operations. Adverse economic conditions could also limit the Fund’s access to the capital markets or result in a decision by lenders not to extend credit to the Fund. These events could limit the Fund’s investment purchases, limit the Fund’s ability to grow and negatively impact the Fund’s operating results.</w:t>
      </w:r>
    </w:p>
    <w:p>
      <w:pPr>
        <w:spacing w:after="0" w:line="14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OXLC Management’s investment team also presently manages the portfolios of Oxford Square Capital Corp., a publicly-traded business development company that invests principally in the debt of U.S.-based companies. Additionally,</w:t>
      </w:r>
    </w:p>
    <w:p>
      <w:pPr>
        <w:sectPr>
          <w:pgSz w:w="11900" w:h="16838" w:orient="portrait"/>
          <w:cols w:equalWidth="0" w:num="1">
            <w:col w:w="9019"/>
          </w:cols>
          <w:pgMar w:left="1440" w:top="333" w:right="1440" w:bottom="576"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576"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OXLC Management’s investment team manages the portfolio of Oxford Bridge, LLC and Oxford Bridge II, LLC, limited liability companies that invest principally in the equity of CLOs. In certain instances, the Fund may co-invest on a concurrent basis with affiliates of its investment adviser, subject to compliance with applicable regulations and regulatory guidance and our written allocation policies. On June 14, 2017, the Securities and Exchange Commission issued the Order permitting us and certain of our affiliates to complete negotiated co-investment transactions in portfolio companies, subject to certain conditions. Subject to satisfaction of certain conditions to the Order, we and certain of our affiliates are now permitted, together with any future business development companies, registered closed-end funds and certain private funds, each of whose investment adviser is our investment adviser or an investment adviser controlling, controlled by, or under common control with our investment adviser, to co-invest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67"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Given the structure of the Fund’s Investment Advisory Agreement with OXLC Management, any general increase in interest rates will likely have the effect of making it easier for OXLC Management to meet the quarterly hurdle rate for payment of net investment income incentive fees under the Investment Advisory Agreement without any additional increase in relative performance on the part of the Fund’s investment adviser. In addition, in view of the catch-up provision applicable to income incentive fees under the Investment Advisory Agreement, OXLC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OXLC Management’s net investment income incentive fee resulting from such a general increase in interest rates.</w:t>
      </w:r>
    </w:p>
    <w:p>
      <w:pPr>
        <w:spacing w:after="0" w:line="149"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2018, the CLO vehicles in which the Fund was invested had average leverage of 10.5 times and ranged from approximately 6.0 times to 12.9 times levered. In particular, investors in CLO vehicles indirectly bear risks of the underlying debt investments held by such CLO vehicles.</w:t>
      </w:r>
    </w:p>
    <w:p>
      <w:pPr>
        <w:spacing w:after="0" w:line="147"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OXLC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72"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w:t>
      </w:r>
    </w:p>
    <w:p>
      <w:pPr>
        <w:sectPr>
          <w:pgSz w:w="11900" w:h="16838" w:orient="portrait"/>
          <w:cols w:equalWidth="0" w:num="1">
            <w:col w:w="9019"/>
          </w:cols>
          <w:pgMar w:left="1440" w:top="333" w:right="1440"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adequate to make interest or other payments; (ii) the quality of the collateral may decline in value or default;</w:t>
      </w:r>
    </w:p>
    <w:p>
      <w:pPr>
        <w:spacing w:after="0" w:line="27" w:lineRule="exact"/>
        <w:rPr>
          <w:sz w:val="20"/>
          <w:szCs w:val="20"/>
          <w:color w:val="auto"/>
        </w:rPr>
      </w:pPr>
    </w:p>
    <w:p>
      <w:pPr>
        <w:jc w:val="both"/>
        <w:ind w:left="460" w:right="459" w:firstLine="2"/>
        <w:spacing w:after="0" w:line="253" w:lineRule="auto"/>
        <w:tabs>
          <w:tab w:leader="none" w:pos="7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Fund’s investments in CLO tranches will likely be subordinate to other senior classes of note tranches thereof; and (iv) 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pacing w:after="0" w:line="160"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Section 941 of the Dodd-Frank Wall Street Reform and Consumer Protection Act added a provision to the Securities Exchange Act of 1934, as amended,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149"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147"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The Fund believes that the U.S. risk retention requirements imposed for CLO managers under Section 941 of the Dodd-Frank Wall Street Reform and Consumer Protection Act has created some uncertainty in the market in regard to future CLO issuance. Given that certain CLO managers may require capital provider partners to satisfy this requirement, the Fund believes that this may create opportunities and additional risks for the Fund in the future.</w:t>
      </w:r>
    </w:p>
    <w:p>
      <w:pPr>
        <w:spacing w:after="0" w:line="157"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On February 9, 2018, a panel of the United States Court of Appeals for the District of Columbia Circuit ruled that the federal agencies exceeded their authority under the Dodd-Frank Wall Street Reform and Consumer Protection Act in adopting the final rules as applied to asset managers of open-market CLOs. On April 5, 2018, the United States District Court for the District of Columbia entered an order implementing the D.C. Circuit Ruling and thereby vacated the U.S. Risk Retention Rules insofar as they apply to CLO managers of “open market CLOs”.</w:t>
      </w:r>
    </w:p>
    <w:p>
      <w:pPr>
        <w:spacing w:after="0" w:line="147"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Further, 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pacing w:after="0" w:line="140"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An increase in LIBOR would materially increase the CLO vehicles’ financing costs. However, since most of the collateral positions within the CLO investments have LIBOR floors below LIBOR currently, there may be corresponding increases in investment income with an increase in LIBOR.</w:t>
      </w:r>
    </w:p>
    <w:p>
      <w:pPr>
        <w:spacing w:after="0" w:line="14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OXLC Management anticipates that the CLO vehicles in which the Fund invests may constitute “passive foreign investment companies” (“PFICs”). If the Fund acquires shares in a PFIC (including equity tranche investments in CLO vehicles that are PFICs), the Fund may be subject to federal income tax on a portion of any “excess distribution” or gain from the disposition of such shares even if such income is distributed as a taxable dividend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ectPr>
          <w:pgSz w:w="11900" w:h="16838" w:orient="portrait"/>
          <w:cols w:equalWidth="0" w:num="1">
            <w:col w:w="9019"/>
          </w:cols>
          <w:pgMar w:left="1440" w:top="333" w:right="1440"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162"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include in our income our proportionate share of the income of certain CLO investments to the extent that such CLOs are PFICs for which we have made a qualifying electing fund (“QEF”) election or are CFCs. To the extent that such CLOs do not distribute all of their earnings and profits on a current basis, we may fail to qualify as a RIC.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distributes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On September 28, 2016, the IRS and U.S. Treasury Department issued proposed regulations that provide that the income inclusions from a QEF or a CFC would not be good income for purposes of the 90%Income Test unless the Fund receives a cash distribution from such entity in the same year attributable to the included income. If such income were not considered “good income” for purposes of the 90% Income Test, the Fund may fail to qualify as a RIC. If these regulations are finalized, the Fund will carefully monitor our investments in CLOs to avoid disqualification as a RIC.</w:t>
      </w:r>
    </w:p>
    <w:p>
      <w:pPr>
        <w:spacing w:after="0" w:line="153"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and the gross proceeds from the sale of any property that could produce U.S.-source interest or dividends received after December 31, 2018.</w:t>
      </w:r>
    </w:p>
    <w:p>
      <w:pPr>
        <w:spacing w:after="0" w:line="14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Most CLO vehicles in which OXLC invests will be treated as non-U.S. financial entities for this purpose, and therefore will be required to comply with these reporting requirements to avoid the 30% withholding tax.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157"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47"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The Fund’s Term Shares pay dividends at a fixed dividend rate. Prices of fixed income investments vary inversely with changes in market yields. The market yields on securities comparable to the Term Shares may increase, which would likely result in a decline in the secondary market price of such shares prior to the term redemption date. The Fund may be unable to pay dividends on the Term Shares under some circumstances. The terms of any future indebtedness OXLC may incur could preclude the payment of dividends in respect of equity securities, including such shares, under certain conditions.</w:t>
      </w:r>
    </w:p>
    <w:p>
      <w:pPr>
        <w:sectPr>
          <w:pgSz w:w="11900" w:h="16838" w:orient="portrait"/>
          <w:cols w:equalWidth="0" w:num="1">
            <w:col w:w="9019"/>
          </w:cols>
          <w:pgMar w:left="1440" w:top="333"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the Fund have an asset coverage of at least 200% as of the end of each fiscal quarter. If the asset coverage is not at least 200% as of such measurement dates, OXLC may not be able to incur additional debt or issue additional shares of Preferred Stock and could be forced to sell a portion of its investments to repurchase or redeem some shares of Preferred Stock when it is disadvantageous to do so, which could have a material adverse effect on the Fund’s operations. Further, OXLC may be restricted from making distributions to holders of the Fund’s common stock if the Fund does not have asset coverage of at least 200%.</w:t>
      </w:r>
    </w:p>
    <w:p>
      <w:pPr>
        <w:spacing w:after="0" w:line="135"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26"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RECENT ACCOUNTING PRONOUNCEMENTS</w:t>
      </w:r>
    </w:p>
    <w:p>
      <w:pPr>
        <w:spacing w:after="0" w:line="175"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(“ASU”) 2018-13, Fair Value Measurement (Topic 820) — Disclosure Framework — Changes to the Disclosure Requirements for Fair Value Measurement (“ASU 2018-13”) to improve the effectiveness of fair value measurement disclosures. This amendment modifies the disclosure requirements on fair value measurements based on the concepts in FASB Concepts Statement, </w:t>
      </w:r>
      <w:r>
        <w:rPr>
          <w:rFonts w:ascii="Times New Roman" w:cs="Times New Roman" w:eastAsia="Times New Roman" w:hAnsi="Times New Roman"/>
          <w:sz w:val="18"/>
          <w:szCs w:val="18"/>
          <w:i w:val="1"/>
          <w:iCs w:val="1"/>
          <w:color w:val="auto"/>
        </w:rPr>
        <w:t>Conceptual Framework for Financial Reporting- Chapter 8: Notes to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ASU 2018-13 is effective for fiscal years, and interim periods within those fiscal years,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December 15, 2019 and early adoption is permitted. Management has adopted the amendments in ASU 2018-13 as of September 30, 2018. The adoption did not have a material impact on the Fund’s financial statements and disclosures.</w:t>
      </w:r>
    </w:p>
    <w:p>
      <w:pPr>
        <w:spacing w:after="0" w:line="133" w:lineRule="exact"/>
        <w:rPr>
          <w:sz w:val="20"/>
          <w:szCs w:val="20"/>
          <w:color w:val="auto"/>
        </w:rPr>
      </w:pPr>
    </w:p>
    <w:p>
      <w:pPr>
        <w:jc w:val="both"/>
        <w:ind w:left="460" w:right="459" w:firstLine="324"/>
        <w:spacing w:after="0" w:line="273" w:lineRule="auto"/>
        <w:rPr>
          <w:sz w:val="20"/>
          <w:szCs w:val="20"/>
          <w:color w:val="auto"/>
        </w:rPr>
      </w:pPr>
      <w:r>
        <w:rPr>
          <w:rFonts w:ascii="Times New Roman" w:cs="Times New Roman" w:eastAsia="Times New Roman" w:hAnsi="Times New Roman"/>
          <w:sz w:val="17"/>
          <w:szCs w:val="17"/>
          <w:color w:val="auto"/>
        </w:rPr>
        <w:t xml:space="preserve">In March 2017, the FASB ASU 2017-08, Receivables — </w:t>
      </w:r>
      <w:r>
        <w:rPr>
          <w:rFonts w:ascii="Times New Roman" w:cs="Times New Roman" w:eastAsia="Times New Roman" w:hAnsi="Times New Roman"/>
          <w:sz w:val="17"/>
          <w:szCs w:val="17"/>
          <w:i w:val="1"/>
          <w:iCs w:val="1"/>
          <w:color w:val="auto"/>
        </w:rPr>
        <w:t>Nonrefundable Fees and Other Costs</w:t>
      </w:r>
      <w:r>
        <w:rPr>
          <w:rFonts w:ascii="Times New Roman" w:cs="Times New Roman" w:eastAsia="Times New Roman" w:hAnsi="Times New Roman"/>
          <w:sz w:val="17"/>
          <w:szCs w:val="17"/>
          <w:color w:val="auto"/>
        </w:rPr>
        <w:t xml:space="preserve"> (Subtopic 310-20), </w:t>
      </w:r>
      <w:r>
        <w:rPr>
          <w:rFonts w:ascii="Times New Roman" w:cs="Times New Roman" w:eastAsia="Times New Roman" w:hAnsi="Times New Roman"/>
          <w:sz w:val="17"/>
          <w:szCs w:val="17"/>
          <w:i w:val="1"/>
          <w:iCs w:val="1"/>
          <w:color w:val="auto"/>
        </w:rPr>
        <w:t>Premium Amortization on Purchased Callable Debt Securities</w:t>
      </w:r>
      <w:r>
        <w:rPr>
          <w:rFonts w:ascii="Times New Roman" w:cs="Times New Roman" w:eastAsia="Times New Roman" w:hAnsi="Times New Roman"/>
          <w:sz w:val="17"/>
          <w:szCs w:val="17"/>
          <w:color w:val="auto"/>
        </w:rPr>
        <w:t xml:space="preserve">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Management has assessed these changes and does not believe they will have a material impact on the Fund’s financial statements and disclosures.</w:t>
      </w:r>
    </w:p>
    <w:p>
      <w:pPr>
        <w:spacing w:after="0" w:line="118"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Consensus of the Emerging Issues Task Force) </w:t>
      </w:r>
      <w:r>
        <w:rPr>
          <w:rFonts w:ascii="Times New Roman" w:cs="Times New Roman" w:eastAsia="Times New Roman" w:hAnsi="Times New Roman"/>
          <w:sz w:val="18"/>
          <w:szCs w:val="18"/>
          <w:color w:val="auto"/>
        </w:rPr>
        <w:t>(“ASU 2016-18”), which requires that the statement of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 the change during the period in the total of cash, cash equivalents, and amounts generally described as restricted cash or restricted cash equivalents. ASU 2016-18 is effective for annual reporting periods beginning after December 15, 2017, including interim periods within those fiscal years, with early adoption permitted. Management adopted the new guidance as of April 1, 2018 and the adoption did not have a material impact on the Fund’s financial statements and disclosures.</w:t>
      </w:r>
    </w:p>
    <w:p>
      <w:pPr>
        <w:spacing w:after="0" w:line="129" w:lineRule="exact"/>
        <w:rPr>
          <w:sz w:val="20"/>
          <w:szCs w:val="20"/>
          <w:color w:val="auto"/>
        </w:rPr>
      </w:pPr>
    </w:p>
    <w:p>
      <w:pPr>
        <w:jc w:val="both"/>
        <w:ind w:left="460" w:right="4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(a Consensus of the Emerging Issues Task Force) </w:t>
      </w:r>
      <w:r>
        <w:rPr>
          <w:rFonts w:ascii="Times New Roman" w:cs="Times New Roman" w:eastAsia="Times New Roman" w:hAnsi="Times New Roman"/>
          <w:sz w:val="18"/>
          <w:szCs w:val="18"/>
          <w:color w:val="auto"/>
        </w:rPr>
        <w:t>(“ASU 2016-15”), which is intended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practice in how certain transactions are classified in the statement of cash flows. ASU 2016-15 is effective for annual reporting periods beginning after December 15, 2017, including interim periods within those fiscal years, with early adoption permitted. Management adopted the new guidance as of April 1, 2018 and the adoption did not have a material impact on the Fund’s financial statements.</w:t>
      </w:r>
    </w:p>
    <w:p>
      <w:pPr>
        <w:sectPr>
          <w:pgSz w:w="11900" w:h="16838" w:orient="portrait"/>
          <w:cols w:equalWidth="0" w:num="1">
            <w:col w:w="9019"/>
          </w:cols>
          <w:pgMar w:left="1440" w:top="333" w:right="1440"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ISSUANCES OF COMMON STOCK</w:t>
      </w:r>
    </w:p>
    <w:p>
      <w:pPr>
        <w:spacing w:after="0" w:line="189"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sold a total of 7,467,718 shares of common stock pursuant to an “at-the-market” offering during the six months ended September 30, 2018. The total amount of capital raised under these issuances was approximately $80.5 million and net proceeds were approximately $78.7 million after deducting the sales agent’s commissions and offering expenses.</w:t>
      </w:r>
    </w:p>
    <w:p>
      <w:pPr>
        <w:spacing w:after="0" w:line="153"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sold a total of 6,017,467 shares of common stock pursuant to an “at-the-market” offering during the year ended March 31, 2018. The total amount of capital raised under these issuances was approximately $62.5 million and net proceeds were approximately $61.4 million after deducting the sales agent’s commissions and offering expenses.</w:t>
      </w:r>
    </w:p>
    <w:p>
      <w:pPr>
        <w:spacing w:after="0" w:line="140"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For the six months ended September 30, 2018, the Fund issued 120,774 shares of common stock in connection with the distribution reinvestment plan. For the year ended March 31, 2018, the Fund did not issue any shares of common stock in connection with the distribution reinvestment plan. For the six months ended September 30, 2018 and the year ended March 31, 2018, as part of our distribution reinvestment plan for our common stockholders, our distribution reinvestment administrator purchased 23,527 shares and 223,180 shares, respectively, of our common stock for $0.2 million and $2.3 million, respectively, in the open market to satisfy the reinvestment portion of our distributions.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8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On October 30, 2018, the Board of Directors declared monthly distributions of $0.135 per share on its common stock,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Month Ending</w:t>
            </w:r>
          </w:p>
        </w:tc>
        <w:tc>
          <w:tcPr>
            <w:tcW w:w="220" w:type="dxa"/>
            <w:vAlign w:val="bottom"/>
          </w:tcPr>
          <w:p>
            <w:pPr>
              <w:spacing w:after="0"/>
              <w:rPr>
                <w:sz w:val="18"/>
                <w:szCs w:val="18"/>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r>
      <w:tr>
        <w:trPr>
          <w:trHeight w:val="240"/>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31, 2019</w:t>
            </w:r>
          </w:p>
        </w:tc>
        <w:tc>
          <w:tcPr>
            <w:tcW w:w="2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24, 2019</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2019</w:t>
            </w:r>
          </w:p>
        </w:tc>
      </w:tr>
      <w:tr>
        <w:trPr>
          <w:trHeight w:val="243"/>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2019</w:t>
            </w:r>
          </w:p>
        </w:tc>
        <w:tc>
          <w:tcPr>
            <w:tcW w:w="220" w:type="dxa"/>
            <w:vAlign w:val="bottom"/>
          </w:tcPr>
          <w:p>
            <w:pPr>
              <w:spacing w:after="0"/>
              <w:rPr>
                <w:sz w:val="21"/>
                <w:szCs w:val="2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2019</w:t>
            </w:r>
          </w:p>
        </w:tc>
        <w:tc>
          <w:tcPr>
            <w:tcW w:w="18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2019</w:t>
            </w:r>
          </w:p>
        </w:tc>
      </w:tr>
      <w:tr>
        <w:trPr>
          <w:trHeight w:val="243"/>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2019</w:t>
            </w:r>
          </w:p>
        </w:tc>
        <w:tc>
          <w:tcPr>
            <w:tcW w:w="220" w:type="dxa"/>
            <w:vAlign w:val="bottom"/>
          </w:tcPr>
          <w:p>
            <w:pPr>
              <w:spacing w:after="0"/>
              <w:rPr>
                <w:sz w:val="21"/>
                <w:szCs w:val="2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2019</w:t>
            </w:r>
          </w:p>
        </w:tc>
        <w:tc>
          <w:tcPr>
            <w:tcW w:w="18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2019</w:t>
            </w:r>
          </w:p>
        </w:tc>
      </w:tr>
    </w:tbl>
    <w:p>
      <w:pPr>
        <w:spacing w:after="0" w:line="157"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On October 30, 2018, the Board of Directors declared the required monthly dividends on its Series 2023 and New Series 2024 Term Preferred Shares (each, a “Share”),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9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9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9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2"/>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2018 / 2019 Record Dates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2018 / 2019 Payable Dates</w:t>
            </w:r>
          </w:p>
        </w:tc>
      </w:tr>
      <w:tr>
        <w:trPr>
          <w:trHeight w:val="27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2023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0.15625</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24, January 24, February 21</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31, January 31, February 28</w:t>
            </w: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New Series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38"/>
        </w:trPr>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0.140625</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24, January 24, February 21</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31, January 31, February 28</w:t>
            </w:r>
          </w:p>
        </w:tc>
      </w:tr>
    </w:tbl>
    <w:p>
      <w:pPr>
        <w:spacing w:after="0" w:line="211"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their terms, each of the Series 2023 Shares and New Series 2024 Shares will pay a monthly dividend at a fixed rate of 7.50% and 6.75%, respectively, of the $25.00 per share liquidation preference, or $1.875 and $1.6875 per share per year, respectively. This fixed annual dividend rate is subject to adjustment under certain circumstances, but will not in any case be lower than 7.50% and 6.75% per year, respectively, for each of the Series 2023 Shares and New Series 2024 Shares.</w:t>
      </w:r>
    </w:p>
    <w:p>
      <w:pPr>
        <w:spacing w:after="0" w:line="143"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On October 11, 2018, Oxford Lane Capital Corp. entered into an amended and restated MRA with Nomura to extend the Repo term. Under this agreement, the term of the Repo was extended by three months until July 2, 2019.</w:t>
      </w:r>
    </w:p>
    <w:p>
      <w:pPr>
        <w:spacing w:after="0" w:line="136"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Fund has evaluated subsequent events through the date of issuance and noted no other events that necessitate adjustments to or disclosure in the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REINVESTMENT PLAN</w:t>
      </w:r>
    </w:p>
    <w:p>
      <w:pPr>
        <w:spacing w:after="0" w:line="18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57"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46"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21"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72"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49"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43" w:lineRule="exact"/>
        <w:rPr>
          <w:sz w:val="20"/>
          <w:szCs w:val="20"/>
          <w:color w:val="auto"/>
        </w:rPr>
      </w:pPr>
    </w:p>
    <w:p>
      <w:pPr>
        <w:jc w:val="both"/>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8"/>
          <w:szCs w:val="18"/>
          <w:i w:val="1"/>
          <w:iCs w:val="1"/>
          <w:color w:val="auto"/>
        </w:rPr>
        <w:t>www.computershare/investor</w:t>
      </w:r>
      <w:r>
        <w:rPr>
          <w:rFonts w:ascii="Times New Roman" w:cs="Times New Roman" w:eastAsia="Times New Roman" w:hAnsi="Times New Roman"/>
          <w:sz w:val="18"/>
          <w:szCs w:val="18"/>
          <w:color w:val="auto"/>
        </w:rPr>
        <w:t>, telephone number is 1-800-426-5523 and written correspondence can be mailed to Computershare Trust Company, N.A., P.O. Box 30170, College Station, TX 77845.</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89"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oversees our management. The Board of Directors currently consists of five members, three of whom are not “interested persons” of Oxford Lane Capital Corp. as defined in Section 2(a)</w:t>
      </w:r>
    </w:p>
    <w:p>
      <w:pPr>
        <w:jc w:val="both"/>
        <w:ind w:left="460" w:right="459" w:firstLine="2"/>
        <w:spacing w:after="0" w:line="253"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60"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Securities and Exchange Commission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w:t>
            </w:r>
          </w:p>
        </w:tc>
      </w:tr>
      <w:tr>
        <w:trPr>
          <w:trHeight w:val="225"/>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20" w:type="dxa"/>
            <w:vAlign w:val="bottom"/>
          </w:tcPr>
          <w:p>
            <w:pPr>
              <w:spacing w:after="0"/>
              <w:rPr>
                <w:sz w:val="19"/>
                <w:szCs w:val="19"/>
                <w:color w:val="auto"/>
              </w:rPr>
            </w:pPr>
          </w:p>
        </w:tc>
        <w:tc>
          <w:tcPr>
            <w:tcW w:w="26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171"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The address for each of our directors is c/o Oxford Lane Capital Corp., 8 Sound Shore Drive, Suite 255, Greenwich, CT 06830.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8"/>
                <w:szCs w:val="18"/>
                <w:color w:val="auto"/>
              </w:rPr>
            </w:pPr>
          </w:p>
        </w:tc>
        <w:tc>
          <w:tcPr>
            <w:tcW w:w="47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4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Bruce L. Rubin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Gerald Cummins</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02"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Our directors have been divided into two groups — interested directors and independent directors. An interested director is an “interested person” as defined in Section 2(a)(19) of the 1940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187"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Oxford Funds, the administrator for Oxford Lane Capital.</w:t>
      </w:r>
    </w:p>
    <w:p>
      <w:pPr>
        <w:spacing w:after="0" w:line="138" w:lineRule="exact"/>
        <w:rPr>
          <w:sz w:val="20"/>
          <w:szCs w:val="20"/>
          <w:color w:val="auto"/>
        </w:rPr>
      </w:pPr>
    </w:p>
    <w:p>
      <w:pPr>
        <w:jc w:val="both"/>
        <w:ind w:left="460" w:right="4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H. Cohen </w:t>
      </w:r>
      <w:r>
        <w:rPr>
          <w:rFonts w:ascii="Times New Roman" w:cs="Times New Roman" w:eastAsia="Times New Roman" w:hAnsi="Times New Roman"/>
          <w:sz w:val="18"/>
          <w:szCs w:val="18"/>
          <w:color w:val="auto"/>
        </w:rPr>
        <w:t>has served as Chief Executive Officer of both Oxford Lane Capital Corp. and Oxford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Lane Management since 2010. Mr. Cohen has also served since 2003 as Chief Executive Officer of both Oxford Square Capital Corp. (NasdaqGS: OXSQ), a publicly traded business development company, and Oxford Square Management, LLC, Oxford Square Capital Corp.’s investment adviser, and as the managing member of Oxford Funds. Mr. Cohen has also served since 2015 as Chief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Executive Officer of Oxford Bridge Management, LLC, the investment manager to Oxford Bridge, LLC and Oxford Bridge II, LLC, private investment funds. Mr. Cohen is also a member of the Board of Directors of Oxford Square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54" w:lineRule="exact"/>
        <w:rPr>
          <w:sz w:val="20"/>
          <w:szCs w:val="20"/>
          <w:color w:val="auto"/>
        </w:rPr>
      </w:pPr>
    </w:p>
    <w:p>
      <w:pPr>
        <w:jc w:val="both"/>
        <w:ind w:left="460" w:right="4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Saul B. Rosenthal </w:t>
      </w:r>
      <w:r>
        <w:rPr>
          <w:rFonts w:ascii="Times New Roman" w:cs="Times New Roman" w:eastAsia="Times New Roman" w:hAnsi="Times New Roman"/>
          <w:sz w:val="18"/>
          <w:szCs w:val="18"/>
          <w:color w:val="auto"/>
        </w:rPr>
        <w:t>has served as President of both Oxford Lane Capital Corp. and Oxford Lane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since 2010. Mr. Rosenthal has also served as President since 2004 of Oxford Square Capital Corp. (NasdaqGS: OXSQ), a publicly traded business development company and since 2015 as President of Oxford Bridge Management, LLC. Mr. Rosenthal was previously an attorney at the law firm of Shearman &amp; Sterling LLP. Mr. Rosenthal serves on the boards of LiftForward, Inc. and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The following directors are not “interested persons” of Oxford Lane Capital, as defined in the 1940 Act.</w:t>
      </w:r>
    </w:p>
    <w:p>
      <w:pPr>
        <w:spacing w:after="0" w:line="183"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J. Ashenfelter </w:t>
      </w:r>
      <w:r>
        <w:rPr>
          <w:rFonts w:ascii="Times New Roman" w:cs="Times New Roman" w:eastAsia="Times New Roman" w:hAnsi="Times New Roman"/>
          <w:sz w:val="18"/>
          <w:szCs w:val="18"/>
          <w:color w:val="auto"/>
        </w:rPr>
        <w:t>presently serves as a Senior Vice President and the General Counsel of Haebler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45" w:lineRule="exact"/>
        <w:rPr>
          <w:sz w:val="20"/>
          <w:szCs w:val="20"/>
          <w:color w:val="auto"/>
        </w:rPr>
      </w:pPr>
    </w:p>
    <w:p>
      <w:pPr>
        <w:jc w:val="both"/>
        <w:ind w:left="460" w:right="459"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Reardon </w:t>
      </w:r>
      <w:r>
        <w:rPr>
          <w:rFonts w:ascii="Times New Roman" w:cs="Times New Roman" w:eastAsia="Times New Roman" w:hAnsi="Times New Roman"/>
          <w:sz w:val="17"/>
          <w:szCs w:val="17"/>
          <w:color w:val="auto"/>
        </w:rPr>
        <w:t>is the principal of Reardon Consulting, LLP, which specializes in providing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consulting services to technology companies in the telecom, software, and cyber security industries. Mr. Reardon also serves as the Managing Director of Choctaw Telecom LLC. Previously, Mr. Reardon managed telecommunications companies in the mobile voice, data and engineering services markets as Chief Executive Officer and a member of the Board of Directors of Mobex Communications, Inc. from 2001 to 2005. From 1997</w:t>
      </w:r>
    </w:p>
    <w:p>
      <w:pPr>
        <w:spacing w:after="0" w:line="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2001, he served as General Counsel and Secretary of the Board of Directors of Mobex Communications, Inc. Mr. Reardon began his career in telecom law at the boutique Washington, DC firm of Keller and Heckman, LLP. Mr. Reardon received a Bachelor of Arts degree, in Political Science, summa cum laude, from Boston University, and earned his J.D. from Columbia Law School. He is admitted to the New York State Bar and the Washington, DC Bar, and is the past president of the Columbia Law School Alumni Association of Washington, DC. Mr. Reardon’s extensive experience as a senior corporate executive provides our Board of Directors the perspective of a knowledgeable corporate leader.</w:t>
      </w:r>
    </w:p>
    <w:p>
      <w:pPr>
        <w:spacing w:after="0" w:line="158" w:lineRule="exact"/>
        <w:rPr>
          <w:sz w:val="20"/>
          <w:szCs w:val="20"/>
          <w:color w:val="auto"/>
        </w:rPr>
      </w:pPr>
    </w:p>
    <w:p>
      <w:pPr>
        <w:jc w:val="both"/>
        <w:ind w:left="460" w:right="45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S. Shin </w:t>
      </w:r>
      <w:r>
        <w:rPr>
          <w:rFonts w:ascii="Times New Roman" w:cs="Times New Roman" w:eastAsia="Times New Roman" w:hAnsi="Times New Roman"/>
          <w:sz w:val="18"/>
          <w:szCs w:val="18"/>
          <w:color w:val="auto"/>
        </w:rPr>
        <w:t>presently serves as the Head of Business Development for the Infinity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division of Global Atlantic Financial Group. Prior to this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ectPr>
          <w:pgSz w:w="11900" w:h="16838" w:orient="portrait"/>
          <w:cols w:equalWidth="0" w:num="1">
            <w:col w:w="9019"/>
          </w:cols>
          <w:pgMar w:left="1440" w:top="297"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185"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L. Rubin </w:t>
      </w:r>
      <w:r>
        <w:rPr>
          <w:rFonts w:ascii="Times New Roman" w:cs="Times New Roman" w:eastAsia="Times New Roman" w:hAnsi="Times New Roman"/>
          <w:sz w:val="18"/>
          <w:szCs w:val="18"/>
          <w:color w:val="auto"/>
        </w:rPr>
        <w:t>has served as our Chief Financial Officer and Corporate Secretary since August 2015,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Treasurer and Controller since our initial public offering in 2011.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LLC, Oxford Funds, and Oxford Bridge Management, LLC, the investment manager of Oxford Bridge, LLC and Oxford Bridge II, LLC, private investment funds.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60" w:lineRule="exact"/>
        <w:rPr>
          <w:sz w:val="20"/>
          <w:szCs w:val="20"/>
          <w:color w:val="auto"/>
        </w:rPr>
      </w:pPr>
    </w:p>
    <w:p>
      <w:pPr>
        <w:jc w:val="both"/>
        <w:ind w:left="460" w:right="4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Cummins </w:t>
      </w:r>
      <w:r>
        <w:rPr>
          <w:rFonts w:ascii="Times New Roman" w:cs="Times New Roman" w:eastAsia="Times New Roman" w:hAnsi="Times New Roman"/>
          <w:sz w:val="18"/>
          <w:szCs w:val="18"/>
          <w:color w:val="auto"/>
        </w:rPr>
        <w:t>has served as our Chief Compliance Officer, as well as the Chief Compliance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Oxford Lane Management, Oxford Square Capital Corp., Oxford Square Management, LLC, since June 2015 pursuant to an agreement between us and Alaric Compliance Services, LLC (“Alaric”), a compliance consulting firm. Mr. Cummins has also served since November 2015 as the Chief Compliance Officer of Oxford Bridge Management, LLC, the investment manager of Oxford Bridge, LLC and Oxford Bridge II, LLC, private investment funds.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sets forth compensation of our directors for the six months ended September 30,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Fees</w:t>
            </w:r>
          </w:p>
        </w:tc>
        <w:tc>
          <w:tcPr>
            <w:tcW w:w="13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00" w:type="dxa"/>
            <w:vAlign w:val="bottom"/>
          </w:tcPr>
          <w:p>
            <w:pPr>
              <w:spacing w:after="0"/>
              <w:rPr>
                <w:sz w:val="21"/>
                <w:szCs w:val="21"/>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Earned</w:t>
            </w:r>
            <w:r>
              <w:rPr>
                <w:rFonts w:ascii="Times New Roman" w:cs="Times New Roman" w:eastAsia="Times New Roman" w:hAnsi="Times New Roman"/>
                <w:sz w:val="21"/>
                <w:szCs w:val="21"/>
                <w:b w:val="1"/>
                <w:bCs w:val="1"/>
                <w:color w:val="auto"/>
                <w:vertAlign w:val="superscript"/>
              </w:rPr>
              <w:t>(1)</w:t>
            </w:r>
          </w:p>
        </w:tc>
        <w:tc>
          <w:tcPr>
            <w:tcW w:w="13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1"/>
                <w:szCs w:val="21"/>
                <w:b w:val="1"/>
                <w:bCs w:val="1"/>
                <w:color w:val="auto"/>
                <w:vertAlign w:val="superscript"/>
              </w:rPr>
              <w:t>(2)</w:t>
            </w:r>
          </w:p>
        </w:tc>
        <w:tc>
          <w:tcPr>
            <w:tcW w:w="280" w:type="dxa"/>
            <w:vAlign w:val="bottom"/>
          </w:tcPr>
          <w:p>
            <w:pPr>
              <w:spacing w:after="0"/>
              <w:rPr>
                <w:sz w:val="21"/>
                <w:szCs w:val="21"/>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5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49,000</w:t>
            </w:r>
          </w:p>
        </w:tc>
        <w:tc>
          <w:tcPr>
            <w:tcW w:w="13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49,000</w:t>
            </w: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54,000</w:t>
            </w:r>
          </w:p>
        </w:tc>
        <w:tc>
          <w:tcPr>
            <w:tcW w:w="13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20" w:hanging="258"/>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independent directors’ compensation, see below.</w:t>
      </w:r>
    </w:p>
    <w:p>
      <w:pPr>
        <w:spacing w:after="0" w:line="7" w:lineRule="exact"/>
        <w:rPr>
          <w:rFonts w:ascii="Times New Roman" w:cs="Times New Roman" w:eastAsia="Times New Roman" w:hAnsi="Times New Roman"/>
          <w:sz w:val="18"/>
          <w:szCs w:val="18"/>
          <w:color w:val="auto"/>
        </w:rPr>
      </w:pPr>
    </w:p>
    <w:p>
      <w:pPr>
        <w:ind w:left="760" w:hanging="29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maintain a stock option plan, non-equity incentive plan or pension plan for our directors.</w:t>
      </w:r>
    </w:p>
    <w:p>
      <w:pPr>
        <w:spacing w:after="0" w:line="180"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Until July 31, 2018, independent directors received an annual fee of $75,000, which was increased to $90,000 effective August 1, 2018.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Chief Executive Officer and Other Executive Officers</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We do not have a compensation committee because our executive officers do not receive any direct compensation from Oxford Lane Capital.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58"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compensation of Mr. Rubin, our Chief Financial Officer, Treasurer and Corporate Secretary, is paid by our administrator, Oxford Funds, subject to reimbursement by us of an allocable portion of such compensation for services rendered by Mr. Rubin to Oxford Lane Capital.</w:t>
      </w:r>
    </w:p>
    <w:p>
      <w:pPr>
        <w:spacing w:after="0" w:line="136"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Mr. Cummins, our Chief Compliance Officer, is a director of Alaric, and performs his functions under the terms of an agreement between us and Alaric.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89"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At an in-person meeting of our Board of Directors held on July 31, 2018, our Board of Directors unanimously voted to re-approve the Investment Advisory Agreement. In reaching a decision to approve the Investment Advisory Agreement, the Board of Directors reviewed a significant amount of information and considered and concluded, among other things:</w:t>
      </w:r>
    </w:p>
    <w:p>
      <w:pPr>
        <w:spacing w:after="0" w:line="153" w:lineRule="exact"/>
        <w:rPr>
          <w:sz w:val="20"/>
          <w:szCs w:val="20"/>
          <w:color w:val="auto"/>
        </w:rPr>
      </w:pPr>
    </w:p>
    <w:p>
      <w:pPr>
        <w:jc w:val="both"/>
        <w:ind w:left="1120" w:right="459" w:hanging="333"/>
        <w:spacing w:after="0" w:line="256" w:lineRule="auto"/>
        <w:tabs>
          <w:tab w:leader="none" w:pos="11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Oxford Lane Management, including the responses in a questionnaire regarding Oxford Lane Management’s investment process and Oxford Lane Management’s policies and guidelines currently in place to monitor and manage the risk and volatility associated with the Company’s portfolio, and the qualifications and abilities of the professional personnel of Oxford Lane Management and the compensation structure for such personnel, and concluded that such services are satisfactory;</w:t>
      </w:r>
    </w:p>
    <w:p>
      <w:pPr>
        <w:spacing w:after="0" w:line="147"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OXLC and Oxford Lane Management including a comparison to the performance of OXLC’s peer group, and concluded that OXLC’s performance is reasonable in comparison to its peers;</w:t>
      </w:r>
    </w:p>
    <w:p>
      <w:pPr>
        <w:spacing w:after="0" w:line="135"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management investment companies with similar investment objectives, and concluded that the total advisory fees paid by OXLC to Oxford Lane Management were reasonable;</w:t>
      </w:r>
    </w:p>
    <w:p>
      <w:pPr>
        <w:spacing w:after="0" w:line="149"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0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operating expenses and expense ratio compared to management investment companies with similar investment objectives, and concluded that our operating expenses were reasonable;</w:t>
      </w:r>
    </w:p>
    <w:p>
      <w:pPr>
        <w:spacing w:after="0" w:line="135"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Oxford Lane Management or Oxford Funds from their relationships with OXLC and the profitability of those relationships, and concluded that Oxford Lane Management’s profitability was not excessive with respect to us;</w:t>
      </w:r>
    </w:p>
    <w:p>
      <w:pPr>
        <w:spacing w:after="0" w:line="135"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49"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Oxford Lane Management and its affiliates, and concluded that the organizational capability and financial condition of Oxford Lane Management were reasonable;</w:t>
      </w:r>
    </w:p>
    <w:p>
      <w:pPr>
        <w:spacing w:after="0" w:line="135" w:lineRule="exact"/>
        <w:rPr>
          <w:rFonts w:ascii="Times New Roman" w:cs="Times New Roman" w:eastAsia="Times New Roman" w:hAnsi="Times New Roman"/>
          <w:sz w:val="18"/>
          <w:szCs w:val="18"/>
          <w:color w:val="auto"/>
        </w:rPr>
      </w:pPr>
    </w:p>
    <w:p>
      <w:pPr>
        <w:ind w:left="1120" w:right="459" w:hanging="333"/>
        <w:spacing w:after="0" w:line="282" w:lineRule="auto"/>
        <w:tabs>
          <w:tab w:leader="none" w:pos="1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diligence-related expenses, travel expenses, and expenses associated with investigating and monitoring investments, and concluded that such expenses were reasonable; and</w:t>
      </w:r>
    </w:p>
    <w:p>
      <w:pPr>
        <w:spacing w:after="0" w:line="121"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14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Based on the information reviewed and the discussions detailed above, the Board of Directors, including all of the directors who are not “interested persons” as defined in the 1940 Act, concluded that the fees payable to Oxford Lane Management pursuant to the Investment Advisory Agreement were 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STOCKHOLDERS</w:t>
      </w:r>
    </w:p>
    <w:p>
      <w:pPr>
        <w:spacing w:after="0" w:line="18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The Fund held its Annual Meeting of Stockholders (the ‘‘Meeting’’) on September 25, 2018 and submitted matter to vote of the stockholders. At the Meeting, stockholders elected two nominees for directors, to serve for a three-year term to expire at the 2021 Annual Meeting of Stockholders based on the following votes: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Votes</w:t>
            </w:r>
          </w:p>
        </w:tc>
      </w:tr>
      <w:tr>
        <w:trPr>
          <w:trHeight w:val="21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Withheld</w:t>
            </w:r>
          </w:p>
        </w:tc>
      </w:tr>
      <w:tr>
        <w:trPr>
          <w:trHeight w:val="25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32,589,223</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2,457,536</w:t>
            </w:r>
          </w:p>
        </w:tc>
      </w:tr>
      <w:tr>
        <w:trPr>
          <w:trHeight w:val="238"/>
        </w:trPr>
        <w:tc>
          <w:tcPr>
            <w:tcW w:w="5620" w:type="dxa"/>
            <w:vAlign w:val="bottom"/>
          </w:tcPr>
          <w:p>
            <w:pPr>
              <w:spacing w:after="0" w:line="238" w:lineRule="exact"/>
              <w:rPr>
                <w:sz w:val="20"/>
                <w:szCs w:val="20"/>
                <w:color w:val="auto"/>
              </w:rPr>
            </w:pPr>
            <w:r>
              <w:rPr>
                <w:rFonts w:ascii="Times New Roman" w:cs="Times New Roman" w:eastAsia="Times New Roman" w:hAnsi="Times New Roman"/>
                <w:sz w:val="18"/>
                <w:szCs w:val="18"/>
                <w:color w:val="auto"/>
              </w:rPr>
              <w:t>David S. Shin</w:t>
            </w:r>
            <w:r>
              <w:rPr>
                <w:rFonts w:ascii="Times New Roman" w:cs="Times New Roman" w:eastAsia="Times New Roman" w:hAnsi="Times New Roman"/>
                <w:sz w:val="21"/>
                <w:szCs w:val="21"/>
                <w:color w:val="auto"/>
                <w:vertAlign w:val="superscript"/>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31,239,555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3,807,204</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ind w:left="780" w:right="459" w:hanging="318"/>
        <w:spacing w:after="0" w:line="261"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Rosenthal and Mr. Shin were elected by the holders of our common stock and preferred stock, voting together as a single class.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Portfolio Information</w:t>
      </w:r>
    </w:p>
    <w:p>
      <w:pPr>
        <w:spacing w:after="0" w:line="189" w:lineRule="exact"/>
        <w:rPr>
          <w:sz w:val="20"/>
          <w:szCs w:val="20"/>
          <w:color w:val="auto"/>
        </w:rPr>
      </w:pPr>
    </w:p>
    <w:p>
      <w:pPr>
        <w:jc w:val="both"/>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Fund files its complete schedule of portfolio holdings with the Securities and Exchange Commission (the “Commission”) for the first and third quarters of each fiscal year on Form N-Q, within sixty days after the end of the relevant period. Form N-Q filings of the Fund are available on the Commission’s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and may be reviewed and copied at the Commission’s Public Reference Room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Washington, DC. Information on the operation of the Public Reference Room may be obtained by calling 1-800-SEC-0330. This information is also available free of charge by contacting the Fund by mail at 8 Sound Shore Drive, Suite 255, Greenwich, CT 06830, by telephone at (203) 983-5275 or on its website at </w:t>
      </w:r>
      <w:r>
        <w:rPr>
          <w:rFonts w:ascii="Times New Roman" w:cs="Times New Roman" w:eastAsia="Times New Roman" w:hAnsi="Times New Roman"/>
          <w:sz w:val="18"/>
          <w:szCs w:val="18"/>
          <w:i w:val="1"/>
          <w:iCs w:val="1"/>
          <w:color w:val="auto"/>
        </w:rPr>
        <w:t>http://www.oxfordlanecapital.com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Information</w:t>
      </w:r>
    </w:p>
    <w:p>
      <w:pPr>
        <w:spacing w:after="0" w:line="202"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A description of the policies and procedures that the Fund’s investment adviser uses to determine how to vote proxies relating to the Fund’s portfolio securities is available (i) without charge, upon request, by calling</w:t>
      </w:r>
    </w:p>
    <w:p>
      <w:pPr>
        <w:jc w:val="both"/>
        <w:ind w:left="460" w:right="459" w:firstLine="2"/>
        <w:spacing w:after="0" w:line="250" w:lineRule="auto"/>
        <w:tabs>
          <w:tab w:leader="none" w:pos="9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983-5275; (ii) on the Fund’s website at </w:t>
      </w:r>
      <w:r>
        <w:rPr>
          <w:rFonts w:ascii="Times New Roman" w:cs="Times New Roman" w:eastAsia="Times New Roman" w:hAnsi="Times New Roman"/>
          <w:sz w:val="18"/>
          <w:szCs w:val="18"/>
          <w:i w:val="1"/>
          <w:iCs w:val="1"/>
          <w:color w:val="auto"/>
        </w:rPr>
        <w:t>http://www.oxfordlanecapital.com</w:t>
      </w:r>
      <w:r>
        <w:rPr>
          <w:rFonts w:ascii="Times New Roman" w:cs="Times New Roman" w:eastAsia="Times New Roman" w:hAnsi="Times New Roman"/>
          <w:sz w:val="18"/>
          <w:szCs w:val="18"/>
          <w:color w:val="auto"/>
        </w:rPr>
        <w:t>. Information about how the Fund’s investment adviser voted proxies with respect to the Fund’s portfolio securities during the most recent</w:t>
      </w: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period ended March 31 can be obtained by making a written request for proxy voting information to: Chief Compliance Officer, Oxford Lane Management, LLC, 8 Sound Shore Drive, Suite 255, Greenwich, CT 06830.</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Information</w:t>
      </w:r>
    </w:p>
    <w:p>
      <w:pPr>
        <w:spacing w:after="0" w:line="189"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For tax purposes, distributions to stockholders during the six months ended September 30, 2018 were approximately $25.7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189"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53"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36"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136"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This information is used only so that we can send you annual reports, proxy statements and other information required by law, and to send you information we believe may be of interest to you.</w:t>
      </w:r>
    </w:p>
    <w:p>
      <w:pPr>
        <w:spacing w:after="0" w:line="1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do not share such information with any non-affiliated third party except as described below:</w:t>
      </w:r>
    </w:p>
    <w:p>
      <w:pPr>
        <w:spacing w:after="0" w:line="185" w:lineRule="exact"/>
        <w:rPr>
          <w:sz w:val="20"/>
          <w:szCs w:val="20"/>
          <w:color w:val="auto"/>
        </w:rPr>
      </w:pPr>
    </w:p>
    <w:p>
      <w:pPr>
        <w:ind w:left="1120" w:right="459" w:hanging="333"/>
        <w:spacing w:after="0" w:line="282" w:lineRule="auto"/>
        <w:tabs>
          <w:tab w:leader="none" w:pos="1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our policy that only authorized employees of our investment adviser, Oxford Lane Management, LLC, who need to know your personal information will have access to it.</w:t>
      </w:r>
    </w:p>
    <w:p>
      <w:pPr>
        <w:spacing w:after="0" w:line="121"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149"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0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9"/>
          <w:szCs w:val="29"/>
          <w:b w:val="1"/>
          <w:bCs w:val="1"/>
          <w:color w:val="auto"/>
        </w:rPr>
        <w:t>Oxford Lane Capital Corp.</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 J. Ashenfelter, Chairman of the Board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John Reardon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David S. Shin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Interested Directors</w:t>
      </w:r>
      <w:r>
        <w:rPr>
          <w:rFonts w:ascii="Times New Roman" w:cs="Times New Roman" w:eastAsia="Times New Roman" w:hAnsi="Times New Roman"/>
          <w:sz w:val="21"/>
          <w:szCs w:val="21"/>
          <w:color w:val="auto"/>
          <w:vertAlign w:val="superscript"/>
        </w:rPr>
        <w:t>(1)</w:t>
      </w: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 President</w:t>
      </w:r>
    </w:p>
    <w:p>
      <w:pPr>
        <w:spacing w:after="0" w:line="9" w:lineRule="exact"/>
        <w:rPr>
          <w:sz w:val="20"/>
          <w:szCs w:val="20"/>
          <w:color w:val="auto"/>
        </w:rPr>
      </w:pPr>
    </w:p>
    <w:p>
      <w:pPr>
        <w:ind w:left="460" w:right="2699"/>
        <w:spacing w:after="0" w:line="261" w:lineRule="auto"/>
        <w:rPr>
          <w:sz w:val="20"/>
          <w:szCs w:val="20"/>
          <w:color w:val="auto"/>
        </w:rPr>
      </w:pPr>
      <w:r>
        <w:rPr>
          <w:rFonts w:ascii="Times New Roman" w:cs="Times New Roman" w:eastAsia="Times New Roman" w:hAnsi="Times New Roman"/>
          <w:sz w:val="18"/>
          <w:szCs w:val="18"/>
          <w:b w:val="1"/>
          <w:bCs w:val="1"/>
          <w:color w:val="auto"/>
        </w:rPr>
        <w:t>Bruce L. Rubin, Chief Financial Officer, Corporate Secretary and Treasurer Gerald Cummins, Chief Compliance Officer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Oxford Lane Management,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4420" w:right="3279" w:hanging="3958"/>
        <w:spacing w:after="0" w:line="417" w:lineRule="auto"/>
        <w:tabs>
          <w:tab w:leader="none" w:pos="7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under the Investment Company Act of 1940, as amended.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-95885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8 Sound Shore Drive, Suite 255 | Greenwich, CT 06830 | </w:t>
      </w:r>
      <w:r>
        <w:rPr>
          <w:rFonts w:ascii="Times New Roman" w:cs="Times New Roman" w:eastAsia="Times New Roman" w:hAnsi="Times New Roman"/>
          <w:sz w:val="17"/>
          <w:szCs w:val="17"/>
          <w:i w:val="1"/>
          <w:iCs w:val="1"/>
          <w:color w:val="auto"/>
        </w:rPr>
        <w:t>oxfordlanecapital.com</w:t>
      </w:r>
      <w:r>
        <w:rPr>
          <w:rFonts w:ascii="Times New Roman" w:cs="Times New Roman" w:eastAsia="Times New Roman" w:hAnsi="Times New Roman"/>
          <w:sz w:val="17"/>
          <w:szCs w:val="17"/>
          <w:color w:val="auto"/>
        </w:rPr>
        <w:t xml:space="preserve"> | (203) 983-5275</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b w:val="1"/>
          <w:bCs w:val="1"/>
          <w:color w:val="auto"/>
        </w:rPr>
        <w:t>Item 2. Code of Ethics.</w:t>
      </w:r>
    </w:p>
    <w:p>
      <w:pPr>
        <w:spacing w:after="0" w:line="189" w:lineRule="exact"/>
        <w:rPr>
          <w:sz w:val="20"/>
          <w:szCs w:val="20"/>
          <w:color w:val="auto"/>
        </w:rPr>
      </w:pPr>
    </w:p>
    <w:p>
      <w:pPr>
        <w:jc w:val="both"/>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Registrant has adopted a code of business conduct and ethics which applies to, among others, its senior officers, including its Chief Executive Officer (its principal executive officer) and Chief Financial Officer (its principal financial officer), as well as every officer, director and employee of Oxford Lane Capital Corp. The Registrant did not grant any waivers, including implicit waivers, from any provisions of the code of business conduct and ethics during the period covered by this report. The Registrant’s code of business conduct and ethics can be accessed via its website at </w:t>
      </w:r>
      <w:r>
        <w:rPr>
          <w:rFonts w:ascii="Times New Roman" w:cs="Times New Roman" w:eastAsia="Times New Roman" w:hAnsi="Times New Roman"/>
          <w:sz w:val="18"/>
          <w:szCs w:val="18"/>
          <w:i w:val="1"/>
          <w:iCs w:val="1"/>
          <w:color w:val="auto"/>
        </w:rPr>
        <w:t>http://www.oxfordlanecapital.com.</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3. Audit Committee Financial Expert.</w:t>
      </w:r>
    </w:p>
    <w:p>
      <w:pPr>
        <w:spacing w:after="0" w:line="2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4. Principal Accountant Fees and Services.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5. Audit Committee of Listed Registrant.</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Investments.</w:t>
      </w:r>
    </w:p>
    <w:p>
      <w:pPr>
        <w:spacing w:after="0" w:line="202" w:lineRule="exact"/>
        <w:rPr>
          <w:sz w:val="20"/>
          <w:szCs w:val="20"/>
          <w:color w:val="auto"/>
        </w:rPr>
      </w:pPr>
    </w:p>
    <w:p>
      <w:pPr>
        <w:jc w:val="both"/>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Please see the schedule of investments contained in the Report to Stockholders included under Item 1 of this Form N-CSR.</w:t>
      </w:r>
    </w:p>
    <w:p>
      <w:pPr>
        <w:spacing w:after="0" w:line="158"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color w:val="auto"/>
        </w:rPr>
        <w:t>Item 7. Disclosure of Proxy Voting Policies and Procedures for Closed-End Management Investment Companies.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Portfolio Managers of Closed-End Investment Companies.</w:t>
      </w:r>
    </w:p>
    <w:p>
      <w:pPr>
        <w:spacing w:after="0" w:line="189" w:lineRule="exact"/>
        <w:rPr>
          <w:sz w:val="20"/>
          <w:szCs w:val="20"/>
          <w:color w:val="auto"/>
        </w:rPr>
      </w:pPr>
    </w:p>
    <w:p>
      <w:pPr>
        <w:ind w:left="1080" w:hanging="293"/>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198"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as of the date of the filing of the semi-annual report on this Form N-CSR, to any of the portfolio managers identified in response to paragraph (a)(1) of this item in the Registrant’s most recent annual report on Form N-CSR.</w:t>
      </w:r>
    </w:p>
    <w:p>
      <w:pPr>
        <w:spacing w:after="0" w:line="17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color w:val="auto"/>
        </w:rPr>
        <w:t>Item 9. Purchases of Equity Securities by Closed-End Management Investment Company and Affiliated Purchasers.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10. Submission of Matters to a Vote of Security Holders.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11. Controls and Procedures.</w:t>
      </w:r>
    </w:p>
    <w:p>
      <w:pPr>
        <w:spacing w:after="0" w:line="202" w:lineRule="exact"/>
        <w:rPr>
          <w:sz w:val="20"/>
          <w:szCs w:val="20"/>
          <w:color w:val="auto"/>
        </w:rPr>
      </w:pPr>
    </w:p>
    <w:p>
      <w:pPr>
        <w:jc w:val="both"/>
        <w:ind w:left="1120" w:right="459" w:hanging="333"/>
        <w:spacing w:after="0" w:line="271" w:lineRule="auto"/>
        <w:tabs>
          <w:tab w:leader="none" w:pos="111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an evaluation of the Disclosure Controls and Procedures (as defined in Rule 30a-3(c) under the Investment Company Act of 1940, the “Disclosure Controls”) as of a date within 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33" w:lineRule="exact"/>
        <w:rPr>
          <w:rFonts w:ascii="Times New Roman" w:cs="Times New Roman" w:eastAsia="Times New Roman" w:hAnsi="Times New Roman"/>
          <w:sz w:val="17"/>
          <w:szCs w:val="17"/>
          <w:color w:val="auto"/>
        </w:rPr>
      </w:pPr>
    </w:p>
    <w:p>
      <w:pPr>
        <w:jc w:val="both"/>
        <w:ind w:left="1120" w:right="459" w:hanging="333"/>
        <w:spacing w:after="0" w:line="261" w:lineRule="auto"/>
        <w:tabs>
          <w:tab w:leader="none" w:pos="11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 (d) under the Investment Company Act of 1940) that occurred during the Registrant’s last fiscal quarter of the period covered by this report that have materially affected or are reasonably likely to materially affect the Registrant’s internal control over financial reporting.</w:t>
      </w:r>
    </w:p>
    <w:p>
      <w:pPr>
        <w:sectPr>
          <w:pgSz w:w="11900" w:h="16838" w:orient="portrait"/>
          <w:cols w:equalWidth="0" w:num="1">
            <w:col w:w="9019"/>
          </w:cols>
          <w:pgMar w:left="1440" w:top="333"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b w:val="1"/>
          <w:bCs w:val="1"/>
          <w:color w:val="auto"/>
        </w:rPr>
        <w:t>Item 12. Disclosure of Securities Lending Activities for Closed-End Management Investment Companies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Exhibits.</w:t>
      </w:r>
    </w:p>
    <w:p>
      <w:pPr>
        <w:spacing w:after="0" w:line="20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(a)(1)  Registrant has posted its current Code of Ethics on its website at </w:t>
      </w:r>
      <w:r>
        <w:rPr>
          <w:rFonts w:ascii="Times New Roman" w:cs="Times New Roman" w:eastAsia="Times New Roman" w:hAnsi="Times New Roman"/>
          <w:sz w:val="18"/>
          <w:szCs w:val="18"/>
          <w:i w:val="1"/>
          <w:iCs w:val="1"/>
          <w:color w:val="auto"/>
        </w:rPr>
        <w:t>www.oxfordlanecapital.com.</w:t>
      </w:r>
    </w:p>
    <w:p>
      <w:pPr>
        <w:spacing w:after="0" w:line="187" w:lineRule="exact"/>
        <w:rPr>
          <w:sz w:val="20"/>
          <w:szCs w:val="20"/>
          <w:color w:val="auto"/>
        </w:rPr>
      </w:pPr>
    </w:p>
    <w:p>
      <w:pPr>
        <w:ind w:left="1340" w:right="459" w:hanging="548"/>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(a)(2)</w:t>
        <w:tab/>
        <w:t>Certifications of principal executive officer and principal financial officer as required by Rule 30a-2(a) under the Investment Company Act of 1940.</w:t>
      </w:r>
    </w:p>
    <w:p>
      <w:pPr>
        <w:spacing w:after="0" w:line="1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(a)(3)  Not applicable.</w:t>
      </w:r>
    </w:p>
    <w:p>
      <w:pPr>
        <w:spacing w:after="0" w:line="19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(a)(4)  Not applicable.</w:t>
      </w:r>
    </w:p>
    <w:p>
      <w:pPr>
        <w:spacing w:after="0" w:line="185" w:lineRule="exact"/>
        <w:rPr>
          <w:sz w:val="20"/>
          <w:szCs w:val="20"/>
          <w:color w:val="auto"/>
        </w:rPr>
      </w:pPr>
    </w:p>
    <w:p>
      <w:pPr>
        <w:ind w:left="1340" w:right="459" w:hanging="559"/>
        <w:spacing w:after="0" w:line="282"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chief executive officer and chief accounting officer as required by Rule 30a-2(b) under the Investment Company Act of 1940.</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9" w:lineRule="exact"/>
        <w:rPr>
          <w:sz w:val="20"/>
          <w:szCs w:val="20"/>
          <w:color w:val="auto"/>
        </w:rPr>
      </w:pPr>
    </w:p>
    <w:p>
      <w:pPr>
        <w:ind w:left="494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1886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 November 5, 2018</w:t>
      </w:r>
    </w:p>
    <w:p>
      <w:pPr>
        <w:spacing w:after="0" w:line="185" w:lineRule="exact"/>
        <w:rPr>
          <w:sz w:val="20"/>
          <w:szCs w:val="20"/>
          <w:color w:val="auto"/>
        </w:rPr>
      </w:pPr>
    </w:p>
    <w:p>
      <w:pPr>
        <w:jc w:val="both"/>
        <w:ind w:left="460" w:right="459"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63" w:lineRule="exact"/>
        <w:rPr>
          <w:sz w:val="20"/>
          <w:szCs w:val="20"/>
          <w:color w:val="auto"/>
        </w:rPr>
      </w:pPr>
    </w:p>
    <w:p>
      <w:pPr>
        <w:ind w:left="494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1886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 November 5,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Bruce L. Rubin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 November 5, 2018</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1" w:name="page52"/>
    <w:bookmarkEnd w:id="51"/>
    <w:p>
      <w:pPr>
        <w:ind w:left="7380"/>
        <w:spacing w:after="0"/>
        <w:rPr>
          <w:sz w:val="20"/>
          <w:szCs w:val="20"/>
          <w:color w:val="auto"/>
        </w:rPr>
      </w:pPr>
      <w:r>
        <w:rPr>
          <w:rFonts w:ascii="Times New Roman" w:cs="Times New Roman" w:eastAsia="Times New Roman" w:hAnsi="Times New Roman"/>
          <w:sz w:val="17"/>
          <w:szCs w:val="17"/>
          <w:b w:val="1"/>
          <w:bCs w:val="1"/>
          <w:color w:val="auto"/>
        </w:rPr>
        <w:t>Exhibit 99.Cert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Jonathan H. Cohen, Chief Executive Officer of Oxford Lane Capital Corp., certify that:</w:t>
      </w:r>
    </w:p>
    <w:p>
      <w:pPr>
        <w:spacing w:after="0" w:line="198" w:lineRule="exact"/>
        <w:rPr>
          <w:sz w:val="20"/>
          <w:szCs w:val="20"/>
          <w:color w:val="auto"/>
        </w:rPr>
      </w:pPr>
    </w:p>
    <w:p>
      <w:pPr>
        <w:ind w:left="1060" w:hanging="273"/>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84"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0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1120" w:right="459" w:hanging="333"/>
        <w:spacing w:after="0" w:line="261" w:lineRule="auto"/>
        <w:tabs>
          <w:tab w:leader="none" w:pos="11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53" w:lineRule="exact"/>
        <w:rPr>
          <w:rFonts w:ascii="Times New Roman" w:cs="Times New Roman" w:eastAsia="Times New Roman" w:hAnsi="Times New Roman"/>
          <w:sz w:val="18"/>
          <w:szCs w:val="18"/>
          <w:color w:val="auto"/>
        </w:rPr>
      </w:pPr>
    </w:p>
    <w:p>
      <w:pPr>
        <w:jc w:val="both"/>
        <w:ind w:left="1120" w:right="459" w:hanging="333"/>
        <w:spacing w:after="0" w:line="261" w:lineRule="auto"/>
        <w:tabs>
          <w:tab w:leader="none" w:pos="10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39" w:lineRule="exact"/>
        <w:rPr>
          <w:rFonts w:ascii="Times New Roman" w:cs="Times New Roman" w:eastAsia="Times New Roman" w:hAnsi="Times New Roman"/>
          <w:sz w:val="18"/>
          <w:szCs w:val="18"/>
          <w:color w:val="auto"/>
        </w:rPr>
      </w:pPr>
    </w:p>
    <w:p>
      <w:pPr>
        <w:jc w:val="both"/>
        <w:ind w:left="1420" w:right="459" w:hanging="315"/>
        <w:spacing w:after="0" w:line="261" w:lineRule="auto"/>
        <w:tabs>
          <w:tab w:leader="none" w:pos="15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420" w:right="459" w:hanging="315"/>
        <w:spacing w:after="0" w:line="261"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120" w:right="459" w:hanging="333"/>
        <w:spacing w:after="0" w:line="282" w:lineRule="auto"/>
        <w:tabs>
          <w:tab w:leader="none" w:pos="1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420" w:right="459" w:hanging="315"/>
        <w:spacing w:after="0" w:line="282"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this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November, 2018</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17145</wp:posOffset>
            </wp:positionV>
            <wp:extent cx="2538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240665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Bruce L. Rubin, Chief Financial Officer of Oxford Lane Capital Corp., certify that:</w:t>
      </w:r>
    </w:p>
    <w:p>
      <w:pPr>
        <w:spacing w:after="0" w:line="198" w:lineRule="exact"/>
        <w:rPr>
          <w:sz w:val="20"/>
          <w:szCs w:val="20"/>
          <w:color w:val="auto"/>
        </w:rPr>
      </w:pPr>
    </w:p>
    <w:p>
      <w:pPr>
        <w:ind w:left="1060" w:hanging="273"/>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84" w:lineRule="exact"/>
        <w:rPr>
          <w:rFonts w:ascii="Times New Roman" w:cs="Times New Roman" w:eastAsia="Times New Roman" w:hAnsi="Times New Roman"/>
          <w:sz w:val="18"/>
          <w:szCs w:val="18"/>
          <w:color w:val="auto"/>
        </w:rPr>
      </w:pPr>
    </w:p>
    <w:p>
      <w:pPr>
        <w:jc w:val="both"/>
        <w:ind w:left="1120" w:right="459" w:hanging="333"/>
        <w:spacing w:after="0" w:line="266" w:lineRule="auto"/>
        <w:tabs>
          <w:tab w:leader="none" w:pos="10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1120" w:right="459" w:hanging="333"/>
        <w:spacing w:after="0" w:line="261" w:lineRule="auto"/>
        <w:tabs>
          <w:tab w:leader="none" w:pos="11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53" w:lineRule="exact"/>
        <w:rPr>
          <w:rFonts w:ascii="Times New Roman" w:cs="Times New Roman" w:eastAsia="Times New Roman" w:hAnsi="Times New Roman"/>
          <w:sz w:val="18"/>
          <w:szCs w:val="18"/>
          <w:color w:val="auto"/>
        </w:rPr>
      </w:pPr>
    </w:p>
    <w:p>
      <w:pPr>
        <w:jc w:val="both"/>
        <w:ind w:left="1120" w:right="459" w:hanging="333"/>
        <w:spacing w:after="0" w:line="261" w:lineRule="auto"/>
        <w:tabs>
          <w:tab w:leader="none" w:pos="10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39" w:lineRule="exact"/>
        <w:rPr>
          <w:rFonts w:ascii="Times New Roman" w:cs="Times New Roman" w:eastAsia="Times New Roman" w:hAnsi="Times New Roman"/>
          <w:sz w:val="18"/>
          <w:szCs w:val="18"/>
          <w:color w:val="auto"/>
        </w:rPr>
      </w:pPr>
    </w:p>
    <w:p>
      <w:pPr>
        <w:jc w:val="both"/>
        <w:ind w:left="1420" w:right="459" w:hanging="315"/>
        <w:spacing w:after="0" w:line="261" w:lineRule="auto"/>
        <w:tabs>
          <w:tab w:leader="none" w:pos="15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420" w:right="459" w:hanging="315"/>
        <w:spacing w:after="0" w:line="261"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120" w:right="459" w:hanging="333"/>
        <w:spacing w:after="0" w:line="282" w:lineRule="auto"/>
        <w:tabs>
          <w:tab w:leader="none" w:pos="1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both"/>
        <w:ind w:left="1420" w:right="459" w:hanging="315"/>
        <w:spacing w:after="0" w:line="266" w:lineRule="auto"/>
        <w:tabs>
          <w:tab w:leader="none" w:pos="141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420" w:right="459" w:hanging="315"/>
        <w:spacing w:after="0" w:line="282" w:lineRule="auto"/>
        <w:tabs>
          <w:tab w:leader="none" w:pos="14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this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November, 2018</w:t>
      </w:r>
    </w:p>
    <w:p>
      <w:pPr>
        <w:spacing w:after="0" w:line="1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17145</wp:posOffset>
            </wp:positionV>
            <wp:extent cx="28301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Bruce L. Rubin</w:t>
      </w:r>
    </w:p>
    <w:p>
      <w:pPr>
        <w:spacing w:after="0" w:line="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240665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3" w:name="page54"/>
    <w:bookmarkEnd w:id="53"/>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99.906CERT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66"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2018 (the “Report”) of Oxford Lane Capital Corp. (the “Registrant”), as filed with the Securities and Exchange Commission on the date hereof, I, Jonathan H. Cohen, the Chief Executive Officer of the Registrant, hereby certify, to the best of my knowledge, that:</w:t>
      </w:r>
    </w:p>
    <w:p>
      <w:pPr>
        <w:spacing w:after="0" w:line="153" w:lineRule="exact"/>
        <w:rPr>
          <w:sz w:val="20"/>
          <w:szCs w:val="20"/>
          <w:color w:val="auto"/>
        </w:rPr>
      </w:pPr>
    </w:p>
    <w:p>
      <w:pPr>
        <w:ind w:left="1120" w:right="459" w:hanging="333"/>
        <w:spacing w:after="0" w:line="282" w:lineRule="auto"/>
        <w:tabs>
          <w:tab w:leader="none" w:pos="1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1120" w:right="459" w:hanging="333"/>
        <w:spacing w:after="0" w:line="282" w:lineRule="auto"/>
        <w:tabs>
          <w:tab w:leader="none" w:pos="11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17145</wp:posOffset>
            </wp:positionV>
            <wp:extent cx="2752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Date: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240665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66" w:lineRule="exact"/>
        <w:rPr>
          <w:sz w:val="20"/>
          <w:szCs w:val="20"/>
          <w:color w:val="auto"/>
        </w:rPr>
      </w:pPr>
    </w:p>
    <w:p>
      <w:pPr>
        <w:jc w:val="both"/>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2018 (the “Report”) of Oxford Lane Capital Corp. (the “Registrant”), as filed with the Securities and Exchange Commission on the date hereof, I, Bruce L. Rubin, the Chief Financial Officer of the Registrant, hereby certify, to the best of my knowledge, that:</w:t>
      </w:r>
    </w:p>
    <w:p>
      <w:pPr>
        <w:spacing w:after="0" w:line="153" w:lineRule="exact"/>
        <w:rPr>
          <w:sz w:val="20"/>
          <w:szCs w:val="20"/>
          <w:color w:val="auto"/>
        </w:rPr>
      </w:pPr>
    </w:p>
    <w:p>
      <w:pPr>
        <w:ind w:left="1120" w:right="459" w:hanging="333"/>
        <w:spacing w:after="0" w:line="282" w:lineRule="auto"/>
        <w:tabs>
          <w:tab w:leader="none" w:pos="1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1120" w:right="459" w:hanging="333"/>
        <w:spacing w:after="0" w:line="282" w:lineRule="auto"/>
        <w:tabs>
          <w:tab w:leader="none" w:pos="11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17145</wp:posOffset>
            </wp:positionV>
            <wp:extent cx="2778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Bruce L. Rubin</w:t>
      </w:r>
    </w:p>
    <w:p>
      <w:pPr>
        <w:spacing w:after="0" w:line="3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Date: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274955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emdash "/>
      <w:numFmt w:val="bullet"/>
      <w:start w:val="1"/>
    </w:lvl>
  </w:abstractNum>
  <w:abstractNum w:abstractNumId="1">
    <w:nsid w:val="7FDCC233"/>
    <w:multiLevelType w:val="hybridMultilevel"/>
    <w:lvl w:ilvl="0">
      <w:lvlJc w:val="left"/>
      <w:lvlText w:val="\emdash "/>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Roman"/>
      <w:start w:val="3"/>
    </w:lvl>
  </w:abstractNum>
  <w:abstractNum w:abstractNumId="12">
    <w:nsid w:val="62BBD95A"/>
    <w:multiLevelType w:val="hybridMultilevel"/>
    <w:lvl w:ilvl="0">
      <w:lvlJc w:val="left"/>
      <w:lvlText w:val="(%1)"/>
      <w:numFmt w:val="decimal"/>
      <w:start w:val="19"/>
    </w:lvl>
  </w:abstractNum>
  <w:abstractNum w:abstractNumId="13">
    <w:nsid w:val="436C6125"/>
    <w:multiLevelType w:val="hybridMultilevel"/>
    <w:lvl w:ilvl="0">
      <w:lvlJc w:val="left"/>
      <w:lvlText w:val="\endash "/>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0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2020-01-10T20:58:07Z</dcterms:created>
  <dcterms:modified xsi:type="dcterms:W3CDTF">2020-01-10T20:58:07Z</dcterms:modified>
</cp:coreProperties>
</file>