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N-Q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SCHEDULE OF PORTFOLIO HOLDINGS OF REGISTERED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MANAGEMENT INVESTMENT COMPANY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Investment Company Act file number </w:t>
      </w:r>
      <w:r>
        <w:rPr>
          <w:rFonts w:ascii="Arial" w:cs="Arial" w:eastAsia="Arial" w:hAnsi="Arial"/>
          <w:sz w:val="18"/>
          <w:szCs w:val="18"/>
          <w:u w:val="single" w:color="auto"/>
          <w:color w:val="auto"/>
        </w:rPr>
        <w:t>811-22432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700" w:type="dxa"/>
            <w:vAlign w:val="bottom"/>
            <w:gridSpan w:val="7"/>
          </w:tcPr>
          <w:p>
            <w:pPr>
              <w:jc w:val="center"/>
              <w:ind w:right="1890"/>
              <w:spacing w:after="0"/>
              <w:rPr>
                <w:sz w:val="20"/>
                <w:szCs w:val="20"/>
                <w:color w:val="auto"/>
              </w:rPr>
            </w:pPr>
            <w:r>
              <w:rPr>
                <w:rFonts w:ascii="Arial" w:cs="Arial" w:eastAsia="Arial" w:hAnsi="Arial"/>
                <w:sz w:val="18"/>
                <w:szCs w:val="18"/>
                <w:color w:val="auto"/>
                <w:w w:val="90"/>
              </w:rPr>
              <w:t>8 Sound Shore Drive, Suite 255</w:t>
            </w:r>
          </w:p>
        </w:tc>
        <w:tc>
          <w:tcPr>
            <w:tcW w:w="372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gridSpan w:val="5"/>
          </w:tcPr>
          <w:p>
            <w:pPr>
              <w:jc w:val="center"/>
              <w:ind w:right="3730"/>
              <w:spacing w:after="0"/>
              <w:rPr>
                <w:sz w:val="20"/>
                <w:szCs w:val="20"/>
                <w:color w:val="auto"/>
              </w:rPr>
            </w:pPr>
            <w:r>
              <w:rPr>
                <w:rFonts w:ascii="Arial" w:cs="Arial" w:eastAsia="Arial" w:hAnsi="Arial"/>
                <w:sz w:val="18"/>
                <w:szCs w:val="18"/>
                <w:color w:val="auto"/>
                <w:w w:val="93"/>
              </w:rPr>
              <w:t>Greenwich, CT</w:t>
            </w:r>
          </w:p>
        </w:tc>
        <w:tc>
          <w:tcPr>
            <w:tcW w:w="372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06830</w:t>
            </w:r>
          </w:p>
        </w:tc>
      </w:tr>
      <w:tr>
        <w:trPr>
          <w:trHeight w:val="224"/>
        </w:trPr>
        <w:tc>
          <w:tcPr>
            <w:tcW w:w="7700" w:type="dxa"/>
            <w:vAlign w:val="bottom"/>
            <w:gridSpan w:val="7"/>
          </w:tcPr>
          <w:p>
            <w:pPr>
              <w:jc w:val="center"/>
              <w:ind w:right="187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right="1790"/>
              <w:spacing w:after="0"/>
              <w:rPr>
                <w:sz w:val="20"/>
                <w:szCs w:val="20"/>
                <w:color w:val="auto"/>
              </w:rPr>
            </w:pPr>
            <w:r>
              <w:rPr>
                <w:rFonts w:ascii="Arial" w:cs="Arial" w:eastAsia="Arial" w:hAnsi="Arial"/>
                <w:sz w:val="18"/>
                <w:szCs w:val="18"/>
                <w:color w:val="auto"/>
                <w:w w:val="93"/>
              </w:rPr>
              <w:t>(Zip code)</w:t>
            </w:r>
          </w:p>
        </w:tc>
      </w:tr>
      <w:tr>
        <w:trPr>
          <w:trHeight w:val="40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tcPr>
          <w:p>
            <w:pPr>
              <w:jc w:val="center"/>
              <w:ind w:right="1110"/>
              <w:spacing w:after="0"/>
              <w:rPr>
                <w:sz w:val="20"/>
                <w:szCs w:val="20"/>
                <w:color w:val="auto"/>
              </w:rPr>
            </w:pPr>
            <w:r>
              <w:rPr>
                <w:rFonts w:ascii="Arial" w:cs="Arial" w:eastAsia="Arial" w:hAnsi="Arial"/>
                <w:sz w:val="18"/>
                <w:szCs w:val="18"/>
                <w:color w:val="auto"/>
                <w:w w:val="88"/>
              </w:rPr>
              <w:t>Jonathan H. Cohen</w:t>
            </w:r>
          </w:p>
        </w:tc>
        <w:tc>
          <w:tcPr>
            <w:tcW w:w="372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00" w:type="dxa"/>
            <w:vAlign w:val="bottom"/>
            <w:gridSpan w:val="2"/>
          </w:tcPr>
          <w:p>
            <w:pPr>
              <w:jc w:val="center"/>
              <w:spacing w:after="0"/>
              <w:rPr>
                <w:sz w:val="20"/>
                <w:szCs w:val="20"/>
                <w:color w:val="auto"/>
              </w:rPr>
            </w:pPr>
            <w:r>
              <w:rPr>
                <w:rFonts w:ascii="Arial" w:cs="Arial" w:eastAsia="Arial" w:hAnsi="Arial"/>
                <w:sz w:val="18"/>
                <w:szCs w:val="18"/>
                <w:color w:val="auto"/>
                <w:w w:val="93"/>
              </w:rPr>
              <w:t>Chief Executive Officer</w:t>
            </w:r>
          </w:p>
        </w:tc>
        <w:tc>
          <w:tcPr>
            <w:tcW w:w="3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00" w:type="dxa"/>
            <w:vAlign w:val="bottom"/>
            <w:gridSpan w:val="2"/>
          </w:tcPr>
          <w:p>
            <w:pPr>
              <w:jc w:val="center"/>
              <w:spacing w:after="0"/>
              <w:rPr>
                <w:sz w:val="20"/>
                <w:szCs w:val="20"/>
                <w:color w:val="auto"/>
              </w:rPr>
            </w:pPr>
            <w:r>
              <w:rPr>
                <w:rFonts w:ascii="Arial" w:cs="Arial" w:eastAsia="Arial" w:hAnsi="Arial"/>
                <w:sz w:val="18"/>
                <w:szCs w:val="18"/>
                <w:color w:val="auto"/>
                <w:w w:val="92"/>
              </w:rPr>
              <w:t>Oxford Lane Capital Corp.</w:t>
            </w:r>
          </w:p>
        </w:tc>
        <w:tc>
          <w:tcPr>
            <w:tcW w:w="3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00" w:type="dxa"/>
            <w:vAlign w:val="bottom"/>
            <w:gridSpan w:val="2"/>
          </w:tcPr>
          <w:p>
            <w:pPr>
              <w:jc w:val="center"/>
              <w:spacing w:after="0"/>
              <w:rPr>
                <w:sz w:val="20"/>
                <w:szCs w:val="20"/>
                <w:color w:val="auto"/>
              </w:rPr>
            </w:pPr>
            <w:r>
              <w:rPr>
                <w:rFonts w:ascii="Arial" w:cs="Arial" w:eastAsia="Arial" w:hAnsi="Arial"/>
                <w:sz w:val="18"/>
                <w:szCs w:val="18"/>
                <w:color w:val="auto"/>
                <w:w w:val="90"/>
              </w:rPr>
              <w:t>8 Sound Shore Drive, Suite 255</w:t>
            </w:r>
          </w:p>
        </w:tc>
        <w:tc>
          <w:tcPr>
            <w:tcW w:w="372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Greenwich, CT 06830</w:t>
            </w:r>
          </w:p>
        </w:tc>
        <w:tc>
          <w:tcPr>
            <w:tcW w:w="3720" w:type="dxa"/>
            <w:vAlign w:val="bottom"/>
            <w:tcBorders>
              <w:bottom w:val="single" w:sz="8" w:color="auto"/>
            </w:tcBorders>
          </w:tcPr>
          <w:p>
            <w:pPr>
              <w:spacing w:after="0"/>
              <w:rPr>
                <w:sz w:val="20"/>
                <w:szCs w:val="20"/>
                <w:color w:val="auto"/>
              </w:rPr>
            </w:pPr>
          </w:p>
        </w:tc>
      </w:tr>
      <w:tr>
        <w:trPr>
          <w:trHeight w:val="224"/>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9"/>
              </w:rPr>
              <w:t>(Name and address of agent for service)</w:t>
            </w:r>
          </w:p>
        </w:tc>
        <w:tc>
          <w:tcPr>
            <w:tcW w:w="3720" w:type="dxa"/>
            <w:vAlign w:val="bottom"/>
          </w:tcPr>
          <w:p>
            <w:pPr>
              <w:spacing w:after="0"/>
              <w:rPr>
                <w:sz w:val="19"/>
                <w:szCs w:val="19"/>
                <w:color w:val="auto"/>
              </w:rPr>
            </w:pPr>
          </w:p>
        </w:tc>
      </w:tr>
      <w:tr>
        <w:trPr>
          <w:trHeight w:val="377"/>
        </w:trPr>
        <w:tc>
          <w:tcPr>
            <w:tcW w:w="7700" w:type="dxa"/>
            <w:vAlign w:val="bottom"/>
            <w:gridSpan w:val="7"/>
          </w:tcPr>
          <w:p>
            <w:pPr>
              <w:spacing w:after="0"/>
              <w:rPr>
                <w:sz w:val="20"/>
                <w:szCs w:val="20"/>
                <w:color w:val="auto"/>
              </w:rPr>
            </w:pPr>
            <w:r>
              <w:rPr>
                <w:rFonts w:ascii="Arial" w:cs="Arial" w:eastAsia="Arial" w:hAnsi="Arial"/>
                <w:sz w:val="18"/>
                <w:szCs w:val="18"/>
                <w:color w:val="auto"/>
              </w:rPr>
              <w:t>Registrant’s telephone number, including area code: (203) 983-5275</w:t>
            </w:r>
          </w:p>
        </w:tc>
        <w:tc>
          <w:tcPr>
            <w:tcW w:w="3720" w:type="dxa"/>
            <w:vAlign w:val="bottom"/>
          </w:tcPr>
          <w:p>
            <w:pPr>
              <w:spacing w:after="0"/>
              <w:rPr>
                <w:sz w:val="24"/>
                <w:szCs w:val="24"/>
                <w:color w:val="auto"/>
              </w:rPr>
            </w:pPr>
          </w:p>
        </w:tc>
      </w:tr>
      <w:tr>
        <w:trPr>
          <w:trHeight w:val="412"/>
        </w:trPr>
        <w:tc>
          <w:tcPr>
            <w:tcW w:w="3800" w:type="dxa"/>
            <w:vAlign w:val="bottom"/>
            <w:gridSpan w:val="5"/>
          </w:tcPr>
          <w:p>
            <w:pPr>
              <w:spacing w:after="0"/>
              <w:rPr>
                <w:sz w:val="20"/>
                <w:szCs w:val="20"/>
                <w:color w:val="auto"/>
              </w:rPr>
            </w:pPr>
            <w:r>
              <w:rPr>
                <w:rFonts w:ascii="Arial" w:cs="Arial" w:eastAsia="Arial" w:hAnsi="Arial"/>
                <w:sz w:val="18"/>
                <w:szCs w:val="18"/>
                <w:color w:val="auto"/>
              </w:rPr>
              <w:t>Date of fiscal year end: March 31</w:t>
            </w:r>
          </w:p>
        </w:tc>
        <w:tc>
          <w:tcPr>
            <w:tcW w:w="1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12"/>
        </w:trPr>
        <w:tc>
          <w:tcPr>
            <w:tcW w:w="7700" w:type="dxa"/>
            <w:vAlign w:val="bottom"/>
            <w:gridSpan w:val="7"/>
          </w:tcPr>
          <w:p>
            <w:pPr>
              <w:spacing w:after="0"/>
              <w:rPr>
                <w:sz w:val="20"/>
                <w:szCs w:val="20"/>
                <w:color w:val="auto"/>
              </w:rPr>
            </w:pPr>
            <w:r>
              <w:rPr>
                <w:rFonts w:ascii="Arial" w:cs="Arial" w:eastAsia="Arial" w:hAnsi="Arial"/>
                <w:sz w:val="18"/>
                <w:szCs w:val="18"/>
                <w:color w:val="auto"/>
              </w:rPr>
              <w:t>Date of reporting period: June 30, 2017</w:t>
            </w:r>
          </w:p>
        </w:tc>
        <w:tc>
          <w:tcPr>
            <w:tcW w:w="3720" w:type="dxa"/>
            <w:vAlign w:val="bottom"/>
          </w:tcPr>
          <w:p>
            <w:pPr>
              <w:spacing w:after="0"/>
              <w:rPr>
                <w:sz w:val="24"/>
                <w:szCs w:val="24"/>
                <w:color w:val="auto"/>
              </w:rPr>
            </w:pPr>
          </w:p>
        </w:tc>
      </w:tr>
      <w:tr>
        <w:trPr>
          <w:trHeight w:val="696"/>
        </w:trPr>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Schedule of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14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4"/>
          </w:tcPr>
          <w:p>
            <w:pPr>
              <w:ind w:left="10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740" w:type="dxa"/>
            <w:vAlign w:val="bottom"/>
            <w:gridSpan w:val="5"/>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252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Mountain Hawk II CLO, Ltd.</w:t>
            </w:r>
          </w:p>
        </w:tc>
        <w:tc>
          <w:tcPr>
            <w:tcW w:w="1460" w:type="dxa"/>
            <w:vAlign w:val="bottom"/>
          </w:tcPr>
          <w:p>
            <w:pPr>
              <w:spacing w:after="0" w:line="155"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21"/>
                <w:szCs w:val="21"/>
                <w:color w:val="auto"/>
                <w:vertAlign w:val="superscript"/>
              </w:rPr>
              <w:t>(3)(4)(6)</w:t>
            </w:r>
            <w:r>
              <w:rPr>
                <w:rFonts w:ascii="Arial" w:cs="Arial" w:eastAsia="Arial" w:hAnsi="Arial"/>
                <w:sz w:val="13"/>
                <w:szCs w:val="13"/>
                <w:color w:val="auto"/>
              </w:rPr>
              <w:t>, (LIBOR + 4.80%, due July 20, 2024)</w:t>
            </w:r>
          </w:p>
        </w:tc>
        <w:tc>
          <w:tcPr>
            <w:tcW w:w="1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4,965,347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Magnetite 19 CLO, Ltd.</w:t>
            </w:r>
          </w:p>
        </w:tc>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income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+ 7.61%, due July 17, 2030)</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4,125,000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3,867,188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3,867,188</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20" w:type="dxa"/>
            <w:vAlign w:val="bottom"/>
            <w:gridSpan w:val="4"/>
          </w:tcPr>
          <w:p>
            <w:pPr>
              <w:spacing w:after="0"/>
              <w:rPr>
                <w:sz w:val="20"/>
                <w:szCs w:val="20"/>
                <w:color w:val="auto"/>
              </w:rPr>
            </w:pPr>
            <w:r>
              <w:rPr>
                <w:rFonts w:ascii="Arial" w:cs="Arial" w:eastAsia="Arial" w:hAnsi="Arial"/>
                <w:sz w:val="14"/>
                <w:szCs w:val="14"/>
                <w:b w:val="1"/>
                <w:bCs w:val="1"/>
                <w:color w:val="auto"/>
              </w:rPr>
              <w:t>North End CLO, Ltd.</w:t>
            </w:r>
          </w:p>
        </w:tc>
        <w:tc>
          <w:tcPr>
            <w:tcW w:w="1460" w:type="dxa"/>
            <w:vAlign w:val="bottom"/>
          </w:tcPr>
          <w:p>
            <w:pPr>
              <w:spacing w:after="0"/>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income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+ 4.60%, due July 17, 2025)</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715,394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723,450</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OFSI Fund VII,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secured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+ 5.65%, due October 18, 2026)</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5,564,000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4,801,174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4,924,140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Parallel 2015-1, Ltd.</w:t>
            </w: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income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+ 6.60%, due July 20, 2027)</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2,877,193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2,680,366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2,670,898</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XXI CLO,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income notes - Class F</w:t>
            </w:r>
            <w:r>
              <w:rPr>
                <w:rFonts w:ascii="Arial" w:cs="Arial" w:eastAsia="Arial" w:hAnsi="Arial"/>
                <w:sz w:val="21"/>
                <w:szCs w:val="21"/>
                <w:color w:val="auto"/>
                <w:vertAlign w:val="superscript"/>
              </w:rPr>
              <w:t>(3)(4)(6)</w:t>
            </w:r>
            <w:r>
              <w:rPr>
                <w:rFonts w:ascii="Arial" w:cs="Arial" w:eastAsia="Arial" w:hAnsi="Arial"/>
                <w:sz w:val="13"/>
                <w:szCs w:val="13"/>
                <w:color w:val="auto"/>
              </w:rPr>
              <w:t>, (LIBOR + 6.60%, due July 15, 2027)</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2,875,000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2,661,587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2,674,038</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Telos CLO 2013-3, Ltd.</w:t>
            </w: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4"/>
            <w:shd w:val="clear" w:color="auto" w:fill="CCEEFF"/>
          </w:tcPr>
          <w:p>
            <w:pPr>
              <w:spacing w:after="0" w:line="202" w:lineRule="exact"/>
              <w:rPr>
                <w:sz w:val="20"/>
                <w:szCs w:val="20"/>
                <w:color w:val="auto"/>
              </w:rPr>
            </w:pPr>
            <w:r>
              <w:rPr>
                <w:rFonts w:ascii="Arial" w:cs="Arial" w:eastAsia="Arial" w:hAnsi="Arial"/>
                <w:sz w:val="14"/>
                <w:szCs w:val="14"/>
                <w:color w:val="auto"/>
              </w:rPr>
              <w:t>CLO secured notes - Class F</w:t>
            </w:r>
            <w:r>
              <w:rPr>
                <w:rFonts w:ascii="Arial" w:cs="Arial" w:eastAsia="Arial" w:hAnsi="Arial"/>
                <w:sz w:val="23"/>
                <w:szCs w:val="23"/>
                <w:color w:val="auto"/>
                <w:vertAlign w:val="superscript"/>
              </w:rPr>
              <w:t>(3)(4)(6)</w:t>
            </w:r>
            <w:r>
              <w:rPr>
                <w:rFonts w:ascii="Arial" w:cs="Arial" w:eastAsia="Arial" w:hAnsi="Arial"/>
                <w:sz w:val="14"/>
                <w:szCs w:val="14"/>
                <w:color w:val="auto"/>
              </w:rPr>
              <w:t>, (LIBOR + 5.50%, due January 17, 2024)</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2,786,447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Debt Investments</w:t>
            </w: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22,477,503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22,929,714</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93"/>
              </w:rPr>
              <w:t>Collateralized Loan Obligation - Equity Investments</w:t>
            </w:r>
          </w:p>
        </w:tc>
        <w:tc>
          <w:tcPr>
            <w:tcW w:w="2500" w:type="dxa"/>
            <w:vAlign w:val="bottom"/>
            <w:gridSpan w:val="2"/>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Ares XLIII CLO, Ltd.</w:t>
            </w:r>
          </w:p>
        </w:tc>
        <w:tc>
          <w:tcPr>
            <w:tcW w:w="1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13.88%, maturity October 15, 2029)</w:t>
            </w:r>
          </w:p>
        </w:tc>
        <w:tc>
          <w:tcPr>
            <w:tcW w:w="1460" w:type="dxa"/>
            <w:vAlign w:val="bottom"/>
          </w:tcPr>
          <w:p>
            <w:pPr>
              <w:spacing w:after="0"/>
              <w:rPr>
                <w:sz w:val="16"/>
                <w:szCs w:val="16"/>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16,320,000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14,900,327</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13,567,706</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AMMC CLO XII, Ltd.</w:t>
            </w: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26.13%, maturity May 10, 2025)</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8,428,571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4,302,705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3,371,428</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Ares XXV CLO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1.72%, maturity January 17, 2024)</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15,500,000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3,015,354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2,790,000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Ares XXVI CLO Ltd.</w:t>
            </w: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21.88%, maturity April 15, 2025)</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15,115,000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6,598,774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5,531,824</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Ares XXIX CLO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10.56%, maturity April 17, 2026)</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12,750,000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8,414,386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6,364,243</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Atrium XII CLO</w:t>
            </w: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18.81%, maturity October 22, 2026)</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34,762,500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27,754,706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34,762,500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Battalion CLO VII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12.17%, maturity October 17, 2026)</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24,000,000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17,653,943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11,760,000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Benefit Street Partners CLO V Ltd.</w:t>
            </w: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 xml:space="preserve">CLO preference shares </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23.32%, maturity October 20, 2026)</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5,349,189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Blue Hill CLO,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32.70%, maturity January 15, 2026)</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15,125,000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5,133,202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4,249,209</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January 15, 2026)</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96,635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17,931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11,402</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B&amp;M CLO 2014-1 LTD</w:t>
            </w: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720" w:type="dxa"/>
            <w:vAlign w:val="bottom"/>
            <w:gridSpan w:val="4"/>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15.51%, maturity April 16, 2026)</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987,464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780,000</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5740" w:type="dxa"/>
            <w:vAlign w:val="bottom"/>
            <w:gridSpan w:val="4"/>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Collateralized Loan Obligation - Equity Investments - (continued)</w:t>
            </w:r>
          </w:p>
        </w:tc>
        <w:tc>
          <w:tcPr>
            <w:tcW w:w="1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4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b w:val="1"/>
                <w:bCs w:val="1"/>
                <w:color w:val="auto"/>
              </w:rPr>
              <w:t>Bristol Park CLO, Ltd.</w:t>
            </w:r>
          </w:p>
        </w:tc>
        <w:tc>
          <w:tcPr>
            <w:tcW w:w="1680" w:type="dxa"/>
            <w:vAlign w:val="bottom"/>
            <w:tcBorders>
              <w:top w:val="single" w:sz="8" w:color="CCEEFF"/>
            </w:tcBorders>
            <w:gridSpan w:val="2"/>
          </w:tcPr>
          <w:p>
            <w:pPr>
              <w:spacing w:after="0"/>
              <w:rPr>
                <w:sz w:val="10"/>
                <w:szCs w:val="10"/>
                <w:color w:val="auto"/>
              </w:rPr>
            </w:pPr>
          </w:p>
        </w:tc>
        <w:tc>
          <w:tcPr>
            <w:tcW w:w="15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structured finance</w:t>
            </w:r>
          </w:p>
        </w:tc>
        <w:tc>
          <w:tcPr>
            <w:tcW w:w="7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15.18%, maturity April 15, 2029)</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7,000,000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5,773,032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5,880,000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Carlyle Global Market Strategies CLO 2013-2,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12.58%, maturity April 18, 2025)</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9,250,000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6,359,800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5,341,084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CENT CLO 16, L.P.</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11.74%, maturity August 01, 2024)</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5,629,921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6,510,000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CIFC Funding 2014-III,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29.06%, maturity July 22, 2026)</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6,236,434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6,400,000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CIFC Funding 2015-I,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18.21%, maturity January 22, 2027)</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7,503,093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7,312,500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Dryden 42 Senior Loan Fund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14.96%, maturity July 15, 2027)</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5,813,220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5,934,688</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Golub Capital Partners CLO 35(B),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13.20%, maturity July 20, 2029)</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4,282,270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3,992,254</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Halcyon Loan Advisors Funding 2015-1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30.94%, maturity April 20, 2027)</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3,079,155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3,180,000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Hull Street CLO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17.01%, maturity October 18, 2026)</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9,641,042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5,550,000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Ivy Hill Middle Market Credit VII,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19.23%, maturity October 20, 2025)</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5,548,046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4,865,858</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Jamestown CLO III,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37.75%, maturity January 15, 2026)</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15,575,000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7,840,019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8,099,000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Jamestown CLO IV,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46.89%, maturity July 15, 2026)</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8,500,000</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3,115,710</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3,825,000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JFIN CLO 2015-II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23.42%, maturity October 17, 2026)</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4,596,887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4,772,627</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KVK 2014-3</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36.34%, maturity October 15, 2026)</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1,680,227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1,650,000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Midocean Credit CLO VI</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18.46%, maturity January 20, 2029)</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21,327,688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21,983,000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Mountain Hawk II CLO,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16.09%, maturity July 20, 2024)</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25,670,000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10,022,788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6,930,900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Mountain Hawk III CLO,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M notes</w:t>
            </w:r>
            <w:r>
              <w:rPr>
                <w:rFonts w:ascii="Arial" w:cs="Arial" w:eastAsia="Arial" w:hAnsi="Arial"/>
                <w:sz w:val="21"/>
                <w:szCs w:val="21"/>
                <w:color w:val="auto"/>
                <w:vertAlign w:val="superscript"/>
              </w:rPr>
              <w:t>(8)</w:t>
            </w:r>
            <w:r>
              <w:rPr>
                <w:rFonts w:ascii="Arial" w:cs="Arial" w:eastAsia="Arial" w:hAnsi="Arial"/>
                <w:sz w:val="13"/>
                <w:szCs w:val="13"/>
                <w:color w:val="auto"/>
              </w:rPr>
              <w:t>, (maturity April 18, 2025)</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2,389,676</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109,420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Neuberger Berman CLO XII,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July 25, 2023)</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22,200,000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111,000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Neuberger Berman CLO XIII, Ltd.</w:t>
            </w:r>
          </w:p>
        </w:tc>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6.06%, maturity January 23, 2024)</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2,328,657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2,064,150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North End CLO, Ltd.</w:t>
            </w: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39.66%, maturity July 17, 2025)</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8,500,000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2,036,047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1,422,842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5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OFSI Fund VII, Ltd.</w:t>
            </w:r>
          </w:p>
        </w:tc>
        <w:tc>
          <w:tcPr>
            <w:tcW w:w="166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13.32%, maturity October 18, 2026)</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$ 28,840,000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2"/>
              </w:rPr>
              <w:t>$ 21,110,679</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18,746,000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XIV,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18.72%, maturity January 15, 2029)</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13,223,565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13,425,061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OZLM IX, Ltd.</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18.20%, maturity January 20, 2027)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3,769,099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3,610,000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Parallel 2015-1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13.58%, maturity July 20, 2027)</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10,250,000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7,035,122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6,150,000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Race Point IX CLO, Ltd.</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preferred shares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25.65%, maturity April 15, 2027)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2,219,568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2,326,717</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Regatta III Funding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43.21%, maturity April 15, 2026)</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1,564,240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1,660,042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Shackleton II CLO, Ltd.</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8.92%, maturity October 20, 2023)</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14,153,454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12,600,000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Shackleton 2015-VII CLO,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22.23%, maturity April 15, 2027)</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8,383,173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8,084,372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Shackelton 2017-X CLO, Ltd.</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16.45%, maturity April 20, 2029)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22,000,000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20,603,545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20,240,000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Shackelton 2017-XI CLO,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16.11%, maturity August 15, 2030)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9,179,050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9,175,000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Sheridan Square CLO, Ltd.</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3.96%, maturity April 15, 2025)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3,300,000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748,362</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561,000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Sound Point CLO VIII,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April 15, 2027)</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224,719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202,247</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83,795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Telos CLO 2013-3, Ltd.</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34.45%, maturity January 17, 2024)</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10,333,334</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6,535,320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5,580,000</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Telos CLO 2013-4, Ltd.</w:t>
            </w:r>
          </w:p>
        </w:tc>
        <w:tc>
          <w:tcPr>
            <w:tcW w:w="16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33.34%, maturity July 17, 2024)</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11,350,000</w:t>
            </w:r>
          </w:p>
        </w:tc>
        <w:tc>
          <w:tcPr>
            <w:tcW w:w="780" w:type="dxa"/>
            <w:vAlign w:val="bottom"/>
          </w:tcPr>
          <w:p>
            <w:pPr>
              <w:jc w:val="right"/>
              <w:spacing w:after="0"/>
              <w:rPr>
                <w:sz w:val="20"/>
                <w:szCs w:val="20"/>
                <w:color w:val="auto"/>
              </w:rPr>
            </w:pPr>
            <w:r>
              <w:rPr>
                <w:rFonts w:ascii="Arial" w:cs="Arial" w:eastAsia="Arial" w:hAnsi="Arial"/>
                <w:sz w:val="14"/>
                <w:szCs w:val="14"/>
                <w:color w:val="auto"/>
              </w:rPr>
              <w:t>6,692,060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6,492,905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/INVESTMENT</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5700" w:type="dxa"/>
            <w:vAlign w:val="bottom"/>
            <w:gridSpan w:val="5"/>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9"/>
        </w:trPr>
        <w:tc>
          <w:tcPr>
            <w:tcW w:w="100" w:type="dxa"/>
            <w:vAlign w:val="bottom"/>
            <w:tcBorders>
              <w:top w:val="single" w:sz="8" w:color="auto"/>
            </w:tcBorders>
            <w:shd w:val="clear" w:color="auto" w:fill="CCEEFF"/>
          </w:tcPr>
          <w:p>
            <w:pPr>
              <w:spacing w:after="0"/>
              <w:rPr>
                <w:sz w:val="12"/>
                <w:szCs w:val="12"/>
                <w:color w:val="auto"/>
              </w:rPr>
            </w:pPr>
          </w:p>
        </w:tc>
        <w:tc>
          <w:tcPr>
            <w:tcW w:w="54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Collateralized Loan Obligation - Equity Investments - (continued)</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0" w:type="dxa"/>
            <w:vAlign w:val="bottom"/>
            <w:tcBorders>
              <w:top w:val="single" w:sz="8" w:color="CCEEFF"/>
            </w:tcBorders>
          </w:tcPr>
          <w:p>
            <w:pPr>
              <w:spacing w:after="0"/>
              <w:rPr>
                <w:sz w:val="10"/>
                <w:szCs w:val="10"/>
                <w:color w:val="auto"/>
              </w:rPr>
            </w:pPr>
          </w:p>
        </w:tc>
        <w:tc>
          <w:tcPr>
            <w:tcW w:w="406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4"/>
                <w:szCs w:val="14"/>
                <w:b w:val="1"/>
                <w:bCs w:val="1"/>
                <w:color w:val="auto"/>
              </w:rPr>
              <w:t>THL Credit Wind River 2014-3 CLO Ltd.</w:t>
            </w:r>
          </w:p>
        </w:tc>
        <w:tc>
          <w:tcPr>
            <w:tcW w:w="1540" w:type="dxa"/>
            <w:vAlign w:val="bottom"/>
            <w:tcBorders>
              <w:top w:val="single" w:sz="8" w:color="CCEEFF"/>
            </w:tcBorders>
            <w:gridSpan w:val="2"/>
          </w:tcPr>
          <w:p>
            <w:pPr>
              <w:spacing w:after="0"/>
              <w:rPr>
                <w:sz w:val="10"/>
                <w:szCs w:val="10"/>
                <w:color w:val="auto"/>
              </w:rPr>
            </w:pPr>
          </w:p>
        </w:tc>
        <w:tc>
          <w:tcPr>
            <w:tcW w:w="1540" w:type="dxa"/>
            <w:vAlign w:val="bottom"/>
            <w:tcBorders>
              <w:top w:val="single" w:sz="8" w:color="CCEEFF"/>
            </w:tcBorders>
            <w:gridSpan w:val="2"/>
          </w:tcPr>
          <w:p>
            <w:pPr>
              <w:ind w:left="100"/>
              <w:spacing w:after="0" w:line="122" w:lineRule="exact"/>
              <w:rPr>
                <w:sz w:val="20"/>
                <w:szCs w:val="20"/>
                <w:color w:val="auto"/>
              </w:rPr>
            </w:pPr>
            <w:r>
              <w:rPr>
                <w:rFonts w:ascii="Arial" w:cs="Arial" w:eastAsia="Arial" w:hAnsi="Arial"/>
                <w:sz w:val="14"/>
                <w:szCs w:val="14"/>
                <w:color w:val="auto"/>
              </w:rPr>
              <w:t>structured finance</w:t>
            </w:r>
          </w:p>
        </w:tc>
        <w:tc>
          <w:tcPr>
            <w:tcW w:w="7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25.08%, maturity January 22, 2027)</w:t>
            </w: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$ 18,530,000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14,568,125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15,565,200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THL Credit Wind River 2017-1 CLO Ltd.</w:t>
            </w:r>
          </w:p>
        </w:tc>
        <w:tc>
          <w:tcPr>
            <w:tcW w:w="1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16.78%, maturity April 18, 2029)</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11,190,665</w:t>
            </w:r>
          </w:p>
        </w:tc>
        <w:tc>
          <w:tcPr>
            <w:tcW w:w="1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10,800,000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Venture XIV CLO, Ltd.</w:t>
            </w: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26.45%, maturity August 28, 2025)</w:t>
            </w: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5,247,929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5,040,000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XVII CLO, Ltd.</w:t>
            </w:r>
          </w:p>
        </w:tc>
        <w:tc>
          <w:tcPr>
            <w:tcW w:w="1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22.84%, maturity July 15, 2026)</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17,000,000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11,713,894</w:t>
            </w:r>
          </w:p>
        </w:tc>
        <w:tc>
          <w:tcPr>
            <w:tcW w:w="1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10,573,412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Venture XVIII CLO, Ltd.</w:t>
            </w: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October 15, 2026)</w:t>
            </w: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357,055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100,382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XXI CLO, Ltd.</w:t>
            </w:r>
          </w:p>
        </w:tc>
        <w:tc>
          <w:tcPr>
            <w:tcW w:w="1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fee notes</w:t>
            </w:r>
            <w:r>
              <w:rPr>
                <w:rFonts w:ascii="Arial" w:cs="Arial" w:eastAsia="Arial" w:hAnsi="Arial"/>
                <w:sz w:val="21"/>
                <w:szCs w:val="21"/>
                <w:color w:val="auto"/>
                <w:vertAlign w:val="superscript"/>
              </w:rPr>
              <w:t>(8)</w:t>
            </w:r>
            <w:r>
              <w:rPr>
                <w:rFonts w:ascii="Arial" w:cs="Arial" w:eastAsia="Arial" w:hAnsi="Arial"/>
                <w:sz w:val="13"/>
                <w:szCs w:val="13"/>
                <w:color w:val="auto"/>
              </w:rPr>
              <w:t>, (maturity July 15, 2027)</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15,125,000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10,434,886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10,587,500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Venture XXV CLO, Ltd.</w:t>
            </w: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5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17.20%, maturity April 20, 2029)</w:t>
            </w: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4,025,027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4,200,000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Wellfleet 2016-2 CLO, Ltd.</w:t>
            </w:r>
          </w:p>
        </w:tc>
        <w:tc>
          <w:tcPr>
            <w:tcW w:w="1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0" w:type="dxa"/>
            <w:vAlign w:val="bottom"/>
            <w:gridSpan w:val="4"/>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16.41%, maturity October 15, 2028)</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8,404,353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8,300,000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Other CLO equity related investments</w:t>
            </w: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structured finance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5600" w:type="dxa"/>
            <w:vAlign w:val="bottom"/>
            <w:gridSpan w:val="4"/>
            <w:shd w:val="clear" w:color="auto" w:fill="CCEEFF"/>
          </w:tcPr>
          <w:p>
            <w:pPr>
              <w:spacing w:after="0" w:line="202" w:lineRule="exact"/>
              <w:rPr>
                <w:sz w:val="20"/>
                <w:szCs w:val="20"/>
                <w:color w:val="auto"/>
              </w:rPr>
            </w:pPr>
            <w:r>
              <w:rPr>
                <w:rFonts w:ascii="Arial" w:cs="Arial" w:eastAsia="Arial" w:hAnsi="Arial"/>
                <w:sz w:val="14"/>
                <w:szCs w:val="14"/>
                <w:color w:val="auto"/>
              </w:rPr>
              <w:t>CLO other</w:t>
            </w:r>
            <w:r>
              <w:rPr>
                <w:rFonts w:ascii="Arial" w:cs="Arial" w:eastAsia="Arial" w:hAnsi="Arial"/>
                <w:sz w:val="23"/>
                <w:szCs w:val="23"/>
                <w:color w:val="auto"/>
                <w:vertAlign w:val="superscript"/>
              </w:rPr>
              <w:t>(8)</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3,204,502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Equity Investments</w:t>
            </w:r>
          </w:p>
        </w:tc>
        <w:tc>
          <w:tcPr>
            <w:tcW w:w="1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387,946,380</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370,868,523</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151.09</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Total Investments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5"/>
              </w:rPr>
              <w:t>410,423,883</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393,798,237</w:t>
            </w:r>
          </w:p>
        </w:tc>
        <w:tc>
          <w:tcPr>
            <w:tcW w:w="200" w:type="dxa"/>
            <w:vAlign w:val="bottom"/>
          </w:tcPr>
          <w:p>
            <w:pPr>
              <w:spacing w:after="0"/>
              <w:rPr>
                <w:sz w:val="18"/>
                <w:szCs w:val="18"/>
                <w:color w:val="auto"/>
              </w:rPr>
            </w:pPr>
          </w:p>
        </w:tc>
        <w:tc>
          <w:tcPr>
            <w:tcW w:w="920" w:type="dxa"/>
            <w:vAlign w:val="bottom"/>
            <w:gridSpan w:val="2"/>
          </w:tcPr>
          <w:p>
            <w:pPr>
              <w:jc w:val="right"/>
              <w:spacing w:after="0" w:line="176" w:lineRule="exact"/>
              <w:rPr>
                <w:sz w:val="20"/>
                <w:szCs w:val="20"/>
                <w:color w:val="auto"/>
              </w:rPr>
            </w:pPr>
            <w:r>
              <w:rPr>
                <w:rFonts w:ascii="Arial" w:cs="Arial" w:eastAsia="Arial" w:hAnsi="Arial"/>
                <w:sz w:val="12"/>
                <w:szCs w:val="12"/>
                <w:b w:val="1"/>
                <w:bCs w:val="1"/>
                <w:color w:val="auto"/>
              </w:rPr>
              <w:t>160.43</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129"/>
        </w:trPr>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Cash and Cash Equivalents</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8"/>
              </w:rPr>
              <w:t>First American Government</w:t>
            </w:r>
          </w:p>
        </w:tc>
        <w:tc>
          <w:tcPr>
            <w:tcW w:w="3900" w:type="dxa"/>
            <w:vAlign w:val="bottom"/>
            <w:tcBorders>
              <w:top w:val="single" w:sz="8" w:color="CCEEFF"/>
            </w:tcBorders>
            <w:gridSpan w:val="3"/>
            <w:shd w:val="clear" w:color="auto" w:fill="CCEEFF"/>
          </w:tcPr>
          <w:p>
            <w:pPr>
              <w:spacing w:after="0" w:line="197" w:lineRule="exact"/>
              <w:rPr>
                <w:sz w:val="20"/>
                <w:szCs w:val="20"/>
                <w:color w:val="auto"/>
              </w:rPr>
            </w:pPr>
            <w:r>
              <w:rPr>
                <w:rFonts w:ascii="Arial" w:cs="Arial" w:eastAsia="Arial" w:hAnsi="Arial"/>
                <w:sz w:val="14"/>
                <w:szCs w:val="14"/>
                <w:color w:val="auto"/>
              </w:rPr>
              <w:t>Obligations Fund</w:t>
            </w:r>
            <w:r>
              <w:rPr>
                <w:rFonts w:ascii="Arial" w:cs="Arial" w:eastAsia="Arial" w:hAnsi="Arial"/>
                <w:sz w:val="22"/>
                <w:szCs w:val="22"/>
                <w:color w:val="auto"/>
                <w:vertAlign w:val="superscript"/>
              </w:rPr>
              <w:t>(13)</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68,255,227</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68,255,227</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5600" w:type="dxa"/>
            <w:vAlign w:val="bottom"/>
            <w:gridSpan w:val="4"/>
            <w:shd w:val="clear" w:color="auto" w:fill="CCEEFF"/>
          </w:tcPr>
          <w:p>
            <w:pPr>
              <w:ind w:left="260"/>
              <w:spacing w:after="0"/>
              <w:rPr>
                <w:sz w:val="20"/>
                <w:szCs w:val="20"/>
                <w:color w:val="auto"/>
              </w:rPr>
            </w:pPr>
            <w:r>
              <w:rPr>
                <w:rFonts w:ascii="Arial" w:cs="Arial" w:eastAsia="Arial" w:hAnsi="Arial"/>
                <w:sz w:val="14"/>
                <w:szCs w:val="14"/>
                <w:b w:val="1"/>
                <w:bCs w:val="1"/>
                <w:color w:val="auto"/>
              </w:rPr>
              <w:t>Total Cash and Cash Equivalents</w:t>
            </w: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68,255,227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68,255,227</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27.81%</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CCEEFF"/>
          </w:tcPr>
          <w:p>
            <w:pPr>
              <w:spacing w:after="0"/>
              <w:rPr>
                <w:sz w:val="15"/>
                <w:szCs w:val="15"/>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Investments, Cash and Cash Equivalents</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5"/>
              </w:rPr>
              <w:t>478,679,110</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462,053,464</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188.24</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LIABILITIES IN EXCESS OF OTHER ASSETS</w:t>
            </w: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(216,598,695)</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5600" w:type="dxa"/>
            <w:vAlign w:val="bottom"/>
            <w:gridSpan w:val="4"/>
          </w:tcPr>
          <w:p>
            <w:pPr>
              <w:spacing w:after="0" w:line="106" w:lineRule="exact"/>
              <w:rPr>
                <w:sz w:val="20"/>
                <w:szCs w:val="20"/>
                <w:color w:val="auto"/>
              </w:rPr>
            </w:pPr>
            <w:r>
              <w:rPr>
                <w:rFonts w:ascii="Arial" w:cs="Arial" w:eastAsia="Arial" w:hAnsi="Arial"/>
                <w:sz w:val="12"/>
                <w:szCs w:val="12"/>
                <w:b w:val="1"/>
                <w:bCs w:val="1"/>
                <w:color w:val="auto"/>
              </w:rPr>
              <w:t>NET ASSETS (equivalent to $10.18 per share based on 24,120,951 shares of common</w:t>
            </w: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stock outstanding)</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245,454,769</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Investment Company Act of 1940, as amended (the "1940 Act"). In general, under the 1940 Act, we would be presumed to "control" a portfolio company if we owned 25% or more of its voting securities and would be an "affiliate" of a portfolio company if we owned 5% or more of its voting securities.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Fund.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Notes bear interest at variable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effective yield less any cash distributions received or entitled to be received from CLO equity investments.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provided is as of June 30, 2017.</w:t>
      </w: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has not made inaugural distribution for relevant period end. See "Note 2. Summary of Significant Accounting Policies - Investment Income Recognition."</w:t>
      </w: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subordinated shares represent an investment in a warehouse facility, which is a financing structure intended to aggregate loans that may be used to form the basis of a CLO vehicle.</w:t>
      </w: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was optionally redeemed during the quarter ended March 31, 2017. The cost basis reflects distributions received in excess of investment carrying value.</w:t>
      </w: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was optionally redeemed during the quarter ended June 30, 2017. The cost basis reflects distributions received in excess of investment carrying value.</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cash equivalents held in a money market account as of June 30,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INVESTMENT VALUATION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Oxford Lane Capital Corp. (“OXLC”, “we” or the “Fund”) determines fair value of its investment portfolio in accordance with the provisions of Financial Accounting Standards Board Accounting Standards Codification (“ASC”) 820, </w:t>
      </w:r>
      <w:r>
        <w:rPr>
          <w:rFonts w:ascii="Arial" w:cs="Arial" w:eastAsia="Arial" w:hAnsi="Arial"/>
          <w:sz w:val="18"/>
          <w:szCs w:val="18"/>
          <w:i w:val="1"/>
          <w:iCs w:val="1"/>
          <w:color w:val="auto"/>
        </w:rPr>
        <w:t>Fair Value Measurement and Disclosure</w:t>
      </w:r>
      <w:r>
        <w:rPr>
          <w:rFonts w:ascii="Arial" w:cs="Arial" w:eastAsia="Arial" w:hAnsi="Arial"/>
          <w:sz w:val="18"/>
          <w:szCs w:val="18"/>
          <w:color w:val="auto"/>
        </w:rPr>
        <w:t>. A significant estimate made in the preparation of OXLC’s financial statements is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9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all of OXLC’s investments are valued based upon “Level 3” inputs as of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Collateralized Loan Obligations — Debt and Equity</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OXLC has acquired debt and equity positions in collateralized loan obligation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LLC (“OXLC Management”) or the Fund’s board of directors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June 30, 2017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9"/>
          </w:tcPr>
          <w:p>
            <w:pPr>
              <w:ind w:left="32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Active Markets for</w:t>
            </w: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Other Observable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Identical Assets</w:t>
            </w:r>
          </w:p>
        </w:tc>
        <w:tc>
          <w:tcPr>
            <w:tcW w:w="2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Assets ($ in millions)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CLO debt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CLO equity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carrying value and fair value of the Fund’s financial liabilities disclosed, but not carried, at fair value as of June 30, 2017 and the level of each financial liability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0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7.50% Series 2023 Term Preferred Shares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8.125% Series 2024 Term Preferred Shares</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6.75% Series 2024 Term Preferred Shares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June 30, 2017.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techniques and methodologies and asset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7"/>
          </w:tcPr>
          <w:p>
            <w:pPr>
              <w:ind w:left="58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Fair Value as of</w:t>
            </w:r>
          </w:p>
        </w:tc>
        <w:tc>
          <w:tcPr>
            <w:tcW w:w="1860" w:type="dxa"/>
            <w:vAlign w:val="bottom"/>
            <w:gridSpan w:val="2"/>
          </w:tcPr>
          <w:p>
            <w:pPr>
              <w:jc w:val="center"/>
              <w:ind w:right="80"/>
              <w:spacing w:after="0" w:line="196" w:lineRule="exact"/>
              <w:rPr>
                <w:sz w:val="20"/>
                <w:szCs w:val="20"/>
                <w:color w:val="auto"/>
              </w:rPr>
            </w:pPr>
            <w:r>
              <w:rPr>
                <w:rFonts w:ascii="Arial" w:cs="Arial" w:eastAsia="Arial" w:hAnsi="Arial"/>
                <w:sz w:val="18"/>
                <w:szCs w:val="18"/>
                <w:b w:val="1"/>
                <w:bCs w:val="1"/>
                <w:color w:val="auto"/>
                <w:w w:val="88"/>
              </w:rPr>
              <w:t>Valuation Techniques /</w:t>
            </w:r>
          </w:p>
        </w:tc>
        <w:tc>
          <w:tcPr>
            <w:tcW w:w="13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7"/>
                <w:szCs w:val="17"/>
                <w:color w:val="auto"/>
              </w:rPr>
            </w:pPr>
          </w:p>
        </w:tc>
        <w:tc>
          <w:tcPr>
            <w:tcW w:w="19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0"/>
              </w:rPr>
              <w:t>Range / Weighted</w:t>
            </w:r>
          </w:p>
        </w:tc>
      </w:tr>
      <w:tr>
        <w:trPr>
          <w:trHeight w:val="270"/>
        </w:trPr>
        <w:tc>
          <w:tcPr>
            <w:tcW w:w="4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Assets</w:t>
            </w: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2017</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Methodologies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Input</w:t>
            </w:r>
          </w:p>
        </w:tc>
        <w:tc>
          <w:tcPr>
            <w:tcW w:w="120" w:type="dxa"/>
            <w:vAlign w:val="bottom"/>
          </w:tcPr>
          <w:p>
            <w:pPr>
              <w:spacing w:after="0"/>
              <w:rPr>
                <w:sz w:val="23"/>
                <w:szCs w:val="23"/>
                <w:color w:val="auto"/>
              </w:rPr>
            </w:pPr>
          </w:p>
        </w:tc>
        <w:tc>
          <w:tcPr>
            <w:tcW w:w="198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3"/>
              </w:rPr>
              <w:t>Average</w:t>
            </w:r>
            <w:r>
              <w:rPr>
                <w:rFonts w:ascii="Arial" w:cs="Arial" w:eastAsia="Arial" w:hAnsi="Arial"/>
                <w:sz w:val="30"/>
                <w:szCs w:val="30"/>
                <w:b w:val="1"/>
                <w:bCs w:val="1"/>
                <w:color w:val="auto"/>
                <w:w w:val="83"/>
                <w:vertAlign w:val="superscript"/>
              </w:rPr>
              <w:t>(5)</w:t>
            </w:r>
          </w:p>
        </w:tc>
      </w:tr>
      <w:tr>
        <w:trPr>
          <w:trHeight w:val="210"/>
        </w:trPr>
        <w:tc>
          <w:tcPr>
            <w:tcW w:w="4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r>
      <w:tr>
        <w:trPr>
          <w:trHeight w:val="257"/>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quotes</w:t>
            </w: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1"/>
              </w:rPr>
              <w:t>NBIB</w:t>
            </w:r>
            <w:r>
              <w:rPr>
                <w:rFonts w:ascii="Arial" w:cs="Arial" w:eastAsia="Arial" w:hAnsi="Arial"/>
                <w:sz w:val="29"/>
                <w:szCs w:val="29"/>
                <w:color w:val="auto"/>
                <w:w w:val="91"/>
                <w:vertAlign w:val="superscript"/>
              </w:rPr>
              <w:t>(1)</w:t>
            </w:r>
          </w:p>
        </w:tc>
        <w:tc>
          <w:tcPr>
            <w:tcW w:w="2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82.4%-90.2% / 86.9%</w:t>
            </w:r>
          </w:p>
        </w:tc>
      </w:tr>
      <w:tr>
        <w:trPr>
          <w:trHeight w:val="257"/>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2"/>
                <w:szCs w:val="22"/>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Recent transactions</w:t>
            </w: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9"/>
              </w:rPr>
              <w:t xml:space="preserve">Actual trade </w:t>
            </w:r>
            <w:r>
              <w:rPr>
                <w:rFonts w:ascii="Arial" w:cs="Arial" w:eastAsia="Arial" w:hAnsi="Arial"/>
                <w:sz w:val="29"/>
                <w:szCs w:val="29"/>
                <w:color w:val="auto"/>
                <w:w w:val="89"/>
                <w:vertAlign w:val="superscript"/>
              </w:rPr>
              <w:t>(2)</w:t>
            </w:r>
          </w:p>
        </w:tc>
        <w:tc>
          <w:tcPr>
            <w:tcW w:w="210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88.5% </w:t>
            </w:r>
            <w:r>
              <w:rPr>
                <w:rFonts w:ascii="Arial" w:cs="Arial" w:eastAsia="Arial" w:hAnsi="Arial"/>
                <w:sz w:val="29"/>
                <w:szCs w:val="29"/>
                <w:color w:val="auto"/>
                <w:vertAlign w:val="superscript"/>
              </w:rPr>
              <w:t>(3)</w:t>
            </w:r>
          </w:p>
        </w:tc>
      </w:tr>
      <w:tr>
        <w:trPr>
          <w:trHeight w:val="257"/>
        </w:trPr>
        <w:tc>
          <w:tcPr>
            <w:tcW w:w="4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Repayment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Proceeds</w:t>
            </w:r>
          </w:p>
        </w:tc>
        <w:tc>
          <w:tcPr>
            <w:tcW w:w="210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100.0% </w:t>
            </w:r>
            <w:r>
              <w:rPr>
                <w:rFonts w:ascii="Arial" w:cs="Arial" w:eastAsia="Arial" w:hAnsi="Arial"/>
                <w:sz w:val="29"/>
                <w:szCs w:val="29"/>
                <w:color w:val="auto"/>
                <w:vertAlign w:val="superscript"/>
              </w:rPr>
              <w:t>(3)</w:t>
            </w: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7"/>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equity</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quotes</w:t>
            </w: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1"/>
              </w:rPr>
              <w:t>NBIB</w:t>
            </w:r>
            <w:r>
              <w:rPr>
                <w:rFonts w:ascii="Arial" w:cs="Arial" w:eastAsia="Arial" w:hAnsi="Arial"/>
                <w:sz w:val="29"/>
                <w:szCs w:val="29"/>
                <w:color w:val="auto"/>
                <w:w w:val="91"/>
                <w:vertAlign w:val="superscript"/>
              </w:rPr>
              <w:t>(1)</w:t>
            </w:r>
          </w:p>
        </w:tc>
        <w:tc>
          <w:tcPr>
            <w:tcW w:w="2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0.5%-105.0% / 61.0%</w:t>
            </w:r>
          </w:p>
        </w:tc>
      </w:tr>
      <w:tr>
        <w:trPr>
          <w:trHeight w:val="257"/>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Recent transactions</w:t>
            </w: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9"/>
              </w:rPr>
              <w:t xml:space="preserve">Actual trade </w:t>
            </w:r>
            <w:r>
              <w:rPr>
                <w:rFonts w:ascii="Arial" w:cs="Arial" w:eastAsia="Arial" w:hAnsi="Arial"/>
                <w:sz w:val="29"/>
                <w:szCs w:val="29"/>
                <w:color w:val="auto"/>
                <w:w w:val="89"/>
                <w:vertAlign w:val="superscript"/>
              </w:rPr>
              <w:t>(2)</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79.8%-83.1% / 82.4%</w:t>
            </w:r>
          </w:p>
        </w:tc>
      </w:tr>
      <w:tr>
        <w:trPr>
          <w:trHeight w:val="216"/>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Yield Analysis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Yield assumptions</w:t>
            </w:r>
          </w:p>
        </w:tc>
        <w:tc>
          <w:tcPr>
            <w:tcW w:w="2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16.7%-53.0% / 40.8%</w:t>
            </w: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equity - side letters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center"/>
              <w:ind w:right="80"/>
              <w:spacing w:after="0" w:line="269"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30"/>
                <w:szCs w:val="30"/>
                <w:color w:val="auto"/>
                <w:w w:val="89"/>
                <w:vertAlign w:val="superscript"/>
              </w:rPr>
              <w:t>(4)</w:t>
            </w:r>
          </w:p>
        </w:tc>
        <w:tc>
          <w:tcPr>
            <w:tcW w:w="1340" w:type="dxa"/>
            <w:vAlign w:val="bottom"/>
            <w:shd w:val="clear" w:color="auto" w:fill="CCEEFF"/>
          </w:tcPr>
          <w:p>
            <w:pPr>
              <w:jc w:val="center"/>
              <w:spacing w:after="0" w:line="269"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30"/>
                <w:szCs w:val="30"/>
                <w:color w:val="auto"/>
                <w:w w:val="87"/>
                <w:vertAlign w:val="superscript"/>
              </w:rPr>
              <w:t>(4)</w:t>
            </w:r>
          </w:p>
        </w:tc>
        <w:tc>
          <w:tcPr>
            <w:tcW w:w="2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9.0%-16.0% / 14.4%</w:t>
            </w: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Fair Value for Level 3 Investments</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656"/>
        </w:trPr>
        <w:tc>
          <w:tcPr>
            <w:tcW w:w="4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 (continued)</w:t>
      </w:r>
    </w:p>
    <w:p>
      <w:pPr>
        <w:spacing w:after="0" w:line="229" w:lineRule="exact"/>
        <w:rPr>
          <w:sz w:val="20"/>
          <w:szCs w:val="20"/>
          <w:color w:val="auto"/>
        </w:rPr>
      </w:pPr>
    </w:p>
    <w:p>
      <w:pPr>
        <w:ind w:left="660" w:right="2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Fund generally uses non-binding indicative bid (“NBIB”) prices provided by an independent pricing service or broker on or near the valuation date as the primary basis for the fair value determinations for CLO debt and equity investments, which may be adjusted for pending equity distributions as of the valuation date. These bid prices are non-binding, and may not be determinative of fair value. Each bid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Prices provided by independent pricing services are evaluated in conjunction with actual trades, and in certain cases, the value represented by actual trades may be more representative of fair value as determined by the Board of Directors.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a single investment fair value position, and therefore the range/weighted average is not applicable.</w:t>
      </w:r>
    </w:p>
    <w:p>
      <w:pPr>
        <w:spacing w:after="0" w:line="9" w:lineRule="exact"/>
        <w:rPr>
          <w:rFonts w:ascii="Arial" w:cs="Arial" w:eastAsia="Arial" w:hAnsi="Arial"/>
          <w:sz w:val="18"/>
          <w:szCs w:val="18"/>
          <w:color w:val="auto"/>
        </w:rPr>
      </w:pPr>
    </w:p>
    <w:p>
      <w:pPr>
        <w:jc w:val="both"/>
        <w:ind w:left="660" w:right="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Fund will calculate the fair value of certain CLO equity investments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Significant increases or decreases in any of the unobservable inputs in isolation may result in a significantly lower or higher fair value measurement.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securitization vehicles and equity investments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Income from securitization vehicles and equity investments in the equity class securities of CLO vehicles (typically income notes or subordinated notes) is recorded using the effective interest method in accordance with the provisions of ASC 325-40, </w:t>
      </w:r>
      <w:r>
        <w:rPr>
          <w:rFonts w:ascii="Arial" w:cs="Arial" w:eastAsia="Arial" w:hAnsi="Arial"/>
          <w:sz w:val="17"/>
          <w:szCs w:val="17"/>
          <w:i w:val="1"/>
          <w:iCs w:val="1"/>
          <w:color w:val="auto"/>
        </w:rPr>
        <w:t>Beneficial Interests in Securitized Financial Assets</w:t>
      </w:r>
      <w:r>
        <w:rPr>
          <w:rFonts w:ascii="Arial" w:cs="Arial" w:eastAsia="Arial" w:hAnsi="Arial"/>
          <w:sz w:val="17"/>
          <w:szCs w:val="17"/>
          <w:color w:val="auto"/>
        </w:rPr>
        <w:t>, based upon a calculation of the effective yield to the expected redemption date based on an estimate of future cash flows, including those CLO equity investments that have not made their inaugural distribution for the relevant period end. The Fund monitors the expected residual payments, and the effective yield is determined and updated quarterly, as needed. Accordingly, investment income recognized on CLO equity securities in the statement of operations presented in accordance with accounting principles generally accepted in the United States of America (“GAAP”) differs from both the tax-basis investment income and from the cash distributions actually received by the Fund during the period.</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Fund also records income on its investments in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June 30, 2017, the Fund had no non-accrual assets in its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income includes distributions from fee letters and success fees associated with portfolio investments. Distributions from CLO equity fee letter investments are an enhancement to the return on a CLO equity investment, are based upon a percentage of the collateral manager’s fees, and are recorded as other income when earned. The Fund may also earn success fees associated with its investments in CLO warehouse facilities, which are contingent upon a take-out of the warehouse by a permanent CLO structure; such fees are earned and recognized when the take-out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U.S. FEDERAL INCOME TAXES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Fund intends to operate so as to continue to qualify to be taxed as a regulated investment company (“RIC”) under Subchapter M of the Internal Revenue Code of 1986, as amended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w:t>
      </w:r>
    </w:p>
    <w:p>
      <w:pPr>
        <w:spacing w:after="0" w:line="187"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Differences between distributions and net investment income may also result from the treatment of short-term gains as ordinary income for tax purposes. Our distribution policy is based upon our estimate of our distributable net investment income, which includes actual distributions from our CLO equity class investments, with further consideration given to our realized gains or losses on a taxable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As of June 30, 2017, the cost and net unrealized depreciation of securities on a tax basis were as follows: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for federal income tax purposes</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452,043,747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Gross unrealized appreciation</w:t>
            </w: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4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24,858,401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(83,103,911)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(58,245,510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Controls and Procedures.</w:t>
      </w:r>
    </w:p>
    <w:p>
      <w:pPr>
        <w:spacing w:after="0" w:line="229" w:lineRule="exact"/>
        <w:rPr>
          <w:sz w:val="20"/>
          <w:szCs w:val="20"/>
          <w:color w:val="auto"/>
        </w:rPr>
      </w:pPr>
    </w:p>
    <w:p>
      <w:pPr>
        <w:ind w:firstLine="278"/>
        <w:spacing w:after="0" w:line="293" w:lineRule="auto"/>
        <w:tabs>
          <w:tab w:leader="none" w:pos="83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as amended, the “Disclosure Controls”) as of a date within 90 days prior to the filing date (the “Filing Date”) of this Form N-Q (the “Report”), the Chief Executive Officer (the principal executive officer) and Chief Financial Officer (the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60" w:firstLine="278"/>
        <w:spacing w:after="0" w:line="264" w:lineRule="auto"/>
        <w:tabs>
          <w:tab w:leader="none" w:pos="8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as amended) that occurred during the Registrant’s last fiscal quarter that have materially affected or are reasonably likely to materially affect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Certifications of principal executive officer and principal financial officer as required by Rule 30a-2(a)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and the Investment Company Act of 1940, as amended,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By:/s/ Jonathan H. Cohen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and the Investment Company Act of 1940, as amended,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ind w:left="320"/>
              <w:spacing w:after="0"/>
              <w:rPr>
                <w:sz w:val="20"/>
                <w:szCs w:val="20"/>
                <w:color w:val="auto"/>
              </w:rPr>
            </w:pPr>
            <w:r>
              <w:rPr>
                <w:rFonts w:ascii="Arial" w:cs="Arial" w:eastAsia="Arial" w:hAnsi="Arial"/>
                <w:sz w:val="18"/>
                <w:szCs w:val="18"/>
                <w:color w:val="auto"/>
              </w:rPr>
              <w:t>By:/s/ Jonathan H. Cohen</w:t>
            </w:r>
          </w:p>
        </w:tc>
        <w:tc>
          <w:tcPr>
            <w:tcW w:w="7400" w:type="dxa"/>
            <w:vAlign w:val="bottom"/>
            <w:gridSpan w:val="2"/>
          </w:tcPr>
          <w:p>
            <w:pPr>
              <w:ind w:left="3720"/>
              <w:spacing w:after="0"/>
              <w:rPr>
                <w:sz w:val="20"/>
                <w:szCs w:val="20"/>
                <w:color w:val="auto"/>
              </w:rPr>
            </w:pPr>
            <w:r>
              <w:rPr>
                <w:rFonts w:ascii="Arial" w:cs="Arial" w:eastAsia="Arial" w:hAnsi="Arial"/>
                <w:sz w:val="18"/>
                <w:szCs w:val="18"/>
                <w:color w:val="auto"/>
              </w:rPr>
              <w:t>By:/s/ Bruce L. Rubin</w:t>
            </w:r>
          </w:p>
        </w:tc>
      </w:tr>
      <w:tr>
        <w:trPr>
          <w:trHeight w:val="195"/>
        </w:trPr>
        <w:tc>
          <w:tcPr>
            <w:tcW w:w="58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H. Cohen</w:t>
            </w:r>
          </w:p>
        </w:tc>
        <w:tc>
          <w:tcPr>
            <w:tcW w:w="398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Bruce L. Rubin</w:t>
            </w: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39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580" w:type="dxa"/>
            <w:vAlign w:val="bottom"/>
          </w:tcPr>
          <w:p>
            <w:pPr>
              <w:spacing w:after="0"/>
              <w:rPr>
                <w:sz w:val="20"/>
                <w:szCs w:val="20"/>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c>
          <w:tcPr>
            <w:tcW w:w="3980" w:type="dxa"/>
            <w:vAlign w:val="bottom"/>
          </w:tcPr>
          <w:p>
            <w:pPr>
              <w:spacing w:after="0"/>
              <w:rPr>
                <w:sz w:val="20"/>
                <w:szCs w:val="20"/>
                <w:color w:val="auto"/>
              </w:rPr>
            </w:pPr>
          </w:p>
        </w:tc>
        <w:tc>
          <w:tcPr>
            <w:tcW w:w="3420" w:type="dxa"/>
            <w:vAlign w:val="bottom"/>
          </w:tcPr>
          <w:p>
            <w:pPr>
              <w:ind w:left="38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Date: August 11, 2017</w:t>
            </w:r>
          </w:p>
        </w:tc>
        <w:tc>
          <w:tcPr>
            <w:tcW w:w="39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Date: August 11, 2017</w:t>
            </w:r>
          </w:p>
        </w:tc>
      </w:tr>
      <w:tr>
        <w:trPr>
          <w:trHeight w:val="675"/>
        </w:trPr>
        <w:tc>
          <w:tcPr>
            <w:tcW w:w="5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6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11th day of August,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6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11th day of June,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2017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2017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2020-01-18T00:51:56Z</dcterms:created>
  <dcterms:modified xsi:type="dcterms:W3CDTF">2020-01-18T00:51:56Z</dcterms:modified>
</cp:coreProperties>
</file>