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15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1584325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FORM N-CSR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1584325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CERTIFIED SHAREHOLDER REPORT OF REGISTERED MANAGEMENT</w:t>
      </w:r>
    </w:p>
    <w:p>
      <w:pPr>
        <w:spacing w:after="0" w:line="27"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INVESTMENT COMPANIES</w:t>
      </w:r>
    </w:p>
    <w:p>
      <w:pPr>
        <w:spacing w:after="0" w:line="207" w:lineRule="exact"/>
        <w:rPr>
          <w:sz w:val="24"/>
          <w:szCs w:val="24"/>
          <w:color w:val="auto"/>
        </w:rPr>
      </w:pPr>
    </w:p>
    <w:p>
      <w:pPr>
        <w:ind w:left="1860"/>
        <w:spacing w:after="0"/>
        <w:rPr>
          <w:sz w:val="20"/>
          <w:szCs w:val="20"/>
          <w:color w:val="auto"/>
        </w:rPr>
      </w:pPr>
      <w:r>
        <w:rPr>
          <w:rFonts w:ascii="Arial" w:cs="Arial" w:eastAsia="Arial" w:hAnsi="Arial"/>
          <w:sz w:val="18"/>
          <w:szCs w:val="18"/>
          <w:b w:val="1"/>
          <w:bCs w:val="1"/>
          <w:color w:val="auto"/>
        </w:rPr>
        <w:t>Investment Company Act file number 811-22432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1584325</wp:posOffset>
            </wp:positionH>
            <wp:positionV relativeFrom="paragraph">
              <wp:posOffset>206375</wp:posOffset>
            </wp:positionV>
            <wp:extent cx="1543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1820"/>
        <w:spacing w:after="0"/>
        <w:rPr>
          <w:sz w:val="20"/>
          <w:szCs w:val="20"/>
          <w:color w:val="auto"/>
        </w:rPr>
      </w:pPr>
      <w:r>
        <w:rPr>
          <w:rFonts w:ascii="Arial" w:cs="Arial" w:eastAsia="Arial" w:hAnsi="Arial"/>
          <w:sz w:val="32"/>
          <w:szCs w:val="32"/>
          <w:b w:val="1"/>
          <w:bCs w:val="1"/>
          <w:color w:val="auto"/>
        </w:rPr>
        <w:t>Oxford Lane Capital Corp.</w:t>
      </w:r>
    </w:p>
    <w:p>
      <w:pPr>
        <w:spacing w:after="0" w:line="127" w:lineRule="exact"/>
        <w:rPr>
          <w:sz w:val="24"/>
          <w:szCs w:val="24"/>
          <w:color w:val="auto"/>
        </w:rPr>
      </w:pPr>
    </w:p>
    <w:p>
      <w:pPr>
        <w:ind w:left="2340"/>
        <w:spacing w:after="0"/>
        <w:rPr>
          <w:sz w:val="20"/>
          <w:szCs w:val="20"/>
          <w:color w:val="auto"/>
        </w:rPr>
      </w:pPr>
      <w:r>
        <w:rPr>
          <w:rFonts w:ascii="Arial" w:cs="Arial" w:eastAsia="Arial" w:hAnsi="Arial"/>
          <w:sz w:val="14"/>
          <w:szCs w:val="14"/>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1584325</wp:posOffset>
            </wp:positionH>
            <wp:positionV relativeFrom="paragraph">
              <wp:posOffset>201295</wp:posOffset>
            </wp:positionV>
            <wp:extent cx="15436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8 Sound Shore Drive, Suite 255</w:t>
      </w:r>
    </w:p>
    <w:p>
      <w:pPr>
        <w:spacing w:after="0" w:line="27"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Greenwich, CT 06830</w:t>
      </w:r>
    </w:p>
    <w:p>
      <w:pPr>
        <w:spacing w:after="0" w:line="112" w:lineRule="exact"/>
        <w:rPr>
          <w:sz w:val="24"/>
          <w:szCs w:val="24"/>
          <w:color w:val="auto"/>
        </w:rPr>
      </w:pPr>
    </w:p>
    <w:p>
      <w:pPr>
        <w:ind w:left="2600"/>
        <w:spacing w:after="0"/>
        <w:rPr>
          <w:sz w:val="20"/>
          <w:szCs w:val="20"/>
          <w:color w:val="auto"/>
        </w:rPr>
      </w:pPr>
      <w:r>
        <w:rPr>
          <w:rFonts w:ascii="Arial" w:cs="Arial" w:eastAsia="Arial" w:hAnsi="Arial"/>
          <w:sz w:val="14"/>
          <w:szCs w:val="14"/>
          <w:color w:val="auto"/>
        </w:rPr>
        <w:t>(Address of principal executive offices)</w:t>
      </w:r>
    </w:p>
    <w:p>
      <w:pPr>
        <w:spacing w:after="0" w:line="218"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Jonathan H. Cohen</w:t>
      </w:r>
    </w:p>
    <w:p>
      <w:pPr>
        <w:spacing w:after="0" w:line="27"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Oxford Lane Capital Corp.</w:t>
      </w:r>
    </w:p>
    <w:p>
      <w:pPr>
        <w:spacing w:after="0" w:line="9"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8 Sound Shore Drive, Suite 255</w:t>
      </w:r>
    </w:p>
    <w:p>
      <w:pPr>
        <w:spacing w:after="0" w:line="9"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Greenwich, CT 06830</w:t>
      </w:r>
    </w:p>
    <w:p>
      <w:pPr>
        <w:spacing w:after="0" w:line="112" w:lineRule="exact"/>
        <w:rPr>
          <w:sz w:val="24"/>
          <w:szCs w:val="24"/>
          <w:color w:val="auto"/>
        </w:rPr>
      </w:pPr>
    </w:p>
    <w:p>
      <w:pPr>
        <w:ind w:left="2600"/>
        <w:spacing w:after="0"/>
        <w:rPr>
          <w:sz w:val="20"/>
          <w:szCs w:val="20"/>
          <w:color w:val="auto"/>
        </w:rPr>
      </w:pPr>
      <w:r>
        <w:rPr>
          <w:rFonts w:ascii="Arial" w:cs="Arial" w:eastAsia="Arial" w:hAnsi="Arial"/>
          <w:sz w:val="14"/>
          <w:szCs w:val="14"/>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1584325</wp:posOffset>
            </wp:positionH>
            <wp:positionV relativeFrom="paragraph">
              <wp:posOffset>201295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1519"/>
        <w:spacing w:after="0"/>
        <w:rPr>
          <w:sz w:val="20"/>
          <w:szCs w:val="20"/>
          <w:color w:val="auto"/>
        </w:rPr>
      </w:pPr>
      <w:r>
        <w:rPr>
          <w:rFonts w:ascii="Arial" w:cs="Arial" w:eastAsia="Arial" w:hAnsi="Arial"/>
          <w:sz w:val="18"/>
          <w:szCs w:val="18"/>
          <w:b w:val="1"/>
          <w:bCs w:val="1"/>
          <w:color w:val="auto"/>
        </w:rPr>
        <w:t>Registrant’s telephone number, including area code: (203) 983-5275</w:t>
      </w:r>
    </w:p>
    <w:p>
      <w:pPr>
        <w:spacing w:after="0" w:line="117" w:lineRule="exact"/>
        <w:rPr>
          <w:sz w:val="24"/>
          <w:szCs w:val="24"/>
          <w:color w:val="auto"/>
        </w:rPr>
      </w:pPr>
    </w:p>
    <w:p>
      <w:pPr>
        <w:jc w:val="center"/>
        <w:ind w:right="1519"/>
        <w:spacing w:after="0"/>
        <w:rPr>
          <w:sz w:val="20"/>
          <w:szCs w:val="20"/>
          <w:color w:val="auto"/>
        </w:rPr>
      </w:pPr>
      <w:r>
        <w:rPr>
          <w:rFonts w:ascii="Arial" w:cs="Arial" w:eastAsia="Arial" w:hAnsi="Arial"/>
          <w:sz w:val="18"/>
          <w:szCs w:val="18"/>
          <w:b w:val="1"/>
          <w:bCs w:val="1"/>
          <w:color w:val="auto"/>
        </w:rPr>
        <w:t>Date of fiscal year end: March 31</w:t>
      </w:r>
    </w:p>
    <w:p>
      <w:pPr>
        <w:spacing w:after="0" w:line="117" w:lineRule="exact"/>
        <w:rPr>
          <w:sz w:val="24"/>
          <w:szCs w:val="24"/>
          <w:color w:val="auto"/>
        </w:rPr>
      </w:pPr>
    </w:p>
    <w:p>
      <w:pPr>
        <w:jc w:val="center"/>
        <w:ind w:right="1519"/>
        <w:spacing w:after="0"/>
        <w:rPr>
          <w:sz w:val="20"/>
          <w:szCs w:val="20"/>
          <w:color w:val="auto"/>
        </w:rPr>
      </w:pPr>
      <w:r>
        <w:rPr>
          <w:rFonts w:ascii="Arial" w:cs="Arial" w:eastAsia="Arial" w:hAnsi="Arial"/>
          <w:sz w:val="18"/>
          <w:szCs w:val="18"/>
          <w:b w:val="1"/>
          <w:bCs w:val="1"/>
          <w:color w:val="auto"/>
        </w:rPr>
        <w:t>Date of reporting period: March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-768985</wp:posOffset>
            </wp:positionH>
            <wp:positionV relativeFrom="paragraph">
              <wp:posOffset>802005</wp:posOffset>
            </wp:positionV>
            <wp:extent cx="6114415"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-678815</wp:posOffset>
            </wp:positionH>
            <wp:positionV relativeFrom="paragraph">
              <wp:posOffset>51435</wp:posOffset>
            </wp:positionV>
            <wp:extent cx="6071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-678815</wp:posOffset>
            </wp:positionH>
            <wp:positionV relativeFrom="paragraph">
              <wp:posOffset>77470</wp:posOffset>
            </wp:positionV>
            <wp:extent cx="6071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Reports to Shareholders.</w:t>
      </w:r>
    </w:p>
    <w:p>
      <w:pPr>
        <w:spacing w:after="0" w:line="121" w:lineRule="exact"/>
        <w:rPr>
          <w:sz w:val="20"/>
          <w:szCs w:val="20"/>
          <w:color w:val="auto"/>
        </w:rPr>
      </w:pPr>
    </w:p>
    <w:p>
      <w:pPr>
        <w:ind w:left="40" w:right="1239" w:firstLine="270"/>
        <w:spacing w:after="0" w:line="277" w:lineRule="auto"/>
        <w:rPr>
          <w:sz w:val="20"/>
          <w:szCs w:val="20"/>
          <w:color w:val="auto"/>
        </w:rPr>
      </w:pPr>
      <w:r>
        <w:rPr>
          <w:rFonts w:ascii="Arial" w:cs="Arial" w:eastAsia="Arial" w:hAnsi="Arial"/>
          <w:sz w:val="18"/>
          <w:szCs w:val="18"/>
          <w:color w:val="auto"/>
        </w:rPr>
        <w:t>The annual report to shareholders for the year ended March 31, 2017 is filed herewith pursuant to rule 30e-1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0"/>
        <w:spacing w:after="0"/>
        <w:rPr>
          <w:sz w:val="20"/>
          <w:szCs w:val="20"/>
          <w:color w:val="auto"/>
        </w:rPr>
      </w:pPr>
      <w:r>
        <w:rPr>
          <w:rFonts w:ascii="Arial" w:cs="Arial" w:eastAsia="Arial" w:hAnsi="Arial"/>
          <w:sz w:val="32"/>
          <w:szCs w:val="32"/>
          <w:b w:val="1"/>
          <w:bCs w:val="1"/>
          <w:color w:val="auto"/>
        </w:rPr>
        <w:t>Oxford Lane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60"/>
        <w:spacing w:after="0"/>
        <w:rPr>
          <w:sz w:val="20"/>
          <w:szCs w:val="20"/>
          <w:color w:val="auto"/>
        </w:rPr>
      </w:pPr>
      <w:r>
        <w:rPr>
          <w:rFonts w:ascii="Arial" w:cs="Arial" w:eastAsia="Arial" w:hAnsi="Arial"/>
          <w:sz w:val="29"/>
          <w:szCs w:val="29"/>
          <w:b w:val="1"/>
          <w:bCs w:val="1"/>
          <w:color w:val="auto"/>
        </w:rPr>
        <w:t>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oxfordlanecapital.com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448945</wp:posOffset>
            </wp:positionV>
            <wp:extent cx="6114415"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9"/>
              </w:rPr>
              <w:t>OXFORD LANE CAPITAL CORP.</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69"/>
        </w:trPr>
        <w:tc>
          <w:tcPr>
            <w:tcW w:w="7680" w:type="dxa"/>
            <w:vAlign w:val="bottom"/>
            <w:gridSpan w:val="15"/>
            <w:shd w:val="clear" w:color="auto" w:fill="CCEEFF"/>
          </w:tcPr>
          <w:p>
            <w:pPr>
              <w:ind w:left="2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Letter to Shareholders</w:t>
              </w:r>
            </w:hyperlink>
          </w:p>
        </w:tc>
        <w:tc>
          <w:tcPr>
            <w:tcW w:w="540" w:type="dxa"/>
            <w:vAlign w:val="bottom"/>
            <w:gridSpan w:val="4"/>
            <w:shd w:val="clear" w:color="auto" w:fill="CCEEFF"/>
          </w:tcPr>
          <w:p>
            <w:pPr>
              <w:jc w:val="right"/>
              <w:ind w:right="10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5"/>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Top Ten Holdings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Statement of Assets and Liabilities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5"/>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Schedule of Investments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Statement of Operations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5"/>
          </w:tcPr>
          <w:p>
            <w:pPr>
              <w:ind w:left="2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Statement of Changes in Net Assets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Statement of Cash Flows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5"/>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Notes to 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Report of Independent Registered Public Accounting Firm</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5"/>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Distribution Reinvestment Plan</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Management</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5"/>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Board Approval of the Investment Advisory Agreement</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Additional Information</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-1997710</wp:posOffset>
            </wp:positionV>
            <wp:extent cx="5213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Oxford Lane Capital Corp.</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18, 2017</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Our Shareholders:</w:t>
      </w:r>
    </w:p>
    <w:p>
      <w:pPr>
        <w:spacing w:after="0" w:line="117"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We are pleased to submit to you the report of Oxford Lane Capital Corp. (“we”, “us”, “our”, the “Fund” or “Oxford Lane”) for the year ended March 31, 2017. The net asset value of our shares at that date was $10.20 per common share. The Fund’s common stock is traded on the NASDAQ Global Select Market and its share price can differ from its net asset value. The Fund’s closing price at March 31, 2017 was $11.13, up from $8.45 at March 31, 2016. The total return for Oxford Lane, for the year ended March 31, 2017, as reflected in the Fund’s financial highlights, was 66.38%. This return reflects the change in market price for the period, as well as the positive impact of $2.40 per share in distributions declared and paid. On May 17, 2017, the last reported sale price of the Fund’s common stock was $10.99.</w:t>
      </w:r>
    </w:p>
    <w:p>
      <w:pPr>
        <w:spacing w:after="0" w:line="70"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We draw your attention to our distribution policy, which has been discussed in earlier reports, as we believe that the Fund’s position deserves close attention. Oxford Lane’s distribution policy is primarily based upon its estimates of the ultimate taxable earnings for each respective period, which are based upon the estimated cash flows for each investment. The final taxable amounts cannot be known until the tax return is filed, but the Fund’s experience has been that cash flows have historically represented a reasonable estimate of taxable earnings; however, we can offer no assurance that will be the case in the future, particularly during periods of market disruption and volatility. There may be significant differences between Oxford Lane’s earnings prepared in accordance with accounting principles generally accepted in the United States of America (“GAAP”)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While reportable GAAP revenue from our CLO equity investments for the year ended March 31, 2017 was approximately $55.7 million, we received or were entitled to receive approximately $79.7 million in distributions.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Review</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Fund’s investment objective is to maximize its portfolio’s risk adjusted total return over its investment horizon. Our current</w:t>
      </w:r>
    </w:p>
    <w:p>
      <w:pPr>
        <w:spacing w:after="0" w:line="63" w:lineRule="exact"/>
        <w:rPr>
          <w:sz w:val="20"/>
          <w:szCs w:val="20"/>
          <w:color w:val="auto"/>
        </w:rPr>
      </w:pPr>
    </w:p>
    <w:p>
      <w:pPr>
        <w:ind w:left="40" w:right="559"/>
        <w:spacing w:after="0" w:line="234" w:lineRule="auto"/>
        <w:rPr>
          <w:sz w:val="20"/>
          <w:szCs w:val="20"/>
          <w:color w:val="auto"/>
        </w:rPr>
      </w:pPr>
      <w:r>
        <w:rPr>
          <w:rFonts w:ascii="Arial" w:cs="Arial" w:eastAsia="Arial" w:hAnsi="Arial"/>
          <w:sz w:val="18"/>
          <w:szCs w:val="18"/>
          <w:color w:val="auto"/>
        </w:rPr>
        <w:t>focus is to seek that return by investing in structured finance investments, specifically CLO vehicles</w:t>
      </w:r>
      <w:r>
        <w:rPr>
          <w:rFonts w:ascii="Arial" w:cs="Arial" w:eastAsia="Arial" w:hAnsi="Arial"/>
          <w:sz w:val="30"/>
          <w:szCs w:val="30"/>
          <w:color w:val="auto"/>
          <w:vertAlign w:val="superscript"/>
        </w:rPr>
        <w:t>(1)</w:t>
      </w:r>
      <w:r>
        <w:rPr>
          <w:rFonts w:ascii="Arial" w:cs="Arial" w:eastAsia="Arial" w:hAnsi="Arial"/>
          <w:sz w:val="18"/>
          <w:szCs w:val="18"/>
          <w:color w:val="auto"/>
        </w:rPr>
        <w:t>, which primarily own senior secured corporate loans. Our investment strategy also includes investing in warehouse facilities, which are financing structures intended to aggregate senior secured corporate loans that may be used to form the basis of a CLO vehicle. As of March 31, 2017, we held debt investments in 3 different CLO structures and equity investments in approximately 50 different CLO structures and one investment in a warehouse facility. We may also invest, on an opportunistic basis, in corporate debt securities on a direct basis and in a variety of other corporate credits.</w:t>
      </w:r>
    </w:p>
    <w:p>
      <w:pPr>
        <w:spacing w:after="0" w:line="96"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Structurally, CLO vehicles are entities formed to purchase and manage portfolios of primarily senior secured corporate loans. The loans within a CLO vehicle are limited to those which, on an aggregated basis, meet established credit criteria. They are subject to concentration limitations in order to limit a CLO vehicle’s exposure to individual credits and industries. The CLO vehicles on which the Fund focuses are collateralized primarily by senior secured corporate loans, and generally have minimal or no exposure to real estate loans, mortgage loans or to pools of consumer-based debt, such as credit card receivables or auto loans.</w:t>
      </w:r>
    </w:p>
    <w:p>
      <w:pPr>
        <w:spacing w:after="0" w:line="200" w:lineRule="exact"/>
        <w:rPr>
          <w:sz w:val="20"/>
          <w:szCs w:val="20"/>
          <w:color w:val="auto"/>
        </w:rPr>
      </w:pPr>
    </w:p>
    <w:p>
      <w:pPr>
        <w:spacing w:after="0" w:line="30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Outlook</w:t>
      </w:r>
    </w:p>
    <w:p>
      <w:pPr>
        <w:spacing w:after="0" w:line="121" w:lineRule="exact"/>
        <w:rPr>
          <w:sz w:val="20"/>
          <w:szCs w:val="20"/>
          <w:color w:val="auto"/>
        </w:rPr>
      </w:pPr>
    </w:p>
    <w:p>
      <w:pPr>
        <w:ind w:left="40" w:right="559" w:firstLine="270"/>
        <w:spacing w:after="0" w:line="342" w:lineRule="auto"/>
        <w:rPr>
          <w:sz w:val="20"/>
          <w:szCs w:val="20"/>
          <w:color w:val="auto"/>
        </w:rPr>
      </w:pPr>
      <w:r>
        <w:rPr>
          <w:rFonts w:ascii="Arial" w:cs="Arial" w:eastAsia="Arial" w:hAnsi="Arial"/>
          <w:sz w:val="16"/>
          <w:szCs w:val="16"/>
          <w:color w:val="auto"/>
        </w:rPr>
        <w:t>We believe that the market for CLO-related assets continues to provide us with opportunities to generate attractive risk-adjusted returns within our strategies over the long term. We believe that a number of factors support this conclusion, including:</w:t>
      </w:r>
    </w:p>
    <w:p>
      <w:pPr>
        <w:spacing w:after="0" w:line="16" w:lineRule="exact"/>
        <w:rPr>
          <w:sz w:val="20"/>
          <w:szCs w:val="20"/>
          <w:color w:val="auto"/>
        </w:rPr>
      </w:pPr>
    </w:p>
    <w:p>
      <w:pPr>
        <w:ind w:left="540" w:right="799" w:hanging="270"/>
        <w:spacing w:after="0" w:line="279" w:lineRule="auto"/>
        <w:rPr>
          <w:sz w:val="20"/>
          <w:szCs w:val="20"/>
          <w:color w:val="auto"/>
        </w:rPr>
      </w:pPr>
      <w:r>
        <w:rPr>
          <w:rFonts w:ascii="Arial" w:cs="Arial" w:eastAsia="Arial" w:hAnsi="Arial"/>
          <w:sz w:val="17"/>
          <w:szCs w:val="17"/>
          <w:color w:val="auto"/>
        </w:rPr>
        <w:t>— The long-term and relatively low-cost capital that many CLO vehicles have secured, compared with current asset spreads and associated LIBOR floors, have created opportunities to purchase certain CLO equity and junior debt instruments that may produce attractive risk-adjusted returns. Additionally, given that the CLO vehicles we invest in are cash flow-based vehicles, this term financing may be extremely beneficial in periods of market volatility.</w:t>
      </w:r>
    </w:p>
    <w:p>
      <w:pPr>
        <w:spacing w:after="0" w:line="63" w:lineRule="exact"/>
        <w:rPr>
          <w:sz w:val="20"/>
          <w:szCs w:val="20"/>
          <w:color w:val="auto"/>
        </w:rPr>
      </w:pPr>
    </w:p>
    <w:p>
      <w:pPr>
        <w:ind w:left="540" w:right="559" w:hanging="270"/>
        <w:spacing w:after="0" w:line="264" w:lineRule="auto"/>
        <w:rPr>
          <w:sz w:val="20"/>
          <w:szCs w:val="20"/>
          <w:color w:val="auto"/>
        </w:rPr>
      </w:pPr>
      <w:r>
        <w:rPr>
          <w:rFonts w:ascii="Arial" w:cs="Arial" w:eastAsia="Arial" w:hAnsi="Arial"/>
          <w:sz w:val="18"/>
          <w:szCs w:val="18"/>
          <w:color w:val="auto"/>
        </w:rPr>
        <w:t>— The market to invest in warehouse facilities, which are short and medium-term facilities that are generally expected to form the basis of CLO vehicles (which the Fund may participate in or be repaid by), has created additional attractive risk-adjusted investment opportunities for us.</w:t>
      </w:r>
    </w:p>
    <w:p>
      <w:pPr>
        <w:spacing w:after="0" w:line="73" w:lineRule="exact"/>
        <w:rPr>
          <w:sz w:val="20"/>
          <w:szCs w:val="20"/>
          <w:color w:val="auto"/>
        </w:rPr>
      </w:pPr>
    </w:p>
    <w:p>
      <w:pPr>
        <w:ind w:left="540" w:right="959" w:hanging="270"/>
        <w:spacing w:after="0" w:line="286" w:lineRule="auto"/>
        <w:rPr>
          <w:sz w:val="20"/>
          <w:szCs w:val="20"/>
          <w:color w:val="auto"/>
        </w:rPr>
      </w:pPr>
      <w:r>
        <w:rPr>
          <w:rFonts w:ascii="Arial" w:cs="Arial" w:eastAsia="Arial" w:hAnsi="Arial"/>
          <w:sz w:val="17"/>
          <w:szCs w:val="17"/>
          <w:color w:val="auto"/>
        </w:rPr>
        <w:t>— Investing in CLO securities, and CLO equity instruments and warehouse facilities in particular, requires a high level of research and analysis. We believe that transactions in this market can only be adequately conducted by knowledgeable market participants as this market and these structures tend to be highly specialized.</w:t>
      </w:r>
    </w:p>
    <w:p>
      <w:pPr>
        <w:spacing w:after="0" w:line="57" w:lineRule="exact"/>
        <w:rPr>
          <w:sz w:val="20"/>
          <w:szCs w:val="20"/>
          <w:color w:val="auto"/>
        </w:rPr>
      </w:pPr>
    </w:p>
    <w:p>
      <w:pPr>
        <w:ind w:left="540" w:right="679" w:hanging="270"/>
        <w:spacing w:after="0" w:line="259" w:lineRule="auto"/>
        <w:rPr>
          <w:sz w:val="20"/>
          <w:szCs w:val="20"/>
          <w:color w:val="auto"/>
        </w:rPr>
      </w:pPr>
      <w:r>
        <w:rPr>
          <w:rFonts w:ascii="Arial" w:cs="Arial" w:eastAsia="Arial" w:hAnsi="Arial"/>
          <w:sz w:val="18"/>
          <w:szCs w:val="18"/>
          <w:color w:val="auto"/>
        </w:rPr>
        <w:t>— The U.S. risk retention requirements imposed for CLO managers under Section 941 of the Dodd-Frank Wall Street Reform and Consumer Protection Act has created some uncertainty in the market in regards to future CLO issuances. Given that certain CLO managers may require capital provider partners to satisfy this requirement, we believe that this may create additional opportunities (and additional risks) for us in the future.</w:t>
      </w:r>
    </w:p>
    <w:p>
      <w:pPr>
        <w:spacing w:after="0" w:line="78" w:lineRule="exact"/>
        <w:rPr>
          <w:sz w:val="20"/>
          <w:szCs w:val="20"/>
          <w:color w:val="auto"/>
        </w:rPr>
      </w:pPr>
    </w:p>
    <w:p>
      <w:pPr>
        <w:ind w:left="540" w:right="679" w:hanging="270"/>
        <w:spacing w:after="0" w:line="225" w:lineRule="auto"/>
        <w:rPr>
          <w:sz w:val="20"/>
          <w:szCs w:val="20"/>
          <w:color w:val="auto"/>
        </w:rPr>
      </w:pPr>
      <w:r>
        <w:rPr>
          <w:rFonts w:ascii="Arial" w:cs="Arial" w:eastAsia="Arial" w:hAnsi="Arial"/>
          <w:sz w:val="36"/>
          <w:szCs w:val="36"/>
          <w:color w:val="auto"/>
          <w:vertAlign w:val="superscript"/>
        </w:rPr>
        <w:t>—</w:t>
      </w:r>
      <w:r>
        <w:rPr>
          <w:rFonts w:ascii="Arial" w:cs="Arial" w:eastAsia="Arial" w:hAnsi="Arial"/>
          <w:sz w:val="18"/>
          <w:szCs w:val="18"/>
          <w:color w:val="auto"/>
        </w:rPr>
        <w:t xml:space="preserve"> The U.S. CLO market is relatively large with total assets under management of approximately $450 billion.</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We estimate that the amount outstanding of the junior-most debt tranches (specifically the tranches originally rated “BB” and “B”) and equity tranches together are approximately $70 billion.</w:t>
      </w:r>
      <w:r>
        <w:rPr>
          <w:rFonts w:ascii="Arial" w:cs="Arial" w:eastAsia="Arial" w:hAnsi="Arial"/>
          <w:sz w:val="30"/>
          <w:szCs w:val="30"/>
          <w:color w:val="auto"/>
          <w:vertAlign w:val="superscript"/>
        </w:rPr>
        <w:t>(3)</w:t>
      </w:r>
    </w:p>
    <w:p>
      <w:pPr>
        <w:spacing w:after="0" w:line="2"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An investment in our Fund carries with it a significant number of meaningful risks, certain of which are discussed in the notes to our financial statements. Investors should read “Note 12. Risks and Uncertainties” carefully.</w:t>
      </w:r>
    </w:p>
    <w:p>
      <w:pPr>
        <w:spacing w:after="0" w:line="77" w:lineRule="exact"/>
        <w:rPr>
          <w:sz w:val="20"/>
          <w:szCs w:val="20"/>
          <w:color w:val="auto"/>
        </w:rPr>
      </w:pPr>
    </w:p>
    <w:p>
      <w:pPr>
        <w:jc w:val="both"/>
        <w:ind w:left="40" w:right="579" w:firstLine="270"/>
        <w:spacing w:after="0" w:line="312" w:lineRule="auto"/>
        <w:rPr>
          <w:sz w:val="20"/>
          <w:szCs w:val="20"/>
          <w:color w:val="auto"/>
        </w:rPr>
      </w:pPr>
      <w:r>
        <w:rPr>
          <w:rFonts w:ascii="Arial" w:cs="Arial" w:eastAsia="Arial" w:hAnsi="Arial"/>
          <w:sz w:val="16"/>
          <w:szCs w:val="16"/>
          <w:color w:val="auto"/>
        </w:rPr>
        <w:t>We continue to review a large number of CLO investment opportunities in the current market environment, and we expect that the majority of our portfolio holdings, over the near to intermediate-term, will continue to be comprised of on CLO debt and equity securities, with the more significant focus over the near-term likely to be on CLO equity securities and warehouse facilities.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Jonathan H. Cohen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80" w:right="539" w:hanging="272"/>
        <w:spacing w:after="0" w:line="276" w:lineRule="auto"/>
        <w:tabs>
          <w:tab w:leader="none" w:pos="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CLO vehicle is formed by raising various classes or “tranches” of debt (with the most senior tranches being rated “AAA” to the most junior tranches typically being rated “BB” or “B”) and equity. The tranches of CLO vehicles rated “BB” or “B” may be referred to as “junk.” The equity of a CLO vehicle is generally required to absorb the CLO’s losses before any of the CLO’s other tranches, yet it also has the lowest level of payment priority among the CLO’s tranches; therefore, the equity is typically the riskiest of CLO investments which, if it were rated, may also be referred to as “junk.”</w:t>
      </w:r>
    </w:p>
    <w:p>
      <w:pPr>
        <w:spacing w:after="0" w:line="64" w:lineRule="exact"/>
        <w:rPr>
          <w:rFonts w:ascii="Arial" w:cs="Arial" w:eastAsia="Arial" w:hAnsi="Arial"/>
          <w:sz w:val="17"/>
          <w:szCs w:val="17"/>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March 8, 2017 – Source LCD, an offering of S&amp;P Global Market Intelligence.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Oxford Lane has estimated this amount based in part on the LCD report (noted in footnote 1 above), dated March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TOP TEN HOLDINGS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4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Atrium XII CLO – subordinated notes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October 22, 2026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$35,874,375</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Shackelton 2017-X CLO, Ltd. – subordinated notes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April 20, 2029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19,472,024</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OFSI Fund VII, Ltd. – subordinated notes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October 18, 2026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18,169,200</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Midocean Credit CLO VI – income notes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w w:val="96"/>
              </w:rPr>
              <w:t>January 20, 2029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18,124,000</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Shackleton II CLO, Ltd. – income notes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October 20, 2023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15,960,000</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2"/>
        </w:trPr>
        <w:tc>
          <w:tcPr>
            <w:tcW w:w="4340" w:type="dxa"/>
            <w:vAlign w:val="bottom"/>
          </w:tcPr>
          <w:p>
            <w:pPr>
              <w:ind w:left="20"/>
              <w:spacing w:after="0" w:line="201" w:lineRule="exact"/>
              <w:rPr>
                <w:sz w:val="20"/>
                <w:szCs w:val="20"/>
                <w:color w:val="auto"/>
              </w:rPr>
            </w:pPr>
            <w:r>
              <w:rPr>
                <w:rFonts w:ascii="Arial" w:cs="Arial" w:eastAsia="Arial" w:hAnsi="Arial"/>
                <w:sz w:val="18"/>
                <w:szCs w:val="18"/>
                <w:color w:val="auto"/>
                <w:w w:val="97"/>
              </w:rPr>
              <w:t>THL Credit Wind River 2014-3 CLO Ltd. – subordinated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w w:val="96"/>
              </w:rPr>
              <w:t>January 22, 2027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15,565,200</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OZLM XIV, Ltd. – subordinated notes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January 15, 2029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14,016,291</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Battalion CLO VII Ltd. – subordinated notes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w w:val="96"/>
              </w:rPr>
              <w:t>October 17, 2026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12,480,000</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Venture XVII CLO, Ltd. – subordinated notes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10,620,671</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2"/>
        </w:trPr>
        <w:tc>
          <w:tcPr>
            <w:tcW w:w="4340" w:type="dxa"/>
            <w:vAlign w:val="bottom"/>
          </w:tcPr>
          <w:p>
            <w:pPr>
              <w:ind w:left="20"/>
              <w:spacing w:after="0" w:line="201" w:lineRule="exact"/>
              <w:rPr>
                <w:sz w:val="20"/>
                <w:szCs w:val="20"/>
                <w:color w:val="auto"/>
              </w:rPr>
            </w:pPr>
            <w:r>
              <w:rPr>
                <w:rFonts w:ascii="Arial" w:cs="Arial" w:eastAsia="Arial" w:hAnsi="Arial"/>
                <w:sz w:val="18"/>
                <w:szCs w:val="18"/>
                <w:color w:val="auto"/>
                <w:w w:val="97"/>
              </w:rPr>
              <w:t>THL Credit Wind River 2017-1 CLO Ltd. – subordinated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April 18, 2029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9,900,363</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Portfolio Investment Breakdown</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(Excludes cash and other assets)</w:t>
      </w:r>
    </w:p>
    <w:p>
      <w:pPr>
        <w:spacing w:after="0" w:line="20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FAIR VALUE BY 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85725</wp:posOffset>
            </wp:positionV>
            <wp:extent cx="4913630" cy="3987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13630"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STATEMENT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37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7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Investments, at fair value (cost: $370,596,525)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356,755,459</w:t>
            </w: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14,017,859</w:t>
            </w: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Distributions receivable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5,639,292</w:t>
            </w: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offering costs on common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338,110</w:t>
            </w: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Interest receivable, including accrued interest purchased</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184,512</w:t>
            </w: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106,873</w:t>
            </w: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Fee receivable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75,831</w:t>
            </w:r>
          </w:p>
        </w:tc>
      </w:tr>
      <w:tr>
        <w:trPr>
          <w:trHeight w:val="20"/>
        </w:trPr>
        <w:tc>
          <w:tcPr>
            <w:tcW w:w="7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377,117,936</w:t>
            </w:r>
          </w:p>
        </w:tc>
      </w:tr>
      <w:tr>
        <w:trPr>
          <w:trHeight w:val="210"/>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02"/>
        </w:trPr>
        <w:tc>
          <w:tcPr>
            <w:tcW w:w="70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Mandatorily redeemable preferred stock, net of discount and deferred issuance costs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(10,000,000 shares authorized, 5,636,180 shares issued and outstanding)</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133,356,883</w:t>
            </w: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Securities purchased not settled</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6,888,651</w:t>
            </w: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fee payable to affiliate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2,458,726</w:t>
            </w: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Investment advisory fee payable to affiliate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1,826,412</w:t>
            </w: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356,546</w:t>
            </w: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Accrued offering costs</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95,549</w:t>
            </w: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fees payable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64,750</w:t>
            </w: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Administrator expense payable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21,974</w:t>
            </w:r>
          </w:p>
        </w:tc>
      </w:tr>
      <w:tr>
        <w:trPr>
          <w:trHeight w:val="20"/>
        </w:trPr>
        <w:tc>
          <w:tcPr>
            <w:tcW w:w="7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145,069,491</w:t>
            </w:r>
          </w:p>
        </w:tc>
      </w:tr>
      <w:tr>
        <w:trPr>
          <w:trHeight w:val="210"/>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COMMITMENTS AND CONTINGENCIES (Note 9)</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98"/>
        </w:trPr>
        <w:tc>
          <w:tcPr>
            <w:tcW w:w="702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1"/>
              </w:rPr>
              <w:t>NET ASSETS applicable to common stock, $0.01 par value, 90,000,000 shares authorized,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75"/>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and 22,751,432 shares issued and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232,048,445</w:t>
            </w:r>
          </w:p>
        </w:tc>
      </w:tr>
      <w:tr>
        <w:trPr>
          <w:trHeight w:val="210"/>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NET ASSETS consist of:</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 in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328,351,676</w:t>
            </w: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Accumulated net realized loss on investments</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(56,790,756)</w:t>
            </w: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(13,841,066)</w:t>
            </w: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(25,671,409)</w:t>
            </w:r>
          </w:p>
        </w:tc>
      </w:tr>
      <w:tr>
        <w:trPr>
          <w:trHeight w:val="20"/>
        </w:trPr>
        <w:tc>
          <w:tcPr>
            <w:tcW w:w="7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232,048,445</w:t>
            </w:r>
          </w:p>
        </w:tc>
      </w:tr>
      <w:tr>
        <w:trPr>
          <w:trHeight w:val="20"/>
        </w:trPr>
        <w:tc>
          <w:tcPr>
            <w:tcW w:w="7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8"/>
                <w:szCs w:val="18"/>
                <w:color w:val="auto"/>
              </w:rPr>
              <w:t>Net asset value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10.20</w:t>
            </w:r>
          </w:p>
        </w:tc>
      </w:tr>
      <w:tr>
        <w:trPr>
          <w:trHeight w:val="21"/>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price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11.13</w:t>
            </w:r>
          </w:p>
        </w:tc>
      </w:tr>
      <w:tr>
        <w:trPr>
          <w:trHeight w:val="20"/>
        </w:trPr>
        <w:tc>
          <w:tcPr>
            <w:tcW w:w="7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8"/>
                <w:szCs w:val="18"/>
                <w:color w:val="auto"/>
              </w:rPr>
              <w:t>Market price premium to net asset value per share</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r>
      <w:tr>
        <w:trPr>
          <w:trHeight w:val="21"/>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-3361055</wp:posOffset>
            </wp:positionV>
            <wp:extent cx="52139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-1834515</wp:posOffset>
            </wp:positionV>
            <wp:extent cx="52139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-1414145</wp:posOffset>
            </wp:positionV>
            <wp:extent cx="52139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-548005</wp:posOffset>
            </wp:positionV>
            <wp:extent cx="521398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-205105</wp:posOffset>
            </wp:positionV>
            <wp:extent cx="521398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099"/>
          </w:cols>
          <w:pgMar w:left="360" w:top="792" w:right="1440" w:bottom="1440" w:gutter="0" w:footer="0" w:header="0"/>
        </w:sect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9"/>
              </w:rPr>
              <w:t>OXFORD LANE CAPITAL CORP.</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rPr>
              <w:t>SCHEDULE OF INVESTMENTS</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5"/>
          </w:tcPr>
          <w:p>
            <w:pPr>
              <w:jc w:val="center"/>
              <w:ind w:left="288"/>
              <w:spacing w:after="0"/>
              <w:rPr>
                <w:sz w:val="20"/>
                <w:szCs w:val="20"/>
                <w:color w:val="auto"/>
              </w:rPr>
            </w:pPr>
            <w:r>
              <w:rPr>
                <w:rFonts w:ascii="Arial" w:cs="Arial" w:eastAsia="Arial" w:hAnsi="Arial"/>
                <w:sz w:val="18"/>
                <w:szCs w:val="18"/>
                <w:b w:val="1"/>
                <w:bCs w:val="1"/>
                <w:color w:val="auto"/>
                <w:w w:val="97"/>
              </w:rPr>
              <w:t>MARCH 31, 2017</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/INVESTMENT</w:t>
            </w: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INDUSTRY</w:t>
            </w:r>
          </w:p>
        </w:tc>
        <w:tc>
          <w:tcPr>
            <w:tcW w:w="60" w:type="dxa"/>
            <w:vAlign w:val="bottom"/>
          </w:tcPr>
          <w:p>
            <w:pPr>
              <w:spacing w:after="0"/>
              <w:rPr>
                <w:sz w:val="22"/>
                <w:szCs w:val="22"/>
                <w:color w:val="auto"/>
              </w:rPr>
            </w:pPr>
          </w:p>
        </w:tc>
        <w:tc>
          <w:tcPr>
            <w:tcW w:w="104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PRINCIPAL</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gridSpan w:val="5"/>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12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33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Collateralized Loan Obligation – Debt Investments</w:t>
            </w: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top w:val="single" w:sz="8" w:color="auto"/>
            </w:tcBorders>
          </w:tcPr>
          <w:p>
            <w:pPr>
              <w:spacing w:after="0"/>
              <w:rPr>
                <w:sz w:val="11"/>
                <w:szCs w:val="11"/>
                <w:color w:val="auto"/>
              </w:rPr>
            </w:pPr>
          </w:p>
        </w:tc>
        <w:tc>
          <w:tcPr>
            <w:tcW w:w="312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Mountain Hawk II CLO, Ltd.</w:t>
            </w:r>
          </w:p>
        </w:tc>
        <w:tc>
          <w:tcPr>
            <w:tcW w:w="120" w:type="dxa"/>
            <w:vAlign w:val="bottom"/>
          </w:tcPr>
          <w:p>
            <w:pPr>
              <w:spacing w:after="0"/>
              <w:rPr>
                <w:sz w:val="11"/>
                <w:szCs w:val="11"/>
                <w:color w:val="auto"/>
              </w:rPr>
            </w:pPr>
          </w:p>
        </w:tc>
        <w:tc>
          <w:tcPr>
            <w:tcW w:w="260" w:type="dxa"/>
            <w:vAlign w:val="bottom"/>
            <w:gridSpan w:val="3"/>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secured notes – Class E</w:t>
            </w:r>
            <w:r>
              <w:rPr>
                <w:rFonts w:ascii="Arial" w:cs="Arial" w:eastAsia="Arial" w:hAnsi="Arial"/>
                <w:sz w:val="20"/>
                <w:szCs w:val="20"/>
                <w:color w:val="auto"/>
                <w:vertAlign w:val="superscript"/>
              </w:rPr>
              <w:t>(3)(4)(6)</w:t>
            </w:r>
            <w:r>
              <w:rPr>
                <w:rFonts w:ascii="Arial" w:cs="Arial" w:eastAsia="Arial" w:hAnsi="Arial"/>
                <w:sz w:val="13"/>
                <w:szCs w:val="13"/>
                <w:color w:val="auto"/>
              </w:rPr>
              <w:t>, (LIBOR +</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4.80%,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ind w:left="20"/>
              <w:spacing w:after="0" w:line="149" w:lineRule="exact"/>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due July 20, 2024)</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$6,000,000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w w:val="96"/>
              </w:rPr>
              <w:t>$4,928,825</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$4,945,800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OFSI Fund VII,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secured notes – Class F</w:t>
            </w:r>
            <w:r>
              <w:rPr>
                <w:rFonts w:ascii="Arial" w:cs="Arial" w:eastAsia="Arial" w:hAnsi="Arial"/>
                <w:sz w:val="20"/>
                <w:szCs w:val="20"/>
                <w:color w:val="auto"/>
                <w:vertAlign w:val="superscript"/>
              </w:rPr>
              <w:t>(3)(4)(6)</w:t>
            </w:r>
            <w:r>
              <w:rPr>
                <w:rFonts w:ascii="Arial" w:cs="Arial" w:eastAsia="Arial" w:hAnsi="Arial"/>
                <w:sz w:val="13"/>
                <w:szCs w:val="13"/>
                <w:color w:val="auto"/>
              </w:rPr>
              <w:t>, (LIBOR + 5.65%,</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due October 18, 2026)</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5,564,000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4,781,669</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5,018,728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Telos CLO 2013-3,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secured notes – Class F</w:t>
            </w:r>
            <w:r>
              <w:rPr>
                <w:rFonts w:ascii="Arial" w:cs="Arial" w:eastAsia="Arial" w:hAnsi="Arial"/>
                <w:sz w:val="20"/>
                <w:szCs w:val="20"/>
                <w:color w:val="auto"/>
                <w:vertAlign w:val="superscript"/>
              </w:rPr>
              <w:t>(3)(4)(6)</w:t>
            </w:r>
            <w:r>
              <w:rPr>
                <w:rFonts w:ascii="Arial" w:cs="Arial" w:eastAsia="Arial" w:hAnsi="Arial"/>
                <w:sz w:val="13"/>
                <w:szCs w:val="13"/>
                <w:color w:val="auto"/>
              </w:rPr>
              <w:t>, (LIBOR + 5.50%,</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gridSpan w:val="5"/>
          </w:tcPr>
          <w:p>
            <w:pPr>
              <w:ind w:left="180"/>
              <w:spacing w:after="0"/>
              <w:rPr>
                <w:sz w:val="20"/>
                <w:szCs w:val="20"/>
                <w:color w:val="auto"/>
              </w:rPr>
            </w:pPr>
            <w:r>
              <w:rPr>
                <w:rFonts w:ascii="Arial" w:cs="Arial" w:eastAsia="Arial" w:hAnsi="Arial"/>
                <w:sz w:val="14"/>
                <w:szCs w:val="14"/>
                <w:color w:val="auto"/>
              </w:rPr>
              <w:t>due January 17, 2024)</w:t>
            </w:r>
          </w:p>
        </w:tc>
        <w:tc>
          <w:tcPr>
            <w:tcW w:w="1080" w:type="dxa"/>
            <w:vAlign w:val="bottom"/>
          </w:tcPr>
          <w:p>
            <w:pPr>
              <w:ind w:left="20"/>
              <w:spacing w:after="0"/>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2,778,856</w:t>
            </w:r>
          </w:p>
        </w:tc>
        <w:tc>
          <w:tcPr>
            <w:tcW w:w="6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2,691,900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3"/>
              </w:rPr>
              <w:t>Total Collateralized Loan Obligation – Debt Investments</w:t>
            </w:r>
          </w:p>
        </w:tc>
        <w:tc>
          <w:tcPr>
            <w:tcW w:w="1080" w:type="dxa"/>
            <w:vAlign w:val="bottom"/>
          </w:tcPr>
          <w:p>
            <w:pPr>
              <w:spacing w:after="0"/>
              <w:rPr>
                <w:sz w:val="12"/>
                <w:szCs w:val="12"/>
                <w:color w:val="auto"/>
              </w:rPr>
            </w:pPr>
          </w:p>
        </w:tc>
        <w:tc>
          <w:tcPr>
            <w:tcW w:w="980" w:type="dxa"/>
            <w:vAlign w:val="bottom"/>
            <w:gridSpan w:val="3"/>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12,489,350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12,656,428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AMMC CLO XII, Ltd.</w:t>
            </w:r>
          </w:p>
        </w:tc>
        <w:tc>
          <w:tcPr>
            <w:tcW w:w="260" w:type="dxa"/>
            <w:vAlign w:val="bottom"/>
            <w:gridSpan w:val="3"/>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25.16%, maturity May 10, 2025)</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$8,428,571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w w:val="96"/>
              </w:rPr>
              <w:t>$4,261,720</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$3,624,286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Ares XXV CLO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18.81%, maturity January 17, 2024)</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15,500,000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9,097,532</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8,215,000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Ares XXVI CLO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21.95%, maturity April 15, 2025)</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15,115,000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6,601,735</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5,952,275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Ares XXIX CLO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14.40%, maturity April 17, 2026)</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12,750,000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8,581,719</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6,637,548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Ares XLIII CLO,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preference shares</w:t>
            </w:r>
            <w:r>
              <w:rPr>
                <w:rFonts w:ascii="Arial" w:cs="Arial" w:eastAsia="Arial" w:hAnsi="Arial"/>
                <w:sz w:val="20"/>
                <w:szCs w:val="20"/>
                <w:color w:val="auto"/>
                <w:vertAlign w:val="superscript"/>
              </w:rPr>
              <w:t>(5)(7)(9)(10)</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14.27%, maturity December 22, 2017)</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7,000,000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7,000,000</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7,000,000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Atrium XII CLO</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19.84%, maturity October 22, 2026)</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37,762,500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w w:val="96"/>
              </w:rPr>
              <w:t>30,292,942</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35,874,375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Battalion CLO VII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14.54%, maturity October 17, 2026)</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24,000,000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w w:val="96"/>
              </w:rPr>
              <w:t>17,773,704</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12,480,000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Benefit Street Partners CLO V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preference shares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24.15%, maturity October 20, 2026)</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8,000,000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5,273,815</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5,324,000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Blue Hill CLO,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36.15%, maturity January 15, 2026)</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8,000,000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2,757,769</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2,687,623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B&amp;M CLO 2014-1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19.04%, maturity April 16, 2026)</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2,000,000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1,036,097</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840,000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Carlyle Global Market Strategies CLO 2013-2,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13.99%, maturity April 18, 2025)</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9,250,000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6,458,690</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5,147,100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Carlyle Global Market Strategies CLO 2014-4,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21.42%, maturity October 15, 2026)</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12,892,000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9,149,729</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9,362,914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CENT CLO 16, L.P.</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36.64%, maturity August 01, 2024)</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10,500,000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5,663,968</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5,985,000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CIFC Funding 2014-III,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income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 22.78%,</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0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maturity July 22, 2026)</w:t>
            </w:r>
          </w:p>
        </w:tc>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10,000,000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6,133,517</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6,300,000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gridSpan w:val="5"/>
          </w:tcPr>
          <w:p>
            <w:pPr>
              <w:spacing w:after="0"/>
              <w:rPr>
                <w:sz w:val="20"/>
                <w:szCs w:val="20"/>
                <w:color w:val="auto"/>
              </w:rPr>
            </w:pPr>
            <w:r>
              <w:rPr>
                <w:rFonts w:ascii="Arial" w:cs="Arial" w:eastAsia="Arial" w:hAnsi="Arial"/>
                <w:sz w:val="14"/>
                <w:szCs w:val="14"/>
                <w:b w:val="1"/>
                <w:bCs w:val="1"/>
                <w:color w:val="auto"/>
              </w:rPr>
              <w:t>CIFC Funding 2015-I, Ltd.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5"/>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1080" w:type="dxa"/>
            <w:vAlign w:val="bottom"/>
          </w:tcPr>
          <w:p>
            <w:pPr>
              <w:ind w:left="20"/>
              <w:spacing w:after="0"/>
              <w:rPr>
                <w:sz w:val="20"/>
                <w:szCs w:val="20"/>
                <w:color w:val="auto"/>
              </w:rPr>
            </w:pPr>
            <w:r>
              <w:rPr>
                <w:rFonts w:ascii="Arial" w:cs="Arial" w:eastAsia="Arial" w:hAnsi="Arial"/>
                <w:sz w:val="14"/>
                <w:szCs w:val="14"/>
                <w:color w:val="auto"/>
              </w:rPr>
              <w:t>structured</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gridSpan w:val="5"/>
          </w:tcPr>
          <w:p>
            <w:pPr>
              <w:ind w:left="180"/>
              <w:spacing w:after="0"/>
              <w:rPr>
                <w:sz w:val="20"/>
                <w:szCs w:val="20"/>
                <w:color w:val="auto"/>
              </w:rPr>
            </w:pPr>
            <w:r>
              <w:rPr>
                <w:rFonts w:ascii="Arial" w:cs="Arial" w:eastAsia="Arial" w:hAnsi="Arial"/>
                <w:sz w:val="14"/>
                <w:szCs w:val="14"/>
                <w:color w:val="auto"/>
              </w:rPr>
              <w:t>17.67%, maturity January 22, 2027)</w:t>
            </w:r>
          </w:p>
        </w:tc>
        <w:tc>
          <w:tcPr>
            <w:tcW w:w="1080" w:type="dxa"/>
            <w:vAlign w:val="bottom"/>
          </w:tcPr>
          <w:p>
            <w:pPr>
              <w:ind w:left="20"/>
              <w:spacing w:after="0"/>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9,750,000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7,644,031</w:t>
            </w:r>
          </w:p>
        </w:tc>
        <w:tc>
          <w:tcPr>
            <w:tcW w:w="60" w:type="dxa"/>
            <w:vAlign w:val="bottom"/>
          </w:tcPr>
          <w:p>
            <w:pPr>
              <w:spacing w:after="0"/>
              <w:rPr>
                <w:sz w:val="15"/>
                <w:szCs w:val="15"/>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7,800,000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-5960745</wp:posOffset>
            </wp:positionV>
            <wp:extent cx="5213985"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946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-5462905</wp:posOffset>
            </wp:positionV>
            <wp:extent cx="521398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-4836795</wp:posOffset>
            </wp:positionV>
            <wp:extent cx="5213985" cy="4827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4827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-6235065</wp:posOffset>
            </wp:positionV>
            <wp:extent cx="4690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9" w:right="1899" w:hanging="89"/>
        <w:spacing w:after="0" w:line="259" w:lineRule="auto"/>
        <w:tabs>
          <w:tab w:leader="none" w:pos="181"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480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-282575</wp:posOffset>
            </wp:positionV>
            <wp:extent cx="4800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9"/>
        <w:spacing w:after="0"/>
        <w:rPr>
          <w:sz w:val="20"/>
          <w:szCs w:val="20"/>
          <w:color w:val="auto"/>
        </w:rPr>
      </w:pPr>
      <w:r>
        <w:rPr>
          <w:rFonts w:ascii="Arial" w:cs="Arial" w:eastAsia="Arial" w:hAnsi="Arial"/>
          <w:sz w:val="14"/>
          <w:szCs w:val="14"/>
          <w:u w:val="single" w:color="auto"/>
          <w:color w:val="auto"/>
        </w:rPr>
        <w:t>5.45</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-98425</wp:posOffset>
            </wp:positionV>
            <wp:extent cx="3086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7961" w:lineRule="exact"/>
        <w:rPr>
          <w:sz w:val="20"/>
          <w:szCs w:val="20"/>
          <w:color w:val="auto"/>
        </w:rPr>
      </w:pPr>
    </w:p>
    <w:p>
      <w:pPr>
        <w:sectPr>
          <w:pgSz w:w="11900" w:h="16838" w:orient="portrait"/>
          <w:cols w:equalWidth="0" w:num="2">
            <w:col w:w="7400" w:space="91"/>
            <w:col w:w="2608"/>
          </w:cols>
          <w:pgMar w:left="360" w:top="792" w:right="1440" w:bottom="1440" w:gutter="0" w:footer="0" w:header="0"/>
          <w:type w:val="continuous"/>
        </w:sectPr>
      </w:pPr>
    </w:p>
    <w:p>
      <w:pPr>
        <w:spacing w:after="0" w:line="34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8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right"/>
        <w:ind w:right="3919"/>
        <w:spacing w:after="0"/>
        <w:rPr>
          <w:sz w:val="20"/>
          <w:szCs w:val="20"/>
          <w:color w:val="auto"/>
        </w:rPr>
      </w:pPr>
      <w:r>
        <w:rPr>
          <w:rFonts w:ascii="Arial" w:cs="Arial" w:eastAsia="Arial" w:hAnsi="Arial"/>
          <w:sz w:val="18"/>
          <w:szCs w:val="18"/>
          <w:b w:val="1"/>
          <w:bCs w:val="1"/>
          <w:color w:val="auto"/>
        </w:rPr>
        <w:t>OXFORD LANE CAPITAL CORP.</w:t>
      </w:r>
    </w:p>
    <w:p>
      <w:pPr>
        <w:sectPr>
          <w:pgSz w:w="11900" w:h="16838" w:orient="portrait"/>
          <w:cols w:equalWidth="0" w:num="1">
            <w:col w:w="10099"/>
          </w:cols>
          <w:pgMar w:left="360" w:top="792" w:right="1440"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gridSpan w:val="10"/>
          </w:tcPr>
          <w:p>
            <w:pPr>
              <w:ind w:left="2920"/>
              <w:spacing w:after="0"/>
              <w:rPr>
                <w:sz w:val="20"/>
                <w:szCs w:val="20"/>
                <w:color w:val="auto"/>
              </w:rPr>
            </w:pPr>
            <w:r>
              <w:rPr>
                <w:rFonts w:ascii="Arial" w:cs="Arial" w:eastAsia="Arial" w:hAnsi="Arial"/>
                <w:sz w:val="18"/>
                <w:szCs w:val="18"/>
                <w:b w:val="1"/>
                <w:bCs w:val="1"/>
                <w:color w:val="auto"/>
              </w:rPr>
              <w:t>SCHEDULE OF INVESTMENTS – (continued)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 2017</w:t>
            </w: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/INVESTMENT</w:t>
            </w:r>
          </w:p>
        </w:tc>
        <w:tc>
          <w:tcPr>
            <w:tcW w:w="40" w:type="dxa"/>
            <w:vAlign w:val="bottom"/>
          </w:tcPr>
          <w:p>
            <w:pPr>
              <w:spacing w:after="0"/>
              <w:rPr>
                <w:sz w:val="22"/>
                <w:szCs w:val="2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22"/>
                <w:szCs w:val="22"/>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22"/>
                <w:szCs w:val="22"/>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bottom w:val="single" w:sz="8" w:color="auto"/>
            </w:tcBorders>
          </w:tcPr>
          <w:p>
            <w:pPr>
              <w:jc w:val="right"/>
              <w:ind w:right="51"/>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tcPr>
          <w:p>
            <w:pPr>
              <w:spacing w:after="0" w:line="129" w:lineRule="exact"/>
              <w:rPr>
                <w:sz w:val="20"/>
                <w:szCs w:val="20"/>
                <w:color w:val="auto"/>
              </w:rPr>
            </w:pPr>
            <w:r>
              <w:rPr>
                <w:rFonts w:ascii="Arial" w:cs="Arial" w:eastAsia="Arial" w:hAnsi="Arial"/>
                <w:sz w:val="14"/>
                <w:szCs w:val="14"/>
                <w:b w:val="1"/>
                <w:bCs w:val="1"/>
                <w:color w:val="auto"/>
                <w:w w:val="97"/>
              </w:rPr>
              <w:t>Collateralized Loan Obligation – Equity Investments</w:t>
            </w:r>
          </w:p>
        </w:tc>
        <w:tc>
          <w:tcPr>
            <w:tcW w:w="4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(continued)</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8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Dryden 42 Senior Loan Fund</w:t>
            </w: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17.92%, maturity July 15, 2027)</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$7,000,000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$6,105,601</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$6,020,000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Hull Street CLO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19.93%, maturity October 18, 2026)</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15,000,000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9,642,258</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7,200,000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Ivy Hill Middle Market Credit VII,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16.91%, maturity October 20, 2025)</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7,000,000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5,527,144</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4,907,978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Jamestown CLO III,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28.05%, maturity January 15, 2026)</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15,575,000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7,763,311</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8,566,250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Jamestown CLO IV,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35.82%, maturity July 15, 2026)</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8,500,000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3,098,985</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3,995,000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JFIN CLO 2015-II Ltd.</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380" w:type="dxa"/>
            <w:vAlign w:val="bottom"/>
          </w:tcPr>
          <w:p>
            <w:pPr>
              <w:ind w:left="180"/>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w:t>
            </w:r>
          </w:p>
        </w:tc>
        <w:tc>
          <w:tcPr>
            <w:tcW w:w="4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21.23%, maturity October 17, 2026)</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3,750,000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2,900,224</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3,008,733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Midocean Credit CLO VI</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income notes</w:t>
            </w:r>
            <w:r>
              <w:rPr>
                <w:rFonts w:ascii="Arial" w:cs="Arial" w:eastAsia="Arial" w:hAnsi="Arial"/>
                <w:sz w:val="20"/>
                <w:szCs w:val="20"/>
                <w:color w:val="auto"/>
                <w:vertAlign w:val="superscript"/>
              </w:rPr>
              <w:t>(5)(7)(9)</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19.21%, maturity January 20, 2029)</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19,700,000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17,547,029</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18,124,000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Mountain Hawk II CLO,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16.86%, maturity July 20, 2024)</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25,670,000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10,967,712</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8,214,400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Mountain Hawk III CLO, Ltd.</w:t>
            </w:r>
          </w:p>
        </w:tc>
        <w:tc>
          <w:tcPr>
            <w:tcW w:w="4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ind w:left="180"/>
              <w:spacing w:after="0" w:line="171" w:lineRule="exact"/>
              <w:rPr>
                <w:sz w:val="20"/>
                <w:szCs w:val="20"/>
                <w:color w:val="auto"/>
              </w:rPr>
            </w:pPr>
            <w:r>
              <w:rPr>
                <w:rFonts w:ascii="Arial" w:cs="Arial" w:eastAsia="Arial" w:hAnsi="Arial"/>
                <w:sz w:val="12"/>
                <w:szCs w:val="12"/>
                <w:color w:val="auto"/>
              </w:rPr>
              <w:t>CLO M notes</w:t>
            </w:r>
            <w:r>
              <w:rPr>
                <w:rFonts w:ascii="Arial" w:cs="Arial" w:eastAsia="Arial" w:hAnsi="Arial"/>
                <w:sz w:val="19"/>
                <w:szCs w:val="19"/>
                <w:color w:val="auto"/>
                <w:vertAlign w:val="superscript"/>
              </w:rPr>
              <w:t>(8)</w:t>
            </w:r>
            <w:r>
              <w:rPr>
                <w:rFonts w:ascii="Arial" w:cs="Arial" w:eastAsia="Arial" w:hAnsi="Arial"/>
                <w:sz w:val="12"/>
                <w:szCs w:val="12"/>
                <w:color w:val="auto"/>
              </w:rPr>
              <w:t>, (Maturity April 18, 2025)</w:t>
            </w:r>
          </w:p>
        </w:tc>
        <w:tc>
          <w:tcPr>
            <w:tcW w:w="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2,389,676</w:t>
            </w:r>
          </w:p>
        </w:tc>
        <w:tc>
          <w:tcPr>
            <w:tcW w:w="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143,248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Neuberger Berman CLO XII, Ltd.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finance</w:t>
            </w: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(5)(7)(11)</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10.14%, maturity July 25, 2023)</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22,200,000</w:t>
            </w:r>
          </w:p>
        </w:tc>
        <w:tc>
          <w:tcPr>
            <w:tcW w:w="4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Neuberger Berman CLO XIII,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12.21%, maturity January 23, 2024)</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6,255,000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2,415,286</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2,001,600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North End CLO,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41.93%, maturity July 17, 2025)</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8,500,000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2,027,693</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2,022,249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OFSI Fund VII,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14.06%, maturity October 18, 2026)</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28,840,000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21,558,905</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18,169,200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OZLM XIV,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19.53%, maturity January 15, 2029)</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17,000,000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13,125,812</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14,016,291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OZLM IX,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19.50%, maturity January 20, 2027)</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7,500,000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6,003,577</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5,775,000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Parallel 2015-1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14.31%, maturity July 20, 2027)</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10,250,000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7,247,957</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6,457,500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Race Point IX CLO,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preferred shares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18.13%, maturity April 15, 2027)</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3,785,000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2,176,068</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2,172,789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Regatta III Funding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80"/>
              <w:spacing w:after="0" w:line="145" w:lineRule="exact"/>
              <w:rPr>
                <w:sz w:val="20"/>
                <w:szCs w:val="20"/>
                <w:color w:val="auto"/>
              </w:rPr>
            </w:pPr>
            <w:r>
              <w:rPr>
                <w:rFonts w:ascii="Arial" w:cs="Arial" w:eastAsia="Arial" w:hAnsi="Arial"/>
                <w:sz w:val="14"/>
                <w:szCs w:val="14"/>
                <w:color w:val="auto"/>
              </w:rPr>
              <w:t>30.83%, maturity April 15, 2026)</w:t>
            </w:r>
          </w:p>
        </w:tc>
        <w:tc>
          <w:tcPr>
            <w:tcW w:w="40" w:type="dxa"/>
            <w:vAlign w:val="bottom"/>
          </w:tcPr>
          <w:p>
            <w:pPr>
              <w:spacing w:after="0"/>
              <w:rPr>
                <w:sz w:val="12"/>
                <w:szCs w:val="12"/>
                <w:color w:val="auto"/>
              </w:rPr>
            </w:pPr>
          </w:p>
        </w:tc>
        <w:tc>
          <w:tcPr>
            <w:tcW w:w="11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3,750,000</w:t>
            </w:r>
          </w:p>
        </w:tc>
        <w:tc>
          <w:tcPr>
            <w:tcW w:w="9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1,436,892</w:t>
            </w:r>
          </w:p>
        </w:tc>
        <w:tc>
          <w:tcPr>
            <w:tcW w:w="9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1,624,380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b w:val="1"/>
                <w:bCs w:val="1"/>
                <w:color w:val="auto"/>
              </w:rPr>
              <w:t>Shackleton II CLO, Ltd.</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ind w:left="180"/>
              <w:spacing w:after="0" w:line="179" w:lineRule="exact"/>
              <w:rPr>
                <w:sz w:val="20"/>
                <w:szCs w:val="20"/>
                <w:color w:val="auto"/>
              </w:rPr>
            </w:pPr>
            <w:r>
              <w:rPr>
                <w:rFonts w:ascii="Arial" w:cs="Arial" w:eastAsia="Arial" w:hAnsi="Arial"/>
                <w:sz w:val="13"/>
                <w:szCs w:val="13"/>
                <w:color w:val="auto"/>
              </w:rPr>
              <w:t>CLO income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tcPr>
          <w:p>
            <w:pPr>
              <w:ind w:left="180"/>
              <w:spacing w:after="0"/>
              <w:rPr>
                <w:sz w:val="20"/>
                <w:szCs w:val="20"/>
                <w:color w:val="auto"/>
              </w:rPr>
            </w:pPr>
            <w:r>
              <w:rPr>
                <w:rFonts w:ascii="Arial" w:cs="Arial" w:eastAsia="Arial" w:hAnsi="Arial"/>
                <w:sz w:val="14"/>
                <w:szCs w:val="14"/>
                <w:color w:val="auto"/>
              </w:rPr>
              <w:t>38.35%, maturity October 20, 2023)</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finance</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28,000,000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18,433,349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15,960,000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-6037580</wp:posOffset>
            </wp:positionV>
            <wp:extent cx="5282565"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82565" cy="946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-5634355</wp:posOffset>
            </wp:positionV>
            <wp:extent cx="5154295"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5429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-5017135</wp:posOffset>
            </wp:positionV>
            <wp:extent cx="5154295"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5429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-4399915</wp:posOffset>
            </wp:positionV>
            <wp:extent cx="5154295" cy="403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54295" cy="4032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-3688080</wp:posOffset>
            </wp:positionV>
            <wp:extent cx="5154295"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5429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-3096260</wp:posOffset>
            </wp:positionV>
            <wp:extent cx="5154295"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5429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-2478405</wp:posOffset>
            </wp:positionV>
            <wp:extent cx="5154295"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5429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-1861185</wp:posOffset>
            </wp:positionV>
            <wp:extent cx="5154295"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5429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-1243965</wp:posOffset>
            </wp:positionV>
            <wp:extent cx="5154295"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5429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-626110</wp:posOffset>
            </wp:positionV>
            <wp:extent cx="5154295"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5429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-6311900</wp:posOffset>
            </wp:positionV>
            <wp:extent cx="4648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3" w:right="1999" w:hanging="83"/>
        <w:spacing w:after="0" w:line="259" w:lineRule="auto"/>
        <w:tabs>
          <w:tab w:leader="none" w:pos="175"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480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-282575</wp:posOffset>
            </wp:positionV>
            <wp:extent cx="480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9980" w:lineRule="exact"/>
        <w:rPr>
          <w:sz w:val="20"/>
          <w:szCs w:val="20"/>
          <w:color w:val="auto"/>
        </w:rPr>
      </w:pPr>
    </w:p>
    <w:p>
      <w:pPr>
        <w:sectPr>
          <w:pgSz w:w="11900" w:h="16838" w:orient="portrait"/>
          <w:cols w:equalWidth="0" w:num="2">
            <w:col w:w="7320" w:space="77"/>
            <w:col w:w="2702"/>
          </w:cols>
          <w:pgMar w:left="360" w:top="792" w:right="1440" w:bottom="1440" w:gutter="0" w:footer="0" w:header="0"/>
          <w:type w:val="continuous"/>
        </w:sectPr>
      </w:pPr>
    </w:p>
    <w:p>
      <w:pPr>
        <w:spacing w:after="0" w:line="34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8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05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/INVESTMENT</w:t>
            </w:r>
          </w:p>
        </w:tc>
        <w:tc>
          <w:tcPr>
            <w:tcW w:w="40" w:type="dxa"/>
            <w:vAlign w:val="bottom"/>
          </w:tcPr>
          <w:p>
            <w:pPr>
              <w:spacing w:after="0"/>
              <w:rPr>
                <w:sz w:val="16"/>
                <w:szCs w:val="16"/>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PRINCIPAL</w:t>
            </w: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3400" w:type="dxa"/>
            <w:vAlign w:val="bottom"/>
            <w:tcBorders>
              <w:bottom w:val="single" w:sz="8" w:color="auto"/>
            </w:tcBorders>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8"/>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(2)</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80" w:type="dxa"/>
            <w:vAlign w:val="bottom"/>
            <w:tcBorders>
              <w:left w:val="single" w:sz="8" w:color="CCEEFF"/>
            </w:tcBorders>
            <w:gridSpan w:val="6"/>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Collateralized Loan Obligation – Equity Investments (continued)</w:t>
            </w:r>
          </w:p>
        </w:tc>
        <w:tc>
          <w:tcPr>
            <w:tcW w:w="4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4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Shackleton 2015-VII CLO, Ltd.</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400" w:type="dxa"/>
            <w:vAlign w:val="bottom"/>
            <w:gridSpan w:val="3"/>
          </w:tcPr>
          <w:p>
            <w:pPr>
              <w:ind w:left="20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200"/>
              <w:spacing w:after="0"/>
              <w:rPr>
                <w:sz w:val="20"/>
                <w:szCs w:val="20"/>
                <w:color w:val="auto"/>
              </w:rPr>
            </w:pPr>
            <w:r>
              <w:rPr>
                <w:rFonts w:ascii="Arial" w:cs="Arial" w:eastAsia="Arial" w:hAnsi="Arial"/>
                <w:sz w:val="14"/>
                <w:szCs w:val="14"/>
                <w:color w:val="auto"/>
              </w:rPr>
              <w:t>19.23%, maturity April 15, 2027)</w:t>
            </w:r>
          </w:p>
        </w:tc>
        <w:tc>
          <w:tcPr>
            <w:tcW w:w="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$10,500,000</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$8,341,430</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$8,005,605</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tcBorders>
              <w:left w:val="single" w:sz="8" w:color="CCEEFF"/>
            </w:tcBorders>
            <w:gridSpan w:val="3"/>
            <w:shd w:val="clear" w:color="auto" w:fill="CCEEFF"/>
          </w:tcPr>
          <w:p>
            <w:pPr>
              <w:ind w:left="20"/>
              <w:spacing w:after="0" w:line="140" w:lineRule="exact"/>
              <w:rPr>
                <w:sz w:val="20"/>
                <w:szCs w:val="20"/>
                <w:color w:val="auto"/>
              </w:rPr>
            </w:pPr>
            <w:r>
              <w:rPr>
                <w:rFonts w:ascii="Arial" w:cs="Arial" w:eastAsia="Arial" w:hAnsi="Arial"/>
                <w:sz w:val="14"/>
                <w:szCs w:val="14"/>
                <w:b w:val="1"/>
                <w:bCs w:val="1"/>
                <w:color w:val="auto"/>
              </w:rPr>
              <w:t>Shackelton 2017-X CLO, Ltd.</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tcBorders>
              <w:left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(5)(7)(9)</w:t>
            </w:r>
            <w:r>
              <w:rPr>
                <w:rFonts w:ascii="Arial" w:cs="Arial" w:eastAsia="Arial" w:hAnsi="Arial"/>
                <w:sz w:val="13"/>
                <w:szCs w:val="13"/>
                <w:color w:val="auto"/>
              </w:rPr>
              <w:t>, (Estimated yield</w:t>
            </w:r>
          </w:p>
        </w:tc>
        <w:tc>
          <w:tcPr>
            <w:tcW w:w="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16.64%, maturity April 20, 2029)</w:t>
            </w:r>
          </w:p>
        </w:tc>
        <w:tc>
          <w:tcPr>
            <w:tcW w:w="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22,000,000</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19,791,674</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19,472,024</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Sheridan Square CLO, Ltd.</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gridSpan w:val="3"/>
          </w:tcPr>
          <w:p>
            <w:pPr>
              <w:ind w:left="20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200"/>
              <w:spacing w:after="0"/>
              <w:rPr>
                <w:sz w:val="20"/>
                <w:szCs w:val="20"/>
                <w:color w:val="auto"/>
              </w:rPr>
            </w:pPr>
            <w:r>
              <w:rPr>
                <w:rFonts w:ascii="Arial" w:cs="Arial" w:eastAsia="Arial" w:hAnsi="Arial"/>
                <w:sz w:val="14"/>
                <w:szCs w:val="14"/>
                <w:color w:val="auto"/>
              </w:rPr>
              <w:t>45.01%, maturity April 15, 2025)</w:t>
            </w:r>
          </w:p>
        </w:tc>
        <w:tc>
          <w:tcPr>
            <w:tcW w:w="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3,300,000</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1,410,064</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1,382,700</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tcBorders>
              <w:left w:val="single" w:sz="8" w:color="CCEEFF"/>
            </w:tcBorders>
            <w:gridSpan w:val="3"/>
            <w:shd w:val="clear" w:color="auto" w:fill="CCEEFF"/>
          </w:tcPr>
          <w:p>
            <w:pPr>
              <w:ind w:left="20"/>
              <w:spacing w:after="0" w:line="140" w:lineRule="exact"/>
              <w:rPr>
                <w:sz w:val="20"/>
                <w:szCs w:val="20"/>
                <w:color w:val="auto"/>
              </w:rPr>
            </w:pPr>
            <w:r>
              <w:rPr>
                <w:rFonts w:ascii="Arial" w:cs="Arial" w:eastAsia="Arial" w:hAnsi="Arial"/>
                <w:sz w:val="14"/>
                <w:szCs w:val="14"/>
                <w:b w:val="1"/>
                <w:bCs w:val="1"/>
                <w:color w:val="auto"/>
              </w:rPr>
              <w:t>Sound Point CLO VIII, Ltd.</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tcBorders>
              <w:left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3"/>
                <w:szCs w:val="13"/>
                <w:color w:val="auto"/>
              </w:rPr>
              <w:t>CLO subordinated fee notes</w:t>
            </w:r>
            <w:r>
              <w:rPr>
                <w:rFonts w:ascii="Arial" w:cs="Arial" w:eastAsia="Arial" w:hAnsi="Arial"/>
                <w:sz w:val="20"/>
                <w:szCs w:val="20"/>
                <w:color w:val="auto"/>
                <w:vertAlign w:val="superscript"/>
              </w:rPr>
              <w:t>(8)</w:t>
            </w: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(Maturity April 15, 2027)</w:t>
            </w:r>
          </w:p>
        </w:tc>
        <w:tc>
          <w:tcPr>
            <w:tcW w:w="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224,719</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202,247</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94,810</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Telos CLO 2013-3, Ltd.</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gridSpan w:val="3"/>
          </w:tcPr>
          <w:p>
            <w:pPr>
              <w:ind w:left="20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200"/>
              <w:spacing w:after="0"/>
              <w:rPr>
                <w:sz w:val="20"/>
                <w:szCs w:val="20"/>
                <w:color w:val="auto"/>
              </w:rPr>
            </w:pPr>
            <w:r>
              <w:rPr>
                <w:rFonts w:ascii="Arial" w:cs="Arial" w:eastAsia="Arial" w:hAnsi="Arial"/>
                <w:sz w:val="14"/>
                <w:szCs w:val="14"/>
                <w:color w:val="auto"/>
              </w:rPr>
              <w:t>24.70%, maturity January 17, 2024)</w:t>
            </w:r>
          </w:p>
        </w:tc>
        <w:tc>
          <w:tcPr>
            <w:tcW w:w="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10,333,334</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6,475,938</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5,580,000</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tcBorders>
              <w:left w:val="single" w:sz="8" w:color="CCEEFF"/>
            </w:tcBorders>
            <w:gridSpan w:val="3"/>
            <w:shd w:val="clear" w:color="auto" w:fill="CCEEFF"/>
          </w:tcPr>
          <w:p>
            <w:pPr>
              <w:ind w:left="20"/>
              <w:spacing w:after="0" w:line="140" w:lineRule="exact"/>
              <w:rPr>
                <w:sz w:val="20"/>
                <w:szCs w:val="20"/>
                <w:color w:val="auto"/>
              </w:rPr>
            </w:pPr>
            <w:r>
              <w:rPr>
                <w:rFonts w:ascii="Arial" w:cs="Arial" w:eastAsia="Arial" w:hAnsi="Arial"/>
                <w:sz w:val="14"/>
                <w:szCs w:val="14"/>
                <w:b w:val="1"/>
                <w:bCs w:val="1"/>
                <w:color w:val="auto"/>
              </w:rPr>
              <w:t>Telos CLO 2013-4, Ltd.</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tcBorders>
              <w:left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33.24%, maturity July 17, 2024)</w:t>
            </w:r>
          </w:p>
        </w:tc>
        <w:tc>
          <w:tcPr>
            <w:tcW w:w="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11,350,000</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6,680,901</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6,565,669</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THL Credit Wind River 2014-3 CLO Ltd.</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gridSpan w:val="3"/>
          </w:tcPr>
          <w:p>
            <w:pPr>
              <w:ind w:left="20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200"/>
              <w:spacing w:after="0"/>
              <w:rPr>
                <w:sz w:val="20"/>
                <w:szCs w:val="20"/>
                <w:color w:val="auto"/>
              </w:rPr>
            </w:pPr>
            <w:r>
              <w:rPr>
                <w:rFonts w:ascii="Arial" w:cs="Arial" w:eastAsia="Arial" w:hAnsi="Arial"/>
                <w:sz w:val="14"/>
                <w:szCs w:val="14"/>
                <w:color w:val="auto"/>
              </w:rPr>
              <w:t>18.59%, maturity January 22, 2027)</w:t>
            </w:r>
          </w:p>
        </w:tc>
        <w:tc>
          <w:tcPr>
            <w:tcW w:w="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18,530,000</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14,635,542</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15,565,200</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tcBorders>
              <w:left w:val="single" w:sz="8" w:color="CCEEFF"/>
            </w:tcBorders>
            <w:gridSpan w:val="3"/>
            <w:shd w:val="clear" w:color="auto" w:fill="CCEEFF"/>
          </w:tcPr>
          <w:p>
            <w:pPr>
              <w:ind w:left="20"/>
              <w:spacing w:after="0" w:line="140" w:lineRule="exact"/>
              <w:rPr>
                <w:sz w:val="20"/>
                <w:szCs w:val="20"/>
                <w:color w:val="auto"/>
              </w:rPr>
            </w:pPr>
            <w:r>
              <w:rPr>
                <w:rFonts w:ascii="Arial" w:cs="Arial" w:eastAsia="Arial" w:hAnsi="Arial"/>
                <w:sz w:val="14"/>
                <w:szCs w:val="14"/>
                <w:b w:val="1"/>
                <w:bCs w:val="1"/>
                <w:color w:val="auto"/>
              </w:rPr>
              <w:t>THL Credit Wind River 2017-1 CLO Ltd.</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tcBorders>
              <w:left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(5)(7)(9)</w:t>
            </w:r>
            <w:r>
              <w:rPr>
                <w:rFonts w:ascii="Arial" w:cs="Arial" w:eastAsia="Arial" w:hAnsi="Arial"/>
                <w:sz w:val="13"/>
                <w:szCs w:val="13"/>
                <w:color w:val="auto"/>
              </w:rPr>
              <w:t>, (Estimated yield</w:t>
            </w:r>
          </w:p>
        </w:tc>
        <w:tc>
          <w:tcPr>
            <w:tcW w:w="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16.97%, maturity April 18, 2029)</w:t>
            </w:r>
          </w:p>
        </w:tc>
        <w:tc>
          <w:tcPr>
            <w:tcW w:w="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12,000,000</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10,741,259</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9,900,363</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Venture XVII CLO, Ltd.</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gridSpan w:val="3"/>
          </w:tcPr>
          <w:p>
            <w:pPr>
              <w:ind w:left="20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200"/>
              <w:spacing w:after="0"/>
              <w:rPr>
                <w:sz w:val="20"/>
                <w:szCs w:val="20"/>
                <w:color w:val="auto"/>
              </w:rPr>
            </w:pPr>
            <w:r>
              <w:rPr>
                <w:rFonts w:ascii="Arial" w:cs="Arial" w:eastAsia="Arial" w:hAnsi="Arial"/>
                <w:sz w:val="14"/>
                <w:szCs w:val="14"/>
                <w:color w:val="auto"/>
              </w:rPr>
              <w:t>22.43%, maturity July 15, 2026)</w:t>
            </w:r>
          </w:p>
        </w:tc>
        <w:tc>
          <w:tcPr>
            <w:tcW w:w="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17,000,000</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11,372,945</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10,620,671</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tcBorders>
              <w:left w:val="single" w:sz="8" w:color="CCEEFF"/>
            </w:tcBorders>
            <w:gridSpan w:val="3"/>
            <w:shd w:val="clear" w:color="auto" w:fill="CCEEFF"/>
          </w:tcPr>
          <w:p>
            <w:pPr>
              <w:ind w:left="20"/>
              <w:spacing w:after="0" w:line="140" w:lineRule="exact"/>
              <w:rPr>
                <w:sz w:val="20"/>
                <w:szCs w:val="20"/>
                <w:color w:val="auto"/>
              </w:rPr>
            </w:pPr>
            <w:r>
              <w:rPr>
                <w:rFonts w:ascii="Arial" w:cs="Arial" w:eastAsia="Arial" w:hAnsi="Arial"/>
                <w:sz w:val="14"/>
                <w:szCs w:val="14"/>
                <w:b w:val="1"/>
                <w:bCs w:val="1"/>
                <w:color w:val="auto"/>
              </w:rPr>
              <w:t>Venture XVIII CLO, Ltd.</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tcBorders>
              <w:left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3"/>
                <w:szCs w:val="13"/>
                <w:color w:val="auto"/>
              </w:rPr>
              <w:t>CLO subordinated fee notes</w:t>
            </w:r>
            <w:r>
              <w:rPr>
                <w:rFonts w:ascii="Arial" w:cs="Arial" w:eastAsia="Arial" w:hAnsi="Arial"/>
                <w:sz w:val="20"/>
                <w:szCs w:val="20"/>
                <w:color w:val="auto"/>
                <w:vertAlign w:val="superscript"/>
              </w:rPr>
              <w:t>(8)</w:t>
            </w:r>
            <w:r>
              <w:rPr>
                <w:rFonts w:ascii="Arial" w:cs="Arial" w:eastAsia="Arial" w:hAnsi="Arial"/>
                <w:sz w:val="13"/>
                <w:szCs w:val="13"/>
                <w:color w:val="auto"/>
              </w:rPr>
              <w:t>, (Maturity October 15,</w:t>
            </w:r>
          </w:p>
        </w:tc>
        <w:tc>
          <w:tcPr>
            <w:tcW w:w="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0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2026)</w:t>
            </w:r>
          </w:p>
        </w:tc>
        <w:tc>
          <w:tcPr>
            <w:tcW w:w="7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357,055</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117,911</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Venture XXV CLO, Ltd.</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gridSpan w:val="3"/>
          </w:tcPr>
          <w:p>
            <w:pPr>
              <w:ind w:left="20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(5)(7)(9)</w:t>
            </w:r>
            <w:r>
              <w:rPr>
                <w:rFonts w:ascii="Arial" w:cs="Arial" w:eastAsia="Arial" w:hAnsi="Arial"/>
                <w:sz w:val="13"/>
                <w:szCs w:val="13"/>
                <w:color w:val="auto"/>
              </w:rPr>
              <w:t>, (Estimated yield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200"/>
              <w:spacing w:after="0"/>
              <w:rPr>
                <w:sz w:val="20"/>
                <w:szCs w:val="20"/>
                <w:color w:val="auto"/>
              </w:rPr>
            </w:pPr>
            <w:r>
              <w:rPr>
                <w:rFonts w:ascii="Arial" w:cs="Arial" w:eastAsia="Arial" w:hAnsi="Arial"/>
                <w:sz w:val="14"/>
                <w:szCs w:val="14"/>
                <w:color w:val="auto"/>
              </w:rPr>
              <w:t>16.64%, maturity April 20, 2029)</w:t>
            </w:r>
          </w:p>
        </w:tc>
        <w:tc>
          <w:tcPr>
            <w:tcW w:w="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4,000,000</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3,859,507</w:t>
            </w: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4,200,000</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0" w:type="dxa"/>
            <w:vAlign w:val="bottom"/>
            <w:tcBorders>
              <w:left w:val="single" w:sz="8" w:color="CCEEFF"/>
            </w:tcBorders>
            <w:gridSpan w:val="3"/>
            <w:shd w:val="clear" w:color="auto" w:fill="CCEEFF"/>
          </w:tcPr>
          <w:p>
            <w:pPr>
              <w:ind w:left="20"/>
              <w:spacing w:after="0" w:line="140" w:lineRule="exact"/>
              <w:rPr>
                <w:sz w:val="20"/>
                <w:szCs w:val="20"/>
                <w:color w:val="auto"/>
              </w:rPr>
            </w:pPr>
            <w:r>
              <w:rPr>
                <w:rFonts w:ascii="Arial" w:cs="Arial" w:eastAsia="Arial" w:hAnsi="Arial"/>
                <w:sz w:val="14"/>
                <w:szCs w:val="14"/>
                <w:b w:val="1"/>
                <w:bCs w:val="1"/>
                <w:color w:val="auto"/>
              </w:rPr>
              <w:t>Wellfleet 2016-2 CLO, Ltd.</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tcBorders>
              <w:left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0"/>
                <w:szCs w:val="20"/>
                <w:color w:val="auto"/>
                <w:vertAlign w:val="superscript"/>
              </w:rPr>
              <w:t>(5)(7)(9)</w:t>
            </w:r>
            <w:r>
              <w:rPr>
                <w:rFonts w:ascii="Arial" w:cs="Arial" w:eastAsia="Arial" w:hAnsi="Arial"/>
                <w:sz w:val="13"/>
                <w:szCs w:val="13"/>
                <w:color w:val="auto"/>
              </w:rPr>
              <w:t>, (Estimated yield</w:t>
            </w:r>
          </w:p>
        </w:tc>
        <w:tc>
          <w:tcPr>
            <w:tcW w:w="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14.83%, maturity October 20, 2028)</w:t>
            </w:r>
          </w:p>
        </w:tc>
        <w:tc>
          <w:tcPr>
            <w:tcW w:w="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finance</w:t>
            </w:r>
          </w:p>
        </w:tc>
        <w:tc>
          <w:tcPr>
            <w:tcW w:w="9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8,890,897</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8,600,000</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40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CLO equity related investments</w:t>
            </w:r>
          </w:p>
        </w:tc>
        <w:tc>
          <w:tcPr>
            <w:tcW w:w="40" w:type="dxa"/>
            <w:vAlign w:val="bottom"/>
          </w:tcPr>
          <w:p>
            <w:pPr>
              <w:spacing w:after="0"/>
              <w:rPr>
                <w:sz w:val="23"/>
                <w:szCs w:val="23"/>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structured</w:t>
            </w: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400" w:type="dxa"/>
            <w:vAlign w:val="bottom"/>
            <w:gridSpan w:val="3"/>
          </w:tcPr>
          <w:p>
            <w:pPr>
              <w:ind w:left="200"/>
              <w:spacing w:after="0" w:line="176" w:lineRule="exact"/>
              <w:rPr>
                <w:sz w:val="20"/>
                <w:szCs w:val="20"/>
                <w:color w:val="auto"/>
              </w:rPr>
            </w:pPr>
            <w:r>
              <w:rPr>
                <w:rFonts w:ascii="Arial" w:cs="Arial" w:eastAsia="Arial" w:hAnsi="Arial"/>
                <w:sz w:val="13"/>
                <w:szCs w:val="13"/>
                <w:color w:val="auto"/>
              </w:rPr>
              <w:t>CLO other</w:t>
            </w:r>
            <w:r>
              <w:rPr>
                <w:rFonts w:ascii="Arial" w:cs="Arial" w:eastAsia="Arial" w:hAnsi="Arial"/>
                <w:sz w:val="20"/>
                <w:szCs w:val="20"/>
                <w:color w:val="auto"/>
                <w:vertAlign w:val="superscript"/>
              </w:rPr>
              <w:t>(8)</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finance</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2,385,339</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400" w:type="dxa"/>
            <w:vAlign w:val="bottom"/>
            <w:tcBorders>
              <w:left w:val="single" w:sz="8" w:color="CCEEFF"/>
            </w:tcBorders>
            <w:gridSpan w:val="3"/>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Collateralized Loan Obligation – Equity</w:t>
            </w: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right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b w:val="1"/>
                <w:bCs w:val="1"/>
                <w:color w:val="auto"/>
              </w:rPr>
              <w:t>Investments</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358,107,175</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344,099,031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148.29%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Investments</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370,596,52</w:t>
            </w:r>
            <w:r>
              <w:rPr>
                <w:rFonts w:ascii="Arial" w:cs="Arial" w:eastAsia="Arial" w:hAnsi="Arial"/>
                <w:sz w:val="14"/>
                <w:szCs w:val="14"/>
                <w:color w:val="auto"/>
                <w:w w:val="91"/>
              </w:rPr>
              <w:t>5</w:t>
            </w:r>
          </w:p>
        </w:tc>
        <w:tc>
          <w:tcPr>
            <w:tcW w:w="8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356,755,45</w:t>
            </w:r>
            <w:r>
              <w:rPr>
                <w:rFonts w:ascii="Arial" w:cs="Arial" w:eastAsia="Arial" w:hAnsi="Arial"/>
                <w:sz w:val="14"/>
                <w:szCs w:val="14"/>
                <w:color w:val="auto"/>
                <w:w w:val="91"/>
              </w:rPr>
              <w:t>9</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153.74</w:t>
            </w: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400" w:type="dxa"/>
            <w:vAlign w:val="bottom"/>
            <w:tcBorders>
              <w:left w:val="single" w:sz="8" w:color="CCEEFF"/>
            </w:tcBorders>
            <w:gridSpan w:val="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Cash and Cash Equivalents</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gridSpan w:val="3"/>
          </w:tcPr>
          <w:p>
            <w:pPr>
              <w:ind w:left="20"/>
              <w:spacing w:after="0" w:line="183" w:lineRule="exact"/>
              <w:rPr>
                <w:sz w:val="20"/>
                <w:szCs w:val="20"/>
                <w:color w:val="auto"/>
              </w:rPr>
            </w:pPr>
            <w:r>
              <w:rPr>
                <w:rFonts w:ascii="Arial" w:cs="Arial" w:eastAsia="Arial" w:hAnsi="Arial"/>
                <w:sz w:val="13"/>
                <w:szCs w:val="13"/>
                <w:color w:val="auto"/>
              </w:rPr>
              <w:t>First American Government Obligations Fund</w:t>
            </w:r>
            <w:r>
              <w:rPr>
                <w:rFonts w:ascii="Arial" w:cs="Arial" w:eastAsia="Arial" w:hAnsi="Arial"/>
                <w:sz w:val="21"/>
                <w:szCs w:val="21"/>
                <w:color w:val="auto"/>
                <w:vertAlign w:val="superscript"/>
              </w:rPr>
              <w:t>(12)</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14,017,859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14,017,859</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14,017,859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14,017,859</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 Investments, Cash and Cash Equivalents</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384,614,384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370,773,318</w:t>
            </w: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159.8%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00" w:type="dxa"/>
            <w:vAlign w:val="bottom"/>
            <w:tcBorders>
              <w:bottom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-857250</wp:posOffset>
            </wp:positionV>
            <wp:extent cx="5205730" cy="231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05730"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057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05730" cy="137160"/>
                    </a:xfrm>
                    <a:prstGeom prst="rect">
                      <a:avLst/>
                    </a:prstGeom>
                    <a:noFill/>
                  </pic:spPr>
                </pic:pic>
              </a:graphicData>
            </a:graphic>
          </wp:anchor>
        </w:drawing>
      </w:r>
    </w:p>
    <w:p>
      <w:pPr>
        <w:spacing w:after="0" w:line="236" w:lineRule="exact"/>
        <w:rPr>
          <w:sz w:val="20"/>
          <w:szCs w:val="20"/>
          <w:color w:val="auto"/>
        </w:rPr>
      </w:pPr>
    </w:p>
    <w:p>
      <w:pPr>
        <w:ind w:left="300" w:right="759" w:hanging="272"/>
        <w:spacing w:after="0" w:line="259"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78" w:lineRule="exact"/>
        <w:rPr>
          <w:rFonts w:ascii="Arial" w:cs="Arial" w:eastAsia="Arial" w:hAnsi="Arial"/>
          <w:sz w:val="18"/>
          <w:szCs w:val="18"/>
          <w:color w:val="auto"/>
        </w:rPr>
      </w:pPr>
    </w:p>
    <w:p>
      <w:pPr>
        <w:ind w:left="300" w:hanging="27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Fair value is determined in good faith by the Board of Directors of the Fund.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Notes bear interest at variable rates.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value reflects accretion of original issue discount or market discount.</w:t>
      </w:r>
    </w:p>
    <w:p>
      <w:pPr>
        <w:spacing w:after="0" w:line="117" w:lineRule="exact"/>
        <w:rPr>
          <w:rFonts w:ascii="Arial" w:cs="Arial" w:eastAsia="Arial" w:hAnsi="Arial"/>
          <w:sz w:val="18"/>
          <w:szCs w:val="18"/>
          <w:color w:val="auto"/>
        </w:rPr>
      </w:pPr>
    </w:p>
    <w:p>
      <w:pPr>
        <w:ind w:left="300" w:right="779" w:hanging="272"/>
        <w:spacing w:after="0" w:line="277"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value reflects accretion of effective yield less any cash distributions received or entitled to be received from CLO equity investments.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(Continued on next page)</w:t>
      </w:r>
    </w:p>
    <w:p>
      <w:pPr>
        <w:spacing w:after="0" w:line="200" w:lineRule="exact"/>
        <w:rPr>
          <w:sz w:val="20"/>
          <w:szCs w:val="20"/>
          <w:color w:val="auto"/>
        </w:rPr>
      </w:pPr>
    </w:p>
    <w:p>
      <w:pPr>
        <w:spacing w:after="0" w:line="34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126"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03" w:lineRule="exact"/>
        <w:rPr>
          <w:sz w:val="20"/>
          <w:szCs w:val="20"/>
          <w:color w:val="auto"/>
        </w:rPr>
      </w:pPr>
    </w:p>
    <w:p>
      <w:pPr>
        <w:ind w:left="280" w:right="599" w:hanging="272"/>
        <w:spacing w:after="0" w:line="277"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principal balance outstanding for this debt investment, in whole or in part, is indexed to a three-month LIBOR which resets quarterly. For each CLO debt investment, the rate provided is as of March 31, 2017.</w:t>
      </w:r>
    </w:p>
    <w:p>
      <w:pPr>
        <w:spacing w:after="0" w:line="62" w:lineRule="exact"/>
        <w:rPr>
          <w:rFonts w:ascii="Arial" w:cs="Arial" w:eastAsia="Arial" w:hAnsi="Arial"/>
          <w:sz w:val="18"/>
          <w:szCs w:val="18"/>
          <w:color w:val="auto"/>
        </w:rPr>
      </w:pPr>
    </w:p>
    <w:p>
      <w:pPr>
        <w:ind w:left="280" w:right="619" w:hanging="272"/>
        <w:spacing w:after="0" w:line="255"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CLO subordinated notes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85"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represents discounted cash flows associated with fees earned from CLO equity investments.</w:t>
      </w:r>
    </w:p>
    <w:p>
      <w:pPr>
        <w:spacing w:after="0" w:line="117" w:lineRule="exact"/>
        <w:rPr>
          <w:rFonts w:ascii="Arial" w:cs="Arial" w:eastAsia="Arial" w:hAnsi="Arial"/>
          <w:sz w:val="18"/>
          <w:szCs w:val="18"/>
          <w:color w:val="auto"/>
        </w:rPr>
      </w:pPr>
    </w:p>
    <w:p>
      <w:pPr>
        <w:ind w:left="280" w:right="659" w:hanging="272"/>
        <w:spacing w:after="0" w:line="277"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has not made its inaugural distribution for the relevant period end. See “Note 2. Summary of Significnt Accounting Policies — Investment Income Recognition.”</w:t>
      </w:r>
    </w:p>
    <w:p>
      <w:pPr>
        <w:spacing w:after="0" w:line="62" w:lineRule="exact"/>
        <w:rPr>
          <w:rFonts w:ascii="Arial" w:cs="Arial" w:eastAsia="Arial" w:hAnsi="Arial"/>
          <w:sz w:val="18"/>
          <w:szCs w:val="18"/>
          <w:color w:val="auto"/>
        </w:rPr>
      </w:pPr>
    </w:p>
    <w:p>
      <w:pPr>
        <w:ind w:left="320" w:right="779" w:hanging="312"/>
        <w:spacing w:after="0" w:line="308"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subordinated shares represent an investment in a warehouse facility, which is a financing structure intended to aggregate loans that may be used to form the basis of a CLO vehicle.</w:t>
      </w:r>
    </w:p>
    <w:p>
      <w:pPr>
        <w:spacing w:after="0" w:line="38" w:lineRule="exact"/>
        <w:rPr>
          <w:sz w:val="20"/>
          <w:szCs w:val="20"/>
          <w:color w:val="auto"/>
        </w:rPr>
      </w:pPr>
    </w:p>
    <w:p>
      <w:pPr>
        <w:ind w:left="300" w:right="779" w:hanging="296"/>
        <w:spacing w:after="0" w:line="277" w:lineRule="auto"/>
        <w:rPr>
          <w:sz w:val="20"/>
          <w:szCs w:val="20"/>
          <w:color w:val="auto"/>
        </w:rPr>
      </w:pPr>
      <w:r>
        <w:rPr>
          <w:rFonts w:ascii="Arial" w:cs="Arial" w:eastAsia="Arial" w:hAnsi="Arial"/>
          <w:sz w:val="18"/>
          <w:szCs w:val="18"/>
          <w:color w:val="auto"/>
        </w:rPr>
        <w:t>(11)The CLO was optionally redeemed during the year ended March 31, 2017. See “Note 2. Summary of Significant Accounting Policies — Securities Transactions.”</w:t>
      </w:r>
    </w:p>
    <w:p>
      <w:pPr>
        <w:spacing w:after="0" w:line="62" w:lineRule="exact"/>
        <w:rPr>
          <w:sz w:val="20"/>
          <w:szCs w:val="20"/>
          <w:color w:val="auto"/>
        </w:rPr>
      </w:pPr>
    </w:p>
    <w:p>
      <w:pPr>
        <w:ind w:left="3840" w:right="3759" w:hanging="3832"/>
        <w:spacing w:after="0" w:line="936" w:lineRule="auto"/>
        <w:tabs>
          <w:tab w:leader="none" w:pos="314"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cash equivalents held in a money market account as of March 31, 2017. See Accompanying Notes.</w:t>
      </w:r>
    </w:p>
    <w:p>
      <w:pPr>
        <w:spacing w:after="0" w:line="1" w:lineRule="exact"/>
        <w:rPr>
          <w:rFonts w:ascii="Arial" w:cs="Arial" w:eastAsia="Arial" w:hAnsi="Arial"/>
          <w:sz w:val="17"/>
          <w:szCs w:val="17"/>
          <w:color w:val="auto"/>
        </w:rPr>
      </w:pPr>
    </w:p>
    <w:p>
      <w:pPr>
        <w:ind w:left="4600"/>
        <w:spacing w:after="0"/>
        <w:rPr>
          <w:rFonts w:ascii="Arial" w:cs="Arial" w:eastAsia="Arial" w:hAnsi="Arial"/>
          <w:sz w:val="17"/>
          <w:szCs w:val="17"/>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796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7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Income from securitization vehicles and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55,656,329</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 debt investments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1,052,099</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1,235,700</w:t>
            </w:r>
          </w:p>
        </w:tc>
      </w:tr>
      <w:tr>
        <w:trPr>
          <w:trHeight w:val="20"/>
        </w:trPr>
        <w:tc>
          <w:tcPr>
            <w:tcW w:w="7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investment income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57,944,128</w:t>
            </w:r>
          </w:p>
        </w:tc>
      </w:tr>
      <w:tr>
        <w:trPr>
          <w:trHeight w:val="210"/>
        </w:trPr>
        <w:tc>
          <w:tcPr>
            <w:tcW w:w="70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on mandatorily redeemable preferred stock</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11,711,709</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6,346,009</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fees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7,535,607</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758,856</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Administrator expense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594,982</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Directors’ fees</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295,000</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333,397</w:t>
            </w: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Insurance expense</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117,527</w:t>
            </w: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 agent and custodian fees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108,616</w:t>
            </w:r>
          </w:p>
        </w:tc>
      </w:tr>
      <w:tr>
        <w:trPr>
          <w:trHeight w:val="20"/>
        </w:trPr>
        <w:tc>
          <w:tcPr>
            <w:tcW w:w="7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08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27,801,703</w:t>
            </w:r>
          </w:p>
        </w:tc>
      </w:tr>
      <w:tr>
        <w:trPr>
          <w:trHeight w:val="20"/>
        </w:trPr>
        <w:tc>
          <w:tcPr>
            <w:tcW w:w="7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30,142,425</w:t>
            </w:r>
          </w:p>
        </w:tc>
      </w:tr>
      <w:tr>
        <w:trPr>
          <w:trHeight w:val="20"/>
        </w:trPr>
        <w:tc>
          <w:tcPr>
            <w:tcW w:w="7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080" w:type="dxa"/>
            <w:vAlign w:val="bottom"/>
          </w:tcPr>
          <w:p>
            <w:pPr>
              <w:ind w:left="20"/>
              <w:spacing w:after="0"/>
              <w:rPr>
                <w:sz w:val="20"/>
                <w:szCs w:val="20"/>
                <w:color w:val="auto"/>
              </w:rPr>
            </w:pPr>
            <w:r>
              <w:rPr>
                <w:rFonts w:ascii="Arial" w:cs="Arial" w:eastAsia="Arial" w:hAnsi="Arial"/>
                <w:sz w:val="18"/>
                <w:szCs w:val="18"/>
                <w:color w:val="auto"/>
              </w:rPr>
              <w:t>Net change in unrealized appreciation on investments</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80,691,611</w:t>
            </w:r>
          </w:p>
        </w:tc>
      </w:tr>
      <w:tr>
        <w:trPr>
          <w:trHeight w:val="216"/>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 on investments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(5,632,210)</w:t>
            </w:r>
          </w:p>
        </w:tc>
      </w:tr>
      <w:tr>
        <w:trPr>
          <w:trHeight w:val="20"/>
        </w:trPr>
        <w:tc>
          <w:tcPr>
            <w:tcW w:w="7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080" w:type="dxa"/>
            <w:vAlign w:val="bottom"/>
          </w:tcPr>
          <w:p>
            <w:pPr>
              <w:ind w:left="20"/>
              <w:spacing w:after="0"/>
              <w:rPr>
                <w:sz w:val="20"/>
                <w:szCs w:val="20"/>
                <w:color w:val="auto"/>
              </w:rPr>
            </w:pPr>
            <w:r>
              <w:rPr>
                <w:rFonts w:ascii="Arial" w:cs="Arial" w:eastAsia="Arial" w:hAnsi="Arial"/>
                <w:sz w:val="18"/>
                <w:szCs w:val="18"/>
                <w:color w:val="auto"/>
              </w:rPr>
              <w:t>Net realized loss and net change in unrealized appreciation on investments</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75,059,401</w:t>
            </w:r>
          </w:p>
        </w:tc>
      </w:tr>
      <w:tr>
        <w:trPr>
          <w:trHeight w:val="20"/>
        </w:trPr>
        <w:tc>
          <w:tcPr>
            <w:tcW w:w="7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105,201,826</w:t>
            </w:r>
          </w:p>
        </w:tc>
      </w:tr>
      <w:tr>
        <w:trPr>
          <w:trHeight w:val="20"/>
        </w:trPr>
        <w:tc>
          <w:tcPr>
            <w:tcW w:w="7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-2280285</wp:posOffset>
            </wp:positionV>
            <wp:extent cx="521398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-899795</wp:posOffset>
            </wp:positionV>
            <wp:extent cx="521398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-608330</wp:posOffset>
            </wp:positionV>
            <wp:extent cx="52139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STATEMENT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Year Ended March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4"/>
                <w:szCs w:val="14"/>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Increase/(Decrease) in net assets from operations: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30,142,425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28,029,913</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 on investments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(5,632,210)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(24,021,500)</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Net change in unrealized appreciation/(depreciation) on investments</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80,691,611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(89,787,744)</w:t>
            </w:r>
          </w:p>
        </w:tc>
      </w:tr>
      <w:tr>
        <w:trPr>
          <w:trHeight w:val="20"/>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105,201,826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(85,779,331)</w:t>
            </w:r>
          </w:p>
        </w:tc>
      </w:tr>
      <w:tr>
        <w:trPr>
          <w:trHeight w:val="20"/>
        </w:trPr>
        <w:tc>
          <w:tcPr>
            <w:tcW w:w="5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Distributions from net investment income</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(49,601,273)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(43,289,314)</w:t>
            </w:r>
          </w:p>
        </w:tc>
      </w:tr>
      <w:tr>
        <w:trPr>
          <w:trHeight w:val="20"/>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distributions to shareholders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(49,601,273)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(43,289,314)</w:t>
            </w:r>
          </w:p>
        </w:tc>
      </w:tr>
      <w:tr>
        <w:trPr>
          <w:trHeight w:val="210"/>
        </w:trPr>
        <w:tc>
          <w:tcPr>
            <w:tcW w:w="57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Capital share transaction:</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(net of underwriting fees and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offering costs $1,038,300 and $1,299,903, respectively)</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43,800,085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30,531,781</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 (including fees)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(430,278)</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Reinvestment of distributions</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697,925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5,984,192</w:t>
            </w:r>
          </w:p>
        </w:tc>
      </w:tr>
      <w:tr>
        <w:trPr>
          <w:trHeight w:val="20"/>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from capital share transactions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44,498,010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36,085,695</w:t>
            </w:r>
          </w:p>
        </w:tc>
      </w:tr>
      <w:tr>
        <w:trPr>
          <w:trHeight w:val="20"/>
        </w:trPr>
        <w:tc>
          <w:tcPr>
            <w:tcW w:w="5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Total increase/(decrease) in net assets</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100,098,563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(92,982,950)</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beginning of period</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131,949,882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224,932,832</w:t>
            </w:r>
          </w:p>
        </w:tc>
      </w:tr>
      <w:tr>
        <w:trPr>
          <w:trHeight w:val="195"/>
        </w:trPr>
        <w:tc>
          <w:tcPr>
            <w:tcW w:w="570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Net assets at end of period (including distributions in excess of net</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investment income of $25,671,409 and $11,391,094,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232,048,445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131,949,882</w:t>
            </w:r>
          </w:p>
        </w:tc>
      </w:tr>
      <w:tr>
        <w:trPr>
          <w:trHeight w:val="21"/>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share activity: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Shares issued</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3,929,836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2,219,275</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repurchased</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(33,776)</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Shares issued from reinvestment of distributions</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593,816</w:t>
            </w:r>
          </w:p>
        </w:tc>
      </w:tr>
      <w:tr>
        <w:trPr>
          <w:trHeight w:val="20"/>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capital share activity</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3,999,736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2,779,315</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-2460625</wp:posOffset>
            </wp:positionV>
            <wp:extent cx="521398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-2169160</wp:posOffset>
            </wp:positionV>
            <wp:extent cx="521398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-1328420</wp:posOffset>
            </wp:positionV>
            <wp:extent cx="521398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-1045845</wp:posOffset>
            </wp:positionV>
            <wp:extent cx="5213985" cy="31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6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Net 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105,201,826</w:t>
            </w:r>
          </w:p>
        </w:tc>
      </w:tr>
      <w:tr>
        <w:trPr>
          <w:trHeight w:val="202"/>
        </w:trPr>
        <w:tc>
          <w:tcPr>
            <w:tcW w:w="6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Adjustments to reconcile net increase in net assets resulting from operations to net cash</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used in operating activities: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Amortization/accretion of discounts and premiums</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(170,317)</w:t>
            </w:r>
          </w:p>
        </w:tc>
      </w:tr>
      <w:tr>
        <w:trPr>
          <w:trHeight w:val="216"/>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Amortization of deferred issuance costs on mandatorily redeemable preferred stock</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591,485</w:t>
            </w:r>
          </w:p>
        </w:tc>
      </w:tr>
      <w:tr>
        <w:trPr>
          <w:trHeight w:val="202"/>
        </w:trPr>
        <w:tc>
          <w:tcPr>
            <w:tcW w:w="6980" w:type="dxa"/>
            <w:vAlign w:val="bottom"/>
          </w:tcPr>
          <w:p>
            <w:pPr>
              <w:ind w:left="380"/>
              <w:spacing w:after="0" w:line="201" w:lineRule="exact"/>
              <w:rPr>
                <w:sz w:val="20"/>
                <w:szCs w:val="20"/>
                <w:color w:val="auto"/>
              </w:rPr>
            </w:pPr>
            <w:r>
              <w:rPr>
                <w:rFonts w:ascii="Arial" w:cs="Arial" w:eastAsia="Arial" w:hAnsi="Arial"/>
                <w:sz w:val="18"/>
                <w:szCs w:val="18"/>
                <w:color w:val="auto"/>
                <w:w w:val="98"/>
              </w:rPr>
              <w:t>Amortization of deferred costs from repurchase of mandatorily redeemable preferred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980" w:type="dxa"/>
            <w:vAlign w:val="bottom"/>
          </w:tcPr>
          <w:p>
            <w:pPr>
              <w:ind w:left="5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492,268</w:t>
            </w:r>
          </w:p>
        </w:tc>
      </w:tr>
      <w:tr>
        <w:trPr>
          <w:trHeight w:val="216"/>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Accretion of discount on mandatorily redeemable preferred stock</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555,110</w:t>
            </w: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(258,598,515)</w:t>
            </w:r>
          </w:p>
        </w:tc>
      </w:tr>
      <w:tr>
        <w:trPr>
          <w:trHeight w:val="216"/>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of investments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175,700,321</w:t>
            </w: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Repayments of principal and reductions to investment cost value</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25,231,717</w:t>
            </w:r>
          </w:p>
        </w:tc>
      </w:tr>
      <w:tr>
        <w:trPr>
          <w:trHeight w:val="216"/>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change in unrealized appreciation on investments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(80,691,611)</w:t>
            </w: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Net realized loss on investments</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5,632,210</w:t>
            </w:r>
          </w:p>
        </w:tc>
      </w:tr>
      <w:tr>
        <w:trPr>
          <w:trHeight w:val="216"/>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Reductions to CLO equity cost value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22,633,754</w:t>
            </w: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Decrease in distributions receivable</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1,257,711</w:t>
            </w:r>
          </w:p>
        </w:tc>
      </w:tr>
      <w:tr>
        <w:trPr>
          <w:trHeight w:val="216"/>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 fee receivable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141,385</w:t>
            </w: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Increase in interest receivable</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(16,929)</w:t>
            </w:r>
          </w:p>
        </w:tc>
      </w:tr>
      <w:tr>
        <w:trPr>
          <w:trHeight w:val="216"/>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prepaid expenses and other assets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(47,998)</w:t>
            </w: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Decrease in due from affiliate</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20,259</w:t>
            </w:r>
          </w:p>
        </w:tc>
      </w:tr>
      <w:tr>
        <w:trPr>
          <w:trHeight w:val="216"/>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investment advisory fee payable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484,735</w:t>
            </w: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Increase in incentive fee payable</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799,742</w:t>
            </w:r>
          </w:p>
        </w:tc>
      </w:tr>
      <w:tr>
        <w:trPr>
          <w:trHeight w:val="216"/>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directors’ fees payable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w:t>
            </w: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Increase in administrator expense payable</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8,048</w:t>
            </w:r>
          </w:p>
        </w:tc>
      </w:tr>
      <w:tr>
        <w:trPr>
          <w:trHeight w:val="216"/>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accrued offering costs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7,213</w:t>
            </w: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Increase in accrued expenses</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6,147</w:t>
            </w:r>
          </w:p>
        </w:tc>
      </w:tr>
      <w:tr>
        <w:trPr>
          <w:trHeight w:val="20"/>
        </w:trPr>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(755,439)</w:t>
            </w:r>
          </w:p>
        </w:tc>
      </w:tr>
      <w:tr>
        <w:trPr>
          <w:trHeight w:val="210"/>
        </w:trPr>
        <w:tc>
          <w:tcPr>
            <w:tcW w:w="6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(net of distribution reinvestment plan of $697,925)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(48,903,348)</w:t>
            </w: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44,838,385</w:t>
            </w: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Underwriting fees and offering costs for the issuance of common stock</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(1,038,300)</w:t>
            </w: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Deferred offering costs</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(124,146)</w:t>
            </w: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mandatorily redeemable preferred stock</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(15,306,225)</w:t>
            </w:r>
          </w:p>
        </w:tc>
      </w:tr>
      <w:tr>
        <w:trPr>
          <w:trHeight w:val="202"/>
        </w:trPr>
        <w:tc>
          <w:tcPr>
            <w:tcW w:w="6980" w:type="dxa"/>
            <w:vAlign w:val="bottom"/>
          </w:tcPr>
          <w:p>
            <w:pPr>
              <w:ind w:left="200"/>
              <w:spacing w:after="0" w:line="201" w:lineRule="exact"/>
              <w:rPr>
                <w:sz w:val="20"/>
                <w:szCs w:val="20"/>
                <w:color w:val="auto"/>
              </w:rPr>
            </w:pPr>
            <w:r>
              <w:rPr>
                <w:rFonts w:ascii="Arial" w:cs="Arial" w:eastAsia="Arial" w:hAnsi="Arial"/>
                <w:sz w:val="18"/>
                <w:szCs w:val="18"/>
                <w:color w:val="auto"/>
              </w:rPr>
              <w:t>Proceeds from the issuance of mandatorily redeemable preferred stock (including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premiums of $223)</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15,032,500</w:t>
            </w: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issuance costs for the issuance of mandatorily redeemable preferred stock</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(88,781)</w:t>
            </w:r>
          </w:p>
        </w:tc>
      </w:tr>
      <w:tr>
        <w:trPr>
          <w:trHeight w:val="20"/>
        </w:trPr>
        <w:tc>
          <w:tcPr>
            <w:tcW w:w="6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980" w:type="dxa"/>
            <w:vAlign w:val="bottom"/>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(5,589,915)</w:t>
            </w:r>
          </w:p>
        </w:tc>
      </w:tr>
      <w:tr>
        <w:trPr>
          <w:trHeight w:val="20"/>
        </w:trPr>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(6,345,354)</w:t>
            </w: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20,363,213</w:t>
            </w:r>
          </w:p>
        </w:tc>
      </w:tr>
      <w:tr>
        <w:trPr>
          <w:trHeight w:val="20"/>
        </w:trPr>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14,017,859</w:t>
            </w:r>
          </w:p>
        </w:tc>
      </w:tr>
      <w:tr>
        <w:trPr>
          <w:trHeight w:val="210"/>
        </w:trPr>
        <w:tc>
          <w:tcPr>
            <w:tcW w:w="6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SUPPLEMENTAL DISCLOSURES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10,565,336</w:t>
            </w: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NON-CASH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of shares issued in connection with distribution reinvestment plan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697,925</w:t>
            </w:r>
          </w:p>
        </w:tc>
      </w:tr>
      <w:tr>
        <w:trPr>
          <w:trHeight w:val="230"/>
        </w:trPr>
        <w:tc>
          <w:tcPr>
            <w:tcW w:w="6980" w:type="dxa"/>
            <w:vAlign w:val="bottom"/>
          </w:tcPr>
          <w:p>
            <w:pPr>
              <w:ind w:left="200"/>
              <w:spacing w:after="0"/>
              <w:rPr>
                <w:sz w:val="20"/>
                <w:szCs w:val="20"/>
                <w:color w:val="auto"/>
              </w:rPr>
            </w:pPr>
            <w:r>
              <w:rPr>
                <w:rFonts w:ascii="Arial" w:cs="Arial" w:eastAsia="Arial" w:hAnsi="Arial"/>
                <w:sz w:val="18"/>
                <w:szCs w:val="18"/>
                <w:color w:val="auto"/>
              </w:rPr>
              <w:t>Securities purchased not settled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6,888,651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-2546985</wp:posOffset>
            </wp:positionV>
            <wp:extent cx="521398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-1303655</wp:posOffset>
            </wp:positionV>
            <wp:extent cx="521398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-728980</wp:posOffset>
            </wp:positionV>
            <wp:extent cx="521398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Oxford Lane Capital Corp. (“OXLC,” “we,” “us,” “our” or the “Fund”) was incorporated under the General Corporation Laws of the State of Maryland on June 9, 2010. The Fund is a non-diversified closed-end management investment company that has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collateralized loan obligation (“CLO”) vehicles, which primarily own senior corporate debt securities.</w:t>
      </w:r>
    </w:p>
    <w:p>
      <w:pPr>
        <w:spacing w:after="0" w:line="70"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OXLC’s investment activities are managed by Oxford Lane Management, LLC (“OXLC Management”), a registered investment adviser under the Investment Advisers Act of 1940, as amended. BDC Partners, LLC (“BDC Partners”), a related party, is the managing member of OXLC Management and serves as the administrator of OXLC.</w:t>
      </w:r>
    </w:p>
    <w:p>
      <w:pPr>
        <w:spacing w:after="0" w:line="110" w:lineRule="exact"/>
        <w:rPr>
          <w:sz w:val="20"/>
          <w:szCs w:val="20"/>
          <w:color w:val="auto"/>
        </w:rPr>
      </w:pPr>
    </w:p>
    <w:p>
      <w:pPr>
        <w:ind w:left="40" w:right="4599"/>
        <w:spacing w:after="0" w:line="282" w:lineRule="auto"/>
        <w:rPr>
          <w:sz w:val="20"/>
          <w:szCs w:val="20"/>
          <w:color w:val="auto"/>
        </w:rPr>
      </w:pPr>
      <w:r>
        <w:rPr>
          <w:rFonts w:ascii="Arial" w:cs="Arial" w:eastAsia="Arial" w:hAnsi="Arial"/>
          <w:sz w:val="18"/>
          <w:szCs w:val="18"/>
          <w:b w:val="1"/>
          <w:bCs w:val="1"/>
          <w:color w:val="auto"/>
        </w:rPr>
        <w:t>NOTE 2. SUMMARY OF SIGNIFICANT ACCOUNTING POLICIES BASIS OF PRESENTATION</w:t>
      </w:r>
    </w:p>
    <w:p>
      <w:pPr>
        <w:spacing w:after="0" w:line="58" w:lineRule="exact"/>
        <w:rPr>
          <w:sz w:val="20"/>
          <w:szCs w:val="20"/>
          <w:color w:val="auto"/>
        </w:rPr>
      </w:pPr>
    </w:p>
    <w:p>
      <w:pPr>
        <w:ind w:left="40" w:right="559" w:firstLine="270"/>
        <w:spacing w:after="0" w:line="279" w:lineRule="auto"/>
        <w:rPr>
          <w:sz w:val="20"/>
          <w:szCs w:val="20"/>
          <w:color w:val="auto"/>
        </w:rPr>
      </w:pPr>
      <w:r>
        <w:rPr>
          <w:rFonts w:ascii="Arial" w:cs="Arial" w:eastAsia="Arial" w:hAnsi="Arial"/>
          <w:sz w:val="17"/>
          <w:szCs w:val="17"/>
          <w:color w:val="auto"/>
        </w:rPr>
        <w:t xml:space="preserve">The accompanying financial statements, which have been prepared in accordance with accounting principles generally accepted in the United States of America (“GAAP”), include the accounts of the Fund. The Fund follows the accounting and reporting requirements of the Accounting Standards Codification (“ASC”),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xml:space="preserve"> (“ASC 946”), for reporting on Form N-CSR and the Fund maintains its accounting records in U.S. dollars.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40" w:right="779" w:firstLine="270"/>
        <w:spacing w:after="0" w:line="264" w:lineRule="auto"/>
        <w:rPr>
          <w:sz w:val="20"/>
          <w:szCs w:val="20"/>
          <w:color w:val="auto"/>
        </w:rPr>
      </w:pPr>
      <w:r>
        <w:rPr>
          <w:rFonts w:ascii="Arial" w:cs="Arial" w:eastAsia="Arial" w:hAnsi="Arial"/>
          <w:sz w:val="18"/>
          <w:szCs w:val="18"/>
          <w:color w:val="auto"/>
        </w:rPr>
        <w:t>The presentation of the financial statements is in conformity with GAAP, which requires management to make estimates and assumptions that affect the amounts reported in the financial statements and accompanying notes. Actual results may differ from those estimates.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Cash and cash equivalents consist of demand deposits and cash held in a money market fund which contain investments with original maturities of three months or less. The Fund places its cash and cash equivalents with financial institutions and, at times, cash held in bank accounts may exceed the Federal Deposit Insurance Corporation (“FDIC”) insured limit. Cash and cash equivalents are classified as Level 1 assets and are included on the Fund’s Schedule of Investments. Cash and cash equivalents are carried at cost or amortized cost which approximates fair value.</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 xml:space="preserve">The Fund determines fair value of its investment portfolio in accordance with the provisions of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w:t>
      </w:r>
      <w:r>
        <w:rPr>
          <w:rFonts w:ascii="Arial" w:cs="Arial" w:eastAsia="Arial" w:hAnsi="Arial"/>
          <w:sz w:val="18"/>
          <w:szCs w:val="18"/>
          <w:color w:val="auto"/>
        </w:rPr>
        <w:t>. A significant estimate made in the preparation of OXLC’s financial statements is the 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w:t>
      </w:r>
    </w:p>
    <w:p>
      <w:pPr>
        <w:spacing w:after="0" w:line="85"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40" w:right="4599"/>
        <w:spacing w:after="0" w:line="282" w:lineRule="auto"/>
        <w:rPr>
          <w:sz w:val="20"/>
          <w:szCs w:val="20"/>
          <w:color w:val="auto"/>
        </w:rPr>
      </w:pPr>
      <w:r>
        <w:rPr>
          <w:rFonts w:ascii="Arial" w:cs="Arial" w:eastAsia="Arial" w:hAnsi="Arial"/>
          <w:sz w:val="18"/>
          <w:szCs w:val="18"/>
          <w:b w:val="1"/>
          <w:bCs w:val="1"/>
          <w:color w:val="auto"/>
        </w:rPr>
        <w:t>NOTE 2. SUMMARY OF SIGNIFICANT ACCOUNTING POLICIES BASIS OF PRESENTATION – (continued)</w:t>
      </w:r>
    </w:p>
    <w:p>
      <w:pPr>
        <w:spacing w:after="0" w:line="58" w:lineRule="exact"/>
        <w:rPr>
          <w:sz w:val="20"/>
          <w:szCs w:val="20"/>
          <w:color w:val="auto"/>
        </w:rPr>
      </w:pPr>
    </w:p>
    <w:p>
      <w:pPr>
        <w:ind w:left="40" w:right="519"/>
        <w:spacing w:after="0" w:line="276" w:lineRule="auto"/>
        <w:rPr>
          <w:sz w:val="20"/>
          <w:szCs w:val="20"/>
          <w:color w:val="auto"/>
        </w:rPr>
      </w:pPr>
      <w:r>
        <w:rPr>
          <w:rFonts w:ascii="Arial" w:cs="Arial" w:eastAsia="Arial" w:hAnsi="Arial"/>
          <w:sz w:val="17"/>
          <w:szCs w:val="17"/>
          <w:color w:val="auto"/>
        </w:rPr>
        <w:t>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 all of OXLC’s investments are valued based upon “Level 3” inputs as of March 31, 2017.</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Collateralized Loan Obligations — Debt and Equity</w:t>
      </w:r>
    </w:p>
    <w:p>
      <w:pPr>
        <w:spacing w:after="0" w:line="117"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OXLC has acquired debt and equity positions in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OXLC Management or the Fund’s board of directors (the “Board of Directors”) may request an additional analysis by a third-party firm to assist in the valuation process of CLO investment vehicles. All information is presented to the Board of Directors for its determination of fair value of these investments.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 REPURCHASES</w:t>
      </w:r>
    </w:p>
    <w:p>
      <w:pPr>
        <w:spacing w:after="0" w:line="121"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 There were no share repurchases of the Fund’s common stock for the year ended March 31, 2017.</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The Fund carries its mandatorily redeemable preferred stock at accreted cost on the Statement of Assets and Liabilities, and not fair value. Refer to “Note 7. Mandatorily Redeemable Preferred Stock” for further details.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PREPAID EXPENSES AND OTHER ASSETS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Prepaid expenses consist primarily of insurance costs and listing fees.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INCOME</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from securitization vehicles and investments</w:t>
      </w:r>
    </w:p>
    <w:p>
      <w:pPr>
        <w:spacing w:after="0" w:line="117" w:lineRule="exact"/>
        <w:rPr>
          <w:sz w:val="20"/>
          <w:szCs w:val="20"/>
          <w:color w:val="auto"/>
        </w:rPr>
      </w:pPr>
    </w:p>
    <w:p>
      <w:pPr>
        <w:ind w:left="40" w:right="639" w:firstLine="270"/>
        <w:spacing w:after="0" w:line="297" w:lineRule="auto"/>
        <w:rPr>
          <w:sz w:val="20"/>
          <w:szCs w:val="20"/>
          <w:color w:val="auto"/>
        </w:rPr>
      </w:pPr>
      <w:r>
        <w:rPr>
          <w:rFonts w:ascii="Arial" w:cs="Arial" w:eastAsia="Arial" w:hAnsi="Arial"/>
          <w:sz w:val="16"/>
          <w:szCs w:val="16"/>
          <w:color w:val="auto"/>
        </w:rPr>
        <w:t xml:space="preserve">Income from securitization vehicles and equity investments in the equity class securities of CLO vehicles (typically income notes or subordinated notes) is recorded using the effective interest method in accordance with the provisions of ASC 325-40, </w:t>
      </w:r>
      <w:r>
        <w:rPr>
          <w:rFonts w:ascii="Arial" w:cs="Arial" w:eastAsia="Arial" w:hAnsi="Arial"/>
          <w:sz w:val="16"/>
          <w:szCs w:val="16"/>
          <w:i w:val="1"/>
          <w:iCs w:val="1"/>
          <w:color w:val="auto"/>
        </w:rPr>
        <w:t>Beneficial Interests in Securitized Financial Assets</w:t>
      </w:r>
      <w:r>
        <w:rPr>
          <w:rFonts w:ascii="Arial" w:cs="Arial" w:eastAsia="Arial" w:hAnsi="Arial"/>
          <w:sz w:val="16"/>
          <w:szCs w:val="16"/>
          <w:color w:val="auto"/>
        </w:rPr>
        <w:t>, based upon a calculation of the effective yield to the expected redemption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an estimate of future cash flows, including those CLO equity investments that have not made their inaugural distribution for the relevant period end. The Fund monitors the expected residual payments, and the effective yield is determined and updated</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40" w:right="4599"/>
        <w:spacing w:after="0" w:line="282" w:lineRule="auto"/>
        <w:rPr>
          <w:sz w:val="20"/>
          <w:szCs w:val="20"/>
          <w:color w:val="auto"/>
        </w:rPr>
      </w:pPr>
      <w:r>
        <w:rPr>
          <w:rFonts w:ascii="Arial" w:cs="Arial" w:eastAsia="Arial" w:hAnsi="Arial"/>
          <w:sz w:val="18"/>
          <w:szCs w:val="18"/>
          <w:b w:val="1"/>
          <w:bCs w:val="1"/>
          <w:color w:val="auto"/>
        </w:rPr>
        <w:t>NOTE 2. SUMMARY OF SIGNIFICANT ACCOUNTING POLICIES BASIS OF PRESENTATION – (continued)</w:t>
      </w:r>
    </w:p>
    <w:p>
      <w:pPr>
        <w:spacing w:after="0" w:line="58" w:lineRule="exact"/>
        <w:rPr>
          <w:sz w:val="20"/>
          <w:szCs w:val="20"/>
          <w:color w:val="auto"/>
        </w:rPr>
      </w:pPr>
    </w:p>
    <w:p>
      <w:pPr>
        <w:jc w:val="both"/>
        <w:ind w:left="40" w:right="659"/>
        <w:spacing w:after="0" w:line="342" w:lineRule="auto"/>
        <w:rPr>
          <w:sz w:val="20"/>
          <w:szCs w:val="20"/>
          <w:color w:val="auto"/>
        </w:rPr>
      </w:pPr>
      <w:r>
        <w:rPr>
          <w:rFonts w:ascii="Arial" w:cs="Arial" w:eastAsia="Arial" w:hAnsi="Arial"/>
          <w:sz w:val="16"/>
          <w:szCs w:val="16"/>
          <w:color w:val="auto"/>
        </w:rPr>
        <w:t>quarterly,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6" w:lineRule="exact"/>
        <w:rPr>
          <w:sz w:val="20"/>
          <w:szCs w:val="20"/>
          <w:color w:val="auto"/>
        </w:rPr>
      </w:pPr>
    </w:p>
    <w:p>
      <w:pPr>
        <w:jc w:val="both"/>
        <w:ind w:left="40" w:right="659" w:firstLine="270"/>
        <w:spacing w:after="0" w:line="264" w:lineRule="auto"/>
        <w:rPr>
          <w:sz w:val="20"/>
          <w:szCs w:val="20"/>
          <w:color w:val="auto"/>
        </w:rPr>
      </w:pPr>
      <w:r>
        <w:rPr>
          <w:rFonts w:ascii="Arial" w:cs="Arial" w:eastAsia="Arial" w:hAnsi="Arial"/>
          <w:sz w:val="18"/>
          <w:szCs w:val="18"/>
          <w:color w:val="auto"/>
        </w:rPr>
        <w:t>The Fund also records income on its investments in CLO warehouse facilities based on a stated rate as per the underlying note purchase agreement or, if there is no stated rate, then an estimated rate is calculated using a base case model projecting the timing of the ramp-up of the CLO warehouse facility.</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Income — Debt Investments</w:t>
      </w:r>
    </w:p>
    <w:p>
      <w:pPr>
        <w:spacing w:after="0" w:line="117" w:lineRule="exact"/>
        <w:rPr>
          <w:sz w:val="20"/>
          <w:szCs w:val="20"/>
          <w:color w:val="auto"/>
        </w:rPr>
      </w:pPr>
    </w:p>
    <w:p>
      <w:pPr>
        <w:ind w:left="40" w:right="759" w:firstLine="270"/>
        <w:spacing w:after="0" w:line="302" w:lineRule="auto"/>
        <w:rPr>
          <w:sz w:val="20"/>
          <w:szCs w:val="20"/>
          <w:color w:val="auto"/>
        </w:rPr>
      </w:pPr>
      <w:r>
        <w:rPr>
          <w:rFonts w:ascii="Arial" w:cs="Arial" w:eastAsia="Arial" w:hAnsi="Arial"/>
          <w:sz w:val="16"/>
          <w:szCs w:val="16"/>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46" w:lineRule="exact"/>
        <w:rPr>
          <w:sz w:val="20"/>
          <w:szCs w:val="20"/>
          <w:color w:val="auto"/>
        </w:rPr>
      </w:pPr>
    </w:p>
    <w:p>
      <w:pPr>
        <w:ind w:left="40" w:right="839" w:firstLine="270"/>
        <w:spacing w:after="0" w:line="273" w:lineRule="auto"/>
        <w:rPr>
          <w:sz w:val="20"/>
          <w:szCs w:val="20"/>
          <w:color w:val="auto"/>
        </w:rPr>
      </w:pPr>
      <w:r>
        <w:rPr>
          <w:rFonts w:ascii="Arial" w:cs="Arial" w:eastAsia="Arial" w:hAnsi="Arial"/>
          <w:sz w:val="17"/>
          <w:szCs w:val="17"/>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March 31, 2017, the Fund had no non-accrual investments in its portfolio.</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Other income includes distributions from fee letters and success fees associated with portfolio investments. Distributions from CLO equity fee letter investments are an enhancement to the return on a CLO equity investment, are based upon a percentage of the collateral manager’s fees, and are recorded as other income when earned. The Fund may also earn success fees associated with its investments in CLO warehouse facilities, which are contingent upon a take-out of the warehouse by a permanent CLO structure; such fees are earned and recognized when the take-out is completed.</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 FEDERAL INCOME TAXES</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Fund intends to operate so as to continue to qualify to be taxed as a Regulated Investment Company (“RIC”) under Subchapter M of the U.S. Tax Code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79" w:lineRule="exact"/>
        <w:rPr>
          <w:sz w:val="20"/>
          <w:szCs w:val="20"/>
          <w:color w:val="auto"/>
        </w:rPr>
      </w:pPr>
    </w:p>
    <w:p>
      <w:pPr>
        <w:ind w:left="40" w:right="819" w:firstLine="270"/>
        <w:spacing w:after="0" w:line="297" w:lineRule="auto"/>
        <w:rPr>
          <w:sz w:val="20"/>
          <w:szCs w:val="20"/>
          <w:color w:val="auto"/>
        </w:rPr>
      </w:pPr>
      <w:r>
        <w:rPr>
          <w:rFonts w:ascii="Arial" w:cs="Arial" w:eastAsia="Arial" w:hAnsi="Arial"/>
          <w:sz w:val="16"/>
          <w:szCs w:val="16"/>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40" w:right="4599"/>
        <w:spacing w:after="0" w:line="282" w:lineRule="auto"/>
        <w:rPr>
          <w:sz w:val="20"/>
          <w:szCs w:val="20"/>
          <w:color w:val="auto"/>
        </w:rPr>
      </w:pPr>
      <w:r>
        <w:rPr>
          <w:rFonts w:ascii="Arial" w:cs="Arial" w:eastAsia="Arial" w:hAnsi="Arial"/>
          <w:sz w:val="18"/>
          <w:szCs w:val="18"/>
          <w:b w:val="1"/>
          <w:bCs w:val="1"/>
          <w:color w:val="auto"/>
        </w:rPr>
        <w:t>NOTE 2. SUMMARY OF SIGNIFICANT ACCOUNTING POLICIES BASIS OF PRESENTATION – (continued)</w:t>
      </w:r>
    </w:p>
    <w:p>
      <w:pPr>
        <w:spacing w:after="0" w:line="58"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 expected to be taken in the Fund’s 2017 tax returns. The Fund identifies its major tax jurisdictions as U.S Federal and Connecticut State. The Fund is not aware of any tax position for which it is reasonably possible that the total amounts of unrecognized tax benefits will change materially in the next 12 months.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Our distribution policy is based upon our estimate of our distributable net investment income, which includes actual distributions from our CLO equity class investments, with further consideration given to our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and paid quarterly. Net realized capital gains, unless offset by any available capital loss carry-forward, are typically distributed to shareholders annually. Distributions to shareholders are recorded on the ex-dividend date and are automatically reinvested in full and fractional shares of the Fund in accordance with the Fund’s distribution reinvestment plan, unless the shareholder has elected to have them paid in cash.</w:t>
      </w:r>
    </w:p>
    <w:p>
      <w:pPr>
        <w:spacing w:after="0" w:line="84"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Amounts required to be distributed reflect estimates made by the Fund. Distributions paid by the Fund in accordance with RIC requirements are subject to re-characterization for tax purposes.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SECURITIES TRANSACTIONS</w:t>
      </w:r>
    </w:p>
    <w:p>
      <w:pPr>
        <w:spacing w:after="0" w:line="121"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Securities transactions are recorded on trade date. Realized gains and losses on investments sold are recorded on the basis of specific identification.</w:t>
      </w:r>
    </w:p>
    <w:p>
      <w:pPr>
        <w:spacing w:after="0" w:line="62"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Distributions received on CLO equity investments which were previously called for which the cost basis has been reduced to zero are recorded as realized gains.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DEFERRED OFFERING COSTS ON COMMON STOCK</w:t>
      </w:r>
    </w:p>
    <w:p>
      <w:pPr>
        <w:spacing w:after="0" w:line="121" w:lineRule="exact"/>
        <w:rPr>
          <w:sz w:val="20"/>
          <w:szCs w:val="20"/>
          <w:color w:val="auto"/>
        </w:rPr>
      </w:pPr>
    </w:p>
    <w:p>
      <w:pPr>
        <w:jc w:val="both"/>
        <w:ind w:left="40" w:right="719" w:firstLine="270"/>
        <w:spacing w:after="0" w:line="302" w:lineRule="auto"/>
        <w:rPr>
          <w:sz w:val="20"/>
          <w:szCs w:val="20"/>
          <w:color w:val="auto"/>
        </w:rPr>
      </w:pPr>
      <w:r>
        <w:rPr>
          <w:rFonts w:ascii="Arial" w:cs="Arial" w:eastAsia="Arial" w:hAnsi="Arial"/>
          <w:sz w:val="16"/>
          <w:szCs w:val="16"/>
          <w:color w:val="auto"/>
        </w:rPr>
        <w:t>Deferred offering costs consist principally of legal, accounting, filing and underwriting fees incurred in relation to an offering proposed by the Fund. The deferred offering costs will be charged to capital when the offering takes place or as shares are issued. Costs related to shelf offerings are charged to capital as securities registered are issued. Deferred costs are periodically reviewed and expensed if the related registration statement is no longer active or if the offering is unsuccessful.</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DEFERRED ISSUANCE COSTS ON MANDATORILY REDEEMABLE PREFERRED STOCK</w:t>
      </w:r>
    </w:p>
    <w:p>
      <w:pPr>
        <w:spacing w:after="0" w:line="121"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Deferred issuance costs on mandatorily redeemable preferred stock consist of fees and expenses incurred in connection with the closing of preferred stock offerings, and are capitalized when incurred. These costs are amortized using the straight line method over the term of the respective preferred stock series. This amortization expense is included in interest expense on mandatorily redeemable preferred stock in the Fund’s financial statements. Upon early termination of preferred stock, the remaining balance of unamortized fees related to such debt is accelerated into interest expense on mandatorily redeemable preferred stock. Deferred issuance costs are presented on the balance sheet as a direct deduction from the related debt liability.</w:t>
      </w:r>
    </w:p>
    <w:p>
      <w:pPr>
        <w:spacing w:after="0" w:line="57" w:lineRule="exact"/>
        <w:rPr>
          <w:sz w:val="20"/>
          <w:szCs w:val="20"/>
          <w:color w:val="auto"/>
        </w:rPr>
      </w:pPr>
    </w:p>
    <w:p>
      <w:pPr>
        <w:jc w:val="both"/>
        <w:ind w:left="40" w:right="699" w:firstLine="270"/>
        <w:spacing w:after="0" w:line="259" w:lineRule="auto"/>
        <w:rPr>
          <w:sz w:val="20"/>
          <w:szCs w:val="20"/>
          <w:color w:val="auto"/>
        </w:rPr>
      </w:pPr>
      <w:r>
        <w:rPr>
          <w:rFonts w:ascii="Arial" w:cs="Arial" w:eastAsia="Arial" w:hAnsi="Arial"/>
          <w:sz w:val="18"/>
          <w:szCs w:val="18"/>
          <w:color w:val="auto"/>
        </w:rPr>
        <w:t xml:space="preserve">In April 2015, the Financial Accounting Standards Board (“FASB”) issued Accounting Standards Update (“ASU”) No. 2015-03, </w:t>
      </w:r>
      <w:r>
        <w:rPr>
          <w:rFonts w:ascii="Arial" w:cs="Arial" w:eastAsia="Arial" w:hAnsi="Arial"/>
          <w:sz w:val="18"/>
          <w:szCs w:val="18"/>
          <w:i w:val="1"/>
          <w:iCs w:val="1"/>
          <w:color w:val="auto"/>
        </w:rPr>
        <w:t>Interest-Imputation of Interest (Subtopic 835-30): Simplifying the Presentation of Debt Issuance Costs</w:t>
      </w:r>
      <w:r>
        <w:rPr>
          <w:rFonts w:ascii="Arial" w:cs="Arial" w:eastAsia="Arial" w:hAnsi="Arial"/>
          <w:sz w:val="18"/>
          <w:szCs w:val="18"/>
          <w:color w:val="auto"/>
        </w:rPr>
        <w:t>. The guidance requires debt issuance costs (deferred financing costs) related to a recognized debt liability to be presented on the balance sheet as a direct deduction from the related debt liability, similar</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180" w:right="4599"/>
        <w:spacing w:after="0" w:line="282" w:lineRule="auto"/>
        <w:rPr>
          <w:sz w:val="20"/>
          <w:szCs w:val="20"/>
          <w:color w:val="auto"/>
        </w:rPr>
      </w:pPr>
      <w:r>
        <w:rPr>
          <w:rFonts w:ascii="Arial" w:cs="Arial" w:eastAsia="Arial" w:hAnsi="Arial"/>
          <w:sz w:val="18"/>
          <w:szCs w:val="18"/>
          <w:b w:val="1"/>
          <w:bCs w:val="1"/>
          <w:color w:val="auto"/>
        </w:rPr>
        <w:t>NOTE 2. SUMMARY OF SIGNIFICANT ACCOUNTING POLICIES BASIS OF PRESENTATION – (continued)</w:t>
      </w:r>
    </w:p>
    <w:p>
      <w:pPr>
        <w:spacing w:after="0" w:line="58" w:lineRule="exact"/>
        <w:rPr>
          <w:sz w:val="20"/>
          <w:szCs w:val="20"/>
          <w:color w:val="auto"/>
        </w:rPr>
      </w:pPr>
    </w:p>
    <w:p>
      <w:pPr>
        <w:ind w:left="180" w:right="559"/>
        <w:spacing w:after="0" w:line="288" w:lineRule="auto"/>
        <w:rPr>
          <w:sz w:val="20"/>
          <w:szCs w:val="20"/>
          <w:color w:val="auto"/>
        </w:rPr>
      </w:pPr>
      <w:r>
        <w:rPr>
          <w:rFonts w:ascii="Arial" w:cs="Arial" w:eastAsia="Arial" w:hAnsi="Arial"/>
          <w:sz w:val="16"/>
          <w:szCs w:val="16"/>
          <w:color w:val="auto"/>
        </w:rPr>
        <w:t xml:space="preserve">to the presentation of debt discounts. Additionally, in August 2015, the FASB issued ASU 2015-15, </w:t>
      </w:r>
      <w:r>
        <w:rPr>
          <w:rFonts w:ascii="Arial" w:cs="Arial" w:eastAsia="Arial" w:hAnsi="Arial"/>
          <w:sz w:val="16"/>
          <w:szCs w:val="16"/>
          <w:i w:val="1"/>
          <w:iCs w:val="1"/>
          <w:color w:val="auto"/>
        </w:rPr>
        <w:t>Interest — Imputation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(Subtopic 835-30): Presentation and Subsequent Measurement of Debt Issuance Costs Associated with Line-of-Credit Arrangements (“ASU 2015-15”)</w:t>
      </w:r>
      <w:r>
        <w:rPr>
          <w:rFonts w:ascii="Arial" w:cs="Arial" w:eastAsia="Arial" w:hAnsi="Arial"/>
          <w:sz w:val="16"/>
          <w:szCs w:val="16"/>
          <w:color w:val="auto"/>
        </w:rPr>
        <w:t>, which codifies an SEC staff announcement that entities are permitted to defer and present debt</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costs related to line-of-credit arrangements as assets and subsequent amortization of the deferred costs over the term of the line-of-credit arrangement, regardless of whether there are any outstanding borrowings on the line-of-credit arrangement. ASU 2015-03 and 2015-15 were effective for annual periods ending after December 15, 2015, and interim periods within those annual periods. The Fund adopted ASU 2015-03 and ASU 2015-15 beginning with the quarter ended June 30, 2016. The adoption of ASU 2015-03 and ASU 2015-15 did not have an effect on the Fund’s results of operations and financial condition. At March 31, 2017 the adoption of ASU 2015-03 did result in the reclassification of approximately $4.0 million in deferred debt issuance costs, which post-adoption are a direct deduction from the related debt liability.</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FAIR VALUE</w:t>
      </w:r>
    </w:p>
    <w:p>
      <w:pPr>
        <w:spacing w:after="0" w:line="121" w:lineRule="exact"/>
        <w:rPr>
          <w:sz w:val="20"/>
          <w:szCs w:val="20"/>
          <w:color w:val="auto"/>
        </w:rPr>
      </w:pPr>
    </w:p>
    <w:p>
      <w:pPr>
        <w:ind w:left="180" w:right="779" w:firstLine="270"/>
        <w:spacing w:after="0" w:line="277" w:lineRule="auto"/>
        <w:rPr>
          <w:sz w:val="20"/>
          <w:szCs w:val="20"/>
          <w:color w:val="auto"/>
        </w:rPr>
      </w:pPr>
      <w:r>
        <w:rPr>
          <w:rFonts w:ascii="Arial" w:cs="Arial" w:eastAsia="Arial" w:hAnsi="Arial"/>
          <w:sz w:val="18"/>
          <w:szCs w:val="18"/>
          <w:color w:val="auto"/>
        </w:rPr>
        <w:t>The Fund’s assets measured at fair value on a recurring basis subject to the disclosure requirements of ASC 820-10 at March 31,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0"/>
          </w:tcPr>
          <w:p>
            <w:pPr>
              <w:ind w:left="22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Assets ($ in millions)</w:t>
            </w:r>
          </w:p>
        </w:tc>
        <w:tc>
          <w:tcPr>
            <w:tcW w:w="12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CLO debt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CLO equity</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Total investments at fair value</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356.8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-462280</wp:posOffset>
            </wp:positionV>
            <wp:extent cx="521398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-179705</wp:posOffset>
            </wp:positionV>
            <wp:extent cx="521398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117" w:lineRule="exact"/>
        <w:rPr>
          <w:sz w:val="20"/>
          <w:szCs w:val="20"/>
          <w:color w:val="auto"/>
        </w:rPr>
      </w:pPr>
    </w:p>
    <w:p>
      <w:pPr>
        <w:ind w:left="180" w:right="619" w:firstLine="270"/>
        <w:spacing w:after="0" w:line="277" w:lineRule="auto"/>
        <w:rPr>
          <w:sz w:val="20"/>
          <w:szCs w:val="20"/>
          <w:color w:val="auto"/>
        </w:rPr>
      </w:pPr>
      <w:r>
        <w:rPr>
          <w:rFonts w:ascii="Arial" w:cs="Arial" w:eastAsia="Arial" w:hAnsi="Arial"/>
          <w:sz w:val="18"/>
          <w:szCs w:val="18"/>
          <w:color w:val="auto"/>
        </w:rPr>
        <w:t>The following table presents the carrying value and fair value of the Fund’s financial liabilities disclosed, but not carried at fair value as of March 31, 2017 and the level of each financial liability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Level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2023 Term Preferred Shares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Series 2024 Term Preferred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89"/>
              </w:rPr>
              <w:t>16</w:t>
            </w: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9" w:name="page20"/>
    <w:bookmarkEnd w:id="1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FAIR VALUE – (continued)</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117" w:lineRule="exact"/>
        <w:rPr>
          <w:sz w:val="20"/>
          <w:szCs w:val="20"/>
          <w:color w:val="auto"/>
        </w:rPr>
      </w:pPr>
    </w:p>
    <w:p>
      <w:pPr>
        <w:ind w:left="60" w:right="539" w:firstLine="270"/>
        <w:spacing w:after="0" w:line="273" w:lineRule="auto"/>
        <w:rPr>
          <w:sz w:val="20"/>
          <w:szCs w:val="20"/>
          <w:color w:val="auto"/>
        </w:rPr>
      </w:pPr>
      <w:r>
        <w:rPr>
          <w:rFonts w:ascii="Arial" w:cs="Arial" w:eastAsia="Arial" w:hAnsi="Arial"/>
          <w:sz w:val="17"/>
          <w:szCs w:val="17"/>
          <w:color w:val="auto"/>
        </w:rPr>
        <w:t>In accordance with ASC 820-10, the following table provides quantitative information about the Fund’s Level 3 fair value measurements as of March 31, 2017.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139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0" w:type="dxa"/>
            <w:vAlign w:val="bottom"/>
          </w:tcPr>
          <w:p>
            <w:pPr>
              <w:spacing w:after="0"/>
              <w:rPr>
                <w:sz w:val="1"/>
                <w:szCs w:val="1"/>
                <w:color w:val="auto"/>
              </w:rPr>
            </w:pPr>
          </w:p>
        </w:tc>
      </w:tr>
      <w:tr>
        <w:trPr>
          <w:trHeight w:val="156"/>
        </w:trPr>
        <w:tc>
          <w:tcPr>
            <w:tcW w:w="19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06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w w:val="96"/>
              </w:rPr>
              <w:t>Fair Value as of</w:t>
            </w:r>
          </w:p>
        </w:tc>
        <w:tc>
          <w:tcPr>
            <w:tcW w:w="80" w:type="dxa"/>
            <w:vAlign w:val="bottom"/>
          </w:tcPr>
          <w:p>
            <w:pPr>
              <w:spacing w:after="0"/>
              <w:rPr>
                <w:sz w:val="13"/>
                <w:szCs w:val="13"/>
                <w:color w:val="auto"/>
              </w:rPr>
            </w:pPr>
          </w:p>
        </w:tc>
        <w:tc>
          <w:tcPr>
            <w:tcW w:w="15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Valuation Techniques/</w:t>
            </w:r>
          </w:p>
        </w:tc>
        <w:tc>
          <w:tcPr>
            <w:tcW w:w="80" w:type="dxa"/>
            <w:vAlign w:val="bottom"/>
          </w:tcPr>
          <w:p>
            <w:pPr>
              <w:spacing w:after="0"/>
              <w:rPr>
                <w:sz w:val="13"/>
                <w:szCs w:val="13"/>
                <w:color w:val="auto"/>
              </w:rPr>
            </w:pPr>
          </w:p>
        </w:tc>
        <w:tc>
          <w:tcPr>
            <w:tcW w:w="15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3"/>
                <w:szCs w:val="13"/>
                <w:color w:val="auto"/>
              </w:rPr>
            </w:pPr>
          </w:p>
        </w:tc>
        <w:tc>
          <w:tcPr>
            <w:tcW w:w="18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Range/Weighted</w:t>
            </w:r>
          </w:p>
        </w:tc>
        <w:tc>
          <w:tcPr>
            <w:tcW w:w="0" w:type="dxa"/>
            <w:vAlign w:val="bottom"/>
          </w:tcPr>
          <w:p>
            <w:pPr>
              <w:spacing w:after="0"/>
              <w:rPr>
                <w:sz w:val="1"/>
                <w:szCs w:val="1"/>
                <w:color w:val="auto"/>
              </w:rPr>
            </w:pPr>
          </w:p>
        </w:tc>
      </w:tr>
      <w:tr>
        <w:trPr>
          <w:trHeight w:val="176"/>
        </w:trPr>
        <w:tc>
          <w:tcPr>
            <w:tcW w:w="1980" w:type="dxa"/>
            <w:vAlign w:val="bottom"/>
            <w:gridSpan w:val="4"/>
            <w:vMerge w:val="continue"/>
          </w:tcPr>
          <w:p>
            <w:pPr>
              <w:spacing w:after="0"/>
              <w:rPr>
                <w:sz w:val="15"/>
                <w:szCs w:val="15"/>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March 31, 2017</w:t>
            </w:r>
          </w:p>
        </w:tc>
        <w:tc>
          <w:tcPr>
            <w:tcW w:w="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Methodologies</w:t>
            </w: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center"/>
              <w:ind w:right="476"/>
              <w:spacing w:after="0" w:line="176" w:lineRule="exact"/>
              <w:rPr>
                <w:sz w:val="20"/>
                <w:szCs w:val="20"/>
                <w:color w:val="auto"/>
              </w:rPr>
            </w:pPr>
            <w:r>
              <w:rPr>
                <w:rFonts w:ascii="Arial" w:cs="Arial" w:eastAsia="Arial" w:hAnsi="Arial"/>
                <w:sz w:val="13"/>
                <w:szCs w:val="13"/>
                <w:b w:val="1"/>
                <w:bCs w:val="1"/>
                <w:color w:val="auto"/>
                <w:w w:val="94"/>
              </w:rPr>
              <w:t>Average</w:t>
            </w:r>
            <w:r>
              <w:rPr>
                <w:rFonts w:ascii="Arial" w:cs="Arial" w:eastAsia="Arial" w:hAnsi="Arial"/>
                <w:sz w:val="20"/>
                <w:szCs w:val="20"/>
                <w:b w:val="1"/>
                <w:bCs w:val="1"/>
                <w:color w:val="auto"/>
                <w:w w:val="94"/>
                <w:vertAlign w:val="superscript"/>
              </w:rPr>
              <w:t>(5)</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99"/>
              </w:rPr>
              <w:t>in millions)</w:t>
            </w:r>
          </w:p>
        </w:tc>
        <w:tc>
          <w:tcPr>
            <w:tcW w:w="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CLO debt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quotes</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1"/>
              </w:rPr>
              <w:t>NBIB</w:t>
            </w:r>
            <w:r>
              <w:rPr>
                <w:rFonts w:ascii="Arial" w:cs="Arial" w:eastAsia="Arial" w:hAnsi="Arial"/>
                <w:sz w:val="29"/>
                <w:szCs w:val="29"/>
                <w:color w:val="auto"/>
                <w:w w:val="91"/>
                <w:vertAlign w:val="superscript"/>
              </w:rPr>
              <w:t>(1)</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82.4%</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90.2%/86.9%</w:t>
            </w:r>
          </w:p>
        </w:tc>
        <w:tc>
          <w:tcPr>
            <w:tcW w:w="0" w:type="dxa"/>
            <w:vAlign w:val="bottom"/>
          </w:tcPr>
          <w:p>
            <w:pPr>
              <w:spacing w:after="0"/>
              <w:rPr>
                <w:sz w:val="1"/>
                <w:szCs w:val="1"/>
                <w:color w:val="auto"/>
              </w:rPr>
            </w:pPr>
          </w:p>
        </w:tc>
      </w:tr>
      <w:tr>
        <w:trPr>
          <w:trHeight w:val="257"/>
        </w:trPr>
        <w:tc>
          <w:tcPr>
            <w:tcW w:w="1980" w:type="dxa"/>
            <w:vAlign w:val="bottom"/>
            <w:gridSpan w:val="4"/>
          </w:tcPr>
          <w:p>
            <w:pPr>
              <w:ind w:left="20"/>
              <w:spacing w:after="0"/>
              <w:rPr>
                <w:sz w:val="20"/>
                <w:szCs w:val="20"/>
                <w:color w:val="auto"/>
              </w:rPr>
            </w:pPr>
            <w:r>
              <w:rPr>
                <w:rFonts w:ascii="Arial" w:cs="Arial" w:eastAsia="Arial" w:hAnsi="Arial"/>
                <w:sz w:val="18"/>
                <w:szCs w:val="18"/>
                <w:color w:val="auto"/>
              </w:rPr>
              <w:t>CLO equity</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Market quotes</w:t>
            </w:r>
          </w:p>
        </w:tc>
        <w:tc>
          <w:tcPr>
            <w:tcW w:w="80" w:type="dxa"/>
            <w:vAlign w:val="bottom"/>
          </w:tcPr>
          <w:p>
            <w:pPr>
              <w:spacing w:after="0"/>
              <w:rPr>
                <w:sz w:val="22"/>
                <w:szCs w:val="22"/>
                <w:color w:val="auto"/>
              </w:rPr>
            </w:pPr>
          </w:p>
        </w:tc>
        <w:tc>
          <w:tcPr>
            <w:tcW w:w="1500" w:type="dxa"/>
            <w:vAlign w:val="bottom"/>
          </w:tcPr>
          <w:p>
            <w:pPr>
              <w:jc w:val="center"/>
              <w:spacing w:after="0" w:line="256" w:lineRule="exact"/>
              <w:rPr>
                <w:sz w:val="20"/>
                <w:szCs w:val="20"/>
                <w:color w:val="auto"/>
              </w:rPr>
            </w:pPr>
            <w:r>
              <w:rPr>
                <w:rFonts w:ascii="Arial" w:cs="Arial" w:eastAsia="Arial" w:hAnsi="Arial"/>
                <w:sz w:val="18"/>
                <w:szCs w:val="18"/>
                <w:color w:val="auto"/>
                <w:w w:val="91"/>
              </w:rPr>
              <w:t>NBIB</w:t>
            </w:r>
            <w:r>
              <w:rPr>
                <w:rFonts w:ascii="Arial" w:cs="Arial" w:eastAsia="Arial" w:hAnsi="Arial"/>
                <w:sz w:val="29"/>
                <w:szCs w:val="29"/>
                <w:color w:val="auto"/>
                <w:w w:val="91"/>
                <w:vertAlign w:val="superscript"/>
              </w:rPr>
              <w:t>(1)</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w w:val="90"/>
              </w:rPr>
              <w:t>32.0%</w:t>
            </w:r>
          </w:p>
        </w:tc>
        <w:tc>
          <w:tcPr>
            <w:tcW w:w="1320" w:type="dxa"/>
            <w:vAlign w:val="bottom"/>
          </w:tcPr>
          <w:p>
            <w:pPr>
              <w:ind w:left="20"/>
              <w:spacing w:after="0"/>
              <w:rPr>
                <w:sz w:val="20"/>
                <w:szCs w:val="20"/>
                <w:color w:val="auto"/>
              </w:rPr>
            </w:pPr>
            <w:r>
              <w:rPr>
                <w:rFonts w:ascii="Arial" w:cs="Arial" w:eastAsia="Arial" w:hAnsi="Arial"/>
                <w:sz w:val="18"/>
                <w:szCs w:val="18"/>
                <w:color w:val="auto"/>
                <w:w w:val="96"/>
              </w:rPr>
              <w:t>– 105.0%/63.6%</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Recent transactions</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8"/>
              </w:rPr>
              <w:t>Actual trade</w:t>
            </w:r>
            <w:r>
              <w:rPr>
                <w:rFonts w:ascii="Arial" w:cs="Arial" w:eastAsia="Arial" w:hAnsi="Arial"/>
                <w:sz w:val="29"/>
                <w:szCs w:val="29"/>
                <w:color w:val="auto"/>
                <w:w w:val="88"/>
                <w:vertAlign w:val="superscript"/>
              </w:rPr>
              <w:t>(2)</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23.8%</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100.0%/73.9%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Yield Analysis</w:t>
            </w:r>
          </w:p>
        </w:tc>
        <w:tc>
          <w:tcPr>
            <w:tcW w:w="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Yield assumptions</w:t>
            </w:r>
          </w:p>
        </w:tc>
        <w:tc>
          <w:tcPr>
            <w:tcW w:w="1980" w:type="dxa"/>
            <w:vAlign w:val="bottom"/>
            <w:gridSpan w:val="3"/>
          </w:tcPr>
          <w:p>
            <w:pPr>
              <w:ind w:left="180"/>
              <w:spacing w:after="0" w:line="256" w:lineRule="exact"/>
              <w:rPr>
                <w:sz w:val="20"/>
                <w:szCs w:val="20"/>
                <w:color w:val="auto"/>
              </w:rPr>
            </w:pPr>
            <w:r>
              <w:rPr>
                <w:rFonts w:ascii="Arial" w:cs="Arial" w:eastAsia="Arial" w:hAnsi="Arial"/>
                <w:sz w:val="18"/>
                <w:szCs w:val="18"/>
                <w:color w:val="auto"/>
              </w:rPr>
              <w:t>43.3%</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05"/>
        </w:trPr>
        <w:tc>
          <w:tcPr>
            <w:tcW w:w="1980" w:type="dxa"/>
            <w:vAlign w:val="bottom"/>
            <w:gridSpan w:val="4"/>
            <w:shd w:val="clear" w:color="auto" w:fill="CCEEFF"/>
          </w:tcPr>
          <w:p>
            <w:pPr>
              <w:ind w:left="20"/>
              <w:spacing w:after="0" w:line="206" w:lineRule="exact"/>
              <w:rPr>
                <w:sz w:val="20"/>
                <w:szCs w:val="20"/>
                <w:color w:val="auto"/>
              </w:rPr>
            </w:pPr>
            <w:r>
              <w:rPr>
                <w:rFonts w:ascii="Arial" w:cs="Arial" w:eastAsia="Arial" w:hAnsi="Arial"/>
                <w:sz w:val="18"/>
                <w:szCs w:val="18"/>
                <w:color w:val="auto"/>
              </w:rPr>
              <w:t>CLO equity – side</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8"/>
              </w:rPr>
              <w:t>Discounted cash</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letters</w:t>
            </w: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center"/>
              <w:spacing w:after="0" w:line="266" w:lineRule="exact"/>
              <w:rPr>
                <w:sz w:val="20"/>
                <w:szCs w:val="20"/>
                <w:color w:val="auto"/>
              </w:rPr>
            </w:pPr>
            <w:r>
              <w:rPr>
                <w:rFonts w:ascii="Arial" w:cs="Arial" w:eastAsia="Arial" w:hAnsi="Arial"/>
                <w:sz w:val="18"/>
                <w:szCs w:val="18"/>
                <w:color w:val="auto"/>
                <w:w w:val="88"/>
              </w:rPr>
              <w:t>flow</w:t>
            </w:r>
            <w:r>
              <w:rPr>
                <w:rFonts w:ascii="Arial" w:cs="Arial" w:eastAsia="Arial" w:hAnsi="Arial"/>
                <w:sz w:val="30"/>
                <w:szCs w:val="30"/>
                <w:color w:val="auto"/>
                <w:w w:val="88"/>
                <w:vertAlign w:val="superscript"/>
              </w:rPr>
              <w:t>(4)</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center"/>
              <w:spacing w:after="0" w:line="266" w:lineRule="exact"/>
              <w:rPr>
                <w:sz w:val="20"/>
                <w:szCs w:val="20"/>
                <w:color w:val="auto"/>
              </w:rPr>
            </w:pPr>
            <w:r>
              <w:rPr>
                <w:rFonts w:ascii="Arial" w:cs="Arial" w:eastAsia="Arial" w:hAnsi="Arial"/>
                <w:sz w:val="18"/>
                <w:szCs w:val="18"/>
                <w:color w:val="auto"/>
                <w:w w:val="87"/>
              </w:rPr>
              <w:t>Discount rate</w:t>
            </w:r>
            <w:r>
              <w:rPr>
                <w:rFonts w:ascii="Arial" w:cs="Arial" w:eastAsia="Arial" w:hAnsi="Arial"/>
                <w:sz w:val="30"/>
                <w:szCs w:val="30"/>
                <w:color w:val="auto"/>
                <w:w w:val="87"/>
                <w:vertAlign w:val="superscript"/>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8.2% – 19.5%/16.3%</w:t>
            </w:r>
          </w:p>
        </w:tc>
        <w:tc>
          <w:tcPr>
            <w:tcW w:w="0" w:type="dxa"/>
            <w:vAlign w:val="bottom"/>
          </w:tcPr>
          <w:p>
            <w:pPr>
              <w:spacing w:after="0"/>
              <w:rPr>
                <w:sz w:val="1"/>
                <w:szCs w:val="1"/>
                <w:color w:val="auto"/>
              </w:rPr>
            </w:pPr>
          </w:p>
        </w:tc>
      </w:tr>
      <w:tr>
        <w:trPr>
          <w:trHeight w:val="195"/>
        </w:trPr>
        <w:tc>
          <w:tcPr>
            <w:tcW w:w="1980" w:type="dxa"/>
            <w:vAlign w:val="bottom"/>
            <w:gridSpan w:val="4"/>
          </w:tcPr>
          <w:p>
            <w:pPr>
              <w:ind w:left="20"/>
              <w:spacing w:after="0" w:line="195" w:lineRule="exact"/>
              <w:rPr>
                <w:sz w:val="20"/>
                <w:szCs w:val="20"/>
                <w:color w:val="auto"/>
              </w:rPr>
            </w:pPr>
            <w:r>
              <w:rPr>
                <w:rFonts w:ascii="Arial" w:cs="Arial" w:eastAsia="Arial" w:hAnsi="Arial"/>
                <w:sz w:val="18"/>
                <w:szCs w:val="18"/>
                <w:color w:val="auto"/>
                <w:w w:val="96"/>
              </w:rPr>
              <w:t>Total Fair Value for Level</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gridSpan w:val="3"/>
          </w:tcPr>
          <w:p>
            <w:pPr>
              <w:ind w:left="180"/>
              <w:spacing w:after="0"/>
              <w:rPr>
                <w:sz w:val="20"/>
                <w:szCs w:val="20"/>
                <w:color w:val="auto"/>
              </w:rPr>
            </w:pPr>
            <w:r>
              <w:rPr>
                <w:rFonts w:ascii="Arial" w:cs="Arial" w:eastAsia="Arial" w:hAnsi="Arial"/>
                <w:sz w:val="18"/>
                <w:szCs w:val="18"/>
                <w:color w:val="auto"/>
              </w:rPr>
              <w:t>3 Investments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-505460</wp:posOffset>
            </wp:positionV>
            <wp:extent cx="5213985"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236" w:lineRule="exact"/>
        <w:rPr>
          <w:sz w:val="20"/>
          <w:szCs w:val="20"/>
          <w:color w:val="auto"/>
        </w:rPr>
      </w:pPr>
    </w:p>
    <w:p>
      <w:pPr>
        <w:ind w:left="300" w:right="559" w:hanging="272"/>
        <w:spacing w:after="0" w:line="255"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Fund generally uses non-binding indicative bid (“NBIB”) prices provided by an independent pricing service or broker on or near the valuation date as the primary basis for the fair value determinations for CLO debt and equity investments, which may be adjusted for pending equity distributions as of the valuation date. These bid prices are non-binding, and may not be determinative of fair value. Each bid price is evaluated by the Board of Directors in conjunction with additional information compiled by OXLC Management, including performance and covenant compliance information as provided by the independent trustee.</w:t>
      </w:r>
    </w:p>
    <w:p>
      <w:pPr>
        <w:spacing w:after="0" w:line="85" w:lineRule="exact"/>
        <w:rPr>
          <w:rFonts w:ascii="Arial" w:cs="Arial" w:eastAsia="Arial" w:hAnsi="Arial"/>
          <w:sz w:val="18"/>
          <w:szCs w:val="18"/>
          <w:color w:val="auto"/>
        </w:rPr>
      </w:pPr>
    </w:p>
    <w:p>
      <w:pPr>
        <w:ind w:left="300" w:right="719" w:hanging="272"/>
        <w:spacing w:after="0" w:line="308"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Prices provided by independent pricing services are evaluated in conjunction with actual trades, and in certain cases, the value represented by actual trades may be more representative of fair value as determined by the Board of Directors.</w:t>
      </w:r>
    </w:p>
    <w:p>
      <w:pPr>
        <w:spacing w:after="0" w:line="38" w:lineRule="exact"/>
        <w:rPr>
          <w:rFonts w:ascii="Arial" w:cs="Arial" w:eastAsia="Arial" w:hAnsi="Arial"/>
          <w:sz w:val="17"/>
          <w:szCs w:val="17"/>
          <w:color w:val="auto"/>
        </w:rPr>
      </w:pPr>
    </w:p>
    <w:p>
      <w:pPr>
        <w:ind w:left="300" w:hanging="27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single investment fair value position, and therefore the range/weighted average is not applicable.</w:t>
      </w:r>
    </w:p>
    <w:p>
      <w:pPr>
        <w:spacing w:after="0" w:line="117" w:lineRule="exact"/>
        <w:rPr>
          <w:rFonts w:ascii="Arial" w:cs="Arial" w:eastAsia="Arial" w:hAnsi="Arial"/>
          <w:sz w:val="18"/>
          <w:szCs w:val="18"/>
          <w:color w:val="auto"/>
        </w:rPr>
      </w:pPr>
    </w:p>
    <w:p>
      <w:pPr>
        <w:ind w:left="300" w:right="539" w:hanging="272"/>
        <w:spacing w:after="0" w:line="25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Fund will calculate the fair value of CLO equity side letters based upon the net present value of expected contractual payment streams discounted using estimated market yields for the equity tranche of the respective CLO vehicle. OXLC will also consider those investments in which the record date for an equity distribution payment falls on the last day of the period, and the likelihood that a prospective purchaser would require an adjustment to the transaction price representing substantially all of the pending distribution.</w:t>
      </w:r>
    </w:p>
    <w:p>
      <w:pPr>
        <w:spacing w:after="0" w:line="80" w:lineRule="exact"/>
        <w:rPr>
          <w:rFonts w:ascii="Arial" w:cs="Arial" w:eastAsia="Arial" w:hAnsi="Arial"/>
          <w:sz w:val="18"/>
          <w:szCs w:val="18"/>
          <w:color w:val="auto"/>
        </w:rPr>
      </w:pPr>
    </w:p>
    <w:p>
      <w:pPr>
        <w:ind w:left="300" w:hanging="27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Weighted averages are calculated based on fair value of investments.</w:t>
      </w:r>
    </w:p>
    <w:p>
      <w:pPr>
        <w:spacing w:after="0" w:line="117"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Significant increases or decreases in any of the unobservable inputs in isolation may result in a significantly lower or higher fair value measurement.</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0" w:name="page21"/>
    <w:bookmarkEnd w:id="2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FAIR VALUE – (continued)</w:t>
      </w:r>
    </w:p>
    <w:p>
      <w:pPr>
        <w:spacing w:after="0" w:line="121"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A reconciliation of the fair value of investments for the year ended March 31, 2017, utilizing significant unobservable inputs,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Collateralized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Collateralized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Loan Obligation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Loan Obligation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Debt Investments</w:t>
            </w:r>
          </w:p>
        </w:tc>
        <w:tc>
          <w:tcPr>
            <w:tcW w:w="160" w:type="dxa"/>
            <w:vAlign w:val="bottom"/>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Equity Investments</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March 31, 2016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3480" w:type="dxa"/>
            <w:vAlign w:val="bottom"/>
            <w:gridSpan w:val="3"/>
          </w:tcPr>
          <w:p>
            <w:pPr>
              <w:ind w:left="20"/>
              <w:spacing w:after="0"/>
              <w:rPr>
                <w:sz w:val="20"/>
                <w:szCs w:val="20"/>
                <w:color w:val="auto"/>
              </w:rPr>
            </w:pPr>
            <w:r>
              <w:rPr>
                <w:rFonts w:ascii="Arial" w:cs="Arial" w:eastAsia="Arial" w:hAnsi="Arial"/>
                <w:sz w:val="18"/>
                <w:szCs w:val="18"/>
                <w:color w:val="auto"/>
                <w:w w:val="97"/>
              </w:rPr>
              <w:t>Realized gains (losses) included in 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34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Unrealized appreciation included in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2"/>
        </w:trPr>
        <w:tc>
          <w:tcPr>
            <w:tcW w:w="34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Amortization/accretion of discounts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premiums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Repayments and sales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(196.5)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57"/>
        </w:trPr>
        <w:tc>
          <w:tcPr>
            <w:tcW w:w="34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Reductions to CLO equity cost value</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March 31, 2017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344.1</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195"/>
        </w:trPr>
        <w:tc>
          <w:tcPr>
            <w:tcW w:w="3480" w:type="dxa"/>
            <w:vAlign w:val="bottom"/>
            <w:tcBorders>
              <w:top w:val="single" w:sz="8" w:color="CCEEFF"/>
            </w:tcBorders>
            <w:gridSpan w:val="3"/>
          </w:tcPr>
          <w:p>
            <w:pPr>
              <w:ind w:left="20"/>
              <w:spacing w:after="0" w:line="195" w:lineRule="exact"/>
              <w:rPr>
                <w:sz w:val="20"/>
                <w:szCs w:val="20"/>
                <w:color w:val="auto"/>
              </w:rPr>
            </w:pPr>
            <w:r>
              <w:rPr>
                <w:rFonts w:ascii="Arial" w:cs="Arial" w:eastAsia="Arial" w:hAnsi="Arial"/>
                <w:sz w:val="18"/>
                <w:szCs w:val="18"/>
                <w:color w:val="auto"/>
              </w:rPr>
              <w:t>The amount of total gains for the period</w:t>
            </w: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included in earnings attributable to the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2"/>
              </w:rPr>
              <w:t>change in unrealized gains or losses related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to our Level 3 assets still held at the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9"/>
              </w:rPr>
              <w:t>reporting date and reported within the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rPr>
              <w:t>change in unrealized gains or losses 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color w:val="auto"/>
                <w:w w:val="94"/>
              </w:rPr>
              <w:t>investments in our Statement of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-1217295</wp:posOffset>
            </wp:positionV>
            <wp:extent cx="4751070" cy="1029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51070" cy="1029335"/>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59"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 to cost value on OXLC’s CLO equity investments represents the difference between distributions received, or entitled to be received, for the year ended March 31, 2017, of approximately $78.3 million and the effective yield interest income of approximately $55.7 million. A reduction to cost value is not made for warehouse investments (income of approximately $0.9 million for the year ended March 31, 2017).</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Fund’s policy is to recognize transfers in and transfers out of valuation levels as of the beginning of the reporting period.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transfers among Level 1, Level 2 and Level 3 during the year ended March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RELATED PARTY TRANSACTIONS</w:t>
      </w:r>
    </w:p>
    <w:p>
      <w:pPr>
        <w:spacing w:after="0" w:line="121" w:lineRule="exact"/>
        <w:rPr>
          <w:sz w:val="20"/>
          <w:szCs w:val="20"/>
          <w:color w:val="auto"/>
        </w:rPr>
      </w:pPr>
    </w:p>
    <w:p>
      <w:pPr>
        <w:ind w:left="60" w:right="1159" w:firstLine="270"/>
        <w:spacing w:after="0" w:line="264" w:lineRule="auto"/>
        <w:rPr>
          <w:sz w:val="20"/>
          <w:szCs w:val="20"/>
          <w:color w:val="auto"/>
        </w:rPr>
      </w:pPr>
      <w:r>
        <w:rPr>
          <w:rFonts w:ascii="Arial" w:cs="Arial" w:eastAsia="Arial" w:hAnsi="Arial"/>
          <w:sz w:val="18"/>
          <w:szCs w:val="18"/>
          <w:color w:val="auto"/>
        </w:rPr>
        <w:t>Effective September 9, 2010, the Fund entered into an agreement (“Investment Advisory Agreement”) with OXLC Management, a registered investment adviser under the Investment Advisers Act of 1940, as amended. BDC Partners is the managing member of OXLC Management and serves as the administrator of OXLC.</w:t>
      </w:r>
    </w:p>
    <w:p>
      <w:pPr>
        <w:spacing w:after="0" w:line="73" w:lineRule="exact"/>
        <w:rPr>
          <w:sz w:val="20"/>
          <w:szCs w:val="20"/>
          <w:color w:val="auto"/>
        </w:rPr>
      </w:pPr>
    </w:p>
    <w:p>
      <w:pPr>
        <w:ind w:left="60" w:right="599" w:firstLine="270"/>
        <w:spacing w:after="0" w:line="279" w:lineRule="auto"/>
        <w:rPr>
          <w:sz w:val="20"/>
          <w:szCs w:val="20"/>
          <w:color w:val="auto"/>
        </w:rPr>
      </w:pPr>
      <w:r>
        <w:rPr>
          <w:rFonts w:ascii="Arial" w:cs="Arial" w:eastAsia="Arial" w:hAnsi="Arial"/>
          <w:sz w:val="17"/>
          <w:szCs w:val="17"/>
          <w:color w:val="auto"/>
        </w:rPr>
        <w:t>Effective September 9, 2010, the Fund entered into an agreement (“Administration Agreement”) with BDC Partners to serve as its administrator. Under the Administration Agreement, BDC Partners performs, or oversees the performance of, the Fund’s required administrative services, which include, among other things, being responsible for the financial records which the Fund is required to maintain and for preparation of the reports to the Fund’s stockholders.</w:t>
      </w:r>
    </w:p>
    <w:p>
      <w:pPr>
        <w:spacing w:after="0" w:line="63" w:lineRule="exact"/>
        <w:rPr>
          <w:sz w:val="20"/>
          <w:szCs w:val="20"/>
          <w:color w:val="auto"/>
        </w:rPr>
      </w:pPr>
    </w:p>
    <w:p>
      <w:pPr>
        <w:ind w:left="60" w:right="579" w:firstLine="270"/>
        <w:spacing w:after="0" w:line="264" w:lineRule="auto"/>
        <w:rPr>
          <w:sz w:val="20"/>
          <w:szCs w:val="20"/>
          <w:color w:val="auto"/>
        </w:rPr>
      </w:pPr>
      <w:r>
        <w:rPr>
          <w:rFonts w:ascii="Arial" w:cs="Arial" w:eastAsia="Arial" w:hAnsi="Arial"/>
          <w:sz w:val="18"/>
          <w:szCs w:val="18"/>
          <w:color w:val="auto"/>
        </w:rPr>
        <w:t>Pursuant to the Investment Advisory Agreement, the Fund has agreed to pay OXLC Management a fee for advisory and management services consisting of two components — a base management fee (the “Base Fee” or “Investment Advisory Fee”) and an incentive fee.</w:t>
      </w:r>
    </w:p>
    <w:p>
      <w:pPr>
        <w:spacing w:after="0" w:line="73" w:lineRule="exact"/>
        <w:rPr>
          <w:sz w:val="20"/>
          <w:szCs w:val="20"/>
          <w:color w:val="auto"/>
        </w:rPr>
      </w:pPr>
    </w:p>
    <w:p>
      <w:pPr>
        <w:ind w:left="60" w:right="759" w:firstLine="270"/>
        <w:spacing w:after="0" w:line="277" w:lineRule="auto"/>
        <w:rPr>
          <w:sz w:val="20"/>
          <w:szCs w:val="20"/>
          <w:color w:val="auto"/>
        </w:rPr>
      </w:pPr>
      <w:r>
        <w:rPr>
          <w:rFonts w:ascii="Arial" w:cs="Arial" w:eastAsia="Arial" w:hAnsi="Arial"/>
          <w:sz w:val="18"/>
          <w:szCs w:val="18"/>
          <w:color w:val="auto"/>
        </w:rPr>
        <w:t>The base management fee is calculated at an annual rate of 2.00% of the Fund’s gross assets. For services rendered under the Investment Advisory Agreement, the base management fee is payable quarterly in</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RELATED PARTY TRANSACTIONS – (continued)</w:t>
      </w:r>
    </w:p>
    <w:p>
      <w:pPr>
        <w:spacing w:after="0" w:line="121" w:lineRule="exact"/>
        <w:rPr>
          <w:sz w:val="20"/>
          <w:szCs w:val="20"/>
          <w:color w:val="auto"/>
        </w:rPr>
      </w:pPr>
    </w:p>
    <w:p>
      <w:pPr>
        <w:ind w:left="40" w:right="599"/>
        <w:spacing w:after="0" w:line="286" w:lineRule="auto"/>
        <w:rPr>
          <w:sz w:val="20"/>
          <w:szCs w:val="20"/>
          <w:color w:val="auto"/>
        </w:rPr>
      </w:pPr>
      <w:r>
        <w:rPr>
          <w:rFonts w:ascii="Arial" w:cs="Arial" w:eastAsia="Arial" w:hAnsi="Arial"/>
          <w:sz w:val="17"/>
          <w:szCs w:val="17"/>
          <w:color w:val="auto"/>
        </w:rPr>
        <w:t>arrears. The base management fee is calculated based on the average value of the Fund’s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57"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base management fee, expenses payable under the Administration Agreement to BDC Partners, and any interest expense and dividends paid on any issued and outstanding preferred stock, but excluding the incentive fee). Pre-incentive fee net investment income includes accrued income that OXLC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our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OXLC’s net investment income used to calculate the incentive fee is also included in the amount of its gross assets used to calculate the 2.00% base management fee. The Fund pays OXLC Management an incentive fee with respect to the Fund’s pre-incentive fee net investment income in each calendar quarter as follows:</w:t>
      </w:r>
    </w:p>
    <w:p>
      <w:pPr>
        <w:spacing w:after="0" w:line="70" w:lineRule="exact"/>
        <w:rPr>
          <w:sz w:val="20"/>
          <w:szCs w:val="20"/>
          <w:color w:val="auto"/>
        </w:rPr>
      </w:pPr>
    </w:p>
    <w:p>
      <w:pPr>
        <w:ind w:left="600" w:right="71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Fund’s pre-incentive fee net investment income does not exceed the hurdle of 1.75%;</w:t>
      </w:r>
    </w:p>
    <w:p>
      <w:pPr>
        <w:spacing w:after="0" w:line="62" w:lineRule="exact"/>
        <w:rPr>
          <w:rFonts w:ascii="Arial" w:cs="Arial" w:eastAsia="Arial" w:hAnsi="Arial"/>
          <w:sz w:val="18"/>
          <w:szCs w:val="18"/>
          <w:color w:val="auto"/>
        </w:rPr>
      </w:pPr>
    </w:p>
    <w:p>
      <w:pPr>
        <w:ind w:left="600" w:right="579" w:hanging="322"/>
        <w:spacing w:after="0" w:line="297"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100% of pre-incentive fee net investment income with respect to that portion of such pre-incentive fee net investment income, if any, that exceeds the hurdle but is less than 2.1875% in any calendar quarter (8.75% annualized). The Fund refers to this portion of the pre-incentive fee net investment income (which exceeds the hurdle but is less than 2.1875%) as the “catch-up.” The “catch-up” is meant to provide the investment adviser with 20% of the pre-incentive fee net investment income as if a hurdle did not apply if the net investment income exceeds 2.1875% in any calendar quarter; and</w:t>
      </w:r>
    </w:p>
    <w:p>
      <w:pPr>
        <w:spacing w:after="0" w:line="50" w:lineRule="exact"/>
        <w:rPr>
          <w:rFonts w:ascii="Arial" w:cs="Arial" w:eastAsia="Arial" w:hAnsi="Arial"/>
          <w:sz w:val="16"/>
          <w:szCs w:val="16"/>
          <w:color w:val="auto"/>
        </w:rPr>
      </w:pPr>
    </w:p>
    <w:p>
      <w:pPr>
        <w:ind w:left="600" w:right="539" w:hanging="322"/>
        <w:spacing w:after="0" w:line="264"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 of the amount of pre-incentive fee net investment income, if any, that exceeds 2.1875% in any calendar quarter (8.75% annualized) is payable to OXLC Management (once the hurdle is reached and the “catch-up” is achieved, 20% of all pre-incentive fee net investment income thereafter is allocated to OXLC Management).</w:t>
      </w:r>
    </w:p>
    <w:p>
      <w:pPr>
        <w:spacing w:after="0" w:line="73" w:lineRule="exact"/>
        <w:rPr>
          <w:sz w:val="20"/>
          <w:szCs w:val="20"/>
          <w:color w:val="auto"/>
        </w:rPr>
      </w:pPr>
    </w:p>
    <w:p>
      <w:pPr>
        <w:jc w:val="both"/>
        <w:ind w:left="40" w:right="639" w:firstLine="270"/>
        <w:spacing w:after="0" w:line="264" w:lineRule="auto"/>
        <w:rPr>
          <w:sz w:val="20"/>
          <w:szCs w:val="20"/>
          <w:color w:val="auto"/>
        </w:rPr>
      </w:pPr>
      <w:r>
        <w:rPr>
          <w:rFonts w:ascii="Arial" w:cs="Arial" w:eastAsia="Arial" w:hAnsi="Arial"/>
          <w:sz w:val="18"/>
          <w:szCs w:val="18"/>
          <w:color w:val="auto"/>
        </w:rPr>
        <w:t>There is no offset in subsequent quarters for any quarter in which an incentive fee is not earned. For the year ended March 31, 2017, the Fund recognized incentive fee expense of approximately $7.5 million. At March 31, 2017, the Fund had an incentive fee payable of approximately $2.5 million.</w:t>
      </w:r>
    </w:p>
    <w:p>
      <w:pPr>
        <w:spacing w:after="0" w:line="73"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BDC Partners assists the Fund in determining and publishing the Fund’s net asset value,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BDC Partners’ overhead in performing its obligations under the Administration Agreement, including rent, and the Fund’s allocable portion of the compensation of the Fund’s chief financial officer and any administrative support staff, including accounting personnel. Other expenses that are paid by the Fund include legal, compliance, audit and tax</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RELATED PARTY TRANSACTIONS – (continued)</w:t>
      </w:r>
    </w:p>
    <w:p>
      <w:pPr>
        <w:spacing w:after="0" w:line="121" w:lineRule="exact"/>
        <w:rPr>
          <w:sz w:val="20"/>
          <w:szCs w:val="20"/>
          <w:color w:val="auto"/>
        </w:rPr>
      </w:pPr>
    </w:p>
    <w:p>
      <w:pPr>
        <w:ind w:left="60" w:right="659"/>
        <w:spacing w:after="0" w:line="259" w:lineRule="auto"/>
        <w:rPr>
          <w:sz w:val="20"/>
          <w:szCs w:val="20"/>
          <w:color w:val="auto"/>
        </w:rPr>
      </w:pPr>
      <w:r>
        <w:rPr>
          <w:rFonts w:ascii="Arial" w:cs="Arial" w:eastAsia="Arial" w:hAnsi="Arial"/>
          <w:sz w:val="18"/>
          <w:szCs w:val="18"/>
          <w:color w:val="auto"/>
        </w:rPr>
        <w:t>services, market data services, excise taxes, if any, and miscellaneous office expenses. The Administration Agreement may be terminated by either party without penalty upon 60 days’ written notice to the other party. The costs associated with the functions performed by OXLC’s chief compliance officer are paid indirectly by the Fund pursuant to the terms of an agreement between the Fund and Alaric Compliance Services, LLC.</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independent directors receive an annual fee of $75,000. In addition, the independent directors receive $2,000 plus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reimbursement of reasonable out-of-pocket expenses incurred in connection with attending each Board of Directors meeting,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$1,500 plus reimbursement of reasonable out-of-pocket expenses incurred in connection with attending each Valuation Committee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meeting and $1,000 plus reimbursement of reasonable out-of-pocket expenses incurred in connection with attending each Audit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Committee meeting. The Chairman of the Audit Committee also receives an additional annual fee of $10,000. No compensation 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paid to directors who are interested persons of the Fund as defined in the 1940 Act.</w:t>
      </w:r>
    </w:p>
    <w:p>
      <w:pPr>
        <w:spacing w:after="0" w:line="103" w:lineRule="exact"/>
        <w:rPr>
          <w:sz w:val="20"/>
          <w:szCs w:val="20"/>
          <w:color w:val="auto"/>
        </w:rPr>
      </w:pPr>
    </w:p>
    <w:p>
      <w:pPr>
        <w:ind w:left="60" w:right="559" w:firstLine="270"/>
        <w:spacing w:after="0" w:line="277" w:lineRule="auto"/>
        <w:rPr>
          <w:sz w:val="20"/>
          <w:szCs w:val="20"/>
          <w:color w:val="auto"/>
        </w:rPr>
      </w:pPr>
      <w:r>
        <w:rPr>
          <w:rFonts w:ascii="Arial" w:cs="Arial" w:eastAsia="Arial" w:hAnsi="Arial"/>
          <w:sz w:val="18"/>
          <w:szCs w:val="18"/>
          <w:color w:val="auto"/>
        </w:rPr>
        <w:t>Certain directors, officers and other related parties, including members of OXLC Management, owned, directly or indirectly, an aggregate 2.8% of the common stock of the Fund at March 31, 2017.</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CONCENTRATION OF CREDIT RISK</w:t>
      </w:r>
    </w:p>
    <w:p>
      <w:pPr>
        <w:spacing w:after="0" w:line="121" w:lineRule="exact"/>
        <w:rPr>
          <w:sz w:val="20"/>
          <w:szCs w:val="20"/>
          <w:color w:val="auto"/>
        </w:rPr>
      </w:pPr>
    </w:p>
    <w:p>
      <w:pPr>
        <w:ind w:left="60" w:right="679" w:firstLine="270"/>
        <w:spacing w:after="0" w:line="279" w:lineRule="auto"/>
        <w:rPr>
          <w:sz w:val="20"/>
          <w:szCs w:val="20"/>
          <w:color w:val="auto"/>
        </w:rPr>
      </w:pPr>
      <w:r>
        <w:rPr>
          <w:rFonts w:ascii="Arial" w:cs="Arial" w:eastAsia="Arial" w:hAnsi="Arial"/>
          <w:sz w:val="17"/>
          <w:szCs w:val="17"/>
          <w:color w:val="auto"/>
        </w:rPr>
        <w:t>The Fund places its cash in an overnight money market account and, at times, cash and cash equivalents may exceed the Federal Deposit Insurance Corporation insured limit. In addition, the Fund’s portfolio may be concentrated in a limited number of investments, which will subject the Fund to a risk of significant loss if any of these investments defaults on its obligations under any of its debt securities that the Fund holds or if those sectors experience a market downturn.</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DISTRIBUTIONS</w:t>
      </w:r>
    </w:p>
    <w:p>
      <w:pPr>
        <w:spacing w:after="0" w:line="121"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For the year ended March 31, 2017, the Fund declared and paid dividends on common stock of $2.40 per share, or $49,601,273. The Fund declared and paid dividends on common stock of $2.40 per share, or $43,289,314, for the year ended March 31, 2016. The tax character of distributions paid for the year ended March 31, 2017 represented ordinary income with no return of capital. The tax character of distributions paid for the year ended March 31, 2016 represented ordinary income with no return of capital. In addition, the Fund’s Board of Directors declared the following distributions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46907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Quarter Ending</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7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7"/>
              </w:rPr>
              <w:t>Per Share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16, 2017</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September 30, 2017</w:t>
            </w:r>
          </w:p>
        </w:tc>
        <w:tc>
          <w:tcPr>
            <w:tcW w:w="1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September 15, 2017</w:t>
            </w:r>
          </w:p>
        </w:tc>
        <w:tc>
          <w:tcPr>
            <w:tcW w:w="1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September 29, 2017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0.40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60" w:right="639" w:firstLine="270"/>
        <w:spacing w:after="0" w:line="264" w:lineRule="auto"/>
        <w:rPr>
          <w:sz w:val="20"/>
          <w:szCs w:val="20"/>
          <w:color w:val="auto"/>
        </w:rPr>
      </w:pPr>
      <w:r>
        <w:rPr>
          <w:rFonts w:ascii="Arial" w:cs="Arial" w:eastAsia="Arial" w:hAnsi="Arial"/>
          <w:sz w:val="18"/>
          <w:szCs w:val="18"/>
          <w:color w:val="auto"/>
        </w:rPr>
        <w:t>For the year ended March 31, 2017 and the year ended March 31, 2016 the Fund also declared and paid dividends on preferred stock of $9,947,082 and $12,668,482, respectively. The tax character of distributions paid on preferred stock represented ordinary income.</w:t>
      </w:r>
    </w:p>
    <w:p>
      <w:pPr>
        <w:spacing w:after="0" w:line="73" w:lineRule="exact"/>
        <w:rPr>
          <w:sz w:val="20"/>
          <w:szCs w:val="20"/>
          <w:color w:val="auto"/>
        </w:rPr>
      </w:pPr>
    </w:p>
    <w:p>
      <w:pPr>
        <w:ind w:left="60" w:right="579" w:firstLine="270"/>
        <w:spacing w:after="0" w:line="271" w:lineRule="auto"/>
        <w:rPr>
          <w:sz w:val="20"/>
          <w:szCs w:val="20"/>
          <w:color w:val="auto"/>
        </w:rPr>
      </w:pPr>
      <w:r>
        <w:rPr>
          <w:rFonts w:ascii="Arial" w:cs="Arial" w:eastAsia="Arial" w:hAnsi="Arial"/>
          <w:sz w:val="17"/>
          <w:szCs w:val="17"/>
          <w:color w:val="auto"/>
        </w:rPr>
        <w:t>In December 2010, the Regulated Investment Company Modernization Act of 2010 (the “Act”) was enacted, which changed various technical rules governing the tax treatment of regulated investment companies. The changes are generally effective for taxable years beginning after the date of enactment. Under the Act, the Fund is permitted to carry forward capital losses incurred in taxable years beginning after the date of enactment for an unlimited period. However, any losses incurred during those future taxable years will be required to be utilized prior to the losses incurred in pre-enactment taxable years, which carry an expiration date. As a result of this ordering rule, pre-enactment capital loss carryforwards may be more likely to expire unused. Additionally, post-enactment capital losses that are carried forward will retain their character as either short-term or long-term losses rather than being considered all short-term as under previous law.</w:t>
      </w: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DISTRIBUTIONS – (continued)</w:t>
      </w:r>
    </w:p>
    <w:p>
      <w:pPr>
        <w:spacing w:after="0" w:line="121" w:lineRule="exact"/>
        <w:rPr>
          <w:sz w:val="20"/>
          <w:szCs w:val="20"/>
          <w:color w:val="auto"/>
        </w:rPr>
      </w:pPr>
    </w:p>
    <w:p>
      <w:pPr>
        <w:ind w:left="60" w:right="599" w:firstLine="270"/>
        <w:spacing w:after="0" w:line="257" w:lineRule="auto"/>
        <w:rPr>
          <w:sz w:val="20"/>
          <w:szCs w:val="20"/>
          <w:color w:val="auto"/>
        </w:rPr>
      </w:pPr>
      <w:r>
        <w:rPr>
          <w:rFonts w:ascii="Arial" w:cs="Arial" w:eastAsia="Arial" w:hAnsi="Arial"/>
          <w:sz w:val="18"/>
          <w:szCs w:val="18"/>
          <w:color w:val="auto"/>
        </w:rPr>
        <w:t>For the fiscal year ended March 31, 2017, the Fund has available $49,584,288 of long-term capital losses, which can be used to offset future capital gains. These losses represent post-RIC modernization losses not subject to expiration. Under the current law, capital losses related to securities realized after October 31 and prior to the Fund’s fiscal year end may be deferred as occurring the first day of the following fiscal year. For the fiscal year ended March 31, 2017, the Fund has deferred such losses in the amount of $7,048,829, which is comprised of long-term losses.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the estimated components of accumulated earnings on a tax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42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Distributable ordinary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2,881,975</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Distributable long-term capital gains (capital loss carry forward)</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(49,584,288)</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Unrealized depreciation on investments</w:t>
            </w:r>
          </w:p>
        </w:tc>
        <w:tc>
          <w:tcPr>
            <w:tcW w:w="9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(42,543,339)</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timing differences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(7,057,579)</w:t>
            </w:r>
          </w:p>
        </w:tc>
      </w:tr>
    </w:tbl>
    <w:p>
      <w:pPr>
        <w:spacing w:after="0" w:line="94" w:lineRule="exact"/>
        <w:rPr>
          <w:sz w:val="20"/>
          <w:szCs w:val="20"/>
          <w:color w:val="auto"/>
        </w:rPr>
      </w:pPr>
    </w:p>
    <w:p>
      <w:pPr>
        <w:ind w:left="60" w:right="579" w:firstLine="270"/>
        <w:spacing w:after="0" w:line="255" w:lineRule="auto"/>
        <w:rPr>
          <w:sz w:val="20"/>
          <w:szCs w:val="20"/>
          <w:color w:val="auto"/>
        </w:rPr>
      </w:pPr>
      <w:r>
        <w:rPr>
          <w:rFonts w:ascii="Arial" w:cs="Arial" w:eastAsia="Arial" w:hAnsi="Arial"/>
          <w:sz w:val="18"/>
          <w:szCs w:val="18"/>
          <w:color w:val="auto"/>
        </w:rPr>
        <w:t>The tax basis components of accumulated earnings differ from the amounts reflected in the Statement of Assets and Liabilities due to temporary book/tax differences primarily arising from investments in CLO equity investments and permanent book/tax differences attributable to non-deductible excise taxes. For the year ended March 31, 2017, the permanent differences between financial and tax reporting were due to basis adjustments on the sale of CLO equity investments, resulting in a decrease of distributions in excess of investment income, and an increase in accumulated net realized loss on investments of $5,178,533. These amounts will be finalized before filing the federal tax return.</w:t>
      </w:r>
    </w:p>
    <w:p>
      <w:pPr>
        <w:spacing w:after="0" w:line="85" w:lineRule="exact"/>
        <w:rPr>
          <w:sz w:val="20"/>
          <w:szCs w:val="20"/>
          <w:color w:val="auto"/>
        </w:rPr>
      </w:pPr>
    </w:p>
    <w:p>
      <w:pPr>
        <w:jc w:val="both"/>
        <w:ind w:left="60" w:right="979" w:firstLine="270"/>
        <w:spacing w:after="0" w:line="264" w:lineRule="auto"/>
        <w:rPr>
          <w:sz w:val="20"/>
          <w:szCs w:val="20"/>
          <w:color w:val="auto"/>
        </w:rPr>
      </w:pPr>
      <w:r>
        <w:rPr>
          <w:rFonts w:ascii="Arial" w:cs="Arial" w:eastAsia="Arial" w:hAnsi="Arial"/>
          <w:sz w:val="18"/>
          <w:szCs w:val="18"/>
          <w:color w:val="auto"/>
        </w:rPr>
        <w:t>As of March 31, 2017, the aggregate gross unrealized appreciation for tax purposes was $23,485,430, and aggregate gross unrealized depreciation was $66,028,769. For tax purposes, the cost basis of the portfolio investments at March 31, 2017 was $399,298,798.</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MANDATORILY REDEEMABLE PREFERRED STOCK</w:t>
      </w:r>
    </w:p>
    <w:p>
      <w:pPr>
        <w:spacing w:after="0" w:line="121" w:lineRule="exact"/>
        <w:rPr>
          <w:sz w:val="20"/>
          <w:szCs w:val="20"/>
          <w:color w:val="auto"/>
        </w:rPr>
      </w:pPr>
    </w:p>
    <w:p>
      <w:pPr>
        <w:ind w:left="60" w:right="519" w:firstLine="270"/>
        <w:spacing w:after="0" w:line="269" w:lineRule="auto"/>
        <w:rPr>
          <w:sz w:val="20"/>
          <w:szCs w:val="20"/>
          <w:color w:val="auto"/>
        </w:rPr>
      </w:pPr>
      <w:r>
        <w:rPr>
          <w:rFonts w:ascii="Arial" w:cs="Arial" w:eastAsia="Arial" w:hAnsi="Arial"/>
          <w:sz w:val="17"/>
          <w:szCs w:val="17"/>
          <w:color w:val="auto"/>
        </w:rPr>
        <w:t>The Fund has authorized 10 million shares of mandatorily redeemable preferred stock, at a par value of $0.01 per share, and had 5,636,180 shares issued and outstanding at March 31, 2017. Since 2012 and through July 17, 2015, the Fund completed underwritten public offerings of its 7.50% Series 2023 Term Preferred Shares (the “Series 2023 Shares”) and 8.125% Series 2024 Term Preferred Shares (the “Series 2024 Shares”), collectively the “Term Preferred Shares” or “Term Shares.” The Fund is required to redeem all of the outstanding Term Preferred Shares on their respective redemption dates, at a redemption price equal to $25 per share plus an amount equal to accumulated but unpaid dividends, if any, to the date of the redemption. OXLC cannot effect any amendment, alteration, or repeal of the Fund’s obligation to redeem all of the Term Shares without the prior unanimous vote or consent of the holders of such Term Shares. At any time on or after the optional redemption date, at the Fund’s sole option, the Fund may redeem the Term Shares at a redemption price per share equal to the sum of the $25 liquidation preference per share plus an amount equal to accumulated but unpaid dividends, if any, on such Term Shares. The Fund, with the authorization by the Board of Directors, may repurchase any of the Series 2023 Shares and/or Series 2024 Shares from time to time in the open market and effectively extinguish the debt.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March 21, 2016, the Fund announced a program for the purpose of repurchasing up to $25 million worth of the outstanding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shares of the Series 2023 Shares and up to $25 million worth of the outstanding shares of the Series 2024 Shares. Under this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 program, the Fund repurchased 609,537 shares of the Series 2023 Shares, at an average price of $25.20 per share,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2,712 shares of the Series 2024 Shares, at an average price of $25.40 per share, for the year ended March 31, 2017. In connection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with the repurchased Series 2023 Shares, the Fund recognized as interest expense a net extinguishment loss of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$615,000, consisting of previously unamortized deferred issuance costs of approximately $490,000, in addition to repurchases at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premium to par of approximately $125,000. In connection with the repurchased</w:t>
      </w:r>
    </w:p>
    <w:p>
      <w:pPr>
        <w:spacing w:after="0" w:line="200" w:lineRule="exact"/>
        <w:rPr>
          <w:sz w:val="20"/>
          <w:szCs w:val="20"/>
          <w:color w:val="auto"/>
        </w:rPr>
      </w:pPr>
    </w:p>
    <w:p>
      <w:pPr>
        <w:spacing w:after="0" w:line="34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MANDATORILY REDEEMABLE PREFERRED STOCK – (continued)</w:t>
      </w:r>
    </w:p>
    <w:p>
      <w:pPr>
        <w:spacing w:after="0" w:line="121" w:lineRule="exact"/>
        <w:rPr>
          <w:sz w:val="20"/>
          <w:szCs w:val="20"/>
          <w:color w:val="auto"/>
        </w:rPr>
      </w:pPr>
    </w:p>
    <w:p>
      <w:pPr>
        <w:jc w:val="both"/>
        <w:ind w:left="60" w:right="939"/>
        <w:spacing w:after="0" w:line="264" w:lineRule="auto"/>
        <w:rPr>
          <w:sz w:val="20"/>
          <w:szCs w:val="20"/>
          <w:color w:val="auto"/>
        </w:rPr>
      </w:pPr>
      <w:r>
        <w:rPr>
          <w:rFonts w:ascii="Arial" w:cs="Arial" w:eastAsia="Arial" w:hAnsi="Arial"/>
          <w:sz w:val="18"/>
          <w:szCs w:val="18"/>
          <w:color w:val="auto"/>
        </w:rPr>
        <w:t>Series 2024 Shares, the Fund recognized as interest expense a net extinguishment loss of approximately $3,000, consisting of previously unamortized deferred issuance costs of approximately $2,000, in addition to repurchases at a net premium to par of approximately $1,000.</w:t>
      </w:r>
    </w:p>
    <w:p>
      <w:pPr>
        <w:spacing w:after="0" w:line="73" w:lineRule="exact"/>
        <w:rPr>
          <w:sz w:val="20"/>
          <w:szCs w:val="20"/>
          <w:color w:val="auto"/>
        </w:rPr>
      </w:pPr>
    </w:p>
    <w:p>
      <w:pPr>
        <w:ind w:left="60" w:right="619" w:firstLine="270"/>
        <w:spacing w:after="0" w:line="276" w:lineRule="auto"/>
        <w:rPr>
          <w:sz w:val="20"/>
          <w:szCs w:val="20"/>
          <w:color w:val="auto"/>
        </w:rPr>
      </w:pPr>
      <w:r>
        <w:rPr>
          <w:rFonts w:ascii="Arial" w:cs="Arial" w:eastAsia="Arial" w:hAnsi="Arial"/>
          <w:sz w:val="17"/>
          <w:szCs w:val="17"/>
          <w:color w:val="auto"/>
        </w:rPr>
        <w:t>On March 14, 2017, the Fund entered into an equity distribution agreement to sell through an “at-the-market” offering, up to 600,000 shares of the Fund’s Series 2023 Shares and up to 600,000 shares of the Fund’s Series 2024 Shares. The Fund sold a total 600,000 shares of its Series 2023 Shares and 1,300 shares of its Series 2024 Shares pursuant to the “at-the-market” offering during the year ended March 31, 2017. The total amount of net proceeds raised under this “at-the-market” offering was approximately $15.0 million after deducting the sales agent’s commissions and offering expenses.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Fund’s Term Preferred Share activity for the year ended March 31, 2017,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250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Series 2023</w:t>
            </w:r>
          </w:p>
        </w:tc>
        <w:tc>
          <w:tcPr>
            <w:tcW w:w="1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Series 2024</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Term Preferred</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Term Preferred</w:t>
            </w:r>
          </w:p>
        </w:tc>
        <w:tc>
          <w:tcPr>
            <w:tcW w:w="16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at March 31, 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3,625,538</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2,021,591</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5,647,129</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88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1,300</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601,300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extinguished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(609,537)</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(2,712)</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(612,249)</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8"/>
                <w:szCs w:val="18"/>
                <w:color w:val="auto"/>
              </w:rPr>
              <w:t>Shares outstanding at March 31, 2017</w:t>
            </w:r>
          </w:p>
        </w:tc>
        <w:tc>
          <w:tcPr>
            <w:tcW w:w="880" w:type="dxa"/>
            <w:vAlign w:val="bottom"/>
          </w:tcPr>
          <w:p>
            <w:pPr>
              <w:jc w:val="right"/>
              <w:spacing w:after="0"/>
              <w:rPr>
                <w:sz w:val="20"/>
                <w:szCs w:val="20"/>
                <w:color w:val="auto"/>
              </w:rPr>
            </w:pPr>
            <w:r>
              <w:rPr>
                <w:rFonts w:ascii="Arial" w:cs="Arial" w:eastAsia="Arial" w:hAnsi="Arial"/>
                <w:sz w:val="18"/>
                <w:szCs w:val="18"/>
                <w:color w:val="auto"/>
              </w:rPr>
              <w:t>3,616,001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2,020,179</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5,636,180</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Fund’s Term Preferred Share balances as of March 31,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25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Series 2023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Series 2024</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Term Preferred</w:t>
            </w:r>
          </w:p>
        </w:tc>
        <w:tc>
          <w:tcPr>
            <w:tcW w:w="16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Term Preferred</w:t>
            </w:r>
          </w:p>
        </w:tc>
        <w:tc>
          <w:tcPr>
            <w:tcW w:w="16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90,400,025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50,504,475</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$ 140,904,500</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Deferred issuance cost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(2,180,576)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(1,776,062)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(3,956,638)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(3,590,978)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(3,590,978)</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84,628,471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48,728,413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$ 133,356,884</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96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Fair value</w:t>
            </w:r>
            <w:r>
              <w:rPr>
                <w:rFonts w:ascii="Arial" w:cs="Arial" w:eastAsia="Arial" w:hAnsi="Arial"/>
                <w:sz w:val="28"/>
                <w:szCs w:val="2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92,461,146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51,898,399</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$ 144,359,545</w:t>
            </w:r>
          </w:p>
        </w:tc>
        <w:tc>
          <w:tcPr>
            <w:tcW w:w="0" w:type="dxa"/>
            <w:vAlign w:val="bottom"/>
          </w:tcPr>
          <w:p>
            <w:pPr>
              <w:spacing w:after="0"/>
              <w:rPr>
                <w:sz w:val="1"/>
                <w:szCs w:val="1"/>
                <w:color w:val="auto"/>
              </w:rPr>
            </w:pPr>
          </w:p>
        </w:tc>
      </w:tr>
      <w:tr>
        <w:trPr>
          <w:trHeight w:val="390"/>
        </w:trPr>
        <w:tc>
          <w:tcPr>
            <w:tcW w:w="3960" w:type="dxa"/>
            <w:vAlign w:val="bottom"/>
          </w:tcPr>
          <w:p>
            <w:pPr>
              <w:ind w:left="20"/>
              <w:spacing w:after="0"/>
              <w:rPr>
                <w:sz w:val="20"/>
                <w:szCs w:val="20"/>
                <w:color w:val="auto"/>
              </w:rPr>
            </w:pPr>
            <w:r>
              <w:rPr>
                <w:rFonts w:ascii="Arial" w:cs="Arial" w:eastAsia="Arial" w:hAnsi="Arial"/>
                <w:sz w:val="18"/>
                <w:szCs w:val="18"/>
                <w:color w:val="auto"/>
              </w:rPr>
              <w:t>Fair value price per share</w:t>
            </w:r>
            <w:r>
              <w:rPr>
                <w:rFonts w:ascii="Arial" w:cs="Arial" w:eastAsia="Arial" w:hAnsi="Arial"/>
                <w:sz w:val="30"/>
                <w:szCs w:val="30"/>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25.69</w:t>
            </w:r>
          </w:p>
        </w:tc>
        <w:tc>
          <w:tcPr>
            <w:tcW w:w="16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-589915</wp:posOffset>
            </wp:positionV>
            <wp:extent cx="475107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86995</wp:posOffset>
            </wp:positionV>
            <wp:extent cx="6172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ind w:left="300" w:right="1199" w:hanging="272"/>
        <w:spacing w:after="0" w:line="27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March 31, 2017 closing market price per share of each respective series of Term Preferred Shares on the NASDAQ Global Select Market.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terms of the Fund’s Term Preferred Share offerings are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339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Series 2023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Series 2024</w:t>
            </w: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Term Preferred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Term Preferred</w:t>
            </w:r>
          </w:p>
        </w:tc>
      </w:tr>
      <w:tr>
        <w:trPr>
          <w:trHeight w:val="171"/>
        </w:trPr>
        <w:tc>
          <w:tcPr>
            <w:tcW w:w="4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price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88"/>
              </w:rPr>
              <w:t>25.00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right="77"/>
              <w:spacing w:after="0"/>
              <w:rPr>
                <w:sz w:val="20"/>
                <w:szCs w:val="20"/>
                <w:color w:val="auto"/>
              </w:rPr>
            </w:pPr>
            <w:r>
              <w:rPr>
                <w:rFonts w:ascii="Arial" w:cs="Arial" w:eastAsia="Arial" w:hAnsi="Arial"/>
                <w:sz w:val="18"/>
                <w:szCs w:val="18"/>
                <w:color w:val="auto"/>
                <w:w w:val="88"/>
              </w:rPr>
              <w:t>25.00</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Term redemption date</w:t>
            </w:r>
          </w:p>
        </w:tc>
        <w:tc>
          <w:tcPr>
            <w:tcW w:w="140" w:type="dxa"/>
            <w:vAlign w:val="bottom"/>
          </w:tcPr>
          <w:p>
            <w:pPr>
              <w:spacing w:after="0"/>
              <w:rPr>
                <w:sz w:val="18"/>
                <w:szCs w:val="18"/>
                <w:color w:val="auto"/>
              </w:rPr>
            </w:pPr>
          </w:p>
        </w:tc>
        <w:tc>
          <w:tcPr>
            <w:tcW w:w="1180" w:type="dxa"/>
            <w:vAlign w:val="bottom"/>
          </w:tcPr>
          <w:p>
            <w:pPr>
              <w:jc w:val="center"/>
              <w:ind w:right="17"/>
              <w:spacing w:after="0"/>
              <w:rPr>
                <w:sz w:val="20"/>
                <w:szCs w:val="20"/>
                <w:color w:val="auto"/>
              </w:rPr>
            </w:pPr>
            <w:r>
              <w:rPr>
                <w:rFonts w:ascii="Arial" w:cs="Arial" w:eastAsia="Arial" w:hAnsi="Arial"/>
                <w:sz w:val="18"/>
                <w:szCs w:val="18"/>
                <w:color w:val="auto"/>
                <w:w w:val="87"/>
              </w:rPr>
              <w:t>June 30, 2023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7"/>
              <w:spacing w:after="0"/>
              <w:rPr>
                <w:sz w:val="20"/>
                <w:szCs w:val="20"/>
                <w:color w:val="auto"/>
              </w:rPr>
            </w:pPr>
            <w:r>
              <w:rPr>
                <w:rFonts w:ascii="Arial" w:cs="Arial" w:eastAsia="Arial" w:hAnsi="Arial"/>
                <w:sz w:val="18"/>
                <w:szCs w:val="18"/>
                <w:color w:val="auto"/>
                <w:w w:val="87"/>
              </w:rPr>
              <w:t>June 30, 2024</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redemption price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88"/>
              </w:rPr>
              <w:t>25.00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right="77"/>
              <w:spacing w:after="0"/>
              <w:rPr>
                <w:sz w:val="20"/>
                <w:szCs w:val="20"/>
                <w:color w:val="auto"/>
              </w:rPr>
            </w:pPr>
            <w:r>
              <w:rPr>
                <w:rFonts w:ascii="Arial" w:cs="Arial" w:eastAsia="Arial" w:hAnsi="Arial"/>
                <w:sz w:val="18"/>
                <w:szCs w:val="18"/>
                <w:color w:val="auto"/>
                <w:w w:val="88"/>
              </w:rPr>
              <w:t>25.00</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Optional redemption date</w:t>
            </w:r>
          </w:p>
        </w:tc>
        <w:tc>
          <w:tcPr>
            <w:tcW w:w="140" w:type="dxa"/>
            <w:vAlign w:val="bottom"/>
          </w:tcPr>
          <w:p>
            <w:pPr>
              <w:spacing w:after="0"/>
              <w:rPr>
                <w:sz w:val="18"/>
                <w:szCs w:val="18"/>
                <w:color w:val="auto"/>
              </w:rPr>
            </w:pPr>
          </w:p>
        </w:tc>
        <w:tc>
          <w:tcPr>
            <w:tcW w:w="1180" w:type="dxa"/>
            <w:vAlign w:val="bottom"/>
          </w:tcPr>
          <w:p>
            <w:pPr>
              <w:jc w:val="center"/>
              <w:ind w:right="17"/>
              <w:spacing w:after="0"/>
              <w:rPr>
                <w:sz w:val="20"/>
                <w:szCs w:val="20"/>
                <w:color w:val="auto"/>
              </w:rPr>
            </w:pPr>
            <w:r>
              <w:rPr>
                <w:rFonts w:ascii="Arial" w:cs="Arial" w:eastAsia="Arial" w:hAnsi="Arial"/>
                <w:sz w:val="18"/>
                <w:szCs w:val="18"/>
                <w:color w:val="auto"/>
                <w:w w:val="87"/>
              </w:rPr>
              <w:t>June 30, 2016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7"/>
              <w:spacing w:after="0"/>
              <w:rPr>
                <w:sz w:val="20"/>
                <w:szCs w:val="20"/>
                <w:color w:val="auto"/>
              </w:rPr>
            </w:pPr>
            <w:r>
              <w:rPr>
                <w:rFonts w:ascii="Arial" w:cs="Arial" w:eastAsia="Arial" w:hAnsi="Arial"/>
                <w:sz w:val="18"/>
                <w:szCs w:val="18"/>
                <w:color w:val="auto"/>
                <w:w w:val="87"/>
              </w:rPr>
              <w:t>June 30, 2017</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Stated interest rate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93"/>
              </w:rPr>
              <w:t>7.50%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90"/>
              </w:rPr>
              <w:t>8.13%</w:t>
            </w:r>
          </w:p>
        </w:tc>
      </w:tr>
    </w:tbl>
    <w:p>
      <w:pPr>
        <w:spacing w:after="0" w:line="90" w:lineRule="exact"/>
        <w:rPr>
          <w:sz w:val="20"/>
          <w:szCs w:val="20"/>
          <w:color w:val="auto"/>
        </w:rPr>
      </w:pPr>
    </w:p>
    <w:p>
      <w:pPr>
        <w:ind w:left="60" w:right="519" w:firstLine="270"/>
        <w:spacing w:after="0" w:line="258" w:lineRule="auto"/>
        <w:rPr>
          <w:sz w:val="20"/>
          <w:szCs w:val="20"/>
          <w:color w:val="auto"/>
        </w:rPr>
      </w:pPr>
      <w:r>
        <w:rPr>
          <w:rFonts w:ascii="Arial" w:cs="Arial" w:eastAsia="Arial" w:hAnsi="Arial"/>
          <w:sz w:val="18"/>
          <w:szCs w:val="18"/>
          <w:color w:val="auto"/>
        </w:rPr>
        <w:t>The aggregate accrued interest payable on the Fund’s Term Preferred Shares at March 31, 2017 was $0</w:t>
      </w:r>
      <w:r>
        <w:rPr>
          <w:rFonts w:ascii="Arial" w:cs="Arial" w:eastAsia="Arial" w:hAnsi="Arial"/>
          <w:sz w:val="18"/>
          <w:szCs w:val="18"/>
          <w:b w:val="1"/>
          <w:bCs w:val="1"/>
          <w:color w:val="auto"/>
        </w:rPr>
        <w:t>.</w:t>
      </w:r>
      <w:r>
        <w:rPr>
          <w:rFonts w:ascii="Arial" w:cs="Arial" w:eastAsia="Arial" w:hAnsi="Arial"/>
          <w:sz w:val="18"/>
          <w:szCs w:val="18"/>
          <w:color w:val="auto"/>
        </w:rPr>
        <w:t xml:space="preserve"> Deferred issuance costs represent underwriting fees and other direct costs incurred that are related to the Fund’s Term Preferred Shares. As of March 31, 2017, OXLC had a deferred debt issuance cost balance of approximately $4.0 million related to the Term Preferred Share issuances. Aggregate net discount on the Series 2023 Shares at the time of issuance totaled approximately $5.3 million. As of March 31, 2017, OXLC</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 w:name="page26"/>
    <w:bookmarkEnd w:id="2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MANDATORILY REDEEMABLE PREFERRED STOCK – (continued)</w:t>
      </w:r>
    </w:p>
    <w:p>
      <w:pPr>
        <w:spacing w:after="0" w:line="121" w:lineRule="exact"/>
        <w:rPr>
          <w:sz w:val="20"/>
          <w:szCs w:val="20"/>
          <w:color w:val="auto"/>
        </w:rPr>
      </w:pPr>
    </w:p>
    <w:p>
      <w:pPr>
        <w:ind w:left="60" w:right="719"/>
        <w:spacing w:after="0" w:line="342" w:lineRule="auto"/>
        <w:rPr>
          <w:sz w:val="20"/>
          <w:szCs w:val="20"/>
          <w:color w:val="auto"/>
        </w:rPr>
      </w:pPr>
      <w:r>
        <w:rPr>
          <w:rFonts w:ascii="Arial" w:cs="Arial" w:eastAsia="Arial" w:hAnsi="Arial"/>
          <w:sz w:val="16"/>
          <w:szCs w:val="16"/>
          <w:color w:val="auto"/>
        </w:rPr>
        <w:t>had an unamortized discount balance of approximately $3.6 million. These amounts are being amortized and are included in interest expense on mandatorily redeemable preferred stock in the Statement of Operations over the term of the respective shares.</w:t>
      </w:r>
    </w:p>
    <w:p>
      <w:pPr>
        <w:spacing w:after="0" w:line="16"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The table below summarizes the components of interest expense, effective interest rates and cash paid on the Term Shares for the year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167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Series 2023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Series 2024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Term Preferred</w:t>
            </w:r>
          </w:p>
        </w:tc>
        <w:tc>
          <w:tcPr>
            <w:tcW w:w="16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Term Preferred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96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Stated interest expense</w:t>
            </w:r>
            <w:r>
              <w:rPr>
                <w:rFonts w:ascii="Arial" w:cs="Arial" w:eastAsia="Arial" w:hAnsi="Arial"/>
                <w:sz w:val="28"/>
                <w:szCs w:val="28"/>
                <w:color w:val="auto"/>
                <w:vertAlign w:val="superscript"/>
              </w:rPr>
              <w:t>(1)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$ 5,844,609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4,102,473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9,947,082</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Amortization of deferred issuance costs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352,543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238,943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591,486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615,010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618,254</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Premium expense</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expense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555,110</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$ 7,367,163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4,344,546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11,711,709</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96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Effective interest rate</w:t>
            </w:r>
            <w:r>
              <w:rPr>
                <w:rFonts w:ascii="Arial" w:cs="Arial" w:eastAsia="Arial" w:hAnsi="Arial"/>
                <w:sz w:val="28"/>
                <w:szCs w:val="28"/>
                <w:color w:val="auto"/>
                <w:vertAlign w:val="superscript"/>
              </w:rPr>
              <w:t>(2)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$ 6,459,619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4,105,717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10,565,336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-488950</wp:posOffset>
            </wp:positionV>
            <wp:extent cx="4751070"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00" w:hanging="272"/>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Stated interest is composed of distributions declared and paid of approximately $9.9 million for the year ended March 31, 2017.</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weighted average effective rate for each respective Series Term Preferred Shares.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PURCHASES, SALES AND REPAYMENTS OF SECURITIES</w:t>
      </w:r>
    </w:p>
    <w:p>
      <w:pPr>
        <w:spacing w:after="0" w:line="121" w:lineRule="exact"/>
        <w:rPr>
          <w:sz w:val="20"/>
          <w:szCs w:val="20"/>
          <w:color w:val="auto"/>
        </w:rPr>
      </w:pPr>
    </w:p>
    <w:p>
      <w:pPr>
        <w:ind w:left="60" w:right="759" w:firstLine="270"/>
        <w:spacing w:after="0" w:line="257" w:lineRule="auto"/>
        <w:rPr>
          <w:sz w:val="20"/>
          <w:szCs w:val="20"/>
          <w:color w:val="auto"/>
        </w:rPr>
      </w:pPr>
      <w:r>
        <w:rPr>
          <w:rFonts w:ascii="Arial" w:cs="Arial" w:eastAsia="Arial" w:hAnsi="Arial"/>
          <w:sz w:val="18"/>
          <w:szCs w:val="18"/>
          <w:color w:val="auto"/>
        </w:rPr>
        <w:t>Purchases of securities totaled approximately $265.4 million which are comprised of approximately $258.5 million of purchases for the year ended March 31, 2017 and approximately $6.9 million of purchases unsettled as of March 31, 2017. The Fund’s sales and repayments of securities totaled approximately $200.9 million which are comprised of approximately $175.7 million of sales and approximately $25.2 million of repayments, excluding short-term investments, for the year ended March 31, 2017.</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left="60" w:right="759" w:firstLine="270"/>
        <w:spacing w:after="0" w:line="264" w:lineRule="auto"/>
        <w:rPr>
          <w:sz w:val="20"/>
          <w:szCs w:val="20"/>
          <w:color w:val="auto"/>
        </w:rPr>
      </w:pPr>
      <w:r>
        <w:rPr>
          <w:rFonts w:ascii="Arial" w:cs="Arial" w:eastAsia="Arial" w:hAnsi="Arial"/>
          <w:sz w:val="18"/>
          <w:szCs w:val="18"/>
          <w:color w:val="auto"/>
        </w:rPr>
        <w:t>In the normal course of business, the Fund enters into a variety of undertakings containing a variety of warranties and indemnifications that may expose the Fund to some risk of loss. The risk of future loss arising from such undertakings, while not quantifiable, is expected to be remote.</w:t>
      </w:r>
    </w:p>
    <w:p>
      <w:pPr>
        <w:spacing w:after="0" w:line="73" w:lineRule="exact"/>
        <w:rPr>
          <w:sz w:val="20"/>
          <w:szCs w:val="20"/>
          <w:color w:val="auto"/>
        </w:rPr>
      </w:pPr>
    </w:p>
    <w:p>
      <w:pPr>
        <w:ind w:left="60" w:right="599" w:firstLine="270"/>
        <w:spacing w:after="0" w:line="302" w:lineRule="auto"/>
        <w:rPr>
          <w:sz w:val="20"/>
          <w:szCs w:val="20"/>
          <w:color w:val="auto"/>
        </w:rPr>
      </w:pPr>
      <w:r>
        <w:rPr>
          <w:rFonts w:ascii="Arial" w:cs="Arial" w:eastAsia="Arial" w:hAnsi="Arial"/>
          <w:sz w:val="16"/>
          <w:szCs w:val="16"/>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 of these legal proceedings, if any, cannot be predicted with certainty, the Fund does not expect that these proceedings will have a material effect upon its financial condition or results of operations.</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INDEMNIFICATION</w:t>
      </w:r>
    </w:p>
    <w:p>
      <w:pPr>
        <w:spacing w:after="0" w:line="12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Under the Fund’s organizational documents, its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FINANCIAL HIGHLIGHTS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highlights for the years ended March 31, 2017, 2016, 2015, 2014 and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4"/>
                <w:szCs w:val="14"/>
                <w:color w:val="auto"/>
              </w:rPr>
            </w:pPr>
          </w:p>
        </w:tc>
      </w:tr>
      <w:tr>
        <w:trPr>
          <w:trHeight w:val="156"/>
        </w:trPr>
        <w:tc>
          <w:tcPr>
            <w:tcW w:w="3060" w:type="dxa"/>
            <w:vAlign w:val="bottom"/>
            <w:gridSpan w:val="5"/>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Per Share Data</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3"/>
        </w:trPr>
        <w:tc>
          <w:tcPr>
            <w:tcW w:w="3060" w:type="dxa"/>
            <w:vAlign w:val="bottom"/>
            <w:gridSpan w:val="5"/>
          </w:tcPr>
          <w:p>
            <w:pPr>
              <w:ind w:left="20"/>
              <w:spacing w:after="0"/>
              <w:rPr>
                <w:sz w:val="20"/>
                <w:szCs w:val="20"/>
                <w:color w:val="auto"/>
              </w:rPr>
            </w:pPr>
            <w:r>
              <w:rPr>
                <w:rFonts w:ascii="Arial" w:cs="Arial" w:eastAsia="Arial" w:hAnsi="Arial"/>
                <w:sz w:val="16"/>
                <w:szCs w:val="16"/>
                <w:color w:val="auto"/>
              </w:rPr>
              <w:t>Net asset value at beginning of</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040" w:type="dxa"/>
            <w:vAlign w:val="bottom"/>
            <w:gridSpan w:val="4"/>
          </w:tcPr>
          <w:p>
            <w:pPr>
              <w:ind w:left="180"/>
              <w:spacing w:after="0"/>
              <w:rPr>
                <w:sz w:val="20"/>
                <w:szCs w:val="20"/>
                <w:color w:val="auto"/>
              </w:rPr>
            </w:pPr>
            <w:r>
              <w:rPr>
                <w:rFonts w:ascii="Arial" w:cs="Arial" w:eastAsia="Arial" w:hAnsi="Arial"/>
                <w:sz w:val="16"/>
                <w:szCs w:val="16"/>
                <w:color w:val="auto"/>
              </w:rPr>
              <w:t>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14.08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16.26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16.20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17.05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3060" w:type="dxa"/>
            <w:vAlign w:val="bottom"/>
            <w:gridSpan w:val="5"/>
            <w:shd w:val="clear" w:color="auto" w:fill="CCEEFF"/>
          </w:tcPr>
          <w:p>
            <w:pPr>
              <w:ind w:left="20"/>
              <w:spacing w:after="0" w:line="240" w:lineRule="exact"/>
              <w:rPr>
                <w:sz w:val="20"/>
                <w:szCs w:val="20"/>
                <w:color w:val="auto"/>
              </w:rPr>
            </w:pPr>
            <w:r>
              <w:rPr>
                <w:rFonts w:ascii="Arial" w:cs="Arial" w:eastAsia="Arial" w:hAnsi="Arial"/>
                <w:sz w:val="16"/>
                <w:szCs w:val="16"/>
                <w:color w:val="auto"/>
              </w:rPr>
              <w:t>Net investment income</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w:t>
            </w:r>
          </w:p>
        </w:tc>
      </w:tr>
      <w:tr>
        <w:trPr>
          <w:trHeight w:val="192"/>
        </w:trPr>
        <w:tc>
          <w:tcPr>
            <w:tcW w:w="3060" w:type="dxa"/>
            <w:vAlign w:val="bottom"/>
            <w:gridSpan w:val="5"/>
          </w:tcPr>
          <w:p>
            <w:pPr>
              <w:ind w:left="20"/>
              <w:spacing w:after="0"/>
              <w:rPr>
                <w:sz w:val="20"/>
                <w:szCs w:val="20"/>
                <w:color w:val="auto"/>
              </w:rPr>
            </w:pPr>
            <w:r>
              <w:rPr>
                <w:rFonts w:ascii="Arial" w:cs="Arial" w:eastAsia="Arial" w:hAnsi="Arial"/>
                <w:sz w:val="16"/>
                <w:szCs w:val="16"/>
                <w:color w:val="auto"/>
              </w:rPr>
              <w:t>Net realized and unrealized capital gains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4"/>
        </w:trPr>
        <w:tc>
          <w:tcPr>
            <w:tcW w:w="20" w:type="dxa"/>
            <w:vAlign w:val="bottom"/>
          </w:tcPr>
          <w:p>
            <w:pPr>
              <w:spacing w:after="0"/>
              <w:rPr>
                <w:sz w:val="22"/>
                <w:szCs w:val="22"/>
                <w:color w:val="auto"/>
              </w:rPr>
            </w:pPr>
          </w:p>
        </w:tc>
        <w:tc>
          <w:tcPr>
            <w:tcW w:w="3040" w:type="dxa"/>
            <w:vAlign w:val="bottom"/>
            <w:gridSpan w:val="4"/>
          </w:tcPr>
          <w:p>
            <w:pPr>
              <w:ind w:left="180"/>
              <w:spacing w:after="0" w:line="254" w:lineRule="exact"/>
              <w:rPr>
                <w:sz w:val="20"/>
                <w:szCs w:val="20"/>
                <w:color w:val="auto"/>
              </w:rPr>
            </w:pPr>
            <w:r>
              <w:rPr>
                <w:rFonts w:ascii="Arial" w:cs="Arial" w:eastAsia="Arial" w:hAnsi="Arial"/>
                <w:sz w:val="16"/>
                <w:szCs w:val="16"/>
                <w:color w:val="auto"/>
              </w:rPr>
              <w:t>(losses)</w:t>
            </w:r>
            <w:r>
              <w:rPr>
                <w:rFonts w:ascii="Arial" w:cs="Arial" w:eastAsia="Arial" w:hAnsi="Arial"/>
                <w:sz w:val="27"/>
                <w:szCs w:val="27"/>
                <w:color w:val="auto"/>
                <w:vertAlign w:val="superscript"/>
              </w:rPr>
              <w:t>(2)</w:t>
            </w: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(6.23)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(1.14)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1.56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3.54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0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Total from investment operations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4.71</w:t>
            </w:r>
          </w:p>
        </w:tc>
      </w:tr>
      <w:tr>
        <w:trPr>
          <w:trHeight w:val="185"/>
        </w:trPr>
        <w:tc>
          <w:tcPr>
            <w:tcW w:w="3060" w:type="dxa"/>
            <w:vAlign w:val="bottom"/>
            <w:tcBorders>
              <w:top w:val="single" w:sz="8" w:color="CCEEFF"/>
            </w:tcBorders>
            <w:gridSpan w:val="5"/>
          </w:tcPr>
          <w:p>
            <w:pPr>
              <w:ind w:left="20"/>
              <w:spacing w:after="0"/>
              <w:rPr>
                <w:sz w:val="20"/>
                <w:szCs w:val="20"/>
                <w:color w:val="auto"/>
              </w:rPr>
            </w:pPr>
            <w:r>
              <w:rPr>
                <w:rFonts w:ascii="Arial" w:cs="Arial" w:eastAsia="Arial" w:hAnsi="Arial"/>
                <w:sz w:val="16"/>
                <w:szCs w:val="16"/>
                <w:color w:val="auto"/>
                <w:w w:val="99"/>
              </w:rPr>
              <w:t>Distributions per share from net investment</w:t>
            </w: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54"/>
        </w:trPr>
        <w:tc>
          <w:tcPr>
            <w:tcW w:w="20" w:type="dxa"/>
            <w:vAlign w:val="bottom"/>
          </w:tcPr>
          <w:p>
            <w:pPr>
              <w:spacing w:after="0"/>
              <w:rPr>
                <w:sz w:val="22"/>
                <w:szCs w:val="22"/>
                <w:color w:val="auto"/>
              </w:rPr>
            </w:pPr>
          </w:p>
        </w:tc>
        <w:tc>
          <w:tcPr>
            <w:tcW w:w="3040" w:type="dxa"/>
            <w:vAlign w:val="bottom"/>
            <w:gridSpan w:val="4"/>
          </w:tcPr>
          <w:p>
            <w:pPr>
              <w:ind w:left="180"/>
              <w:spacing w:after="0" w:line="254" w:lineRule="exact"/>
              <w:rPr>
                <w:sz w:val="20"/>
                <w:szCs w:val="20"/>
                <w:color w:val="auto"/>
              </w:rPr>
            </w:pPr>
            <w:r>
              <w:rPr>
                <w:rFonts w:ascii="Arial" w:cs="Arial" w:eastAsia="Arial" w:hAnsi="Arial"/>
                <w:sz w:val="16"/>
                <w:szCs w:val="16"/>
                <w:color w:val="auto"/>
              </w:rPr>
              <w:t>income</w:t>
            </w:r>
            <w:r>
              <w:rPr>
                <w:rFonts w:ascii="Arial" w:cs="Arial" w:eastAsia="Arial" w:hAnsi="Arial"/>
                <w:sz w:val="27"/>
                <w:szCs w:val="27"/>
                <w:color w:val="auto"/>
                <w:vertAlign w:val="superscript"/>
              </w:rPr>
              <w:t>(3)</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(2.40)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(2.44)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(2.26)</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(1.97)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(2.13)</w:t>
            </w:r>
          </w:p>
        </w:tc>
      </w:tr>
      <w:tr>
        <w:trPr>
          <w:trHeight w:val="192"/>
        </w:trPr>
        <w:tc>
          <w:tcPr>
            <w:tcW w:w="30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Distributions per share from realized gain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4"/>
        </w:trPr>
        <w:tc>
          <w:tcPr>
            <w:tcW w:w="20" w:type="dxa"/>
            <w:vAlign w:val="bottom"/>
            <w:shd w:val="clear" w:color="auto" w:fill="CCEEFF"/>
          </w:tcPr>
          <w:p>
            <w:pPr>
              <w:spacing w:after="0"/>
              <w:rPr>
                <w:sz w:val="22"/>
                <w:szCs w:val="22"/>
                <w:color w:val="auto"/>
              </w:rPr>
            </w:pPr>
          </w:p>
        </w:tc>
        <w:tc>
          <w:tcPr>
            <w:tcW w:w="3040" w:type="dxa"/>
            <w:vAlign w:val="bottom"/>
            <w:gridSpan w:val="4"/>
            <w:shd w:val="clear" w:color="auto" w:fill="CCEEFF"/>
          </w:tcPr>
          <w:p>
            <w:pPr>
              <w:ind w:left="180"/>
              <w:spacing w:after="0" w:line="254" w:lineRule="exact"/>
              <w:rPr>
                <w:sz w:val="20"/>
                <w:szCs w:val="20"/>
                <w:color w:val="auto"/>
              </w:rPr>
            </w:pPr>
            <w:r>
              <w:rPr>
                <w:rFonts w:ascii="Arial" w:cs="Arial" w:eastAsia="Arial" w:hAnsi="Arial"/>
                <w:sz w:val="16"/>
                <w:szCs w:val="16"/>
                <w:color w:val="auto"/>
              </w:rPr>
              <w:t>on investments</w:t>
            </w:r>
            <w:r>
              <w:rPr>
                <w:rFonts w:ascii="Arial" w:cs="Arial" w:eastAsia="Arial" w:hAnsi="Arial"/>
                <w:sz w:val="27"/>
                <w:szCs w:val="27"/>
                <w:color w:val="auto"/>
                <w:vertAlign w:val="superscript"/>
              </w:rPr>
              <w:t>(3)</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(0.14)</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(0.07)</w:t>
            </w:r>
          </w:p>
        </w:tc>
      </w:tr>
      <w:tr>
        <w:trPr>
          <w:trHeight w:val="192"/>
        </w:trPr>
        <w:tc>
          <w:tcPr>
            <w:tcW w:w="3060" w:type="dxa"/>
            <w:vAlign w:val="bottom"/>
            <w:gridSpan w:val="5"/>
          </w:tcPr>
          <w:p>
            <w:pPr>
              <w:ind w:left="20"/>
              <w:spacing w:after="0"/>
              <w:rPr>
                <w:sz w:val="20"/>
                <w:szCs w:val="20"/>
                <w:color w:val="auto"/>
              </w:rPr>
            </w:pPr>
            <w:r>
              <w:rPr>
                <w:rFonts w:ascii="Arial" w:cs="Arial" w:eastAsia="Arial" w:hAnsi="Arial"/>
                <w:sz w:val="16"/>
                <w:szCs w:val="16"/>
                <w:color w:val="auto"/>
              </w:rPr>
              <w:t>Distributions per share based on weighted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4"/>
        </w:trPr>
        <w:tc>
          <w:tcPr>
            <w:tcW w:w="20" w:type="dxa"/>
            <w:vAlign w:val="bottom"/>
          </w:tcPr>
          <w:p>
            <w:pPr>
              <w:spacing w:after="0"/>
              <w:rPr>
                <w:sz w:val="22"/>
                <w:szCs w:val="22"/>
                <w:color w:val="auto"/>
              </w:rPr>
            </w:pPr>
          </w:p>
        </w:tc>
        <w:tc>
          <w:tcPr>
            <w:tcW w:w="3040" w:type="dxa"/>
            <w:vAlign w:val="bottom"/>
            <w:gridSpan w:val="4"/>
          </w:tcPr>
          <w:p>
            <w:pPr>
              <w:ind w:left="180"/>
              <w:spacing w:after="0" w:line="254" w:lineRule="exact"/>
              <w:rPr>
                <w:sz w:val="20"/>
                <w:szCs w:val="20"/>
                <w:color w:val="auto"/>
              </w:rPr>
            </w:pPr>
            <w:r>
              <w:rPr>
                <w:rFonts w:ascii="Arial" w:cs="Arial" w:eastAsia="Arial" w:hAnsi="Arial"/>
                <w:sz w:val="16"/>
                <w:szCs w:val="16"/>
                <w:color w:val="auto"/>
              </w:rPr>
              <w:t>average share impact</w:t>
            </w:r>
            <w:r>
              <w:rPr>
                <w:rFonts w:ascii="Arial" w:cs="Arial" w:eastAsia="Arial" w:hAnsi="Arial"/>
                <w:sz w:val="27"/>
                <w:szCs w:val="27"/>
                <w:color w:val="auto"/>
                <w:vertAlign w:val="superscript"/>
              </w:rPr>
              <w:t>(3)</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(0.09)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(0.06)</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(0.51)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(0.28)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060" w:type="dxa"/>
            <w:vAlign w:val="bottom"/>
            <w:gridSpan w:val="5"/>
            <w:shd w:val="clear" w:color="auto" w:fill="CCEEFF"/>
          </w:tcPr>
          <w:p>
            <w:pPr>
              <w:ind w:left="20"/>
              <w:spacing w:after="0" w:line="236" w:lineRule="exact"/>
              <w:rPr>
                <w:sz w:val="20"/>
                <w:szCs w:val="20"/>
                <w:color w:val="auto"/>
              </w:rPr>
            </w:pPr>
            <w:r>
              <w:rPr>
                <w:rFonts w:ascii="Arial" w:cs="Arial" w:eastAsia="Arial" w:hAnsi="Arial"/>
                <w:sz w:val="16"/>
                <w:szCs w:val="16"/>
                <w:color w:val="auto"/>
              </w:rPr>
              <w:t>Total distributions</w:t>
            </w:r>
            <w:r>
              <w:rPr>
                <w:rFonts w:ascii="Arial" w:cs="Arial" w:eastAsia="Arial" w:hAnsi="Arial"/>
                <w:sz w:val="27"/>
                <w:szCs w:val="27"/>
                <w:color w:val="auto"/>
                <w:vertAlign w:val="superscript"/>
              </w:rPr>
              <w:t>(3)</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(2.48)</w:t>
            </w:r>
          </w:p>
        </w:tc>
      </w:tr>
      <w:tr>
        <w:trPr>
          <w:trHeight w:val="185"/>
        </w:trPr>
        <w:tc>
          <w:tcPr>
            <w:tcW w:w="3060" w:type="dxa"/>
            <w:vAlign w:val="bottom"/>
            <w:tcBorders>
              <w:top w:val="single" w:sz="8" w:color="CCEEFF"/>
            </w:tcBorders>
            <w:gridSpan w:val="5"/>
          </w:tcPr>
          <w:p>
            <w:pPr>
              <w:ind w:left="20"/>
              <w:spacing w:after="0"/>
              <w:rPr>
                <w:sz w:val="20"/>
                <w:szCs w:val="20"/>
                <w:color w:val="auto"/>
              </w:rPr>
            </w:pPr>
            <w:r>
              <w:rPr>
                <w:rFonts w:ascii="Arial" w:cs="Arial" w:eastAsia="Arial" w:hAnsi="Arial"/>
                <w:sz w:val="16"/>
                <w:szCs w:val="16"/>
                <w:color w:val="auto"/>
                <w:w w:val="99"/>
              </w:rPr>
              <w:t>Effect of shares issued/repurchased, net of</w:t>
            </w: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54"/>
        </w:trPr>
        <w:tc>
          <w:tcPr>
            <w:tcW w:w="20" w:type="dxa"/>
            <w:vAlign w:val="bottom"/>
          </w:tcPr>
          <w:p>
            <w:pPr>
              <w:spacing w:after="0"/>
              <w:rPr>
                <w:sz w:val="22"/>
                <w:szCs w:val="22"/>
                <w:color w:val="auto"/>
              </w:rPr>
            </w:pPr>
          </w:p>
        </w:tc>
        <w:tc>
          <w:tcPr>
            <w:tcW w:w="3040" w:type="dxa"/>
            <w:vAlign w:val="bottom"/>
            <w:gridSpan w:val="4"/>
          </w:tcPr>
          <w:p>
            <w:pPr>
              <w:ind w:left="180"/>
              <w:spacing w:after="0" w:line="254" w:lineRule="exact"/>
              <w:rPr>
                <w:sz w:val="20"/>
                <w:szCs w:val="20"/>
                <w:color w:val="auto"/>
              </w:rPr>
            </w:pPr>
            <w:r>
              <w:rPr>
                <w:rFonts w:ascii="Arial" w:cs="Arial" w:eastAsia="Arial" w:hAnsi="Arial"/>
                <w:sz w:val="16"/>
                <w:szCs w:val="16"/>
                <w:color w:val="auto"/>
              </w:rPr>
              <w:t>underwriting expense</w:t>
            </w:r>
            <w:r>
              <w:rPr>
                <w:rFonts w:ascii="Arial" w:cs="Arial" w:eastAsia="Arial" w:hAnsi="Arial"/>
                <w:sz w:val="27"/>
                <w:szCs w:val="27"/>
                <w:color w:val="auto"/>
                <w:vertAlign w:val="superscript"/>
              </w:rPr>
              <w:t>(4)</w:t>
            </w:r>
          </w:p>
        </w:tc>
        <w:tc>
          <w:tcPr>
            <w:tcW w:w="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0.25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0.11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0.16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(2.52)</w:t>
            </w:r>
          </w:p>
        </w:tc>
      </w:tr>
      <w:tr>
        <w:trPr>
          <w:trHeight w:val="243"/>
        </w:trPr>
        <w:tc>
          <w:tcPr>
            <w:tcW w:w="3060" w:type="dxa"/>
            <w:vAlign w:val="bottom"/>
            <w:gridSpan w:val="5"/>
            <w:shd w:val="clear" w:color="auto" w:fill="CCEEFF"/>
          </w:tcPr>
          <w:p>
            <w:pPr>
              <w:ind w:left="20"/>
              <w:spacing w:after="0" w:line="242" w:lineRule="exact"/>
              <w:rPr>
                <w:sz w:val="20"/>
                <w:szCs w:val="20"/>
                <w:color w:val="auto"/>
              </w:rPr>
            </w:pPr>
            <w:r>
              <w:rPr>
                <w:rFonts w:ascii="Arial" w:cs="Arial" w:eastAsia="Arial" w:hAnsi="Arial"/>
                <w:sz w:val="16"/>
                <w:szCs w:val="16"/>
                <w:color w:val="auto"/>
              </w:rPr>
              <w:t>Effect of offering costs</w:t>
            </w:r>
            <w:r>
              <w:rPr>
                <w:rFonts w:ascii="Arial" w:cs="Arial" w:eastAsia="Arial" w:hAnsi="Arial"/>
                <w:sz w:val="27"/>
                <w:szCs w:val="27"/>
                <w:color w:val="auto"/>
                <w:vertAlign w:val="superscript"/>
              </w:rPr>
              <w:t>(4)</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(0.56)</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3060" w:type="dxa"/>
            <w:vAlign w:val="bottom"/>
            <w:gridSpan w:val="5"/>
          </w:tcPr>
          <w:p>
            <w:pPr>
              <w:ind w:left="20"/>
              <w:spacing w:after="0" w:line="236" w:lineRule="exact"/>
              <w:rPr>
                <w:sz w:val="20"/>
                <w:szCs w:val="20"/>
                <w:color w:val="auto"/>
              </w:rPr>
            </w:pPr>
            <w:r>
              <w:rPr>
                <w:rFonts w:ascii="Arial" w:cs="Arial" w:eastAsia="Arial" w:hAnsi="Arial"/>
                <w:sz w:val="16"/>
                <w:szCs w:val="16"/>
                <w:color w:val="auto"/>
                <w:w w:val="97"/>
              </w:rPr>
              <w:t>Effect of shares issued/repurchased, net</w:t>
            </w:r>
            <w:r>
              <w:rPr>
                <w:rFonts w:ascii="Arial" w:cs="Arial" w:eastAsia="Arial" w:hAnsi="Arial"/>
                <w:sz w:val="27"/>
                <w:szCs w:val="27"/>
                <w:color w:val="auto"/>
                <w:w w:val="97"/>
                <w:vertAlign w:val="superscript"/>
              </w:rPr>
              <w:t>(4)</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0.10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(3.08)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0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Net asset value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16.20</w:t>
            </w:r>
          </w:p>
        </w:tc>
      </w:tr>
      <w:tr>
        <w:trPr>
          <w:trHeight w:val="186"/>
        </w:trPr>
        <w:tc>
          <w:tcPr>
            <w:tcW w:w="3060" w:type="dxa"/>
            <w:vAlign w:val="bottom"/>
            <w:tcBorders>
              <w:top w:val="single" w:sz="8" w:color="CCEEFF"/>
            </w:tcBorders>
            <w:gridSpan w:val="5"/>
          </w:tcPr>
          <w:p>
            <w:pPr>
              <w:ind w:left="20"/>
              <w:spacing w:after="0"/>
              <w:rPr>
                <w:sz w:val="20"/>
                <w:szCs w:val="20"/>
                <w:color w:val="auto"/>
              </w:rPr>
            </w:pPr>
            <w:r>
              <w:rPr>
                <w:rFonts w:ascii="Arial" w:cs="Arial" w:eastAsia="Arial" w:hAnsi="Arial"/>
                <w:sz w:val="16"/>
                <w:szCs w:val="16"/>
                <w:color w:val="auto"/>
              </w:rPr>
              <w:t>Per share market value at beginning of</w:t>
            </w: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040" w:type="dxa"/>
            <w:vAlign w:val="bottom"/>
            <w:gridSpan w:val="4"/>
          </w:tcPr>
          <w:p>
            <w:pPr>
              <w:ind w:left="180"/>
              <w:spacing w:after="0"/>
              <w:rPr>
                <w:sz w:val="20"/>
                <w:szCs w:val="20"/>
                <w:color w:val="auto"/>
              </w:rPr>
            </w:pPr>
            <w:r>
              <w:rPr>
                <w:rFonts w:ascii="Arial" w:cs="Arial" w:eastAsia="Arial" w:hAnsi="Arial"/>
                <w:sz w:val="16"/>
                <w:szCs w:val="16"/>
                <w:color w:val="auto"/>
              </w:rPr>
              <w:t>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8.45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14.82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16.70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15.98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14.60</w:t>
            </w:r>
          </w:p>
        </w:tc>
      </w:tr>
      <w:tr>
        <w:trPr>
          <w:trHeight w:val="206"/>
        </w:trPr>
        <w:tc>
          <w:tcPr>
            <w:tcW w:w="30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Per share market value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15.98</w:t>
            </w:r>
          </w:p>
        </w:tc>
      </w:tr>
      <w:tr>
        <w:trPr>
          <w:trHeight w:val="243"/>
        </w:trPr>
        <w:tc>
          <w:tcPr>
            <w:tcW w:w="3060" w:type="dxa"/>
            <w:vAlign w:val="bottom"/>
            <w:gridSpan w:val="5"/>
          </w:tcPr>
          <w:p>
            <w:pPr>
              <w:ind w:left="20"/>
              <w:spacing w:after="0" w:line="242" w:lineRule="exact"/>
              <w:rPr>
                <w:sz w:val="20"/>
                <w:szCs w:val="20"/>
                <w:color w:val="auto"/>
              </w:rPr>
            </w:pPr>
            <w:r>
              <w:rPr>
                <w:rFonts w:ascii="Arial" w:cs="Arial" w:eastAsia="Arial" w:hAnsi="Arial"/>
                <w:sz w:val="16"/>
                <w:szCs w:val="16"/>
                <w:color w:val="auto"/>
              </w:rPr>
              <w:t>Total return</w:t>
            </w:r>
            <w:r>
              <w:rPr>
                <w:rFonts w:ascii="Arial" w:cs="Arial" w:eastAsia="Arial" w:hAnsi="Arial"/>
                <w:sz w:val="27"/>
                <w:szCs w:val="27"/>
                <w:color w:val="auto"/>
                <w:vertAlign w:val="superscript"/>
              </w:rPr>
              <w:t>(5)</w:t>
            </w:r>
          </w:p>
        </w:tc>
        <w:tc>
          <w:tcPr>
            <w:tcW w:w="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66.38%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(28.97)%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3.34%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26.21%</w:t>
            </w:r>
          </w:p>
        </w:tc>
      </w:tr>
      <w:tr>
        <w:trPr>
          <w:trHeight w:val="203"/>
        </w:trPr>
        <w:tc>
          <w:tcPr>
            <w:tcW w:w="30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Shares outstanding at end of period</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22,751,432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18,751,696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15,972,381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15,240,729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7,602,719</w:t>
            </w:r>
          </w:p>
        </w:tc>
      </w:tr>
      <w:tr>
        <w:trPr>
          <w:trHeight w:val="162"/>
        </w:trPr>
        <w:tc>
          <w:tcPr>
            <w:tcW w:w="3060" w:type="dxa"/>
            <w:vAlign w:val="bottom"/>
            <w:gridSpan w:val="5"/>
          </w:tcPr>
          <w:p>
            <w:pPr>
              <w:ind w:left="20"/>
              <w:spacing w:after="0" w:line="162" w:lineRule="exact"/>
              <w:rPr>
                <w:sz w:val="20"/>
                <w:szCs w:val="20"/>
                <w:color w:val="auto"/>
              </w:rPr>
            </w:pPr>
            <w:r>
              <w:rPr>
                <w:rFonts w:ascii="Arial" w:cs="Arial" w:eastAsia="Arial" w:hAnsi="Arial"/>
                <w:sz w:val="16"/>
                <w:szCs w:val="16"/>
                <w:b w:val="1"/>
                <w:bCs w:val="1"/>
                <w:color w:val="auto"/>
              </w:rPr>
              <w:t>Ratios/Supplemental Data</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0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Net assets at end of period (000’s)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232,048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131,950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224,933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247,829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123,140</w:t>
            </w:r>
          </w:p>
        </w:tc>
      </w:tr>
      <w:tr>
        <w:trPr>
          <w:trHeight w:val="203"/>
        </w:trPr>
        <w:tc>
          <w:tcPr>
            <w:tcW w:w="3060" w:type="dxa"/>
            <w:vAlign w:val="bottom"/>
            <w:gridSpan w:val="5"/>
          </w:tcPr>
          <w:p>
            <w:pPr>
              <w:ind w:left="20"/>
              <w:spacing w:after="0"/>
              <w:rPr>
                <w:sz w:val="20"/>
                <w:szCs w:val="20"/>
                <w:color w:val="auto"/>
              </w:rPr>
            </w:pPr>
            <w:r>
              <w:rPr>
                <w:rFonts w:ascii="Arial" w:cs="Arial" w:eastAsia="Arial" w:hAnsi="Arial"/>
                <w:sz w:val="16"/>
                <w:szCs w:val="16"/>
                <w:color w:val="auto"/>
              </w:rPr>
              <w:t>Average net assets (000's)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173,005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185,211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239,703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154,112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100,481</w:t>
            </w:r>
          </w:p>
        </w:tc>
      </w:tr>
      <w:tr>
        <w:trPr>
          <w:trHeight w:val="193"/>
        </w:trPr>
        <w:tc>
          <w:tcPr>
            <w:tcW w:w="30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Ratio of net investment income to average</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304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daily net assets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5.90%</w:t>
            </w:r>
          </w:p>
        </w:tc>
      </w:tr>
      <w:tr>
        <w:trPr>
          <w:trHeight w:val="203"/>
        </w:trPr>
        <w:tc>
          <w:tcPr>
            <w:tcW w:w="3060" w:type="dxa"/>
            <w:vAlign w:val="bottom"/>
            <w:gridSpan w:val="5"/>
          </w:tcPr>
          <w:p>
            <w:pPr>
              <w:ind w:left="20"/>
              <w:spacing w:after="0"/>
              <w:rPr>
                <w:sz w:val="20"/>
                <w:szCs w:val="20"/>
                <w:color w:val="auto"/>
              </w:rPr>
            </w:pPr>
            <w:r>
              <w:rPr>
                <w:rFonts w:ascii="Arial" w:cs="Arial" w:eastAsia="Arial" w:hAnsi="Arial"/>
                <w:sz w:val="16"/>
                <w:szCs w:val="16"/>
                <w:color w:val="auto"/>
                <w:w w:val="93"/>
              </w:rPr>
              <w:t>Ratio of expenses to average daily net assets</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16.07%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17.03%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10.58%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5.65%</w:t>
            </w:r>
          </w:p>
        </w:tc>
      </w:tr>
      <w:tr>
        <w:trPr>
          <w:trHeight w:val="203"/>
        </w:trPr>
        <w:tc>
          <w:tcPr>
            <w:tcW w:w="30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Portfolio turnover rate</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32.02%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69.05%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28.81%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12.29%</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-3558540</wp:posOffset>
            </wp:positionV>
            <wp:extent cx="5213985"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-2538095</wp:posOffset>
            </wp:positionV>
            <wp:extent cx="5213985"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-2091690</wp:posOffset>
            </wp:positionV>
            <wp:extent cx="521398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-1791970</wp:posOffset>
            </wp:positionV>
            <wp:extent cx="5213985" cy="291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net investment income per share for the period, based upon average shares outstanding.</w:t>
      </w:r>
    </w:p>
    <w:p>
      <w:pPr>
        <w:spacing w:after="0" w:line="117" w:lineRule="exact"/>
        <w:rPr>
          <w:rFonts w:ascii="Arial" w:cs="Arial" w:eastAsia="Arial" w:hAnsi="Arial"/>
          <w:sz w:val="18"/>
          <w:szCs w:val="18"/>
          <w:color w:val="auto"/>
        </w:rPr>
      </w:pPr>
    </w:p>
    <w:p>
      <w:pPr>
        <w:ind w:left="300" w:right="879" w:hanging="272"/>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realized and unrealized capital gains and losses based upon average shares outstanding include adjustments to reconcile change in net asset value per share.</w:t>
      </w:r>
    </w:p>
    <w:p>
      <w:pPr>
        <w:spacing w:after="0" w:line="62" w:lineRule="exact"/>
        <w:rPr>
          <w:rFonts w:ascii="Arial" w:cs="Arial" w:eastAsia="Arial" w:hAnsi="Arial"/>
          <w:sz w:val="18"/>
          <w:szCs w:val="18"/>
          <w:color w:val="auto"/>
        </w:rPr>
      </w:pPr>
    </w:p>
    <w:p>
      <w:pPr>
        <w:ind w:left="300" w:right="639" w:hanging="272"/>
        <w:spacing w:after="0" w:line="302"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Management monitors estimated taxable earnings, including net investment income and realized capital gains, to determine if a tax return of capital may occur for the year. To the extent the Fund’s taxable earnings fall below the total amount of the Fund’s distributions for that fiscal year, a portion of those distributions may be deemed a tax return of capital to the Fund’s stockholders. The final determination of the nature of our distributions can only be made upon the filing of our tax return.</w:t>
      </w:r>
    </w:p>
    <w:p>
      <w:pPr>
        <w:spacing w:after="0" w:line="46" w:lineRule="exact"/>
        <w:rPr>
          <w:rFonts w:ascii="Arial" w:cs="Arial" w:eastAsia="Arial" w:hAnsi="Arial"/>
          <w:sz w:val="16"/>
          <w:szCs w:val="16"/>
          <w:color w:val="auto"/>
        </w:rPr>
      </w:pPr>
    </w:p>
    <w:p>
      <w:pPr>
        <w:ind w:left="300" w:hanging="27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actual shares outstanding for the period end.</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FINANCIAL HIGHLIGHTS – (continued)</w:t>
      </w:r>
    </w:p>
    <w:p>
      <w:pPr>
        <w:spacing w:after="0" w:line="121" w:lineRule="exact"/>
        <w:rPr>
          <w:sz w:val="20"/>
          <w:szCs w:val="20"/>
          <w:color w:val="auto"/>
        </w:rPr>
      </w:pPr>
    </w:p>
    <w:p>
      <w:pPr>
        <w:ind w:left="280" w:right="539" w:hanging="272"/>
        <w:spacing w:after="0" w:line="257"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excluding any discounts, and that the total number of shares were sold at the closing market price per share on the last day of the period. The computation does not reflect any sales commission investors may incur in purchasing or selling shares of the Fund.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RISKS AND UNCERTAINTIES</w:t>
      </w:r>
    </w:p>
    <w:p>
      <w:pPr>
        <w:spacing w:after="0" w:line="121" w:lineRule="exact"/>
        <w:rPr>
          <w:sz w:val="20"/>
          <w:szCs w:val="20"/>
          <w:color w:val="auto"/>
        </w:rPr>
      </w:pPr>
    </w:p>
    <w:p>
      <w:pPr>
        <w:ind w:left="40" w:right="639" w:firstLine="270"/>
        <w:spacing w:after="0" w:line="293" w:lineRule="auto"/>
        <w:rPr>
          <w:sz w:val="20"/>
          <w:szCs w:val="20"/>
          <w:color w:val="auto"/>
        </w:rPr>
      </w:pPr>
      <w:r>
        <w:rPr>
          <w:rFonts w:ascii="Arial" w:cs="Arial" w:eastAsia="Arial" w:hAnsi="Arial"/>
          <w:sz w:val="16"/>
          <w:szCs w:val="16"/>
          <w:color w:val="auto"/>
        </w:rPr>
        <w:t>The U.S. capital markets have experienced periods of volatility and disruption. Disruptions in the capital markets tend to increase the spread between the yields realized on risk-free and higher risk securities, resulting in illiquidity in parts of the capital markets. The Fund believes these conditions may reoccur in the future. A prolonged period of market illiquidity may have an adverse effect on the Fund’s business, financial condition and results of operations. Adverse economic conditions could also limit the Fund’s access to the capital markets or result in a decision by lenders not to extend credit to the Fund. These events could limit the Fund’s investment purchases, limit the Fund’s ability to grow and negatively impact the Fund’s operating results.</w:t>
      </w:r>
    </w:p>
    <w:p>
      <w:pPr>
        <w:spacing w:after="0" w:line="5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OXLC Management’s investment team also presently manages the portfolios of TICC Capital Corp., a publicly-traded business development company that invests principally in the debt of U.S.-based companies, and TICC CLO 2012-1 LLC, a direct subsidiary of TICC Capital Corp., the assets of which are consolidated into the gross assets of TICC Capital Corp. Additionally, the OXLC Management’s investment team manages the portfolio of Oxford Bridge, LLC, a limited liability company that invests principally in the equity of CLOs. In certain instances, the Fund may co-invest on a concurrent basis with affiliates of its investment adviser, subject to compliance with applicable regulations and regulatory guidance and our written allocation policies. On October 13, 2016, we filed an exemptive application with the SEC to permit us to co-invest with funds or entities managed by TICC Management or its affiliates in certain negotiated transactions where co-investing would otherwise be prohibited under the 1940 Act. Any such order, if granted by the SEC, will be subject to certain terms and conditions. Furthermore, there is no assurance when, or if, this application for exemptive relief will be granted by the SEC.</w:t>
      </w:r>
    </w:p>
    <w:p>
      <w:pPr>
        <w:spacing w:after="0" w:line="70"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Given the structure of the Fund’s Investment Advisory Agreement with OXLC Management, any general increase in interest rates will likely have the effect of making it easier for OXLC Management to meet the quarterly hurdle rate for payment of net investment income incentive fees under the Investment Advisory Agreement without any additional increase in relative performance on the part of the Fund’s investment adviser. In addition, in view of the catch-up provision applicable to income incentive fees under the Investment Advisory Agreement, OXLC Management could potentially receive a significant portion of the increase in the Fund’s investment income attributable to such a general increase in interest rates. If that were to occur, the Fund’s increase in net earnings, if any, would likely be significantly smaller than the relative increase in OXLC Management’s net investment income incentive fee resulting from such a general increase in interest rates.</w:t>
      </w:r>
    </w:p>
    <w:p>
      <w:pPr>
        <w:spacing w:after="0" w:line="71"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The Fund’s portfolio consists of equity and junior debt investments in CLO vehicles, which involve a number of significant risks. CLO vehicles are typically highly levered, and therefore the junior debt and equity tranches that the Fund invests in are subject to a higher degree of risk of total loss. As of March 31, 2017, the CLO vehicles in which the Fund was invested had average leverage of 10.5 times and ranged from approximately 7.1 times to 12.7 times levered. In particular, investors in CLO vehicles indirectly bear risks of the underlying debt investments held by such CLO vehicles.</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RISKS AND UNCERTAINTIES – (continued)</w:t>
      </w:r>
    </w:p>
    <w:p>
      <w:pPr>
        <w:spacing w:after="0" w:line="121"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The Fund generally has the right to receive payments only from the CLO vehicles, and generally does not have direct rights against the underlying borrowers or the entity that sponsored the CLO vehicle. While the CLO vehicles the Fund targets generally enable the investor to acquire interests in a pool of senior loans without the expenses associated with directly holding the same investments, the Fund generally pays a proportionate share of the CLO vehicles’ administrative and other expenses. Although it is difficult to predict whether the prices of indices and securities underlying CLO vehicles will rise or fall, these prices (and, therefore, the prices of the CLO vehicles) will be influenced by the same types of political and economic events that affect issuers of securities and capital markets generally. The failure by a CLO vehicle in which we invest to satisfy certain financial covenants, including with respect to adequate collateralization and/or interest coverage tests, could lead to a reduction in its payments to us. In the event that a CLO vehicle fails certain tests, holders of debt senior to us may be entitled to additional payments that would, in turn, reduce the payments we would otherwise be entitled to receive. Separately, OXLC may incur expenses to the extent necessary to seek recovery upon default or to negotiate new terms with a defaulting CLO vehicle or any other investment we may make. If any of these occur, it could materially and adversely affect the Fund’s operating results and cash flows.</w:t>
      </w:r>
    </w:p>
    <w:p>
      <w:pPr>
        <w:spacing w:after="0" w:line="61" w:lineRule="exact"/>
        <w:rPr>
          <w:sz w:val="20"/>
          <w:szCs w:val="20"/>
          <w:color w:val="auto"/>
        </w:rPr>
      </w:pPr>
    </w:p>
    <w:p>
      <w:pPr>
        <w:ind w:left="40" w:right="639" w:firstLine="270"/>
        <w:spacing w:after="0" w:line="270" w:lineRule="auto"/>
        <w:rPr>
          <w:sz w:val="20"/>
          <w:szCs w:val="20"/>
          <w:color w:val="auto"/>
        </w:rPr>
      </w:pPr>
      <w:r>
        <w:rPr>
          <w:rFonts w:ascii="Arial" w:cs="Arial" w:eastAsia="Arial" w:hAnsi="Arial"/>
          <w:sz w:val="17"/>
          <w:szCs w:val="17"/>
          <w:color w:val="auto"/>
        </w:rPr>
        <w:t>The interests the Fund has acquired in CLO vehicles are generally thinly traded or have only a limited trading market. CLO vehicles are typically privately offered and sold, even in the secondary market. As a result, investments in CLO vehicles may be characterized as illiquid securities. In addition to the general risks associated with investing in debt securities, CLO vehicles carry additional risks, including, but not limited to: (i) the possibility that distributions from collateral securities will not be adequate to make interest or other payments; (ii) the quality of the collateral may decline in value or default; (iii) the fact that the Fund’s investments in CLO tranches will likely be subordinate to other senior classes of note tranches thereof; and (iv) the complex structure of the security may not be fully understood at the time of investment and may produce disputes with the CLO vehicle or unexpected investment results. The Fund’s net asset value may also decline over time if the Fund’s principal recovery with respect to CLO equity investments is less than the price that the Fund paid for those investments.</w:t>
      </w:r>
    </w:p>
    <w:p>
      <w:pPr>
        <w:spacing w:after="0" w:line="74" w:lineRule="exact"/>
        <w:rPr>
          <w:sz w:val="20"/>
          <w:szCs w:val="20"/>
          <w:color w:val="auto"/>
        </w:rPr>
      </w:pPr>
    </w:p>
    <w:p>
      <w:pPr>
        <w:ind w:left="40" w:right="519" w:firstLine="270"/>
        <w:spacing w:after="0" w:line="287" w:lineRule="auto"/>
        <w:rPr>
          <w:sz w:val="20"/>
          <w:szCs w:val="20"/>
          <w:color w:val="auto"/>
        </w:rPr>
      </w:pPr>
      <w:r>
        <w:rPr>
          <w:rFonts w:ascii="Arial" w:cs="Arial" w:eastAsia="Arial" w:hAnsi="Arial"/>
          <w:sz w:val="16"/>
          <w:szCs w:val="16"/>
          <w:color w:val="auto"/>
        </w:rPr>
        <w:t>Section 941 of the Dodd-Frank Wall Street Reform and Consumer Protection Act added a provision to the Securities Exchange Act of 1934, as amended,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risk retention rules became effective with respect to CLOs two years after publication in the Federal Register. Under the final rules, the asset manager of a CLO is considered the sponsor of a securitization vehicle and is required to retain five percent of the credit risk in the CLO, which may be retained horizontally in the equity tranche of the CLO or vertically as a five percent interest in each tranche of the securities issued by the CLO. Although the final rules contain an exemption from such requirements for the asset manager of a CLO if, among other things, the originator or lead arranger of all of the loans acquired by the CLO retain such risk at the asset level and, at origination of such asset, takes a loan tranche of at least 20% of the aggregate principal balance, it is possible that the originators and lead arrangers of loans in this market will not agree to assume this risk or provide such retention at origination of the asset in a manner that would provide meaningful relief from the risk retention requirements for CLO managers.</w:t>
      </w:r>
    </w:p>
    <w:p>
      <w:pPr>
        <w:spacing w:after="0" w:line="61"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The Fund believes that the U.S. risk retention requirements imposed for CLO managers under Section 941 of the Dodd-Frank Wall Street Reform and Consumer Protection Act has created some uncertainty in the market in regard to future CLO issuance. Given that certain CLO managers may require capital provider partners to satisfy this requirement, the Fund believes that this may create additional opportunities (and additional risks) for the Fund in the future.</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RISKS AND UNCERTAINTIES – (continued)</w:t>
      </w:r>
    </w:p>
    <w:p>
      <w:pPr>
        <w:spacing w:after="0" w:line="121"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Further, to the extent income from the Fund’s CLO equity investments (which the Fund expects to decline as those vehicles deleverage after the end of their respective reinvestment periods) declines or if the Fund transitions its portfolio into lower yielding investments, the Fund’s ability to pay future distributions may be harmed.</w:t>
      </w:r>
    </w:p>
    <w:p>
      <w:pPr>
        <w:spacing w:after="0" w:line="73" w:lineRule="exact"/>
        <w:rPr>
          <w:sz w:val="20"/>
          <w:szCs w:val="20"/>
          <w:color w:val="auto"/>
        </w:rPr>
      </w:pPr>
    </w:p>
    <w:p>
      <w:pPr>
        <w:ind w:left="40" w:right="959" w:firstLine="270"/>
        <w:spacing w:after="0" w:line="264" w:lineRule="auto"/>
        <w:rPr>
          <w:sz w:val="20"/>
          <w:szCs w:val="20"/>
          <w:color w:val="auto"/>
        </w:rPr>
      </w:pPr>
      <w:r>
        <w:rPr>
          <w:rFonts w:ascii="Arial" w:cs="Arial" w:eastAsia="Arial" w:hAnsi="Arial"/>
          <w:sz w:val="18"/>
          <w:szCs w:val="18"/>
          <w:color w:val="auto"/>
        </w:rPr>
        <w:t>An increase in LIBOR would materially increase the CLO vehicles’ financing costs. However, since most of the collateral positions within the CLO investments have LIBOR floors below LIBOR currently, there may be corresponding increases in investment income with an increase in LIBOR.</w:t>
      </w:r>
    </w:p>
    <w:p>
      <w:pPr>
        <w:spacing w:after="0" w:line="73"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OXLC Management anticipates that the CLO vehicles in which the Fund invests may constitute “passive foreign investment companies” (“PFICs”). If the Fund acquires shares in a PFIC (including equity tranche investments in CLO vehicles that are PFICs), the Fund may be subject to federal income tax on a portion of any “excess distribution” or gain from the disposition of such shares even if such income is distributed as a taxable dividend by the Fund to its stockholders. Certain elections may be available to mitigate or eliminate such tax on excess distributions, but such elections (if available) will generally require the Fund to recognize its share of the PFIC’s income for each year regardless of whether the Fund receives any distributions from such PFIC. The Fund must nonetheless distribute such income to maintain its tax treatment as a RIC.</w:t>
      </w:r>
    </w:p>
    <w:p>
      <w:pPr>
        <w:spacing w:after="0" w:line="70"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If the Fund holds more than 10% of the shares in a foreign corporation that is treated as a controlled foreign corporation (“CFC”) (including equity tranche investments in a CLO vehicle treated as a CFC), the Fund may be treated as receiving a deemed distribution (taxable as ordinary income) each year from such foreign corporation in an amount equal to the Fund’s pro rata share of the corporation’s income for the tax year (including both ordinary earnings and capital gains). If the Fund is required to include such deemed distributions from a CFC in the Fund’s income, it will be required to distribute such income to maintain its RIC tax treatment regardless of whether or not the CFC makes an actual distribution during such year.</w:t>
      </w:r>
    </w:p>
    <w:p>
      <w:pPr>
        <w:spacing w:after="0" w:line="70" w:lineRule="exact"/>
        <w:rPr>
          <w:sz w:val="20"/>
          <w:szCs w:val="20"/>
          <w:color w:val="auto"/>
        </w:rPr>
      </w:pPr>
    </w:p>
    <w:p>
      <w:pPr>
        <w:ind w:left="40" w:right="639" w:firstLine="270"/>
        <w:spacing w:after="0" w:line="285" w:lineRule="auto"/>
        <w:rPr>
          <w:sz w:val="20"/>
          <w:szCs w:val="20"/>
          <w:color w:val="auto"/>
        </w:rPr>
      </w:pPr>
      <w:r>
        <w:rPr>
          <w:rFonts w:ascii="Arial" w:cs="Arial" w:eastAsia="Arial" w:hAnsi="Arial"/>
          <w:sz w:val="16"/>
          <w:szCs w:val="16"/>
          <w:color w:val="auto"/>
        </w:rPr>
        <w:t>We may be required to include in our income our proportionate share of the income of certain CLO investments to the extent that such CLOs are PFICs for which we have made a qualifying electing fund (“QEF”) election or are CFCs. To qualify as a RIC, we must, among other thing, derive in each taxable year at least 90% of our gross income from certain sources specified in the Code (the “90% Income Test”). Although the Code generally provides that the income inclusions from a QEF or a CFC will be “good income” for purposes of this 90% Income Test to the extent that the QEF or the CFC distribute such income to us in the same taxable year to which the income is included in our income, the Code does not specifically provide whether these income inclusions would be “good income” for this 90% Income Test if we do not receive distributions from the QEF or CFC during such taxable year. The IRS has issued a series of private rulings in which it has concluded that all income inclusions from a QEF or a CFC included in a RIC’s gross income would constitute “good income” for purposes of the 90% Income Test. Such rulings are not binding on the IRS except with respect to the taxpayers to whom such rulings were issued. Accordingly, under current law, we believe that the income inclusions from a CLO that is a QEF or a CFC would be “good income” for purposes of the 90% Income Test. On September 28, 2016, the IRS and U.S. Treasury Department issued proposed regulations that provide that the income inclusions from a QEF or a CFC would not be good income for purposes of the 90% Income Test unless the Fund receives a cash distribution from such entity in the same year attributable to the included income. If such income were not considered “good income” for purposes of the 90% Income Test, the Fund may fail to qualify as a RIC. If these regulations are finalized, the Fund will carefully monitor our investments in CLOs to avoid disqualification as a RIC.</w:t>
      </w:r>
    </w:p>
    <w:p>
      <w:pPr>
        <w:spacing w:after="0" w:line="70" w:lineRule="exact"/>
        <w:rPr>
          <w:sz w:val="20"/>
          <w:szCs w:val="20"/>
          <w:color w:val="auto"/>
        </w:rPr>
      </w:pPr>
    </w:p>
    <w:p>
      <w:pPr>
        <w:ind w:left="40" w:right="759" w:firstLine="270"/>
        <w:spacing w:after="0" w:line="302" w:lineRule="auto"/>
        <w:rPr>
          <w:sz w:val="20"/>
          <w:szCs w:val="20"/>
          <w:color w:val="auto"/>
        </w:rPr>
      </w:pPr>
      <w:r>
        <w:rPr>
          <w:rFonts w:ascii="Arial" w:cs="Arial" w:eastAsia="Arial" w:hAnsi="Arial"/>
          <w:sz w:val="16"/>
          <w:szCs w:val="16"/>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RISKS AND UNCERTAINTIES – (continued)</w:t>
      </w:r>
    </w:p>
    <w:p>
      <w:pPr>
        <w:spacing w:after="0" w:line="121" w:lineRule="exact"/>
        <w:rPr>
          <w:sz w:val="20"/>
          <w:szCs w:val="20"/>
          <w:color w:val="auto"/>
        </w:rPr>
      </w:pPr>
    </w:p>
    <w:p>
      <w:pPr>
        <w:jc w:val="both"/>
        <w:ind w:left="40" w:right="659"/>
        <w:spacing w:after="0" w:line="259" w:lineRule="auto"/>
        <w:rPr>
          <w:sz w:val="20"/>
          <w:szCs w:val="20"/>
          <w:color w:val="auto"/>
        </w:rPr>
      </w:pPr>
      <w:r>
        <w:rPr>
          <w:rFonts w:ascii="Arial" w:cs="Arial" w:eastAsia="Arial" w:hAnsi="Arial"/>
          <w:sz w:val="18"/>
          <w:szCs w:val="18"/>
          <w:color w:val="auto"/>
        </w:rPr>
        <w:t>intergovernmental agreement (“IGA”) with the United States to collect and share such information and are in compliance with the terms of such IGA and any enabling legislation or regulations. The types of income subject to the tax include U.S. source interest and dividends, and the gross proceeds from the sale of any property that could produce U.S.-source interest or dividends received after December 31, 2018.</w:t>
      </w:r>
    </w:p>
    <w:p>
      <w:pPr>
        <w:spacing w:after="0" w:line="79" w:lineRule="exact"/>
        <w:rPr>
          <w:sz w:val="20"/>
          <w:szCs w:val="20"/>
          <w:color w:val="auto"/>
        </w:rPr>
      </w:pPr>
    </w:p>
    <w:p>
      <w:pPr>
        <w:jc w:val="both"/>
        <w:ind w:left="40" w:right="599" w:firstLine="270"/>
        <w:spacing w:after="0" w:line="302" w:lineRule="auto"/>
        <w:rPr>
          <w:sz w:val="20"/>
          <w:szCs w:val="20"/>
          <w:color w:val="auto"/>
        </w:rPr>
      </w:pPr>
      <w:r>
        <w:rPr>
          <w:rFonts w:ascii="Arial" w:cs="Arial" w:eastAsia="Arial" w:hAnsi="Arial"/>
          <w:sz w:val="16"/>
          <w:szCs w:val="16"/>
          <w:color w:val="auto"/>
        </w:rPr>
        <w:t>Most CLO vehicles in which OXLC invests will be treated as non-U.S. financial entities for this purpose, and therefore will be required to comply with these reporting requirements to avoid the 30% withholding. If a CLO vehicle in which OXLC invests fails to properly comply with these reporting requirements, it could reduce the amounts available to distribute to equity and junior debt holders in such CLO vehicle, which could materially and adversely affect OXLC’s operating results and cash flows.</w:t>
      </w:r>
    </w:p>
    <w:p>
      <w:pPr>
        <w:spacing w:after="0" w:line="46"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If the Fund is required to include amounts in income prior to receiving distributions representing such income, the Fund may have to sell some of its investments at times and/or at prices management would not consider advantageous, raise additional debt or equity capital or forgo new investment opportunities. If the Fund is not able to obtain cash from other sources, it may fail to qualify for RIC tax treatment and thus become subject to corporate-level income tax. For additional discussion regarding the tax implications of a RIC, see “Note 2. Summary of Significant Accounting Policies — U.S. Federal Income Taxes.”</w:t>
      </w:r>
    </w:p>
    <w:p>
      <w:pPr>
        <w:spacing w:after="0" w:line="50"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The Fund’s Series 2023 Shares and Series 2024 Shares pay dividends at a fixed dividend rate. Prices of fixed income investments vary inversely with changes in market yields. The market yields on securities comparable to the Series 2023 Shares and Series 2024 Shares may increase, which would likely result in a decline in the secondary market price of such shares prior to the term redemption date. The Fund may be unable to pay dividends on the Series 2023 Shares and Series 2024 Shares under some circumstances. The terms of any future indebtedness OXLC may incur could preclude the payment of dividends in respect of equity securities, including such shares, under certain conditions.</w:t>
      </w:r>
    </w:p>
    <w:p>
      <w:pPr>
        <w:spacing w:after="0" w:line="70"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As a registered closed-end investment company, OXLC is required to comply with the asset coverage requirements of the 1940 Act and the Articles Supplementary governing OXLC’s Preferred Stock. Under the 1940 Act, the Fund may not issue additional Preferred Stock if immediately after such issuance the Fund will not have an asset coverage of at least 200% (defined as the ratio of the Fund’s gross assets (less all liabilities and indebtedness not represented by senior securities) to its outstanding senior securities representing indebtedness, plus the aggregate involuntary liquidation preference of OXLC’s outstanding Preferred Stock). In addition, the Articles Supplementary governing OXLC’s Term Preferred Shares require that the Fund have an asset coverage of at least 200% as of the end of each fiscal quarter. If the asset coverage is not at least 200% as of such measurement dates, OXLC may not be able to incur additional debt or issue additional shares of Preferred Stock and could be forced to sell a portion of its investments to repurchase or redeem some shares of Preferred Stock when it is disadvantageous to do so, which could have a material adverse effect on the Fund’s operations. Further, OXLC may be restricted from making distributions to holders of the Fund’s common stock if the Fund does not have asset coverage of at least 200%. See “Note 7. Mandatorily Redeemable Preferred Stock.”</w:t>
      </w:r>
    </w:p>
    <w:p>
      <w:pPr>
        <w:spacing w:after="0" w:line="72"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Given the ten-year original terms, and potential for early redemption, of the Series 2023 Shares and Series 2024 Shares, holders of such shares may face an increased reinvestment risk, which is the risk that the return on an investment purchased with proceeds from the sale or redemption of such shares may be lower than the return previously obtained from the investment in such shares, see “Note 7. Mandatorily Redeemable Preferred Stock”.</w:t>
      </w:r>
    </w:p>
    <w:p>
      <w:pPr>
        <w:spacing w:after="0" w:line="7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Fund does not intend to have the Term Preferred Shares rated by any rating agency. Unrated securities usually trade at a discount to similar, rated securities. As a result, there is a risk that any such shares may trade at a price that is lower than they might otherwise trade if rated by a rating agency.</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RECENT ACCOUNTING PRONOUNCEMENTS</w:t>
      </w:r>
    </w:p>
    <w:p>
      <w:pPr>
        <w:spacing w:after="0" w:line="121"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 xml:space="preserve">Presentation of Financial Statements — Going Concern (Subtopic 205-40): Disclosure of Uncertainties about an Entity’s Ability to Continue as a Going Concern (“ASU 2014-15”) </w:t>
      </w:r>
      <w:r>
        <w:rPr>
          <w:rFonts w:ascii="Arial" w:cs="Arial" w:eastAsia="Arial" w:hAnsi="Arial"/>
          <w:sz w:val="16"/>
          <w:szCs w:val="16"/>
          <w:color w:val="auto"/>
        </w:rPr>
        <w:t>. The update is</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define management’s responsibility to evaluate whether there is a substantial doubt about an organization’s ability to continue as a going concern and to provide related footnote disclosure. ASU 2014-15 is effective for annual periods ending after December 15, 2016, with early adoption permitted. The Fund adopted the standard beginning with the quarter ended June 30, 2016. The adoption of ASU 2014-15 did not have a material effect on the Fund’s results of operation and financial condition.</w:t>
      </w:r>
    </w:p>
    <w:p>
      <w:pPr>
        <w:spacing w:after="0" w:line="57"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Classification of Certain Cash Receipts and Cash Payments (a Consensus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the Emerging Issues Task Force) </w:t>
      </w:r>
      <w:r>
        <w:rPr>
          <w:rFonts w:ascii="Arial" w:cs="Arial" w:eastAsia="Arial" w:hAnsi="Arial"/>
          <w:sz w:val="16"/>
          <w:szCs w:val="16"/>
          <w:color w:val="auto"/>
        </w:rPr>
        <w:t>(“ASU 2016-15”), which is intended to reduce diversity in practice in how certain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in the statement of cash flows. The Fund is currently assessing the impact of ASU 2016-15 and does not anticipate an impact on our financial position, results of operations or cash flows. ASU 2016-15 is effective for annual reporting periods beginning after December 15, 2017, including interim periods within those fiscal years, with early adoption permitted.</w:t>
      </w:r>
    </w:p>
    <w:p>
      <w:pPr>
        <w:spacing w:after="0" w:line="50"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 Consensus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Emerging Issues Task Force) </w:t>
      </w:r>
      <w:r>
        <w:rPr>
          <w:rFonts w:ascii="Arial" w:cs="Arial" w:eastAsia="Arial" w:hAnsi="Arial"/>
          <w:sz w:val="16"/>
          <w:szCs w:val="16"/>
          <w:color w:val="auto"/>
        </w:rPr>
        <w:t>(“ASU 2016-18”), which requires that the statement of cash flows explain the change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the total of cash, cash equivalents, and amounts generally described as restricted cash or restricted cash equivalents. ASU 2016-18 is effective for annual reporting periods beginning after December 15, 2017, including interim periods within those fiscal years, with early adoption permitted. The Fund is assessing the impact of ASU 2016-18 and guidance is not expected to have a material impact on our financial statements from adopting this standard, however, upon adoption of the standard, restricted cash will be included as part of beginning and ending cash and cash equivalents on the statement of cash flows.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14. ISSUANCES OF COMMON STOCK</w:t>
      </w:r>
    </w:p>
    <w:p>
      <w:pPr>
        <w:spacing w:after="0" w:line="121" w:lineRule="exact"/>
        <w:rPr>
          <w:sz w:val="20"/>
          <w:szCs w:val="20"/>
          <w:color w:val="auto"/>
        </w:rPr>
      </w:pPr>
    </w:p>
    <w:p>
      <w:pPr>
        <w:ind w:left="40" w:right="699" w:firstLine="270"/>
        <w:spacing w:after="0" w:line="286" w:lineRule="auto"/>
        <w:rPr>
          <w:sz w:val="20"/>
          <w:szCs w:val="20"/>
          <w:color w:val="auto"/>
        </w:rPr>
      </w:pPr>
      <w:r>
        <w:rPr>
          <w:rFonts w:ascii="Arial" w:cs="Arial" w:eastAsia="Arial" w:hAnsi="Arial"/>
          <w:sz w:val="17"/>
          <w:szCs w:val="17"/>
          <w:color w:val="auto"/>
        </w:rPr>
        <w:t>The Fund sold a total of 3,929,836 shares of common stock pursuant to an “at-the-market” offering during the year ended March 31, 2017. The total amount of capital raised under these issuances was approximately $44.8 million and net proceeds were approximately $43.8 million after deducting the sales agent’s commissions and offering expenses.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the year ended March 31, 2016, the Fund issued 1.8 million shares of common stock pursuant to an underwritten public</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offering at a public offering price of $15.65 per share. The total amount of capital raised from this offering was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$28.2 million and net proceeds were approximately $27.0 million after deducting underwriting discounts, commissions and offering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expenses.</w:t>
      </w:r>
    </w:p>
    <w:p>
      <w:pPr>
        <w:spacing w:after="0" w:line="103"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During the year ended March 31, 2016, the Fund sold a total of 419,275 shares of common stock pursuant to an “at-the-market” offering during the year ended March 31, 2016. The total amount of capital raised under these issuances was approximately $3.7 million and net proceeds were approximately $3.6 million after deducting the sales agent’s commissions and offering expenses.</w:t>
      </w:r>
    </w:p>
    <w:p>
      <w:pPr>
        <w:spacing w:after="0" w:line="39"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For the years ended March 31, 2017 and March 31, 2016, the Fund issued 69,900 and 593,816 shares, respectively, of common stock under the distribution reinvestment plan.</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OXFORD LANE CAPITAL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SUBSEQUENT EVENTS</w:t>
      </w:r>
    </w:p>
    <w:p>
      <w:pPr>
        <w:spacing w:after="0" w:line="121" w:lineRule="exact"/>
        <w:rPr>
          <w:sz w:val="20"/>
          <w:szCs w:val="20"/>
          <w:color w:val="auto"/>
        </w:rPr>
      </w:pPr>
    </w:p>
    <w:p>
      <w:pPr>
        <w:ind w:left="60" w:right="979" w:firstLine="270"/>
        <w:spacing w:after="0" w:line="277" w:lineRule="auto"/>
        <w:rPr>
          <w:sz w:val="20"/>
          <w:szCs w:val="20"/>
          <w:color w:val="auto"/>
        </w:rPr>
      </w:pPr>
      <w:r>
        <w:rPr>
          <w:rFonts w:ascii="Arial" w:cs="Arial" w:eastAsia="Arial" w:hAnsi="Arial"/>
          <w:sz w:val="18"/>
          <w:szCs w:val="18"/>
          <w:color w:val="auto"/>
        </w:rPr>
        <w:t>On May 8, 2017, the Board of Directors declared the required monthly dividends on its Series 2023 and Series 2024 Term Preferred Shares (each, a “Share”),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6996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Dividend</w:t>
            </w:r>
          </w:p>
        </w:tc>
        <w:tc>
          <w:tcPr>
            <w:tcW w:w="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2017 Record Dates</w:t>
            </w:r>
          </w:p>
        </w:tc>
        <w:tc>
          <w:tcPr>
            <w:tcW w:w="160" w:type="dxa"/>
            <w:vAlign w:val="bottom"/>
          </w:tcPr>
          <w:p>
            <w:pPr>
              <w:spacing w:after="0"/>
              <w:rPr>
                <w:sz w:val="12"/>
                <w:szCs w:val="12"/>
                <w:color w:val="auto"/>
              </w:rPr>
            </w:pPr>
          </w:p>
        </w:tc>
        <w:tc>
          <w:tcPr>
            <w:tcW w:w="2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2017 Payable Dates</w:t>
            </w: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Declared</w:t>
            </w:r>
          </w:p>
        </w:tc>
        <w:tc>
          <w:tcPr>
            <w:tcW w:w="160" w:type="dxa"/>
            <w:vAlign w:val="bottom"/>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Series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0.15625</w:t>
            </w:r>
          </w:p>
        </w:tc>
        <w:tc>
          <w:tcPr>
            <w:tcW w:w="1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June 16, July 17, August 17</w:t>
            </w:r>
          </w:p>
        </w:tc>
        <w:tc>
          <w:tcPr>
            <w:tcW w:w="1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June 30, July 31, August 31</w:t>
            </w:r>
          </w:p>
        </w:tc>
        <w:tc>
          <w:tcPr>
            <w:tcW w:w="0" w:type="dxa"/>
            <w:vAlign w:val="bottom"/>
          </w:tcPr>
          <w:p>
            <w:pPr>
              <w:spacing w:after="0"/>
              <w:rPr>
                <w:sz w:val="1"/>
                <w:szCs w:val="1"/>
                <w:color w:val="auto"/>
              </w:rPr>
            </w:pPr>
          </w:p>
        </w:tc>
      </w:tr>
      <w:tr>
        <w:trPr>
          <w:trHeight w:val="234"/>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Series 2024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2"/>
              <w:spacing w:after="0"/>
              <w:rPr>
                <w:sz w:val="20"/>
                <w:szCs w:val="20"/>
                <w:color w:val="auto"/>
              </w:rPr>
            </w:pPr>
            <w:r>
              <w:rPr>
                <w:rFonts w:ascii="Arial" w:cs="Arial" w:eastAsia="Arial" w:hAnsi="Arial"/>
                <w:sz w:val="18"/>
                <w:szCs w:val="18"/>
                <w:color w:val="auto"/>
              </w:rPr>
              <w:t>0.16930</w:t>
            </w:r>
          </w:p>
        </w:tc>
        <w:tc>
          <w:tcPr>
            <w:tcW w:w="16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June 16, July 17, August 17</w:t>
            </w:r>
          </w:p>
        </w:tc>
        <w:tc>
          <w:tcPr>
            <w:tcW w:w="16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June 30, July 31, August 31</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0" w:right="599" w:firstLine="270"/>
        <w:spacing w:after="0" w:line="302" w:lineRule="auto"/>
        <w:rPr>
          <w:sz w:val="20"/>
          <w:szCs w:val="20"/>
          <w:color w:val="auto"/>
        </w:rPr>
      </w:pPr>
      <w:r>
        <w:rPr>
          <w:rFonts w:ascii="Arial" w:cs="Arial" w:eastAsia="Arial" w:hAnsi="Arial"/>
          <w:sz w:val="16"/>
          <w:szCs w:val="16"/>
          <w:color w:val="auto"/>
        </w:rPr>
        <w:t>In accordance with their terms, each of the Series 2023 Shares and Series 2024 Shares will pay a monthly dividend at a fixed rate of 7.50% and 8.125%, respectively, of the $25.00 per share liquidation preference, or $1.875 and $2.03125 per share per year, respectively. This fixed annual dividend rate is subject to adjustment under certain circumstances, but will not in any case be lower than 7.50% and 8.125% per year, respectively, for each of the Series 2023 Shares and Series 2024 Shares.</w:t>
      </w:r>
    </w:p>
    <w:p>
      <w:pPr>
        <w:spacing w:after="0" w:line="46"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The Fund has evaluated subsequent events through the date of issuance and noted no other events that necessitate adjustments to or disclosure in the financial statements.</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0" w:right="3059" w:firstLine="2474"/>
        <w:spacing w:after="0" w:line="400"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Shareholders of Oxford Lane Capital Corp.:</w:t>
      </w:r>
    </w:p>
    <w:p>
      <w:pPr>
        <w:spacing w:after="0" w:line="1" w:lineRule="exact"/>
        <w:rPr>
          <w:sz w:val="20"/>
          <w:szCs w:val="20"/>
          <w:color w:val="auto"/>
        </w:rPr>
      </w:pPr>
    </w:p>
    <w:p>
      <w:pPr>
        <w:ind w:left="40" w:right="579"/>
        <w:spacing w:after="0" w:line="268" w:lineRule="auto"/>
        <w:rPr>
          <w:sz w:val="20"/>
          <w:szCs w:val="20"/>
          <w:color w:val="auto"/>
        </w:rPr>
      </w:pPr>
      <w:r>
        <w:rPr>
          <w:rFonts w:ascii="Arial" w:cs="Arial" w:eastAsia="Arial" w:hAnsi="Arial"/>
          <w:sz w:val="17"/>
          <w:szCs w:val="17"/>
          <w:color w:val="auto"/>
        </w:rPr>
        <w:t>In our opinion, the accompanying statement of assets and liabilities, including the schedule of investments, and the related statements of operations, of changes in net assets and of cash flows present fairly, in all material respects, the financial position of Oxford Lane Capital Corp. (the “Fund”) as of March 31, 2017, the results of its operations and its cash flows for the year then ended, and the changes in its net assets for each of the two years in the period then ended, in conformity with accounting principles generally accepted in the United States of America. These financial statements (hereafter referred to as “financial statements”) are the responsibility of the Fund's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which included confirmation of securities as of March 31, 2017 by correspondence with the custodian and brokers, provide a reasonable basis for our opinion.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18, 2017</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DISTRIBUTION REINVESTMENT PLAN</w:t>
      </w:r>
    </w:p>
    <w:p>
      <w:pPr>
        <w:spacing w:after="0" w:line="121"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spacing w:after="0" w:line="46"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spacing w:after="0" w:line="74"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62"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72"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spacing w:after="0" w:line="70"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80"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Arial" w:cs="Arial" w:eastAsia="Arial" w:hAnsi="Arial"/>
          <w:sz w:val="17"/>
          <w:szCs w:val="17"/>
          <w:i w:val="1"/>
          <w:iCs w:val="1"/>
          <w:color w:val="auto"/>
        </w:rPr>
        <w:t>www.computershare/investor</w:t>
      </w:r>
      <w:r>
        <w:rPr>
          <w:rFonts w:ascii="Arial" w:cs="Arial" w:eastAsia="Arial" w:hAnsi="Arial"/>
          <w:sz w:val="17"/>
          <w:szCs w:val="17"/>
          <w:color w:val="auto"/>
        </w:rPr>
        <w:t>, telephone number is 1-800-426-5523 and written correspondence can be mailed to Computershare Trust Company, N.A., P.O. Box 30170, College Station, TX 77845.</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left="60" w:right="539" w:firstLine="270"/>
        <w:spacing w:after="0" w:line="273" w:lineRule="auto"/>
        <w:rPr>
          <w:sz w:val="20"/>
          <w:szCs w:val="20"/>
          <w:color w:val="auto"/>
        </w:rPr>
      </w:pPr>
      <w:r>
        <w:rPr>
          <w:rFonts w:ascii="Arial" w:cs="Arial" w:eastAsia="Arial" w:hAnsi="Arial"/>
          <w:sz w:val="17"/>
          <w:szCs w:val="17"/>
          <w:color w:val="auto"/>
        </w:rPr>
        <w:t>Our Board of Directors oversees our management. The Board of Directors currently consists of five members, three of whom are not “interested persons” of Oxford Lane Capital Corp. as defined in Section 2(a)(19) 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spacing w:after="0" w:line="70"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color w:val="auto"/>
        </w:rPr>
        <w:t xml:space="preserve">Our directors and officers and their principal occupations during the past five years are set forth below. Our prospectus includes additional information about our directors and is available without charge, upon request by calling (203) 983-5275, or on the Securities and Exchange Commission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and Executive Officers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0768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28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Position</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6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of Term</w:t>
            </w:r>
          </w:p>
        </w:tc>
        <w:tc>
          <w:tcPr>
            <w:tcW w:w="0" w:type="dxa"/>
            <w:vAlign w:val="bottom"/>
          </w:tcPr>
          <w:p>
            <w:pPr>
              <w:spacing w:after="0"/>
              <w:rPr>
                <w:sz w:val="1"/>
                <w:szCs w:val="1"/>
                <w:color w:val="auto"/>
              </w:rPr>
            </w:pPr>
          </w:p>
        </w:tc>
      </w:tr>
      <w:tr>
        <w:trPr>
          <w:trHeight w:val="171"/>
        </w:trPr>
        <w:tc>
          <w:tcPr>
            <w:tcW w:w="22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Since</w:t>
            </w:r>
          </w:p>
        </w:tc>
        <w:tc>
          <w:tcPr>
            <w:tcW w:w="16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Interested Directors</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rPr>
              <w:t>Jonathan H. Cohen</w:t>
            </w:r>
          </w:p>
        </w:tc>
        <w:tc>
          <w:tcPr>
            <w:tcW w:w="6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52</w:t>
            </w:r>
          </w:p>
        </w:tc>
        <w:tc>
          <w:tcPr>
            <w:tcW w:w="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7"/>
              </w:rPr>
              <w:t>Chief Executive Officer and Director</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2010</w:t>
            </w:r>
          </w:p>
        </w:tc>
        <w:tc>
          <w:tcPr>
            <w:tcW w:w="13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2"/>
        </w:trPr>
        <w:tc>
          <w:tcPr>
            <w:tcW w:w="2200" w:type="dxa"/>
            <w:vAlign w:val="bottom"/>
          </w:tcPr>
          <w:p>
            <w:pPr>
              <w:ind w:left="20"/>
              <w:spacing w:after="0"/>
              <w:rPr>
                <w:sz w:val="20"/>
                <w:szCs w:val="20"/>
                <w:color w:val="auto"/>
              </w:rPr>
            </w:pPr>
            <w:r>
              <w:rPr>
                <w:rFonts w:ascii="Arial" w:cs="Arial" w:eastAsia="Arial" w:hAnsi="Arial"/>
                <w:sz w:val="18"/>
                <w:szCs w:val="18"/>
                <w:color w:val="auto"/>
              </w:rPr>
              <w:t>Saul B. Rosenthal</w:t>
            </w:r>
          </w:p>
        </w:tc>
        <w:tc>
          <w:tcPr>
            <w:tcW w:w="6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48</w:t>
            </w:r>
          </w:p>
        </w:tc>
        <w:tc>
          <w:tcPr>
            <w:tcW w:w="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President and Director</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2010</w:t>
            </w:r>
          </w:p>
        </w:tc>
        <w:tc>
          <w:tcPr>
            <w:tcW w:w="13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20"/>
        </w:trPr>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Independent Directors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rPr>
              <w:t>Mark J. Ashenfelter</w:t>
            </w:r>
          </w:p>
        </w:tc>
        <w:tc>
          <w:tcPr>
            <w:tcW w:w="6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57</w:t>
            </w:r>
          </w:p>
        </w:tc>
        <w:tc>
          <w:tcPr>
            <w:tcW w:w="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2010</w:t>
            </w:r>
          </w:p>
        </w:tc>
        <w:tc>
          <w:tcPr>
            <w:tcW w:w="13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rPr>
              <w:t>John Reardon</w:t>
            </w:r>
          </w:p>
        </w:tc>
        <w:tc>
          <w:tcPr>
            <w:tcW w:w="6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50</w:t>
            </w:r>
          </w:p>
        </w:tc>
        <w:tc>
          <w:tcPr>
            <w:tcW w:w="1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Director</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2010</w:t>
            </w:r>
          </w:p>
        </w:tc>
        <w:tc>
          <w:tcPr>
            <w:tcW w:w="13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David S. Shin</w:t>
            </w:r>
          </w:p>
        </w:tc>
        <w:tc>
          <w:tcPr>
            <w:tcW w:w="6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48</w:t>
            </w: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Director</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2010</w:t>
            </w:r>
          </w:p>
        </w:tc>
        <w:tc>
          <w:tcPr>
            <w:tcW w:w="13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579" w:firstLine="270"/>
        <w:spacing w:after="0" w:line="449" w:lineRule="auto"/>
        <w:rPr>
          <w:sz w:val="20"/>
          <w:szCs w:val="20"/>
          <w:color w:val="auto"/>
        </w:rPr>
      </w:pPr>
      <w:r>
        <w:rPr>
          <w:rFonts w:ascii="Arial" w:cs="Arial" w:eastAsia="Arial" w:hAnsi="Arial"/>
          <w:sz w:val="18"/>
          <w:szCs w:val="18"/>
          <w:color w:val="auto"/>
        </w:rPr>
        <w:t xml:space="preserve">The address for each of our directors is c/o Oxford Lane Capital Corp., 8 Sound Shore Drive, Suite 255, Greenwich, CT 06830. </w:t>
      </w:r>
      <w:r>
        <w:rPr>
          <w:rFonts w:ascii="Arial" w:cs="Arial" w:eastAsia="Arial" w:hAnsi="Arial"/>
          <w:sz w:val="18"/>
          <w:szCs w:val="18"/>
          <w:b w:val="1"/>
          <w:bCs w:val="1"/>
          <w:i w:val="1"/>
          <w:i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625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472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680" w:type="dxa"/>
            <w:vAlign w:val="bottom"/>
          </w:tcPr>
          <w:p>
            <w:pPr>
              <w:ind w:left="20"/>
              <w:spacing w:after="0" w:line="195" w:lineRule="exact"/>
              <w:rPr>
                <w:sz w:val="20"/>
                <w:szCs w:val="20"/>
                <w:color w:val="auto"/>
              </w:rPr>
            </w:pPr>
            <w:r>
              <w:rPr>
                <w:rFonts w:ascii="Arial" w:cs="Arial" w:eastAsia="Arial" w:hAnsi="Arial"/>
                <w:sz w:val="18"/>
                <w:szCs w:val="18"/>
                <w:color w:val="auto"/>
              </w:rPr>
              <w:t>Bruce L. Rubin</w:t>
            </w:r>
          </w:p>
        </w:tc>
        <w:tc>
          <w:tcPr>
            <w:tcW w:w="160" w:type="dxa"/>
            <w:vAlign w:val="bottom"/>
          </w:tcPr>
          <w:p>
            <w:pPr>
              <w:spacing w:after="0"/>
              <w:rPr>
                <w:sz w:val="16"/>
                <w:szCs w:val="16"/>
                <w:color w:val="auto"/>
              </w:rPr>
            </w:pPr>
          </w:p>
        </w:tc>
        <w:tc>
          <w:tcPr>
            <w:tcW w:w="500" w:type="dxa"/>
            <w:vAlign w:val="bottom"/>
          </w:tcPr>
          <w:p>
            <w:pPr>
              <w:jc w:val="center"/>
              <w:spacing w:after="0" w:line="195" w:lineRule="exact"/>
              <w:rPr>
                <w:sz w:val="20"/>
                <w:szCs w:val="20"/>
                <w:color w:val="auto"/>
              </w:rPr>
            </w:pPr>
            <w:r>
              <w:rPr>
                <w:rFonts w:ascii="Arial" w:cs="Arial" w:eastAsia="Arial" w:hAnsi="Arial"/>
                <w:sz w:val="18"/>
                <w:szCs w:val="18"/>
                <w:color w:val="auto"/>
                <w:w w:val="89"/>
              </w:rPr>
              <w:t>57</w:t>
            </w:r>
          </w:p>
        </w:tc>
        <w:tc>
          <w:tcPr>
            <w:tcW w:w="16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Chief Financial Officer, Treasurer and Corporate Secretary</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Gerald Cummins</w:t>
            </w:r>
          </w:p>
        </w:tc>
        <w:tc>
          <w:tcPr>
            <w:tcW w:w="6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62</w:t>
            </w: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Biographical Information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60" w:right="679" w:firstLine="270"/>
        <w:spacing w:after="0" w:line="277" w:lineRule="auto"/>
        <w:rPr>
          <w:sz w:val="20"/>
          <w:szCs w:val="20"/>
          <w:color w:val="auto"/>
        </w:rPr>
      </w:pPr>
      <w:r>
        <w:rPr>
          <w:rFonts w:ascii="Arial" w:cs="Arial" w:eastAsia="Arial" w:hAnsi="Arial"/>
          <w:sz w:val="18"/>
          <w:szCs w:val="18"/>
          <w:color w:val="auto"/>
        </w:rPr>
        <w:t>Our directors have been divided into two groups — interested directors and independent directors. An interested director is an “interested person” as defined in Section 2(a)(19) of the 1940 Act.</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Interested Directors</w:t>
      </w:r>
    </w:p>
    <w:p>
      <w:pPr>
        <w:spacing w:after="0" w:line="121"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i w:val="1"/>
          <w:iCs w:val="1"/>
          <w:color w:val="auto"/>
        </w:rPr>
        <w:t>Messrs. Cohen and Rosenthal are “interested persons” of Oxford Lane Capital as defined in the 1940 Act due to their positions as Chief Executive Officer and President, respectively, of Oxford Lane Capital and Oxford Lane Management, Oxford Lane Capital’s investment adviser, and as the managing member and non-managing member, respectively, of BDC Partners, the administrator for Oxford Lane Capital.</w:t>
      </w:r>
    </w:p>
    <w:p>
      <w:pPr>
        <w:spacing w:after="0" w:line="79" w:lineRule="exact"/>
        <w:rPr>
          <w:sz w:val="20"/>
          <w:szCs w:val="20"/>
          <w:color w:val="auto"/>
        </w:rPr>
      </w:pPr>
    </w:p>
    <w:p>
      <w:pPr>
        <w:ind w:left="60" w:right="559" w:firstLine="270"/>
        <w:spacing w:after="0" w:line="297" w:lineRule="auto"/>
        <w:rPr>
          <w:sz w:val="20"/>
          <w:szCs w:val="20"/>
          <w:color w:val="auto"/>
        </w:rPr>
      </w:pPr>
      <w:r>
        <w:rPr>
          <w:rFonts w:ascii="Arial" w:cs="Arial" w:eastAsia="Arial" w:hAnsi="Arial"/>
          <w:sz w:val="16"/>
          <w:szCs w:val="16"/>
          <w:b w:val="1"/>
          <w:bCs w:val="1"/>
          <w:i w:val="1"/>
          <w:iCs w:val="1"/>
          <w:color w:val="auto"/>
        </w:rPr>
        <w:t xml:space="preserve">Jonathan H. Cohen </w:t>
      </w:r>
      <w:r>
        <w:rPr>
          <w:rFonts w:ascii="Arial" w:cs="Arial" w:eastAsia="Arial" w:hAnsi="Arial"/>
          <w:sz w:val="16"/>
          <w:szCs w:val="16"/>
          <w:color w:val="auto"/>
        </w:rPr>
        <w:t>has served as Chief Executive Officer of both Oxford Lane Capital Corp. and Oxford Lane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2010. Mr. Cohen has also served since 2003 as Chief Executive Officer of both TICC Capital Corp. (NasdaqGS: TICC), a publicly traded business development company, and TICC Management, LLC, TICC Capital Corp.’s investment adviser, and as the managing member of BDC Partners. Mr. Cohen has also served since 2015 as Chief Executive Officer of Oxford Bridge Management, LLC, the investment manager to Oxford Bridge, LLC, a private investment fund. Mr. Cohen is also a member of the</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39"/>
        <w:spacing w:after="0" w:line="255" w:lineRule="auto"/>
        <w:rPr>
          <w:sz w:val="20"/>
          <w:szCs w:val="20"/>
          <w:color w:val="auto"/>
        </w:rPr>
      </w:pPr>
      <w:r>
        <w:rPr>
          <w:rFonts w:ascii="Arial" w:cs="Arial" w:eastAsia="Arial" w:hAnsi="Arial"/>
          <w:sz w:val="18"/>
          <w:szCs w:val="18"/>
          <w:color w:val="auto"/>
        </w:rPr>
        <w:t>Board of Directors of TICC Capital Corp. Previously, Mr. Cohen managed technology equity research groups at Wit Capital, Merrill Lynch, UBS and Smith Barney. Mr. Cohen is a member of the Board of Trustees of Connecticut College.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pacing w:after="0" w:line="85"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b w:val="1"/>
          <w:bCs w:val="1"/>
          <w:i w:val="1"/>
          <w:iCs w:val="1"/>
          <w:color w:val="auto"/>
        </w:rPr>
        <w:t xml:space="preserve">Saul B. Rosenthal </w:t>
      </w:r>
      <w:r>
        <w:rPr>
          <w:rFonts w:ascii="Arial" w:cs="Arial" w:eastAsia="Arial" w:hAnsi="Arial"/>
          <w:sz w:val="17"/>
          <w:szCs w:val="17"/>
          <w:color w:val="auto"/>
        </w:rPr>
        <w:t>has served as President of both Oxford Lane Capital Corp. and Oxford Lane Management since 2010.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Rosenthal has also served as President since 2004 of TICC Capital Corp. (NasdaqGS: TICC), a publicly traded business development company, and since 2015 as President of Oxford Bridge Management, LLC. Mr. Rosenthal was previously an attorney at the law firm of Shearman &amp; Sterling LLP. Mr. Rosenthal serves on the boards of LiftForward, Inc., the National Museum of Mathematics and YPO New York City.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Independent Directors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following directors are not “interested persons” of Oxford Lane Capital, as defined in the 1940 Act.</w:t>
      </w:r>
    </w:p>
    <w:p>
      <w:pPr>
        <w:spacing w:after="0" w:line="117"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b w:val="1"/>
          <w:bCs w:val="1"/>
          <w:i w:val="1"/>
          <w:iCs w:val="1"/>
          <w:color w:val="auto"/>
        </w:rPr>
        <w:t xml:space="preserve">Mark J. Ashenfelter </w:t>
      </w:r>
      <w:r>
        <w:rPr>
          <w:rFonts w:ascii="Arial" w:cs="Arial" w:eastAsia="Arial" w:hAnsi="Arial"/>
          <w:sz w:val="18"/>
          <w:szCs w:val="18"/>
          <w:color w:val="auto"/>
        </w:rPr>
        <w:t>presently serves as a Senior Vice President and the General Counsel of Haebler Capital, a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company located in Greenwich, CT. Prior to joining Haebler Capital in 1994, Mr. Ashenfelter was an associate at Cravath, Swaine &amp; Moore from 1985 to 1992 and Cadwalader, Wickersham &amp; Taft from 1992 to 1994.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spacing w:after="0" w:line="81" w:lineRule="exact"/>
        <w:rPr>
          <w:sz w:val="20"/>
          <w:szCs w:val="20"/>
          <w:color w:val="auto"/>
        </w:rPr>
      </w:pPr>
    </w:p>
    <w:p>
      <w:pPr>
        <w:ind w:left="40" w:right="579" w:firstLine="270"/>
        <w:spacing w:after="0" w:line="288" w:lineRule="auto"/>
        <w:rPr>
          <w:sz w:val="20"/>
          <w:szCs w:val="20"/>
          <w:color w:val="auto"/>
        </w:rPr>
      </w:pPr>
      <w:r>
        <w:rPr>
          <w:rFonts w:ascii="Arial" w:cs="Arial" w:eastAsia="Arial" w:hAnsi="Arial"/>
          <w:sz w:val="16"/>
          <w:szCs w:val="16"/>
          <w:b w:val="1"/>
          <w:bCs w:val="1"/>
          <w:i w:val="1"/>
          <w:iCs w:val="1"/>
          <w:color w:val="auto"/>
        </w:rPr>
        <w:t xml:space="preserve">John Reardon </w:t>
      </w:r>
      <w:r>
        <w:rPr>
          <w:rFonts w:ascii="Arial" w:cs="Arial" w:eastAsia="Arial" w:hAnsi="Arial"/>
          <w:sz w:val="16"/>
          <w:szCs w:val="16"/>
          <w:color w:val="auto"/>
        </w:rPr>
        <w:t>is the principal of Reardon Consulting, LLP, which specializes in providing management consulting services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companies in the telecom, software, and cyber security industries. Mr. Reardon also serves as the Managing Director of Choctaw Telecom LLC. Previously, Mr. Reardon managed telecommunications companies in the mobile voice, data and engineering services markets as Chief Executive Officer and a member of the Board of Directors of Mobex Communications, Inc. from 2001 to 2005. From 1997 – 2001, he served as General Counsel and Secretary of the Board of Directors of Mobex Communications, Inc. Mr. Reardon began his career in telecom law at the boutique Washington, DC firm of Keller and Heckman, LLP. Mr. Reardon received a Bachelor of Arts degree in Political Science, summa cum laude, from Boston University, and earned his J.D. from Columbia Law School. He is admitted to the New York State Bar and the Washington, DC Bar, and is the past president of the Columbia Law School Alumni Association of Washington, DC. Mr. Reardon’s extensive experience as a senior corporate executive provides our Board of Directors the perspective of a knowledgeable corporate leader.</w:t>
      </w:r>
    </w:p>
    <w:p>
      <w:pPr>
        <w:spacing w:after="0" w:line="61" w:lineRule="exact"/>
        <w:rPr>
          <w:sz w:val="20"/>
          <w:szCs w:val="20"/>
          <w:color w:val="auto"/>
        </w:rPr>
      </w:pPr>
    </w:p>
    <w:p>
      <w:pPr>
        <w:ind w:left="40" w:right="619" w:firstLine="270"/>
        <w:spacing w:after="0" w:line="284" w:lineRule="auto"/>
        <w:rPr>
          <w:sz w:val="20"/>
          <w:szCs w:val="20"/>
          <w:color w:val="auto"/>
        </w:rPr>
      </w:pPr>
      <w:r>
        <w:rPr>
          <w:rFonts w:ascii="Arial" w:cs="Arial" w:eastAsia="Arial" w:hAnsi="Arial"/>
          <w:sz w:val="16"/>
          <w:szCs w:val="16"/>
          <w:b w:val="1"/>
          <w:bCs w:val="1"/>
          <w:i w:val="1"/>
          <w:iCs w:val="1"/>
          <w:color w:val="auto"/>
        </w:rPr>
        <w:t xml:space="preserve">David S. Shin </w:t>
      </w:r>
      <w:r>
        <w:rPr>
          <w:rFonts w:ascii="Arial" w:cs="Arial" w:eastAsia="Arial" w:hAnsi="Arial"/>
          <w:sz w:val="16"/>
          <w:szCs w:val="16"/>
          <w:color w:val="auto"/>
        </w:rPr>
        <w:t>presently serves as an asset management consultant to Innovatus Capital Partners, the manager of certain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 &amp; Acquisitions Group of Merrill Lynch</w:t>
      </w:r>
    </w:p>
    <w:p>
      <w:pPr>
        <w:spacing w:after="0" w:line="1" w:lineRule="exact"/>
        <w:rPr>
          <w:sz w:val="20"/>
          <w:szCs w:val="20"/>
          <w:color w:val="auto"/>
        </w:rPr>
      </w:pPr>
    </w:p>
    <w:p>
      <w:pPr>
        <w:ind w:left="40" w:right="839" w:firstLine="8"/>
        <w:spacing w:after="0" w:line="255" w:lineRule="auto"/>
        <w:tabs>
          <w:tab w:leader="none" w:pos="2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 from 1996 to 2002. Mr. Shin started his career as a CPA in the Corporate Tax Department of KPMG Peat Marwick’s Financial Institutions Group, where he served from 1990 to 1992, before attending law school. Mr. Shin received a B.S., magna cum laude, from The</w:t>
      </w:r>
    </w:p>
    <w:p>
      <w:pPr>
        <w:spacing w:after="0" w:line="200" w:lineRule="exact"/>
        <w:rPr>
          <w:sz w:val="20"/>
          <w:szCs w:val="20"/>
          <w:color w:val="auto"/>
        </w:rPr>
      </w:pPr>
    </w:p>
    <w:p>
      <w:pPr>
        <w:spacing w:after="0" w:line="34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99"/>
        <w:spacing w:after="0" w:line="264" w:lineRule="auto"/>
        <w:rPr>
          <w:sz w:val="20"/>
          <w:szCs w:val="20"/>
          <w:color w:val="auto"/>
        </w:rPr>
      </w:pPr>
      <w:r>
        <w:rPr>
          <w:rFonts w:ascii="Arial" w:cs="Arial" w:eastAsia="Arial" w:hAnsi="Arial"/>
          <w:sz w:val="18"/>
          <w:szCs w:val="18"/>
          <w:color w:val="auto"/>
        </w:rPr>
        <w:t>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117" w:lineRule="exact"/>
        <w:rPr>
          <w:sz w:val="20"/>
          <w:szCs w:val="20"/>
          <w:color w:val="auto"/>
        </w:rPr>
      </w:pPr>
    </w:p>
    <w:p>
      <w:pPr>
        <w:ind w:left="60" w:right="539" w:firstLine="270"/>
        <w:spacing w:after="0" w:line="287" w:lineRule="auto"/>
        <w:rPr>
          <w:sz w:val="20"/>
          <w:szCs w:val="20"/>
          <w:color w:val="auto"/>
        </w:rPr>
      </w:pPr>
      <w:r>
        <w:rPr>
          <w:rFonts w:ascii="Arial" w:cs="Arial" w:eastAsia="Arial" w:hAnsi="Arial"/>
          <w:sz w:val="16"/>
          <w:szCs w:val="16"/>
          <w:b w:val="1"/>
          <w:bCs w:val="1"/>
          <w:i w:val="1"/>
          <w:iCs w:val="1"/>
          <w:color w:val="auto"/>
        </w:rPr>
        <w:t xml:space="preserve">Bruce L. Rubin </w:t>
      </w:r>
      <w:r>
        <w:rPr>
          <w:rFonts w:ascii="Arial" w:cs="Arial" w:eastAsia="Arial" w:hAnsi="Arial"/>
          <w:sz w:val="16"/>
          <w:szCs w:val="16"/>
          <w:color w:val="auto"/>
        </w:rPr>
        <w:t>has served as our Chief Financial Officer and Corporate Secretary since August 2015, and as our Treasurer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Controller since our initial public offering in 2011. Mr. Rubin has also served as TICC Capital Corp.’s Controller since 2005, TICC Capital Corp.’s Treasurer since 2009, and TICC Capital Corp.’s Chief Financial Officer, Chief Accounting Officer and Corporate Secretary since August 2015. Mr. Rubin also currently serves as the Chief Financial Officer and Secretary of Oxford Lane Management, TICC Management, LLC, BDC Partners, and Oxford Bridge Management, LLC, the investment manager of Oxford Bridge, LLC, a private investment fund. From 1995 to 2003, Mr. Rubin was the Assistant Treasurer &amp; Director of Financial Planning of the New York Mercantile Exchange, Inc., the largest physical commodities futures exchange in the world, and has extensive experience with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spacing w:after="0" w:line="65" w:lineRule="exact"/>
        <w:rPr>
          <w:sz w:val="20"/>
          <w:szCs w:val="20"/>
          <w:color w:val="auto"/>
        </w:rPr>
      </w:pPr>
    </w:p>
    <w:p>
      <w:pPr>
        <w:ind w:left="60" w:right="579" w:firstLine="270"/>
        <w:spacing w:after="0" w:line="269" w:lineRule="auto"/>
        <w:rPr>
          <w:sz w:val="20"/>
          <w:szCs w:val="20"/>
          <w:color w:val="auto"/>
        </w:rPr>
      </w:pPr>
      <w:r>
        <w:rPr>
          <w:rFonts w:ascii="Arial" w:cs="Arial" w:eastAsia="Arial" w:hAnsi="Arial"/>
          <w:sz w:val="17"/>
          <w:szCs w:val="17"/>
          <w:b w:val="1"/>
          <w:bCs w:val="1"/>
          <w:i w:val="1"/>
          <w:iCs w:val="1"/>
          <w:color w:val="auto"/>
        </w:rPr>
        <w:t xml:space="preserve">Gerald Cummins </w:t>
      </w:r>
      <w:r>
        <w:rPr>
          <w:rFonts w:ascii="Arial" w:cs="Arial" w:eastAsia="Arial" w:hAnsi="Arial"/>
          <w:sz w:val="17"/>
          <w:szCs w:val="17"/>
          <w:color w:val="auto"/>
        </w:rPr>
        <w:t>has served as our Chief Compliance Officer, as well as the Chief Compliance Officer of Oxford Lane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TICC Capital Corp., TICC Management, LLC, since June 2015 pursuant to an agreement between us and Alaric Compliance Services, LLC (“Alaric”), a compliance consulting firm. Mr. Cummins has also served since November 2015 as the Chief Compliance Officer of Oxford Bridge Management, LLC, the investment manager of Oxford Bridge, LLC, a private investment fund. Mr. Cummins has been a director of Alaric since June 2014 and in that capacity he also serves as the Chief Compliance Officer to a private equity firm. Prior to joining Alaric,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COO and the CCO for BroadArch Capital and from 2009 to 2011 the CFO and CCO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compensation of our directors for the year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2"/>
        </w:trPr>
        <w:tc>
          <w:tcPr>
            <w:tcW w:w="3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7"/>
                <w:szCs w:val="17"/>
                <w:color w:val="auto"/>
              </w:rPr>
            </w:pPr>
          </w:p>
        </w:tc>
        <w:tc>
          <w:tcPr>
            <w:tcW w:w="92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4"/>
                <w:szCs w:val="14"/>
                <w:b w:val="1"/>
                <w:bCs w:val="1"/>
                <w:color w:val="auto"/>
                <w:w w:val="86"/>
              </w:rPr>
              <w:t>Fees Earned</w:t>
            </w:r>
            <w:r>
              <w:rPr>
                <w:rFonts w:ascii="Arial" w:cs="Arial" w:eastAsia="Arial" w:hAnsi="Arial"/>
                <w:sz w:val="23"/>
                <w:szCs w:val="23"/>
                <w:b w:val="1"/>
                <w:bCs w:val="1"/>
                <w:color w:val="auto"/>
                <w:w w:val="86"/>
                <w:vertAlign w:val="superscript"/>
              </w:rPr>
              <w:t>(1)</w:t>
            </w:r>
          </w:p>
        </w:tc>
        <w:tc>
          <w:tcPr>
            <w:tcW w:w="160" w:type="dxa"/>
            <w:vAlign w:val="bottom"/>
          </w:tcPr>
          <w:p>
            <w:pPr>
              <w:spacing w:after="0"/>
              <w:rPr>
                <w:sz w:val="17"/>
                <w:szCs w:val="17"/>
                <w:color w:val="auto"/>
              </w:rPr>
            </w:pPr>
          </w:p>
        </w:tc>
        <w:tc>
          <w:tcPr>
            <w:tcW w:w="124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4"/>
                <w:szCs w:val="14"/>
                <w:b w:val="1"/>
                <w:bCs w:val="1"/>
                <w:color w:val="auto"/>
                <w:w w:val="94"/>
              </w:rPr>
              <w:t>Compensation</w:t>
            </w:r>
            <w:r>
              <w:rPr>
                <w:rFonts w:ascii="Arial" w:cs="Arial" w:eastAsia="Arial" w:hAnsi="Arial"/>
                <w:sz w:val="23"/>
                <w:szCs w:val="23"/>
                <w:b w:val="1"/>
                <w:bCs w:val="1"/>
                <w:color w:val="auto"/>
                <w:w w:val="94"/>
                <w:vertAlign w:val="superscript"/>
              </w:rPr>
              <w:t>(2)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0"/>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Interested Directors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Jonathan H. Cohen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Saul B. Rosenthal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gridSpan w:val="3"/>
          </w:tcPr>
          <w:p>
            <w:pPr>
              <w:ind w:left="20"/>
              <w:spacing w:after="0"/>
              <w:rPr>
                <w:sz w:val="20"/>
                <w:szCs w:val="20"/>
                <w:color w:val="auto"/>
              </w:rPr>
            </w:pPr>
            <w:r>
              <w:rPr>
                <w:rFonts w:ascii="Arial" w:cs="Arial" w:eastAsia="Arial" w:hAnsi="Arial"/>
                <w:sz w:val="18"/>
                <w:szCs w:val="18"/>
                <w:b w:val="1"/>
                <w:bCs w:val="1"/>
                <w:color w:val="auto"/>
              </w:rPr>
              <w:t>Independent Directors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Mark J. Ashenfelter</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r>
      <w:tr>
        <w:trPr>
          <w:trHeight w:val="216"/>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John Reardon</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18"/>
                <w:szCs w:val="18"/>
                <w:color w:val="auto"/>
              </w:rPr>
            </w:pPr>
          </w:p>
        </w:tc>
        <w:tc>
          <w:tcPr>
            <w:tcW w:w="1240" w:type="dxa"/>
            <w:vAlign w:val="bottom"/>
          </w:tcPr>
          <w:p>
            <w:pPr>
              <w:ind w:left="8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95,000</w:t>
            </w:r>
          </w:p>
        </w:tc>
      </w:tr>
      <w:tr>
        <w:trPr>
          <w:trHeight w:val="216"/>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David S. Shin</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105,000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256" w:lineRule="exact"/>
        <w:rPr>
          <w:sz w:val="20"/>
          <w:szCs w:val="20"/>
          <w:color w:val="auto"/>
        </w:rPr>
      </w:pPr>
    </w:p>
    <w:p>
      <w:pPr>
        <w:ind w:left="300" w:hanging="27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 discussion of the independent directors’ compensation, see below.</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do not maintain a stock option plan, non-equity incentive plan or pension plan for our directors.</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independent directors receive an annual fee of $75,000. In addition, the independent directors receive $2,000 plus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reimbursement of reasonable out-of-pocket expenses incurred in connection with attending each Board of Directors meeting,</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$1,500 plus reimbursement of reasonable out-of-pocket expenses incurred in connection with attending each Valuation Committee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meeting and $1,000 plus reimbursement of reasonable out-of-pocket expenses incurred in connection with attending each Audit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Committee meeting. The Chairman of the Audit Committee also receives an additional annual fee of $10,000. No compensation is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paid to directors who are interested persons of Oxford Lane Capital as defined in the 1940 Act.</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of Chief Executive Officer and Other Executive Officers</w:t>
      </w:r>
    </w:p>
    <w:p>
      <w:pPr>
        <w:spacing w:after="0" w:line="121"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We do not have a compensation committee because our executive officers do not receive any direct compensation from Oxford Lane Capital. Mr. Cohen, our Chief Executive Officer, and Mr. Rosenthal, our President, through their ownership interest in BDC Partners,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spacing w:after="0" w:line="81" w:lineRule="exact"/>
        <w:rPr>
          <w:sz w:val="20"/>
          <w:szCs w:val="20"/>
          <w:color w:val="auto"/>
        </w:rPr>
      </w:pPr>
    </w:p>
    <w:p>
      <w:pPr>
        <w:jc w:val="both"/>
        <w:ind w:left="40" w:right="659" w:firstLine="270"/>
        <w:spacing w:after="0" w:line="264" w:lineRule="auto"/>
        <w:rPr>
          <w:sz w:val="20"/>
          <w:szCs w:val="20"/>
          <w:color w:val="auto"/>
        </w:rPr>
      </w:pPr>
      <w:r>
        <w:rPr>
          <w:rFonts w:ascii="Arial" w:cs="Arial" w:eastAsia="Arial" w:hAnsi="Arial"/>
          <w:sz w:val="18"/>
          <w:szCs w:val="18"/>
          <w:color w:val="auto"/>
        </w:rPr>
        <w:t>The compensation of Mr. Rubin, our Chief Financial Officer, Treasurer and Corporate Secretary, is paid by our administrator, BDC Partners, subject to reimbursement by us of an allocable portion of such compensation for services rendered by Mr. Rubin to Oxford Lane Capital.</w:t>
      </w:r>
    </w:p>
    <w:p>
      <w:pPr>
        <w:spacing w:after="0" w:line="73" w:lineRule="exact"/>
        <w:rPr>
          <w:sz w:val="20"/>
          <w:szCs w:val="20"/>
          <w:color w:val="auto"/>
        </w:rPr>
      </w:pPr>
    </w:p>
    <w:p>
      <w:pPr>
        <w:ind w:left="40" w:right="1299" w:firstLine="270"/>
        <w:spacing w:after="0" w:line="277" w:lineRule="auto"/>
        <w:rPr>
          <w:sz w:val="20"/>
          <w:szCs w:val="20"/>
          <w:color w:val="auto"/>
        </w:rPr>
      </w:pPr>
      <w:r>
        <w:rPr>
          <w:rFonts w:ascii="Arial" w:cs="Arial" w:eastAsia="Arial" w:hAnsi="Arial"/>
          <w:sz w:val="18"/>
          <w:szCs w:val="18"/>
          <w:color w:val="auto"/>
        </w:rPr>
        <w:t>Mr. Cummins, our Chief Compliance Officer, is a director of Alaric, and performs his functions under the terms of an agreement between us and Alaric.</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BOARD APPROVAL OF THE INVESTMENT ADVISORY AGREEMENT</w:t>
      </w:r>
    </w:p>
    <w:p>
      <w:pPr>
        <w:spacing w:after="0" w:line="121"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At an in-person meeting of our Board of Directors held on July 27, 2016, our Board of Directors unanimously voted to approve the Investment Advisory Agreement. In reaching a decision to approve the Investment Advisory Agreement, the Board of Directors reviewed a significant amount of information and considered and concluded, among other things:</w:t>
      </w:r>
    </w:p>
    <w:p>
      <w:pPr>
        <w:spacing w:after="0" w:line="57" w:lineRule="exact"/>
        <w:rPr>
          <w:sz w:val="20"/>
          <w:szCs w:val="20"/>
          <w:color w:val="auto"/>
        </w:rPr>
      </w:pPr>
    </w:p>
    <w:p>
      <w:pPr>
        <w:ind w:left="600" w:right="579" w:hanging="322"/>
        <w:spacing w:after="0" w:line="276"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nature, quality and extent of the advisory and other services to be provided to us by Oxford Lane Management, including the responses in a questionnaire regarding Oxford Lane Management’s investment process and Oxford Lane Management’s policies and guidelines currently in place to monitor and manage the risk and volatility associated with the Company’s portfolio, and the qualifications and abilities of the professional personnel of Oxford Lane Management and the compensation structure for such personnel, and concluded that such services are satisfactory;</w:t>
      </w:r>
    </w:p>
    <w:p>
      <w:pPr>
        <w:spacing w:after="0" w:line="64" w:lineRule="exact"/>
        <w:rPr>
          <w:rFonts w:ascii="Arial" w:cs="Arial" w:eastAsia="Arial" w:hAnsi="Arial"/>
          <w:sz w:val="17"/>
          <w:szCs w:val="17"/>
          <w:color w:val="auto"/>
        </w:rPr>
      </w:pPr>
    </w:p>
    <w:p>
      <w:pPr>
        <w:ind w:left="600" w:right="1079" w:hanging="322"/>
        <w:spacing w:after="0" w:line="342"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investment performance of OXLC and Oxford Lane Management including a comparison to the performance of OXLC’s peer group, and concluded that OXLC’s performance is reasonable in comparison to its peers;</w:t>
      </w:r>
    </w:p>
    <w:p>
      <w:pPr>
        <w:spacing w:after="0" w:line="15" w:lineRule="exact"/>
        <w:rPr>
          <w:rFonts w:ascii="Arial" w:cs="Arial" w:eastAsia="Arial" w:hAnsi="Arial"/>
          <w:sz w:val="16"/>
          <w:szCs w:val="16"/>
          <w:color w:val="auto"/>
        </w:rPr>
      </w:pPr>
    </w:p>
    <w:p>
      <w:pPr>
        <w:jc w:val="both"/>
        <w:ind w:left="600" w:right="639" w:hanging="322"/>
        <w:spacing w:after="0" w:line="264"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management investment companies with similar investment objectives, and concluded that the total advisory fees paid by OXLC to Oxford Lane Management were reasonable;</w:t>
      </w:r>
    </w:p>
    <w:p>
      <w:pPr>
        <w:spacing w:after="0" w:line="73" w:lineRule="exact"/>
        <w:rPr>
          <w:rFonts w:ascii="Arial" w:cs="Arial" w:eastAsia="Arial" w:hAnsi="Arial"/>
          <w:sz w:val="18"/>
          <w:szCs w:val="18"/>
          <w:color w:val="auto"/>
        </w:rPr>
      </w:pPr>
    </w:p>
    <w:p>
      <w:pPr>
        <w:ind w:left="600" w:right="819" w:hanging="322"/>
        <w:spacing w:after="0" w:line="277"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historical and projected operating expenses and expense ratio compared to management investment companies with similar investment objectives, and concluded that our operating expenses were reasonable;</w:t>
      </w:r>
    </w:p>
    <w:p>
      <w:pPr>
        <w:spacing w:after="0" w:line="62" w:lineRule="exact"/>
        <w:rPr>
          <w:rFonts w:ascii="Arial" w:cs="Arial" w:eastAsia="Arial" w:hAnsi="Arial"/>
          <w:sz w:val="18"/>
          <w:szCs w:val="18"/>
          <w:color w:val="auto"/>
        </w:rPr>
      </w:pPr>
    </w:p>
    <w:p>
      <w:pPr>
        <w:ind w:left="600" w:right="1079" w:hanging="322"/>
        <w:spacing w:after="0" w:line="264"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existing and potential sources of indirect income to Oxford Lane Management or BDC Partners from their relationships with OXLC and the profitability of those relationships, and concluded that Oxford Lane Management’s profitability was not excessive with respect to us;</w:t>
      </w:r>
    </w:p>
    <w:p>
      <w:pPr>
        <w:spacing w:after="0" w:line="73" w:lineRule="exact"/>
        <w:rPr>
          <w:rFonts w:ascii="Arial" w:cs="Arial" w:eastAsia="Arial" w:hAnsi="Arial"/>
          <w:sz w:val="18"/>
          <w:szCs w:val="18"/>
          <w:color w:val="auto"/>
        </w:rPr>
      </w:pPr>
    </w:p>
    <w:p>
      <w:pPr>
        <w:ind w:left="600" w:right="739" w:hanging="322"/>
        <w:spacing w:after="0" w:line="342"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services to be performed and the personnel performing such services under the Investment Advisory Agreement, and concluded that the services to be performed and the personnel performing such services were satisfactory;</w:t>
      </w:r>
    </w:p>
    <w:p>
      <w:pPr>
        <w:spacing w:after="0" w:line="15" w:lineRule="exact"/>
        <w:rPr>
          <w:rFonts w:ascii="Arial" w:cs="Arial" w:eastAsia="Arial" w:hAnsi="Arial"/>
          <w:sz w:val="16"/>
          <w:szCs w:val="16"/>
          <w:color w:val="auto"/>
        </w:rPr>
      </w:pPr>
    </w:p>
    <w:p>
      <w:pPr>
        <w:ind w:left="600" w:right="619" w:hanging="322"/>
        <w:spacing w:after="0" w:line="308"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organizational capability and financial condition of Oxford Lane Management and its affiliates, and concluded that the organizational capability and financial condition of Oxford Lane Management were reasonable;</w:t>
      </w:r>
    </w:p>
    <w:p>
      <w:pPr>
        <w:spacing w:after="0" w:line="38" w:lineRule="exact"/>
        <w:rPr>
          <w:rFonts w:ascii="Arial" w:cs="Arial" w:eastAsia="Arial" w:hAnsi="Arial"/>
          <w:sz w:val="17"/>
          <w:szCs w:val="17"/>
          <w:color w:val="auto"/>
        </w:rPr>
      </w:pPr>
    </w:p>
    <w:p>
      <w:pPr>
        <w:ind w:left="600" w:right="1439" w:hanging="322"/>
        <w:spacing w:after="0" w:line="277"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due diligence-related expenses, travel expenses, and expenses associated with investigating and monitoring investments, and concluded that such expenses were reasonable; and</w:t>
      </w:r>
    </w:p>
    <w:p>
      <w:pPr>
        <w:spacing w:after="0" w:line="62" w:lineRule="exact"/>
        <w:rPr>
          <w:rFonts w:ascii="Arial" w:cs="Arial" w:eastAsia="Arial" w:hAnsi="Arial"/>
          <w:sz w:val="18"/>
          <w:szCs w:val="18"/>
          <w:color w:val="auto"/>
        </w:rPr>
      </w:pPr>
    </w:p>
    <w:p>
      <w:pPr>
        <w:ind w:left="600" w:right="799" w:hanging="322"/>
        <w:spacing w:after="0" w:line="264"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 party service providers or through an internally managed structure, and concluded that our current externally managed structure with Oxford Lane Management as our investment advisor was satisfactory.</w:t>
      </w:r>
    </w:p>
    <w:p>
      <w:pPr>
        <w:spacing w:after="0" w:line="73"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Based on the information reviewed and the discussions detailed above, the Board of Directors, including all of the directors who are not “interested persons” as defined in the 1940 Act, concluded that the fees payable to Oxford Lane Management pursuant to the Investment Advisory Agreement were reasonable, and comparable to the fees paid by other management investment companies with similar investment objectives, in relation to the services to be provided. The Board of Directors did not assign relative weights to the above factors or the other factors considered by it. Individual members of the Board of Directors may have given different weights to different factors.</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SUBMISSION OF MATTERS TO A VOTE OF SHAREHOLDERS</w:t>
      </w:r>
    </w:p>
    <w:p>
      <w:pPr>
        <w:spacing w:after="0" w:line="121"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The Fund held its Annual Meeting of Shareholders (the “Meeting”) on September 20, 2016 and submitted one matter to vote of the shareholders. At the Meeting, shareholders elected two nominees for director, each to serve for a three-year term to expire at the 2019 Annual Meeting of Shareholders based on the following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42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Votes for</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Votes Withheld</w:t>
            </w:r>
          </w:p>
        </w:tc>
      </w:tr>
      <w:tr>
        <w:trPr>
          <w:trHeight w:val="250"/>
        </w:trPr>
        <w:tc>
          <w:tcPr>
            <w:tcW w:w="508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Jonathan H. Cohen</w:t>
            </w:r>
            <w:r>
              <w:rPr>
                <w:rFonts w:ascii="Arial" w:cs="Arial" w:eastAsia="Arial" w:hAnsi="Arial"/>
                <w:sz w:val="28"/>
                <w:szCs w:val="28"/>
                <w:color w:val="auto"/>
                <w:vertAlign w:val="superscript"/>
              </w:rPr>
              <w:t>(1)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18,380,974</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902,714</w:t>
            </w:r>
          </w:p>
        </w:tc>
      </w:tr>
      <w:tr>
        <w:trPr>
          <w:trHeight w:val="390"/>
        </w:trPr>
        <w:tc>
          <w:tcPr>
            <w:tcW w:w="5080" w:type="dxa"/>
            <w:vAlign w:val="bottom"/>
          </w:tcPr>
          <w:p>
            <w:pPr>
              <w:ind w:left="20"/>
              <w:spacing w:after="0"/>
              <w:rPr>
                <w:sz w:val="20"/>
                <w:szCs w:val="20"/>
                <w:color w:val="auto"/>
              </w:rPr>
            </w:pPr>
            <w:r>
              <w:rPr>
                <w:rFonts w:ascii="Arial" w:cs="Arial" w:eastAsia="Arial" w:hAnsi="Arial"/>
                <w:sz w:val="18"/>
                <w:szCs w:val="18"/>
                <w:color w:val="auto"/>
              </w:rPr>
              <w:t>Mark J. Ashenfelter</w:t>
            </w:r>
            <w:r>
              <w:rPr>
                <w:rFonts w:ascii="Arial" w:cs="Arial" w:eastAsia="Arial" w:hAnsi="Arial"/>
                <w:sz w:val="30"/>
                <w:szCs w:val="30"/>
                <w:color w:val="auto"/>
                <w:vertAlign w:val="superscript"/>
              </w:rPr>
              <w:t>(2)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3,891,806</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155,376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86" w:lineRule="exact"/>
        <w:rPr>
          <w:sz w:val="20"/>
          <w:szCs w:val="20"/>
          <w:color w:val="auto"/>
        </w:rPr>
      </w:pPr>
    </w:p>
    <w:p>
      <w:pPr>
        <w:ind w:left="300" w:hanging="272"/>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Cohen was elected by the holders of our outstanding common stock and preferred stock, voting together as a single class.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Ashenfelter was elected by the holders of our preferred stock, voting as a single class.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ADDITIONAL INFORMATION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Information</w:t>
      </w:r>
    </w:p>
    <w:p>
      <w:pPr>
        <w:spacing w:after="0" w:line="121"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 xml:space="preserve">The Fund files its complete schedule of portfolio holdings with the Securities and Exchange Commission (the “Commission”) for the first and third quarters of each fiscal year on Form N-Q, within sixty days after the end of the relevant period. Form N-Q filings of the Fund are available on the Commission’s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and may be reviewed and copied at the Commission’s Public Reference Room in Washington, DC. Information on the operation of the Public Reference Room may be obtained by calling 1-800-SEC-0330. This information is also available free of charge by contacting the Fund by mail at 8 Sound Shore Drive, Suite 255, Greenwich, CT 06830, by telephone at (203) 983-5275 or on its website at </w:t>
      </w:r>
      <w:r>
        <w:rPr>
          <w:rFonts w:ascii="Arial" w:cs="Arial" w:eastAsia="Arial" w:hAnsi="Arial"/>
          <w:sz w:val="18"/>
          <w:szCs w:val="18"/>
          <w:i w:val="1"/>
          <w:iCs w:val="1"/>
          <w:color w:val="auto"/>
        </w:rPr>
        <w:t>http://www.oxfordlanecapital.com</w:t>
      </w:r>
      <w:r>
        <w:rPr>
          <w:rFonts w:ascii="Arial" w:cs="Arial" w:eastAsia="Arial" w:hAnsi="Arial"/>
          <w:sz w:val="18"/>
          <w:szCs w:val="18"/>
          <w:color w:val="auto"/>
        </w:rPr>
        <w:t>.</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Proxy Information</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 xml:space="preserve">A description of the policies and procedures that the Fund’s investment adviser uses to determine how to vote proxies relating to the Fund’s portfolio securities is available (i) without charge, upon request, by calling (203) 983-5275; (ii) on the Fund’s website at </w:t>
      </w:r>
      <w:r>
        <w:rPr>
          <w:rFonts w:ascii="Arial" w:cs="Arial" w:eastAsia="Arial" w:hAnsi="Arial"/>
          <w:sz w:val="18"/>
          <w:szCs w:val="18"/>
          <w:i w:val="1"/>
          <w:iCs w:val="1"/>
          <w:color w:val="auto"/>
        </w:rPr>
        <w:t>http://www.oxfordlanecapital.com</w:t>
      </w:r>
      <w:r>
        <w:rPr>
          <w:rFonts w:ascii="Arial" w:cs="Arial" w:eastAsia="Arial" w:hAnsi="Arial"/>
          <w:sz w:val="18"/>
          <w:szCs w:val="18"/>
          <w:color w:val="auto"/>
        </w:rPr>
        <w:t>. Information about how the Fund’s investment adviser voted proxies with respect to the Fund’s portfolio securities during the most recent 12-month period ended March 31 can be obtained by making a written request for proxy voting information to: Chief Compliance Officer, Oxford Lane Management, LLC, 8 Sound Shore Drive, Suite 255, Greenwich, CT 06830.</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tax purposes, distributions to shareholders during the year ended March 31, 2017, were approximately $49.6 million.</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Privacy Policy</w:t>
      </w:r>
    </w:p>
    <w:p>
      <w:pPr>
        <w:spacing w:after="0" w:line="121" w:lineRule="exact"/>
        <w:rPr>
          <w:sz w:val="20"/>
          <w:szCs w:val="20"/>
          <w:color w:val="auto"/>
        </w:rPr>
      </w:pPr>
    </w:p>
    <w:p>
      <w:pPr>
        <w:ind w:left="40" w:right="579" w:firstLine="270"/>
        <w:spacing w:after="0" w:line="312" w:lineRule="auto"/>
        <w:rPr>
          <w:sz w:val="20"/>
          <w:szCs w:val="20"/>
          <w:color w:val="auto"/>
        </w:rPr>
      </w:pPr>
      <w:r>
        <w:rPr>
          <w:rFonts w:ascii="Arial" w:cs="Arial" w:eastAsia="Arial" w:hAnsi="Arial"/>
          <w:sz w:val="16"/>
          <w:szCs w:val="16"/>
          <w:color w:val="auto"/>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spacing w:after="0" w:line="39" w:lineRule="exact"/>
        <w:rPr>
          <w:sz w:val="20"/>
          <w:szCs w:val="20"/>
          <w:color w:val="auto"/>
        </w:rPr>
      </w:pPr>
    </w:p>
    <w:p>
      <w:pPr>
        <w:ind w:left="40" w:right="959" w:firstLine="270"/>
        <w:spacing w:after="0" w:line="277" w:lineRule="auto"/>
        <w:rPr>
          <w:sz w:val="20"/>
          <w:szCs w:val="20"/>
          <w:color w:val="auto"/>
        </w:rPr>
      </w:pPr>
      <w:r>
        <w:rPr>
          <w:rFonts w:ascii="Arial" w:cs="Arial" w:eastAsia="Arial" w:hAnsi="Arial"/>
          <w:sz w:val="18"/>
          <w:szCs w:val="18"/>
          <w:color w:val="auto"/>
        </w:rPr>
        <w:t>We will safeguard, according to strict standards of security and confidentiality, all information we receive about you. With regard to this information, we maintain procedural safeguards that comply with federal standards.</w:t>
      </w:r>
    </w:p>
    <w:p>
      <w:pPr>
        <w:spacing w:after="0" w:line="62" w:lineRule="exact"/>
        <w:rPr>
          <w:sz w:val="20"/>
          <w:szCs w:val="20"/>
          <w:color w:val="auto"/>
        </w:rPr>
      </w:pPr>
    </w:p>
    <w:p>
      <w:pPr>
        <w:ind w:left="40" w:right="899" w:firstLine="270"/>
        <w:spacing w:after="0" w:line="264" w:lineRule="auto"/>
        <w:rPr>
          <w:sz w:val="20"/>
          <w:szCs w:val="20"/>
          <w:color w:val="auto"/>
        </w:rPr>
      </w:pPr>
      <w:r>
        <w:rPr>
          <w:rFonts w:ascii="Arial" w:cs="Arial" w:eastAsia="Arial" w:hAnsi="Arial"/>
          <w:sz w:val="18"/>
          <w:szCs w:val="18"/>
          <w:color w:val="auto"/>
        </w:rPr>
        <w:t>Our goal is to limit the collection and use of information about you. When you purchase shares of our common stock, our transfer agent collects personal information about you, such as your name, address, social security number or tax identification number.</w:t>
      </w:r>
    </w:p>
    <w:p>
      <w:pPr>
        <w:spacing w:after="0" w:line="73"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This information is used only so that we can send you annual reports, proxy statements and other information required by law, and to send you information we believe may be of interest to you.</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share such information with any non-affiliated third party except as described below:</w:t>
      </w:r>
    </w:p>
    <w:p>
      <w:pPr>
        <w:spacing w:after="0" w:line="117" w:lineRule="exact"/>
        <w:rPr>
          <w:sz w:val="20"/>
          <w:szCs w:val="20"/>
          <w:color w:val="auto"/>
        </w:rPr>
      </w:pPr>
    </w:p>
    <w:p>
      <w:pPr>
        <w:ind w:left="600" w:right="859" w:hanging="322"/>
        <w:spacing w:after="0" w:line="277"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our policy that only authorized employees of our investment adviser, Oxford Lane Management, LLC, who need to know your personal information will have access to it.</w:t>
      </w:r>
    </w:p>
    <w:p>
      <w:pPr>
        <w:spacing w:after="0" w:line="62" w:lineRule="exact"/>
        <w:rPr>
          <w:rFonts w:ascii="Arial" w:cs="Arial" w:eastAsia="Arial" w:hAnsi="Arial"/>
          <w:sz w:val="18"/>
          <w:szCs w:val="18"/>
          <w:color w:val="auto"/>
        </w:rPr>
      </w:pPr>
    </w:p>
    <w:p>
      <w:pPr>
        <w:ind w:left="600" w:right="619" w:hanging="322"/>
        <w:spacing w:after="0" w:line="264"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73" w:lineRule="exact"/>
        <w:rPr>
          <w:rFonts w:ascii="Arial" w:cs="Arial" w:eastAsia="Arial" w:hAnsi="Arial"/>
          <w:sz w:val="18"/>
          <w:szCs w:val="18"/>
          <w:color w:val="auto"/>
        </w:rPr>
      </w:pPr>
    </w:p>
    <w:p>
      <w:pPr>
        <w:ind w:left="600" w:right="819" w:hanging="322"/>
        <w:spacing w:after="0" w:line="308"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required by law, we may disclose stockholder-related information in accordance with a court order or at the request of government regulators. Only that information required by law, subpoena, or court order will be disclosed.</w:t>
      </w:r>
    </w:p>
    <w:p>
      <w:pPr>
        <w:spacing w:after="0" w:line="200" w:lineRule="exact"/>
        <w:rPr>
          <w:sz w:val="20"/>
          <w:szCs w:val="20"/>
          <w:color w:val="auto"/>
        </w:rPr>
      </w:pPr>
    </w:p>
    <w:p>
      <w:pPr>
        <w:spacing w:after="0" w:line="2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89" w:lineRule="exact"/>
        <w:rPr>
          <w:sz w:val="20"/>
          <w:szCs w:val="20"/>
          <w:color w:val="auto"/>
        </w:rPr>
      </w:pPr>
    </w:p>
    <w:p>
      <w:pPr>
        <w:jc w:val="right"/>
        <w:ind w:right="3619"/>
        <w:spacing w:after="0"/>
        <w:rPr>
          <w:sz w:val="20"/>
          <w:szCs w:val="20"/>
          <w:color w:val="auto"/>
        </w:rPr>
      </w:pPr>
      <w:r>
        <w:rPr>
          <w:rFonts w:ascii="Arial" w:cs="Arial" w:eastAsia="Arial" w:hAnsi="Arial"/>
          <w:sz w:val="29"/>
          <w:szCs w:val="29"/>
          <w:b w:val="1"/>
          <w:bCs w:val="1"/>
          <w:color w:val="auto"/>
        </w:rPr>
        <w:t>Oxford Lane Capital Corp.</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Independent Directors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 J. Ashenfelter, Chairman of the Board of Directors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John Reardon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David S. Shin</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Interested Directors</w:t>
      </w:r>
      <w:r>
        <w:rPr>
          <w:rFonts w:ascii="Arial" w:cs="Arial" w:eastAsia="Arial" w:hAnsi="Arial"/>
          <w:sz w:val="30"/>
          <w:szCs w:val="30"/>
          <w:color w:val="auto"/>
          <w:vertAlign w:val="superscript"/>
        </w:rPr>
        <w:t>(1)</w:t>
      </w:r>
    </w:p>
    <w:p>
      <w:pPr>
        <w:ind w:left="40"/>
        <w:spacing w:after="0"/>
        <w:rPr>
          <w:sz w:val="20"/>
          <w:szCs w:val="20"/>
          <w:color w:val="auto"/>
        </w:rPr>
      </w:pPr>
      <w:r>
        <w:rPr>
          <w:rFonts w:ascii="Arial" w:cs="Arial" w:eastAsia="Arial" w:hAnsi="Arial"/>
          <w:sz w:val="18"/>
          <w:szCs w:val="18"/>
          <w:b w:val="1"/>
          <w:bCs w:val="1"/>
          <w:color w:val="auto"/>
        </w:rPr>
        <w:t>Jonathan H. Cohen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Saul B. Rosenthal</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OFFICERS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Jonathan H. Cohen,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Saul B. Rosenthal, President</w:t>
      </w:r>
    </w:p>
    <w:p>
      <w:pPr>
        <w:spacing w:after="0" w:line="9" w:lineRule="exact"/>
        <w:rPr>
          <w:sz w:val="20"/>
          <w:szCs w:val="20"/>
          <w:color w:val="auto"/>
        </w:rPr>
      </w:pPr>
    </w:p>
    <w:p>
      <w:pPr>
        <w:ind w:left="40" w:right="4179"/>
        <w:spacing w:after="0" w:line="261" w:lineRule="auto"/>
        <w:rPr>
          <w:sz w:val="20"/>
          <w:szCs w:val="20"/>
          <w:color w:val="auto"/>
        </w:rPr>
      </w:pPr>
      <w:r>
        <w:rPr>
          <w:rFonts w:ascii="Arial" w:cs="Arial" w:eastAsia="Arial" w:hAnsi="Arial"/>
          <w:sz w:val="18"/>
          <w:szCs w:val="18"/>
          <w:b w:val="1"/>
          <w:bCs w:val="1"/>
          <w:color w:val="auto"/>
        </w:rPr>
        <w:t>Bruce L. Rubin, Chief Financial Officer, Corporate Secretary and Treasurer Gerald Cummins, Chief Compliance Officer</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ADVISER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Oxford Lane Management, LLC</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Sound Shore Drive, Suite 255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Greenwich, CT 06830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(1) As defined under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456565</wp:posOffset>
            </wp:positionV>
            <wp:extent cx="6114415"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Oxford Lane Capital Corp.</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8 Sound Shore Drive, Suite 255 | Greenwich, CT 06830 | </w:t>
      </w:r>
      <w:r>
        <w:rPr>
          <w:rFonts w:ascii="Arial" w:cs="Arial" w:eastAsia="Arial" w:hAnsi="Arial"/>
          <w:sz w:val="16"/>
          <w:szCs w:val="16"/>
          <w:i w:val="1"/>
          <w:iCs w:val="1"/>
          <w:color w:val="auto"/>
        </w:rPr>
        <w:t>oxfordlanecapital.com</w:t>
      </w:r>
      <w:r>
        <w:rPr>
          <w:rFonts w:ascii="Arial" w:cs="Arial" w:eastAsia="Arial" w:hAnsi="Arial"/>
          <w:sz w:val="16"/>
          <w:szCs w:val="16"/>
          <w:color w:val="auto"/>
        </w:rPr>
        <w:t xml:space="preserve"> | (203) 983-5275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480060</wp:posOffset>
            </wp:positionV>
            <wp:extent cx="6114415"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Code of Ethics.</w:t>
      </w:r>
    </w:p>
    <w:p>
      <w:pPr>
        <w:spacing w:after="0" w:line="121"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 xml:space="preserve">The Registrant has adopted a code of ethics which applies to, among others, its senior officers, including its Chief Executive Officer (its principal executive officer) and Chief Financial Officer (its principal financial officer), as well as every officer, director and employee of Oxford Lane Capital Corp. The Registrant amended its code of ethics during the period covered by the report to allow investments by the Fund in a previously restricted non-affiliated entity and to clarify certain procedural issues under the code of ethics. The Registrant did not grant any waivers, including implicit waivers, from any provisions of the code of ethics during the period covered by this report. The Registrant’s amended code of ethics can be accessed via its website at </w:t>
      </w:r>
      <w:r>
        <w:rPr>
          <w:rFonts w:ascii="Arial" w:cs="Arial" w:eastAsia="Arial" w:hAnsi="Arial"/>
          <w:sz w:val="18"/>
          <w:szCs w:val="18"/>
          <w:i w:val="1"/>
          <w:iCs w:val="1"/>
          <w:color w:val="auto"/>
        </w:rPr>
        <w:t>http://www.oxfordlanecapital.com</w:t>
      </w:r>
      <w:r>
        <w:rPr>
          <w:rFonts w:ascii="Arial" w:cs="Arial" w:eastAsia="Arial" w:hAnsi="Arial"/>
          <w:sz w:val="18"/>
          <w:szCs w:val="18"/>
          <w:color w:val="auto"/>
        </w:rPr>
        <w:t>.</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Audit Committee Financial Expert.</w:t>
      </w:r>
    </w:p>
    <w:p>
      <w:pPr>
        <w:spacing w:after="0" w:line="121"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The Registrant’s Board of Directors has determined that Registrant has at least one “audit committee financial expert” (as defined in Item 3 of Form N-CSR) serving on its Audit Committee. The Audit Committee financial expert is David S. Shin based on his experience in investment banking and accounting. Mr. Shin is “independent” within the meaning of that term used in Form N-CSR.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Principal Accountant Fees and Services.</w:t>
      </w:r>
    </w:p>
    <w:p>
      <w:pPr>
        <w:spacing w:after="0" w:line="121" w:lineRule="exact"/>
        <w:rPr>
          <w:sz w:val="20"/>
          <w:szCs w:val="20"/>
          <w:color w:val="auto"/>
        </w:rPr>
      </w:pPr>
    </w:p>
    <w:p>
      <w:pPr>
        <w:ind w:left="820" w:right="599" w:hanging="542"/>
        <w:spacing w:after="0" w:line="302"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Audit Fees</w:t>
      </w:r>
      <w:r>
        <w:rPr>
          <w:rFonts w:ascii="Arial" w:cs="Arial" w:eastAsia="Arial" w:hAnsi="Arial"/>
          <w:sz w:val="16"/>
          <w:szCs w:val="16"/>
          <w:color w:val="auto"/>
        </w:rPr>
        <w:t>. The aggregate fees billed for professional services rendered by PricewaterhouseCoopers LLP (“PWC”), the Registrant’s independent registered public accounting firm, for services that are normally provided by the accountant in connection with statutory and regulatory filings or engagements for the fiscal years ended March 31, 2017 and 2016 were $534,285 and $565,464, respectively. These fees include services provided in connection with securities offerings.</w:t>
      </w:r>
    </w:p>
    <w:p>
      <w:pPr>
        <w:spacing w:after="0" w:line="46" w:lineRule="exact"/>
        <w:rPr>
          <w:rFonts w:ascii="Arial" w:cs="Arial" w:eastAsia="Arial" w:hAnsi="Arial"/>
          <w:sz w:val="16"/>
          <w:szCs w:val="16"/>
          <w:color w:val="auto"/>
        </w:rPr>
      </w:pPr>
    </w:p>
    <w:p>
      <w:pPr>
        <w:ind w:left="820" w:right="959" w:hanging="542"/>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Audit-Related Fees</w:t>
      </w:r>
      <w:r>
        <w:rPr>
          <w:rFonts w:ascii="Arial" w:cs="Arial" w:eastAsia="Arial" w:hAnsi="Arial"/>
          <w:sz w:val="18"/>
          <w:szCs w:val="18"/>
          <w:color w:val="auto"/>
        </w:rPr>
        <w:t>. No such fees were billed during the last two fiscal years for audit-related services provided by PWC.</w:t>
      </w:r>
    </w:p>
    <w:p>
      <w:pPr>
        <w:spacing w:after="0" w:line="62" w:lineRule="exact"/>
        <w:rPr>
          <w:rFonts w:ascii="Arial" w:cs="Arial" w:eastAsia="Arial" w:hAnsi="Arial"/>
          <w:sz w:val="18"/>
          <w:szCs w:val="18"/>
          <w:color w:val="auto"/>
        </w:rPr>
      </w:pPr>
    </w:p>
    <w:p>
      <w:pPr>
        <w:ind w:left="820" w:right="559" w:hanging="542"/>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Tax Fees</w:t>
      </w:r>
      <w:r>
        <w:rPr>
          <w:rFonts w:ascii="Arial" w:cs="Arial" w:eastAsia="Arial" w:hAnsi="Arial"/>
          <w:sz w:val="18"/>
          <w:szCs w:val="18"/>
          <w:color w:val="auto"/>
        </w:rPr>
        <w:t>. The aggregate fees billed for professional services by PWC for tax compliance, tax advice and tax planning in the fiscal years ended March 31, 2017 and 2016 were $55,750 and $42,875, respectively.</w:t>
      </w:r>
    </w:p>
    <w:p>
      <w:pPr>
        <w:spacing w:after="0" w:line="62" w:lineRule="exact"/>
        <w:rPr>
          <w:rFonts w:ascii="Arial" w:cs="Arial" w:eastAsia="Arial" w:hAnsi="Arial"/>
          <w:sz w:val="18"/>
          <w:szCs w:val="18"/>
          <w:color w:val="auto"/>
        </w:rPr>
      </w:pPr>
    </w:p>
    <w:p>
      <w:pPr>
        <w:ind w:left="820" w:hanging="542"/>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All Other Fees</w:t>
      </w:r>
      <w:r>
        <w:rPr>
          <w:rFonts w:ascii="Arial" w:cs="Arial" w:eastAsia="Arial" w:hAnsi="Arial"/>
          <w:sz w:val="16"/>
          <w:szCs w:val="16"/>
          <w:color w:val="auto"/>
        </w:rPr>
        <w:t>. No such fees were billed during the last two fiscal years for products and services provided by PWC.</w:t>
      </w:r>
    </w:p>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(e)(1)  The Registrant’s Audit Committee is required to pre-approve any Independent Accountants’ engagement to render audit</w:t>
      </w:r>
    </w:p>
    <w:p>
      <w:pPr>
        <w:spacing w:after="0" w:line="46" w:lineRule="exact"/>
        <w:rPr>
          <w:sz w:val="20"/>
          <w:szCs w:val="20"/>
          <w:color w:val="auto"/>
        </w:rPr>
      </w:pPr>
    </w:p>
    <w:p>
      <w:pPr>
        <w:ind w:left="820" w:right="539"/>
        <w:spacing w:after="0" w:line="268" w:lineRule="auto"/>
        <w:rPr>
          <w:sz w:val="20"/>
          <w:szCs w:val="20"/>
          <w:color w:val="auto"/>
        </w:rPr>
      </w:pPr>
      <w:r>
        <w:rPr>
          <w:rFonts w:ascii="Arial" w:cs="Arial" w:eastAsia="Arial" w:hAnsi="Arial"/>
          <w:sz w:val="17"/>
          <w:szCs w:val="17"/>
          <w:color w:val="auto"/>
        </w:rPr>
        <w:t>and/or permissible non-audit services (including the fees charged and proposed to be charged by the independent accountants), subject to the exceptions under Section 10A(i)(1)(B) of the Securities Exchange Act of 1934, and as otherwise required by law. The Audit Committee also is required to pre-approve non-audit services performed by the Registrant’s principal accountant for the Registrant’s investment advisor (not including any sub-advisor whose role is primarily portfolio management and is subcontracted with or overseen by another Investment advisor) and/or to any entity controlling, controlled by or under common control with the Registrant’s investment advisor that provides ongoing services to the Registrant, if the engagement for services relates directly to the operations and financial reporting of the Registrant. The Audit Committee may delegate its pre-approval responsibilities to one or more of its members. The member(s) to whom such responsibility is delegated must report, for informational purposes only, any pre-approval decisions to the Audit Committee at its next scheduled meeting.</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(e)(2)  Not applicable.</w:t>
      </w:r>
    </w:p>
    <w:p>
      <w:pPr>
        <w:spacing w:after="0" w:line="117" w:lineRule="exact"/>
        <w:rPr>
          <w:sz w:val="20"/>
          <w:szCs w:val="20"/>
          <w:color w:val="auto"/>
        </w:rPr>
      </w:pPr>
    </w:p>
    <w:p>
      <w:pPr>
        <w:ind w:left="820" w:hanging="542"/>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20" w:right="779" w:hanging="542"/>
        <w:spacing w:after="0" w:line="259"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fiscal years ended March 31, 2017 and March 31, 2016, the aggregate fees billed by the Registrant’s principal accountant for non-audit services rendered to the Registrant and for non-audit services rendered to the Registrant’s investment advisor (not including any sub-advisor whose role is primarily portfolio management and is subcontracted with or overseen</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820" w:right="639"/>
        <w:spacing w:after="0" w:line="264" w:lineRule="auto"/>
        <w:rPr>
          <w:sz w:val="20"/>
          <w:szCs w:val="20"/>
          <w:color w:val="auto"/>
        </w:rPr>
      </w:pPr>
      <w:r>
        <w:rPr>
          <w:rFonts w:ascii="Arial" w:cs="Arial" w:eastAsia="Arial" w:hAnsi="Arial"/>
          <w:sz w:val="18"/>
          <w:szCs w:val="18"/>
          <w:color w:val="auto"/>
        </w:rPr>
        <w:t>by another investment advisor) and/or to any entity controlling, controlled by or under common control with the Registrant’s investment advisor that provides ongoing services to the Registrant and the Registrant’s investment advisor were $55,750 and $42,875, respectively.</w:t>
      </w:r>
    </w:p>
    <w:p>
      <w:pPr>
        <w:spacing w:after="0" w:line="73" w:lineRule="exact"/>
        <w:rPr>
          <w:sz w:val="20"/>
          <w:szCs w:val="20"/>
          <w:color w:val="auto"/>
        </w:rPr>
      </w:pPr>
    </w:p>
    <w:p>
      <w:pPr>
        <w:ind w:left="820" w:right="539" w:hanging="542"/>
        <w:spacing w:after="0" w:line="276"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were no non-audit services rendered to the Registrant’s investment advisor (not including any sub-advisor whose role is primarily portfolio management and is subcontracted with or overseen by another investment advisor) and/or to any entity controlling, controlled by or under common control with the Registrant’s investment advisor that provides ongoing services to the Registrant that were not required to be pre-approved pursuant to paragraph (c)(7)(ii) of Rule 2-01 of Regulation S-X was compatible with maintaining the principal accountant’s independence.</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Audit Committee of Listed Registrant.</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Registrant has a separately-designated standing Audit Committee established in accordance with Section 3(a)(58)(A) of the Securities Exchange Act of 1934, as amended. The members of the committee are Mark J. Ashenfelter, David S. Shin (chairman) and John Reardon.</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Schedule of Investments.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Please see the schedule of investments contained in the Report to Stockholders included under Item 1 of this Form N-CSR.</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7. Disclosure of Proxy Voting Policies and Procedures for Closed-End Management Investment Companies.</w:t>
      </w:r>
    </w:p>
    <w:p>
      <w:pPr>
        <w:spacing w:after="0" w:line="133" w:lineRule="exact"/>
        <w:rPr>
          <w:sz w:val="20"/>
          <w:szCs w:val="20"/>
          <w:color w:val="auto"/>
        </w:rPr>
      </w:pPr>
    </w:p>
    <w:p>
      <w:pPr>
        <w:ind w:left="40" w:right="1139" w:firstLine="270"/>
        <w:spacing w:after="0" w:line="277" w:lineRule="auto"/>
        <w:rPr>
          <w:sz w:val="20"/>
          <w:szCs w:val="20"/>
          <w:color w:val="auto"/>
        </w:rPr>
      </w:pPr>
      <w:r>
        <w:rPr>
          <w:rFonts w:ascii="Arial" w:cs="Arial" w:eastAsia="Arial" w:hAnsi="Arial"/>
          <w:sz w:val="18"/>
          <w:szCs w:val="18"/>
          <w:color w:val="auto"/>
        </w:rPr>
        <w:t>The Registrant has delegated proxy voting responsibility to its investment adviser, Oxford Lane Management, LLC (the “Adviser”). The Proxy Voting Policies and Procedures of the Adviser are set forth below.</w:t>
      </w:r>
    </w:p>
    <w:p>
      <w:pPr>
        <w:spacing w:after="0" w:line="166"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OXFORD LANE MANAGEMENT, LLC</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STATEMENT OF POLICIES AND PROCEDURES REGARDING THE VOTING OF SECURITIES</w:t>
      </w:r>
    </w:p>
    <w:p>
      <w:pPr>
        <w:spacing w:after="0" w:line="103" w:lineRule="exact"/>
        <w:rPr>
          <w:sz w:val="20"/>
          <w:szCs w:val="20"/>
          <w:color w:val="auto"/>
        </w:rPr>
      </w:pPr>
    </w:p>
    <w:p>
      <w:pPr>
        <w:ind w:left="40" w:right="539" w:firstLine="270"/>
        <w:spacing w:after="0" w:line="312" w:lineRule="auto"/>
        <w:rPr>
          <w:sz w:val="20"/>
          <w:szCs w:val="20"/>
          <w:color w:val="auto"/>
        </w:rPr>
      </w:pPr>
      <w:r>
        <w:rPr>
          <w:rFonts w:ascii="Arial" w:cs="Arial" w:eastAsia="Arial" w:hAnsi="Arial"/>
          <w:sz w:val="16"/>
          <w:szCs w:val="16"/>
          <w:color w:val="auto"/>
        </w:rPr>
        <w:t>The Proxy Voting Policies and Procedures of the Adviser are set forth below. You may obtain information about how the Adviser voted proxies with respect to the Registrant’s portfiolio securities by making a written request for proxy voting information to: Chief Compliance Officer, Oxford Lane Management, LLC, 8 Sound Shore Drive, Suite 255, Greenwich, CT 06830.</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As an investment adviser registered under the Investment Advisers Act of 1940, as amended (the “Advisers Act”), the Adviser has a fiduciary duty to act solely in the best interests of its clients. As part of this duty, the Adviser recognizes that it must vote client securities in a timely manner free of conflicts of interest and in the best interests of its clients.</w:t>
      </w:r>
    </w:p>
    <w:p>
      <w:pPr>
        <w:spacing w:after="0" w:line="57"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These policies and procedures for voting proxies for the Adviser’s investment advisory clients are intended to comply with Section 206 of, and Rule 206(4)-6 under, the Advisers Act.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Proxy Policies</w:t>
      </w:r>
    </w:p>
    <w:p>
      <w:pPr>
        <w:spacing w:after="0" w:line="121"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The Adviser will vote proxies relating to the Registrant’s portfolio securities in the best interests of the Registrant’s shareholders. The Adviser will review on a case-by-case basis each proposal submitted for a shareholder vote to determine its impact on the portfolio securities held by the Registrant. Although the Adviser will generally vote against proposals that may have a negative impact on the Registrant’s portfolio securities, it may vote for such a proposal if there exist compelling long-term reasons to do so.</w:t>
      </w:r>
    </w:p>
    <w:p>
      <w:pPr>
        <w:spacing w:after="0" w:line="80"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The proxy voting decisions of the Adviser are made by the senior officers of the Adviser who are responsible for monitoring each of the Registrant’s investments. To ensure that its vote is not the product of a conflict of interest, the Adviser requires that: (i) anyone involved in the decision making process to disclose to the Adviser’s Chief Compliance Officer (“CCO”) any potential conflict that he or she is aware of and any contact that he or she has had with any interested party regarding a proxy vote; and (ii) employees involved in</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59"/>
        <w:spacing w:after="0" w:line="342" w:lineRule="auto"/>
        <w:rPr>
          <w:sz w:val="20"/>
          <w:szCs w:val="20"/>
          <w:color w:val="auto"/>
        </w:rPr>
      </w:pPr>
      <w:r>
        <w:rPr>
          <w:rFonts w:ascii="Arial" w:cs="Arial" w:eastAsia="Arial" w:hAnsi="Arial"/>
          <w:sz w:val="16"/>
          <w:szCs w:val="16"/>
          <w:color w:val="auto"/>
        </w:rPr>
        <w:t>the decision making process or vote administration are prohibited from revealing how the Adviser intends to vote on a proposal without the prior approval of the CCO and Senior Management in order to reduce any attempted influence from interested parties.</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Proxy Voting Records</w:t>
      </w:r>
    </w:p>
    <w:p>
      <w:pPr>
        <w:spacing w:after="0" w:line="121" w:lineRule="exact"/>
        <w:rPr>
          <w:sz w:val="20"/>
          <w:szCs w:val="20"/>
          <w:color w:val="auto"/>
        </w:rPr>
      </w:pPr>
    </w:p>
    <w:p>
      <w:pPr>
        <w:ind w:left="60" w:right="539" w:firstLine="270"/>
        <w:spacing w:after="0" w:line="264" w:lineRule="auto"/>
        <w:rPr>
          <w:sz w:val="20"/>
          <w:szCs w:val="20"/>
          <w:color w:val="auto"/>
        </w:rPr>
      </w:pPr>
      <w:r>
        <w:rPr>
          <w:rFonts w:ascii="Arial" w:cs="Arial" w:eastAsia="Arial" w:hAnsi="Arial"/>
          <w:sz w:val="18"/>
          <w:szCs w:val="18"/>
          <w:color w:val="auto"/>
        </w:rPr>
        <w:t>You may obtain information about how the Adviser voted proxies with respect to the Registrant’s portfolio securities by making a written request for proxy voting information to: Chief Compliance Officer, Oxford Lane Management, LLC, 8 Sound Shore Drive, Suite 255, Greenwich, CT 06830.</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Portfolio Managers of Closed-End Investment Companies.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pertaining to the portfolio manager of the Registrant, as of March 31, 2017, is set forth below.</w:t>
      </w:r>
    </w:p>
    <w:p>
      <w:pPr>
        <w:spacing w:after="0" w:line="117" w:lineRule="exact"/>
        <w:rPr>
          <w:sz w:val="20"/>
          <w:szCs w:val="20"/>
          <w:color w:val="auto"/>
        </w:rPr>
      </w:pPr>
    </w:p>
    <w:p>
      <w:pPr>
        <w:ind w:left="60" w:right="619" w:firstLine="270"/>
        <w:spacing w:after="0" w:line="271" w:lineRule="auto"/>
        <w:rPr>
          <w:sz w:val="20"/>
          <w:szCs w:val="20"/>
          <w:color w:val="auto"/>
        </w:rPr>
      </w:pPr>
      <w:r>
        <w:rPr>
          <w:rFonts w:ascii="Arial" w:cs="Arial" w:eastAsia="Arial" w:hAnsi="Arial"/>
          <w:sz w:val="17"/>
          <w:szCs w:val="17"/>
          <w:color w:val="auto"/>
        </w:rPr>
        <w:t>The management of the Registrant’s investment portfolio is the responsibility of Oxford Lane Management, LLC (“Oxford Lane Management”), and its investment committee, which currently consists of Jonathan H. Cohen, the Registrant’s Chief Executive Officer, Saul B. Rosenthal, the Registrant’s President, and Darryl Monasebian the Executive Vice President of Oxford Lane Management. Oxford Lane Management’s investment committee must approve each new investment that the Registrant makes. The members of Oxford Lane Management’s investment committee are not employed by the Registrant, and receive no compensation from the Registrant in connection with their portfolio management activities. Messrs. Cohen and Rosenthal, through their ownership of BDC Partners, LLC, the managing member of Oxford Lane Management, are entitled to a portion of any investment advisory fees paid by the Registrant to Oxford Lane Management.</w:t>
      </w:r>
    </w:p>
    <w:p>
      <w:pPr>
        <w:spacing w:after="0" w:line="71" w:lineRule="exact"/>
        <w:rPr>
          <w:sz w:val="20"/>
          <w:szCs w:val="20"/>
          <w:color w:val="auto"/>
        </w:rPr>
      </w:pPr>
    </w:p>
    <w:p>
      <w:pPr>
        <w:ind w:left="60" w:right="559" w:firstLine="270"/>
        <w:spacing w:after="0" w:line="269" w:lineRule="auto"/>
        <w:rPr>
          <w:sz w:val="20"/>
          <w:szCs w:val="20"/>
          <w:color w:val="auto"/>
        </w:rPr>
      </w:pPr>
      <w:r>
        <w:rPr>
          <w:rFonts w:ascii="Arial" w:cs="Arial" w:eastAsia="Arial" w:hAnsi="Arial"/>
          <w:sz w:val="17"/>
          <w:szCs w:val="17"/>
          <w:color w:val="auto"/>
        </w:rPr>
        <w:t>Because Oxford Lane Management currently provides portfolio management services only to the Registrant, the Registrant does not believe there are any conflicts of interests with respect to Oxford Lane Management’s management of the Registrant’s portfolio on the one hand, and the management of other accounts or investment vehicles by Oxford Lane Management on the other. However, Mr. Cohen currently serves as Chief Executive Officer and Mr. Rosenthal currently serves as President and Chief Operating Officer of TICC Capital Corp., a publicly-traded business development company that invests principally in CLOs and the debt of U.S.-based companies, and is the collateral manager of TICC CLO 2012-1 LLC. Messrs, Cohen and Rosenthal also serve in the same positions at TICC Capital Corp.’s investment adviser, TICC Management, LLC and Oxford Bridge LLC, a Delaware limited liability company, and Oxford Bridge LLC’s investment adviser, Oxford Bridge Management LLC. BDC Partners, LLC is the managing member, and Charles M. Royce is a non-managing member, of TICC Management, LLC. As a result, Messrs. Cohen and Rosenthal may be subject to certain conflicts of interests with respect to their management of the Registrant’s portfolio on the one hand, and their respective obligations to manage TICC Capital Corp., and TICC CLO 2012-1 LLC on the other hand.</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Set forth below is additional information regarding the additional entities currently managed by Messrs. Cohen and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47510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23"/>
                <w:szCs w:val="23"/>
                <w:color w:val="auto"/>
              </w:rPr>
            </w:pPr>
          </w:p>
        </w:tc>
        <w:tc>
          <w:tcPr>
            <w:tcW w:w="19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Entity</w:t>
            </w:r>
          </w:p>
        </w:tc>
        <w:tc>
          <w:tcPr>
            <w:tcW w:w="160" w:type="dxa"/>
            <w:vAlign w:val="bottom"/>
          </w:tcPr>
          <w:p>
            <w:pPr>
              <w:spacing w:after="0"/>
              <w:rPr>
                <w:sz w:val="23"/>
                <w:szCs w:val="23"/>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Investment Focus</w:t>
            </w:r>
          </w:p>
        </w:tc>
        <w:tc>
          <w:tcPr>
            <w:tcW w:w="160" w:type="dxa"/>
            <w:vAlign w:val="bottom"/>
          </w:tcPr>
          <w:p>
            <w:pPr>
              <w:spacing w:after="0"/>
              <w:rPr>
                <w:sz w:val="23"/>
                <w:szCs w:val="23"/>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4"/>
              </w:rPr>
              <w:t>Gross Assets</w:t>
            </w:r>
            <w:r>
              <w:rPr>
                <w:rFonts w:ascii="Arial" w:cs="Arial" w:eastAsia="Arial" w:hAnsi="Arial"/>
                <w:sz w:val="23"/>
                <w:szCs w:val="23"/>
                <w:b w:val="1"/>
                <w:bCs w:val="1"/>
                <w:color w:val="auto"/>
                <w:w w:val="84"/>
                <w:vertAlign w:val="superscript"/>
              </w:rPr>
              <w:t>(1)</w:t>
            </w:r>
          </w:p>
        </w:tc>
      </w:tr>
      <w:tr>
        <w:trPr>
          <w:trHeight w:val="185"/>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TICC Capital</w:t>
            </w:r>
          </w:p>
        </w:tc>
        <w:tc>
          <w:tcPr>
            <w:tcW w:w="160" w:type="dxa"/>
            <w:vAlign w:val="bottom"/>
            <w:shd w:val="clear" w:color="auto" w:fill="CCEEFF"/>
          </w:tcPr>
          <w:p>
            <w:pPr>
              <w:spacing w:after="0"/>
              <w:rPr>
                <w:sz w:val="16"/>
                <w:szCs w:val="16"/>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Business development</w:t>
            </w:r>
          </w:p>
        </w:tc>
        <w:tc>
          <w:tcPr>
            <w:tcW w:w="160" w:type="dxa"/>
            <w:vAlign w:val="bottom"/>
            <w:shd w:val="clear" w:color="auto" w:fill="CCEEFF"/>
          </w:tcPr>
          <w:p>
            <w:pPr>
              <w:spacing w:after="0"/>
              <w:rPr>
                <w:sz w:val="16"/>
                <w:szCs w:val="16"/>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Principally CLOs and debt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54"/>
        </w:trPr>
        <w:tc>
          <w:tcPr>
            <w:tcW w:w="1280" w:type="dxa"/>
            <w:vAlign w:val="bottom"/>
            <w:shd w:val="clear" w:color="auto" w:fill="CCEEFF"/>
          </w:tcPr>
          <w:p>
            <w:pPr>
              <w:ind w:left="200"/>
              <w:spacing w:after="0" w:line="254" w:lineRule="exact"/>
              <w:rPr>
                <w:sz w:val="20"/>
                <w:szCs w:val="20"/>
                <w:color w:val="auto"/>
              </w:rPr>
            </w:pPr>
            <w:r>
              <w:rPr>
                <w:rFonts w:ascii="Arial" w:cs="Arial" w:eastAsia="Arial" w:hAnsi="Arial"/>
                <w:sz w:val="16"/>
                <w:szCs w:val="16"/>
                <w:color w:val="auto"/>
              </w:rPr>
              <w:t>Corp.</w:t>
            </w:r>
            <w:r>
              <w:rPr>
                <w:rFonts w:ascii="Arial" w:cs="Arial" w:eastAsia="Arial" w:hAnsi="Arial"/>
                <w:sz w:val="27"/>
                <w:szCs w:val="27"/>
                <w:color w:val="auto"/>
                <w:vertAlign w:val="superscript"/>
              </w:rPr>
              <w:t>(2)</w:t>
            </w:r>
          </w:p>
        </w:tc>
        <w:tc>
          <w:tcPr>
            <w:tcW w:w="160" w:type="dxa"/>
            <w:vAlign w:val="bottom"/>
            <w:shd w:val="clear" w:color="auto" w:fill="CCEEFF"/>
          </w:tcPr>
          <w:p>
            <w:pPr>
              <w:spacing w:after="0"/>
              <w:rPr>
                <w:sz w:val="22"/>
                <w:szCs w:val="22"/>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Company</w:t>
            </w:r>
          </w:p>
        </w:tc>
        <w:tc>
          <w:tcPr>
            <w:tcW w:w="160" w:type="dxa"/>
            <w:vAlign w:val="bottom"/>
            <w:shd w:val="clear" w:color="auto" w:fill="CCEEFF"/>
          </w:tcPr>
          <w:p>
            <w:pPr>
              <w:spacing w:after="0"/>
              <w:rPr>
                <w:sz w:val="22"/>
                <w:szCs w:val="22"/>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investments in U.S. based companies</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6"/>
                <w:szCs w:val="16"/>
                <w:color w:val="auto"/>
              </w:rPr>
              <w:t>$ 595 million</w:t>
            </w:r>
          </w:p>
        </w:tc>
      </w:tr>
      <w:tr>
        <w:trPr>
          <w:trHeight w:val="193"/>
        </w:trPr>
        <w:tc>
          <w:tcPr>
            <w:tcW w:w="1280" w:type="dxa"/>
            <w:vAlign w:val="bottom"/>
          </w:tcPr>
          <w:p>
            <w:pPr>
              <w:ind w:left="20"/>
              <w:spacing w:after="0"/>
              <w:rPr>
                <w:sz w:val="20"/>
                <w:szCs w:val="20"/>
                <w:color w:val="auto"/>
              </w:rPr>
            </w:pPr>
            <w:r>
              <w:rPr>
                <w:rFonts w:ascii="Arial" w:cs="Arial" w:eastAsia="Arial" w:hAnsi="Arial"/>
                <w:sz w:val="16"/>
                <w:szCs w:val="16"/>
                <w:color w:val="auto"/>
              </w:rPr>
              <w:t>Oxford Bridge,</w:t>
            </w:r>
          </w:p>
        </w:tc>
        <w:tc>
          <w:tcPr>
            <w:tcW w:w="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6"/>
        </w:trPr>
        <w:tc>
          <w:tcPr>
            <w:tcW w:w="1280" w:type="dxa"/>
            <w:vAlign w:val="bottom"/>
          </w:tcPr>
          <w:p>
            <w:pPr>
              <w:ind w:left="200"/>
              <w:spacing w:after="0"/>
              <w:rPr>
                <w:sz w:val="20"/>
                <w:szCs w:val="20"/>
                <w:color w:val="auto"/>
              </w:rPr>
            </w:pPr>
            <w:r>
              <w:rPr>
                <w:rFonts w:ascii="Arial" w:cs="Arial" w:eastAsia="Arial" w:hAnsi="Arial"/>
                <w:sz w:val="16"/>
                <w:szCs w:val="16"/>
                <w:color w:val="auto"/>
              </w:rPr>
              <w:t>LLC</w:t>
            </w:r>
          </w:p>
        </w:tc>
        <w:tc>
          <w:tcPr>
            <w:tcW w:w="160" w:type="dxa"/>
            <w:vAlign w:val="bottom"/>
          </w:tcPr>
          <w:p>
            <w:pPr>
              <w:spacing w:after="0"/>
              <w:rPr>
                <w:sz w:val="17"/>
                <w:szCs w:val="17"/>
                <w:color w:val="auto"/>
              </w:rPr>
            </w:pPr>
          </w:p>
        </w:tc>
        <w:tc>
          <w:tcPr>
            <w:tcW w:w="1940" w:type="dxa"/>
            <w:vAlign w:val="bottom"/>
          </w:tcPr>
          <w:p>
            <w:pPr>
              <w:ind w:left="80"/>
              <w:spacing w:after="0"/>
              <w:rPr>
                <w:sz w:val="20"/>
                <w:szCs w:val="20"/>
                <w:color w:val="auto"/>
              </w:rPr>
            </w:pPr>
            <w:r>
              <w:rPr>
                <w:rFonts w:ascii="Arial" w:cs="Arial" w:eastAsia="Arial" w:hAnsi="Arial"/>
                <w:sz w:val="16"/>
                <w:szCs w:val="16"/>
                <w:color w:val="auto"/>
              </w:rPr>
              <w:t>Private fund</w:t>
            </w:r>
          </w:p>
        </w:tc>
        <w:tc>
          <w:tcPr>
            <w:tcW w:w="16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94"/>
              </w:rPr>
              <w:t>CLO debt and equity</w:t>
            </w:r>
          </w:p>
        </w:tc>
        <w:tc>
          <w:tcPr>
            <w:tcW w:w="16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$ 346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00" w:hanging="27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assets are calculated as of March 31, 2017, and are rounded to the nearest million.</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gross assets held by TICC CLO 2012-1 LLC.</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Personnel</w:t>
      </w:r>
    </w:p>
    <w:p>
      <w:pPr>
        <w:spacing w:after="0" w:line="121" w:lineRule="exact"/>
        <w:rPr>
          <w:sz w:val="20"/>
          <w:szCs w:val="20"/>
          <w:color w:val="auto"/>
        </w:rPr>
      </w:pPr>
    </w:p>
    <w:p>
      <w:pPr>
        <w:ind w:left="60" w:right="639" w:firstLine="270"/>
        <w:spacing w:after="0" w:line="257" w:lineRule="auto"/>
        <w:rPr>
          <w:sz w:val="20"/>
          <w:szCs w:val="20"/>
          <w:color w:val="auto"/>
        </w:rPr>
      </w:pPr>
      <w:r>
        <w:rPr>
          <w:rFonts w:ascii="Arial" w:cs="Arial" w:eastAsia="Arial" w:hAnsi="Arial"/>
          <w:sz w:val="18"/>
          <w:szCs w:val="18"/>
          <w:color w:val="auto"/>
        </w:rPr>
        <w:t>The Registrant’s investment adviser is led by Jonathan H. Cohen, Chief Executive Officer, and Saul B. Rosenthal, President. Messrs. Cohen and Rosenthal are assisted by Darryl M. Monasebian, Executive Vice President, Debdeep Maji and Kevin Yonon, who serve as Senior Managing Director and Managing Director, respectively for Oxford Lane Management. The Registrant considers Messrs. Cohen, Rosenthal, Monasebian, Maji and Yonon to be Oxford Lane Management’s senior investment team. The Registrant considers</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839"/>
        <w:spacing w:after="0" w:line="342" w:lineRule="auto"/>
        <w:rPr>
          <w:sz w:val="20"/>
          <w:szCs w:val="20"/>
          <w:color w:val="auto"/>
        </w:rPr>
      </w:pPr>
      <w:r>
        <w:rPr>
          <w:rFonts w:ascii="Arial" w:cs="Arial" w:eastAsia="Arial" w:hAnsi="Arial"/>
          <w:sz w:val="16"/>
          <w:szCs w:val="16"/>
          <w:color w:val="auto"/>
        </w:rPr>
        <w:t>Messrs. Cohen and Rosenthal to be the Registrant’s portfolio managers. The table below shows the dollar range of shares of the Registrant’s common stock to be beneficially owned by each of the Registrant’s portfolio managers as of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1796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Dollar Range of Equity</w:t>
            </w:r>
          </w:p>
        </w:tc>
      </w:tr>
      <w:tr>
        <w:trPr>
          <w:trHeight w:val="158"/>
        </w:trPr>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Securities in Oxford</w:t>
            </w:r>
          </w:p>
        </w:tc>
      </w:tr>
      <w:tr>
        <w:trPr>
          <w:trHeight w:val="189"/>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rPr>
              <w:t>Lane Capital Corp.</w:t>
            </w:r>
            <w:r>
              <w:rPr>
                <w:rFonts w:ascii="Arial" w:cs="Arial" w:eastAsia="Arial" w:hAnsi="Arial"/>
                <w:sz w:val="21"/>
                <w:szCs w:val="21"/>
                <w:b w:val="1"/>
                <w:bCs w:val="1"/>
                <w:color w:val="auto"/>
                <w:vertAlign w:val="superscript"/>
              </w:rPr>
              <w:t>(1)</w:t>
            </w:r>
          </w:p>
        </w:tc>
      </w:tr>
      <w:tr>
        <w:trPr>
          <w:trHeight w:val="175"/>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Name of Portfolio Manager</w:t>
            </w:r>
          </w:p>
        </w:tc>
        <w:tc>
          <w:tcPr>
            <w:tcW w:w="1620" w:type="dxa"/>
            <w:vAlign w:val="bottom"/>
            <w:gridSpan w:val="2"/>
          </w:tcPr>
          <w:p>
            <w:pPr>
              <w:jc w:val="center"/>
              <w:ind w:left="100"/>
              <w:spacing w:after="0"/>
              <w:rPr>
                <w:sz w:val="20"/>
                <w:szCs w:val="20"/>
                <w:color w:val="auto"/>
              </w:rPr>
            </w:pPr>
            <w:r>
              <w:rPr>
                <w:rFonts w:ascii="Arial" w:cs="Arial" w:eastAsia="Arial" w:hAnsi="Arial"/>
                <w:sz w:val="12"/>
                <w:szCs w:val="12"/>
                <w:b w:val="1"/>
                <w:bCs w:val="1"/>
                <w:color w:val="auto"/>
                <w:w w:val="95"/>
              </w:rPr>
              <w:t>(2)</w:t>
            </w:r>
          </w:p>
        </w:tc>
      </w:tr>
      <w:tr>
        <w:trPr>
          <w:trHeight w:val="210"/>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Jonathan H. Cohen</w:t>
            </w:r>
          </w:p>
        </w:tc>
        <w:tc>
          <w:tcPr>
            <w:tcW w:w="1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Over $1,000,000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Saul B. Rosenthal</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Over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40" w:right="759" w:hanging="312"/>
        <w:spacing w:after="0" w:line="277" w:lineRule="auto"/>
        <w:tabs>
          <w:tab w:leader="none" w:pos="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Dollar ranges are as follows: None, $1 – $10,000, $10,001 – $50,000, $50,001 – $100,000, $100,001 – $500,000; $500,001 – $1,000,000 or Over $1,000,000.</w:t>
      </w:r>
    </w:p>
    <w:p>
      <w:pPr>
        <w:spacing w:after="0" w:line="62" w:lineRule="exact"/>
        <w:rPr>
          <w:rFonts w:ascii="Arial" w:cs="Arial" w:eastAsia="Arial" w:hAnsi="Arial"/>
          <w:sz w:val="18"/>
          <w:szCs w:val="18"/>
          <w:color w:val="auto"/>
        </w:rPr>
      </w:pPr>
    </w:p>
    <w:p>
      <w:pPr>
        <w:ind w:left="300" w:right="779" w:hanging="27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dollar range of equity securities beneficially owned in us is based on the closing price of our common stock of $11.13 on March 31, 2017 on the Nasdaq Global Select Market.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pertains to the members of Oxford Lane Management’s investment team:</w:t>
      </w:r>
    </w:p>
    <w:p>
      <w:pPr>
        <w:spacing w:after="0" w:line="117" w:lineRule="exact"/>
        <w:rPr>
          <w:sz w:val="20"/>
          <w:szCs w:val="20"/>
          <w:color w:val="auto"/>
        </w:rPr>
      </w:pPr>
    </w:p>
    <w:p>
      <w:pPr>
        <w:ind w:left="60" w:right="579" w:firstLine="270"/>
        <w:spacing w:after="0" w:line="290" w:lineRule="auto"/>
        <w:rPr>
          <w:sz w:val="20"/>
          <w:szCs w:val="20"/>
          <w:color w:val="auto"/>
        </w:rPr>
      </w:pPr>
      <w:r>
        <w:rPr>
          <w:rFonts w:ascii="Arial" w:cs="Arial" w:eastAsia="Arial" w:hAnsi="Arial"/>
          <w:sz w:val="16"/>
          <w:szCs w:val="16"/>
          <w:b w:val="1"/>
          <w:bCs w:val="1"/>
          <w:i w:val="1"/>
          <w:iCs w:val="1"/>
          <w:color w:val="auto"/>
        </w:rPr>
        <w:t xml:space="preserve">Jonathan H. Cohen. </w:t>
      </w:r>
      <w:r>
        <w:rPr>
          <w:rFonts w:ascii="Arial" w:cs="Arial" w:eastAsia="Arial" w:hAnsi="Arial"/>
          <w:sz w:val="16"/>
          <w:szCs w:val="16"/>
          <w:color w:val="auto"/>
        </w:rPr>
        <w:t>Mr. Cohen is Chief Executive Officer of both Oxford Lane Capital Corp. and Oxford Lane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Cohen has also served since 2003 as Chief Executive Officer of both TICC Capital Corp. (NasdaqGS: TICC), a publicly traded business development company, and TICC Management, LLC, TICC Capital Corp.’s investment adviser, and as the managing member of BDC Partners. Mr. Cohen has also served since November 2015 as Chief Executive Officer of Oxford Bridge Management, LLC, the investment manager to Oxford Bridge, LLC, a private investment fund. Mr. Cohen is also a member of the Board of Directors of TICC Capital Corp. Previously, Mr. Cohen managed technology equity research groups at Wit Capital, Merrill Lynch, UBS and Smith Barney. Mr. Cohen is a member of the Board of Trustees of Connecticut College. Mr. Cohen received a B.A. in Economics from Connecticut College and an M.B.A. from Columbia University.</w:t>
      </w:r>
    </w:p>
    <w:p>
      <w:pPr>
        <w:spacing w:after="0" w:line="58" w:lineRule="exact"/>
        <w:rPr>
          <w:sz w:val="20"/>
          <w:szCs w:val="20"/>
          <w:color w:val="auto"/>
        </w:rPr>
      </w:pPr>
    </w:p>
    <w:p>
      <w:pPr>
        <w:ind w:left="60" w:right="539" w:firstLine="270"/>
        <w:spacing w:after="0" w:line="291" w:lineRule="auto"/>
        <w:rPr>
          <w:sz w:val="20"/>
          <w:szCs w:val="20"/>
          <w:color w:val="auto"/>
        </w:rPr>
      </w:pPr>
      <w:r>
        <w:rPr>
          <w:rFonts w:ascii="Arial" w:cs="Arial" w:eastAsia="Arial" w:hAnsi="Arial"/>
          <w:sz w:val="16"/>
          <w:szCs w:val="16"/>
          <w:b w:val="1"/>
          <w:bCs w:val="1"/>
          <w:i w:val="1"/>
          <w:iCs w:val="1"/>
          <w:color w:val="auto"/>
        </w:rPr>
        <w:t xml:space="preserve">Saul B. Rosenthal. </w:t>
      </w:r>
      <w:r>
        <w:rPr>
          <w:rFonts w:ascii="Arial" w:cs="Arial" w:eastAsia="Arial" w:hAnsi="Arial"/>
          <w:sz w:val="16"/>
          <w:szCs w:val="16"/>
          <w:color w:val="auto"/>
        </w:rPr>
        <w:t>Mr, Rosenthal is the President of both Oxford Lane Capital Corp. and Oxford Lane Management.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Rosenthal has also served as President since 2004 of TICC Capital Corp. (NasdaqGS: TICC), a publicly traded business development company, and since 2015 as President of Oxford Bridge Management, LLC, the investment manager to Oxford Bridge, LLC, a private investment fund. Mr. Rosenthal was previously an attorney at the law firm of Shearman &amp; Sterling LLP. Mr. Rosenthal serves on the boards of LiftForward, Inc., the National Museum of Mathematics and YPO New York City. Mr. Rosenthal received a B.S., magna cum laude, from the Wharton School of the University of Pennsylvania, a J.D. from Columbia University Law School, where he was a Harlan Fiske Stone Scholar, and a LL.M. (Taxation) from New York University School of Law.</w:t>
      </w:r>
    </w:p>
    <w:p>
      <w:pPr>
        <w:spacing w:after="0" w:line="59" w:lineRule="exact"/>
        <w:rPr>
          <w:sz w:val="20"/>
          <w:szCs w:val="20"/>
          <w:color w:val="auto"/>
        </w:rPr>
      </w:pPr>
    </w:p>
    <w:p>
      <w:pPr>
        <w:ind w:left="60" w:right="539" w:firstLine="270"/>
        <w:spacing w:after="0" w:line="270" w:lineRule="auto"/>
        <w:rPr>
          <w:sz w:val="20"/>
          <w:szCs w:val="20"/>
          <w:color w:val="auto"/>
        </w:rPr>
      </w:pPr>
      <w:r>
        <w:rPr>
          <w:rFonts w:ascii="Arial" w:cs="Arial" w:eastAsia="Arial" w:hAnsi="Arial"/>
          <w:sz w:val="17"/>
          <w:szCs w:val="17"/>
          <w:b w:val="1"/>
          <w:bCs w:val="1"/>
          <w:i w:val="1"/>
          <w:iCs w:val="1"/>
          <w:color w:val="auto"/>
        </w:rPr>
        <w:t xml:space="preserve">Darryl M. Monasebian. </w:t>
      </w:r>
      <w:r>
        <w:rPr>
          <w:rFonts w:ascii="Arial" w:cs="Arial" w:eastAsia="Arial" w:hAnsi="Arial"/>
          <w:sz w:val="17"/>
          <w:szCs w:val="17"/>
          <w:color w:val="auto"/>
        </w:rPr>
        <w:t>Mr. Monasebian is the Executive Vice President, Head of Risk and Portfolio Management of Oxford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Lane Management, LLC, the adviser of OXLC, and holds that same position with TICC Management, LLC, the adviser of TICC Capital Corp. (NasdaqGS: TICC) and Oxford Bridge Management, LLC, the investment manager to Oxford Bridge, LLC, a private investment fund. Previously, Mr. Monasebian was a Director in the Merchant Banking Group at BNP Paribas, and prior to that was a Director at Swiss Bank Corporation and a Senior Account Officer at Citibank. He began his business career at Metropolitan Life Insurance Company as an Investment Analyst in the Corporate Investments Department. Mr. Monasebian has more than 20 years of banking and investment management experience. Mr. Monasebian received a Bachelor of Science degree in Management Science/Operations Research from Case Western Reserve University in 1984 and a Masters of Business Administration from Boston University’s Graduate School of Management in 1986.</w:t>
      </w:r>
    </w:p>
    <w:p>
      <w:pPr>
        <w:spacing w:after="0" w:line="74"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b w:val="1"/>
          <w:bCs w:val="1"/>
          <w:i w:val="1"/>
          <w:iCs w:val="1"/>
          <w:color w:val="auto"/>
        </w:rPr>
        <w:t xml:space="preserve">Debdeep Maji. </w:t>
      </w:r>
      <w:r>
        <w:rPr>
          <w:rFonts w:ascii="Arial" w:cs="Arial" w:eastAsia="Arial" w:hAnsi="Arial"/>
          <w:sz w:val="18"/>
          <w:szCs w:val="18"/>
          <w:color w:val="auto"/>
        </w:rPr>
        <w:t>Mr. Maji is the Senior Managing Director, Portfolio Manager of Oxford Lane Management, LLC, the adviser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OXLC, and holds that same position with TICC Management, LLC, the adviser of TICC Capital Corp. (NasdaqGS: TICC) and Oxford Bridge Management, LLC, the investment manager to Oxford Bridge, LLC, a private investment fund. He graduated from the Jerome Fisher Program in Management and Technology at the University of Pennsylvania where he received a Bachelor of Science degree in Economics from the Wharton School (and was designated a Joseph Wharton Scholar) and a Bachelor of Applied Science from the School of Engineering.</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879" w:firstLine="270"/>
        <w:spacing w:after="0" w:line="288" w:lineRule="auto"/>
        <w:rPr>
          <w:sz w:val="20"/>
          <w:szCs w:val="20"/>
          <w:color w:val="auto"/>
        </w:rPr>
      </w:pPr>
      <w:r>
        <w:rPr>
          <w:rFonts w:ascii="Arial" w:cs="Arial" w:eastAsia="Arial" w:hAnsi="Arial"/>
          <w:sz w:val="16"/>
          <w:szCs w:val="16"/>
          <w:b w:val="1"/>
          <w:bCs w:val="1"/>
          <w:i w:val="1"/>
          <w:iCs w:val="1"/>
          <w:color w:val="auto"/>
        </w:rPr>
        <w:t xml:space="preserve">Kevin P. Yonon. </w:t>
      </w:r>
      <w:r>
        <w:rPr>
          <w:rFonts w:ascii="Arial" w:cs="Arial" w:eastAsia="Arial" w:hAnsi="Arial"/>
          <w:sz w:val="16"/>
          <w:szCs w:val="16"/>
          <w:color w:val="auto"/>
        </w:rPr>
        <w:t>Mr. Yonon is a Managing Director, Portfolio Manager of Oxford Lane Management, LLC, the adviser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OXLC, and holds that same position with TICC Management, LLC, the adviser of TICC Capital Corp. (NasdaqGS: TICC) and Oxford Bridge Management, LLC, the investment manager to Oxford Bridge, LLC, a private investment fund. Previously, Mr.</w:t>
      </w:r>
    </w:p>
    <w:p>
      <w:pPr>
        <w:ind w:left="40" w:right="579"/>
        <w:spacing w:after="0" w:line="254" w:lineRule="auto"/>
        <w:rPr>
          <w:sz w:val="20"/>
          <w:szCs w:val="20"/>
          <w:color w:val="auto"/>
        </w:rPr>
      </w:pPr>
      <w:r>
        <w:rPr>
          <w:rFonts w:ascii="Arial" w:cs="Arial" w:eastAsia="Arial" w:hAnsi="Arial"/>
          <w:sz w:val="18"/>
          <w:szCs w:val="18"/>
          <w:color w:val="auto"/>
        </w:rPr>
        <w:t>Yonon was an Associate at Deutsche Bank Securities and prior to that he was an Analyst at Blackstone Mezzanine Partners. Before joining Blackstone, he worked as an Analyst at Merrill Lynch in the Mergers &amp; Acquisitions group. Mr. Yonon received a B.S. in Economics with concentrations in Finance and Accounting from the Wharton School at the University of Pennsylvania, where he graduated magna cum laude, and an M.B.A. from the Harvard Business School.</w:t>
      </w:r>
    </w:p>
    <w:p>
      <w:pPr>
        <w:spacing w:after="0" w:line="82"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b w:val="1"/>
          <w:bCs w:val="1"/>
          <w:i w:val="1"/>
          <w:iCs w:val="1"/>
          <w:color w:val="auto"/>
        </w:rPr>
        <w:t xml:space="preserve">Joseph Kupka. </w:t>
      </w:r>
      <w:r>
        <w:rPr>
          <w:rFonts w:ascii="Arial" w:cs="Arial" w:eastAsia="Arial" w:hAnsi="Arial"/>
          <w:sz w:val="18"/>
          <w:szCs w:val="18"/>
          <w:color w:val="auto"/>
        </w:rPr>
        <w:t>Mr. Kupka is a Senior Vice President of Oxford Lane Management, LLC, the adviser of OXLC, and holds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position with TICC Management, LLC, the adviser of TICC Capital Corp. (NasdaqGS: TICC) and Oxford Bridge Management, LLC, the investment manager to Oxford Bridge, LLC, a private investment fund. Previously, he worked as a risk analyst for First Equity Card Corporation. He has a BS in Mechanical Engineering from the University of Pennsylvania, where he was the Abel and Bernstein Class of 1945 Scholarship Recipient.</w:t>
      </w:r>
    </w:p>
    <w:p>
      <w:pPr>
        <w:spacing w:after="0" w:line="80"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b w:val="1"/>
          <w:bCs w:val="1"/>
          <w:i w:val="1"/>
          <w:iCs w:val="1"/>
          <w:color w:val="auto"/>
        </w:rPr>
        <w:t xml:space="preserve">Hooman Banafsheha. </w:t>
      </w:r>
      <w:r>
        <w:rPr>
          <w:rFonts w:ascii="Arial" w:cs="Arial" w:eastAsia="Arial" w:hAnsi="Arial"/>
          <w:sz w:val="18"/>
          <w:szCs w:val="18"/>
          <w:color w:val="auto"/>
        </w:rPr>
        <w:t>Mr. Banafsheha is a Vice President of Oxford Lane Management, LLC, the adviser of OXLC, and holds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same position with TICC Management, LLC, the adviser of TICC Capital Corp. (NasdaqGS: TICC) and Oxford Bridge Management, LLC, the investment manager to Oxford Bridge, LLC, a private investment fund. Previously, Mr. Banafsheha was a Vice President in the Finance division of Goldman Sachs. Prior to joining Goldman Sachs, he was a Senior Consultant at Deloitte. Mr. Banafsheha received a B.S. in Business Administration with a concentration in Finance from the State University of New York, University at Albany, where he graduated magna cum laude. Mr. Banafsheha has also attained the Charted Alternative Investment Analyst (CAIA) designation.</w:t>
      </w:r>
    </w:p>
    <w:p>
      <w:pPr>
        <w:spacing w:after="0" w:line="81"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b w:val="1"/>
          <w:bCs w:val="1"/>
          <w:i w:val="1"/>
          <w:iCs w:val="1"/>
          <w:color w:val="auto"/>
        </w:rPr>
        <w:t xml:space="preserve">Tarun Vanjani. </w:t>
      </w:r>
      <w:r>
        <w:rPr>
          <w:rFonts w:ascii="Arial" w:cs="Arial" w:eastAsia="Arial" w:hAnsi="Arial"/>
          <w:sz w:val="17"/>
          <w:szCs w:val="17"/>
          <w:color w:val="auto"/>
        </w:rPr>
        <w:t>Mr. Vanjani is a Vice President of Oxford Lane Management, LLC, the adviser of Oxford Lane, and holds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position with TICC Management LLC, the adviser of TICC Capital Corp. (NasdaqGS: TICC), and Oxford Bridge Management, LLC, the investment manager to Oxford Bridge, LLC, a private investment fund. Previously, Mr. Vanjani was an Assistant Vice President at the Royal Bank of Scotland and an Associate at RBC Capital Markets, and held R&amp;D related roles at GlaxoSmithKline Pharmaceuticals. Mr. Vanjani received a B.S. in Cellular &amp; Molecular Biology from the University of Michigan, an M.B.A. from Columbia Business School, and studied at the London School of Economics.</w:t>
      </w:r>
    </w:p>
    <w:p>
      <w:pPr>
        <w:spacing w:after="0" w:line="70" w:lineRule="exact"/>
        <w:rPr>
          <w:sz w:val="20"/>
          <w:szCs w:val="20"/>
          <w:color w:val="auto"/>
        </w:rPr>
      </w:pPr>
    </w:p>
    <w:p>
      <w:pPr>
        <w:ind w:left="40" w:right="739" w:firstLine="270"/>
        <w:spacing w:after="0" w:line="297" w:lineRule="auto"/>
        <w:rPr>
          <w:sz w:val="20"/>
          <w:szCs w:val="20"/>
          <w:color w:val="auto"/>
        </w:rPr>
      </w:pPr>
      <w:r>
        <w:rPr>
          <w:rFonts w:ascii="Arial" w:cs="Arial" w:eastAsia="Arial" w:hAnsi="Arial"/>
          <w:sz w:val="16"/>
          <w:szCs w:val="16"/>
          <w:b w:val="1"/>
          <w:bCs w:val="1"/>
          <w:i w:val="1"/>
          <w:iCs w:val="1"/>
          <w:color w:val="auto"/>
        </w:rPr>
        <w:t xml:space="preserve">Jeff Boccuzzi. </w:t>
      </w:r>
      <w:r>
        <w:rPr>
          <w:rFonts w:ascii="Arial" w:cs="Arial" w:eastAsia="Arial" w:hAnsi="Arial"/>
          <w:sz w:val="16"/>
          <w:szCs w:val="16"/>
          <w:color w:val="auto"/>
        </w:rPr>
        <w:t>Mr. Boccuzzi is the Director of Middle Office Operations for OXLC Management LLC, the adviser of OXLC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holds that same position with TICC Management, LLC, the adviser of TICC Capital Corp. (NasdaqGS: TICC), and Oxford Bridge Management, LLC, the investment manager to Oxford Bridge, LLC, a private investment fund. Previously, Mr. Boccuzzi was a Manager in the Middle Office Operations group at AIG Asset Management. He received a B.S. in Business Management from the University of Connecticut and is a Level III Chartered Financial Analyst (CFA) Candidate.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None of Oxford Lane Management’s investment personnel receive any direct compensation from the Registrant in connection with the management of the Registrant’s portfolio. Messrs. Cohen and Rosenthal, through their ownership interest in BDC Partners, LLC,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the Registrant’s portfolio. The compensation paid by Oxford Lane Management to its other investment personnel includes: (i) annual base salary; and (ii) portfolio-based performance award.</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 Purchases of Equity Securities by Closed-End Management Investment Company and Affiliated Purchasers.</w:t>
      </w:r>
    </w:p>
    <w:p>
      <w:pPr>
        <w:spacing w:after="0" w:line="133" w:lineRule="exact"/>
        <w:rPr>
          <w:sz w:val="20"/>
          <w:szCs w:val="20"/>
          <w:color w:val="auto"/>
        </w:rPr>
      </w:pPr>
    </w:p>
    <w:p>
      <w:pPr>
        <w:jc w:val="both"/>
        <w:ind w:left="40" w:right="619" w:firstLine="270"/>
        <w:spacing w:after="0" w:line="264" w:lineRule="auto"/>
        <w:rPr>
          <w:sz w:val="20"/>
          <w:szCs w:val="20"/>
          <w:color w:val="auto"/>
        </w:rPr>
      </w:pPr>
      <w:r>
        <w:rPr>
          <w:rFonts w:ascii="Arial" w:cs="Arial" w:eastAsia="Arial" w:hAnsi="Arial"/>
          <w:sz w:val="18"/>
          <w:szCs w:val="18"/>
          <w:color w:val="auto"/>
        </w:rPr>
        <w:t>On March 21, 2016, the Fund announced a program for the purpose of repurchasing up to $25 million worth of the outstanding shares of the Fund’s 7.50% Series 2023 Term Preferred Shares and up to $25 million worth of the outstanding shares of the Fund’s 8.125% Series 2024 Term Preferred Shares. Under this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79"/>
        <w:spacing w:after="0" w:line="271" w:lineRule="auto"/>
        <w:rPr>
          <w:sz w:val="20"/>
          <w:szCs w:val="20"/>
          <w:color w:val="auto"/>
        </w:rPr>
      </w:pPr>
      <w:r>
        <w:rPr>
          <w:rFonts w:ascii="Arial" w:cs="Arial" w:eastAsia="Arial" w:hAnsi="Arial"/>
          <w:sz w:val="17"/>
          <w:szCs w:val="17"/>
          <w:color w:val="auto"/>
        </w:rPr>
        <w:t>repurchase program, the Fund may, but is not obligated to, repurchase its outstanding Preferred Stock in the open market from time to time provided that we complied with the prohibitions under our Insider Trading Policies and Procedures and the guidelines specified in Rule 10b-18 of the Securities Exchange Act of 1934, as amended, including certain price, market volume and timing constraints. In addition, any repurchases were conducted in accordance with the Investment Company Act of 1940, as amended. The following table discloses on a monthly basis for the year ended March 31, 2017, the total number of shares repurchased (including the total number of shares repurchased under this program), the weighted average price paid per share, and the maximum number of shares (or approximate dollar value) of shares that may yet be repurchased under the program. The program was in effect until August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51796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 Total Number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83"/>
              <w:spacing w:after="0"/>
              <w:rPr>
                <w:sz w:val="20"/>
                <w:szCs w:val="20"/>
                <w:color w:val="auto"/>
              </w:rPr>
            </w:pPr>
            <w:r>
              <w:rPr>
                <w:rFonts w:ascii="Arial" w:cs="Arial" w:eastAsia="Arial" w:hAnsi="Arial"/>
                <w:sz w:val="14"/>
                <w:szCs w:val="14"/>
                <w:b w:val="1"/>
                <w:bCs w:val="1"/>
                <w:color w:val="auto"/>
                <w:w w:val="97"/>
              </w:rPr>
              <w:t>(d) Maximum</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(b) Average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 Part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1"/>
              </w:rPr>
              <w:t>Price Paid</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per 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2016 – April 30,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24.84</w:t>
            </w:r>
          </w:p>
        </w:tc>
        <w:tc>
          <w:tcPr>
            <w:tcW w:w="12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5,585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right="123"/>
              <w:spacing w:after="0"/>
              <w:rPr>
                <w:sz w:val="20"/>
                <w:szCs w:val="20"/>
                <w:color w:val="auto"/>
              </w:rPr>
            </w:pPr>
            <w:r>
              <w:rPr>
                <w:rFonts w:ascii="Arial" w:cs="Arial" w:eastAsia="Arial" w:hAnsi="Arial"/>
                <w:sz w:val="18"/>
                <w:szCs w:val="18"/>
                <w:color w:val="auto"/>
                <w:w w:val="96"/>
              </w:rPr>
              <w:t>49.9 million</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May 1, 2016 – May 31, 2016</w:t>
            </w:r>
          </w:p>
        </w:tc>
        <w:tc>
          <w:tcPr>
            <w:tcW w:w="860" w:type="dxa"/>
            <w:vAlign w:val="bottom"/>
          </w:tcPr>
          <w:p>
            <w:pPr>
              <w:jc w:val="right"/>
              <w:spacing w:after="0"/>
              <w:rPr>
                <w:sz w:val="20"/>
                <w:szCs w:val="20"/>
                <w:color w:val="auto"/>
              </w:rPr>
            </w:pPr>
            <w:r>
              <w:rPr>
                <w:rFonts w:ascii="Arial" w:cs="Arial" w:eastAsia="Arial" w:hAnsi="Arial"/>
                <w:sz w:val="18"/>
                <w:szCs w:val="18"/>
                <w:color w:val="auto"/>
              </w:rPr>
              <w:t>606,664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25.21</w:t>
            </w:r>
          </w:p>
        </w:tc>
        <w:tc>
          <w:tcPr>
            <w:tcW w:w="1260" w:type="dxa"/>
            <w:vAlign w:val="bottom"/>
            <w:gridSpan w:val="2"/>
          </w:tcPr>
          <w:p>
            <w:pPr>
              <w:jc w:val="right"/>
              <w:ind w:right="26"/>
              <w:spacing w:after="0"/>
              <w:rPr>
                <w:sz w:val="20"/>
                <w:szCs w:val="20"/>
                <w:color w:val="auto"/>
              </w:rPr>
            </w:pPr>
            <w:r>
              <w:rPr>
                <w:rFonts w:ascii="Arial" w:cs="Arial" w:eastAsia="Arial" w:hAnsi="Arial"/>
                <w:sz w:val="18"/>
                <w:szCs w:val="18"/>
                <w:color w:val="auto"/>
              </w:rPr>
              <w:t>606,664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right="123"/>
              <w:spacing w:after="0"/>
              <w:rPr>
                <w:sz w:val="20"/>
                <w:szCs w:val="20"/>
                <w:color w:val="auto"/>
              </w:rPr>
            </w:pPr>
            <w:r>
              <w:rPr>
                <w:rFonts w:ascii="Arial" w:cs="Arial" w:eastAsia="Arial" w:hAnsi="Arial"/>
                <w:sz w:val="18"/>
                <w:szCs w:val="18"/>
                <w:color w:val="auto"/>
                <w:w w:val="96"/>
              </w:rPr>
              <w:t>34.6 million</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2016 – June 30,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right="123"/>
              <w:spacing w:after="0"/>
              <w:rPr>
                <w:sz w:val="20"/>
                <w:szCs w:val="20"/>
                <w:color w:val="auto"/>
              </w:rPr>
            </w:pPr>
            <w:r>
              <w:rPr>
                <w:rFonts w:ascii="Arial" w:cs="Arial" w:eastAsia="Arial" w:hAnsi="Arial"/>
                <w:sz w:val="18"/>
                <w:szCs w:val="18"/>
                <w:color w:val="auto"/>
                <w:w w:val="96"/>
              </w:rPr>
              <w:t>34.6 million</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Submission of Matters to a Vote of Security 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Controls and Procedures.</w:t>
      </w:r>
    </w:p>
    <w:p>
      <w:pPr>
        <w:spacing w:after="0" w:line="121" w:lineRule="exact"/>
        <w:rPr>
          <w:sz w:val="20"/>
          <w:szCs w:val="20"/>
          <w:color w:val="auto"/>
        </w:rPr>
      </w:pPr>
    </w:p>
    <w:p>
      <w:pPr>
        <w:ind w:left="840" w:right="659" w:hanging="542"/>
        <w:spacing w:after="0" w:line="290" w:lineRule="auto"/>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an evaluation of the Disclosure Controls and Procedures (as defined in Rule 30a-3(c) under the Investment Company Act of 1940, the “Disclosure Controls”) as of a date within 90 days prior to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58" w:lineRule="exact"/>
        <w:rPr>
          <w:rFonts w:ascii="Arial" w:cs="Arial" w:eastAsia="Arial" w:hAnsi="Arial"/>
          <w:sz w:val="16"/>
          <w:szCs w:val="16"/>
          <w:color w:val="auto"/>
        </w:rPr>
      </w:pPr>
    </w:p>
    <w:p>
      <w:pPr>
        <w:ind w:left="840" w:right="699" w:hanging="542"/>
        <w:spacing w:after="0" w:line="259"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were no changes in the Registrant’s internal control over financial reporting (as defined in Rule 30a-3 (d) under the Investment Company Act of 1940) that occurred during the Registrant’s second fiscal quarter of the period covered by this report that have materially affected or are reasonably likely to materially affect the Registrant’s internal control over financial reporting.</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12. Exhibits.</w:t>
      </w:r>
    </w:p>
    <w:p>
      <w:pPr>
        <w:spacing w:after="0" w:line="121" w:lineRule="exact"/>
        <w:rPr>
          <w:sz w:val="20"/>
          <w:szCs w:val="20"/>
          <w:color w:val="auto"/>
        </w:rPr>
      </w:pPr>
    </w:p>
    <w:p>
      <w:pPr>
        <w:ind w:left="840" w:right="899" w:hanging="539"/>
        <w:spacing w:after="0" w:line="277" w:lineRule="auto"/>
        <w:tabs>
          <w:tab w:leader="none" w:pos="820" w:val="left"/>
        </w:tabs>
        <w:rPr>
          <w:sz w:val="20"/>
          <w:szCs w:val="20"/>
          <w:color w:val="auto"/>
        </w:rPr>
      </w:pPr>
      <w:r>
        <w:rPr>
          <w:rFonts w:ascii="Arial" w:cs="Arial" w:eastAsia="Arial" w:hAnsi="Arial"/>
          <w:sz w:val="18"/>
          <w:szCs w:val="18"/>
          <w:color w:val="auto"/>
        </w:rPr>
        <w:t>(a)(1)</w:t>
        <w:tab/>
        <w:t xml:space="preserve">Registrant has posted its current Code of Ethics, which was amended during the period covered by this report, on its website at </w:t>
      </w:r>
      <w:r>
        <w:rPr>
          <w:rFonts w:ascii="Arial" w:cs="Arial" w:eastAsia="Arial" w:hAnsi="Arial"/>
          <w:sz w:val="18"/>
          <w:szCs w:val="18"/>
          <w:i w:val="1"/>
          <w:iCs w:val="1"/>
          <w:color w:val="auto"/>
        </w:rPr>
        <w:t>www.oxfordlanecapital.com.</w:t>
      </w:r>
    </w:p>
    <w:p>
      <w:pPr>
        <w:spacing w:after="0" w:line="62" w:lineRule="exact"/>
        <w:rPr>
          <w:sz w:val="20"/>
          <w:szCs w:val="20"/>
          <w:color w:val="auto"/>
        </w:rPr>
      </w:pPr>
    </w:p>
    <w:p>
      <w:pPr>
        <w:ind w:left="840" w:right="979" w:hanging="539"/>
        <w:spacing w:after="0" w:line="277" w:lineRule="auto"/>
        <w:tabs>
          <w:tab w:leader="none" w:pos="820" w:val="left"/>
        </w:tabs>
        <w:rPr>
          <w:sz w:val="20"/>
          <w:szCs w:val="20"/>
          <w:color w:val="auto"/>
        </w:rPr>
      </w:pPr>
      <w:r>
        <w:rPr>
          <w:rFonts w:ascii="Arial" w:cs="Arial" w:eastAsia="Arial" w:hAnsi="Arial"/>
          <w:sz w:val="18"/>
          <w:szCs w:val="18"/>
          <w:color w:val="auto"/>
        </w:rPr>
        <w:t>(a)(2)</w:t>
        <w:tab/>
        <w:t>Certifications of principal executive officer and principal accounting officer as required by Rule 30a-2(a) under the Investment Company Act of 1940.</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(a)(3)  Not applicable.</w:t>
      </w:r>
    </w:p>
    <w:p>
      <w:pPr>
        <w:spacing w:after="0" w:line="117" w:lineRule="exact"/>
        <w:rPr>
          <w:sz w:val="20"/>
          <w:szCs w:val="20"/>
          <w:color w:val="auto"/>
        </w:rPr>
      </w:pPr>
    </w:p>
    <w:p>
      <w:pPr>
        <w:ind w:left="840" w:right="679" w:hanging="542"/>
        <w:spacing w:after="0" w:line="277"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accounting officer as required by Rule 30a-2(b) under the Investment Company Act of 1940.</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5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OXFORD LANE CAPITAL CORP.</w:t>
      </w:r>
    </w:p>
    <w:p>
      <w:pPr>
        <w:spacing w:after="0" w:line="12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14605</wp:posOffset>
            </wp:positionV>
            <wp:extent cx="38334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Jonathan H. Cohen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 May 18, 2017</w:t>
      </w:r>
    </w:p>
    <w:p>
      <w:pPr>
        <w:spacing w:after="0" w:line="103" w:lineRule="exact"/>
        <w:rPr>
          <w:sz w:val="20"/>
          <w:szCs w:val="20"/>
          <w:color w:val="auto"/>
        </w:rPr>
      </w:pPr>
    </w:p>
    <w:p>
      <w:pPr>
        <w:ind w:left="40" w:right="639" w:firstLine="270"/>
        <w:spacing w:after="0" w:line="342" w:lineRule="auto"/>
        <w:rPr>
          <w:sz w:val="20"/>
          <w:szCs w:val="20"/>
          <w:color w:val="auto"/>
        </w:rPr>
      </w:pPr>
      <w:r>
        <w:rPr>
          <w:rFonts w:ascii="Arial" w:cs="Arial" w:eastAsia="Arial" w:hAnsi="Arial"/>
          <w:sz w:val="16"/>
          <w:szCs w:val="16"/>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14605</wp:posOffset>
            </wp:positionV>
            <wp:extent cx="38334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Jonathan H. Cohen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 May 18, 2017</w:t>
      </w:r>
    </w:p>
    <w:p>
      <w:pPr>
        <w:spacing w:after="0" w:line="10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14605</wp:posOffset>
            </wp:positionV>
            <wp:extent cx="38334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Bruce L. Rubin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 May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jc w:val="right"/>
        <w:ind w:right="519"/>
        <w:spacing w:after="0"/>
        <w:rPr>
          <w:sz w:val="20"/>
          <w:szCs w:val="20"/>
          <w:color w:val="auto"/>
        </w:rPr>
      </w:pPr>
      <w:r>
        <w:rPr>
          <w:rFonts w:ascii="Arial" w:cs="Arial" w:eastAsia="Arial" w:hAnsi="Arial"/>
          <w:sz w:val="18"/>
          <w:szCs w:val="18"/>
          <w:b w:val="1"/>
          <w:bCs w:val="1"/>
          <w:color w:val="auto"/>
        </w:rPr>
        <w:t>Exhibit 99.Cert</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Rule 30a-2(a) 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117" w:lineRule="exact"/>
        <w:rPr>
          <w:sz w:val="20"/>
          <w:szCs w:val="20"/>
          <w:color w:val="auto"/>
        </w:rPr>
      </w:pPr>
    </w:p>
    <w:p>
      <w:pPr>
        <w:ind w:left="500" w:hanging="26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N-CSR of Oxford Lane Capital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00" w:right="539" w:hanging="262"/>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78" w:lineRule="exact"/>
        <w:rPr>
          <w:rFonts w:ascii="Arial" w:cs="Arial" w:eastAsia="Arial" w:hAnsi="Arial"/>
          <w:sz w:val="18"/>
          <w:szCs w:val="18"/>
          <w:color w:val="auto"/>
        </w:rPr>
      </w:pPr>
    </w:p>
    <w:p>
      <w:pPr>
        <w:ind w:left="500" w:right="919" w:hanging="262"/>
        <w:spacing w:after="0" w:line="312"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38" w:lineRule="exact"/>
        <w:rPr>
          <w:rFonts w:ascii="Arial" w:cs="Arial" w:eastAsia="Arial" w:hAnsi="Arial"/>
          <w:sz w:val="16"/>
          <w:szCs w:val="16"/>
          <w:color w:val="auto"/>
        </w:rPr>
      </w:pPr>
    </w:p>
    <w:p>
      <w:pPr>
        <w:ind w:left="780" w:right="819" w:hanging="272"/>
        <w:spacing w:after="0" w:line="259"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859" w:hanging="272"/>
        <w:spacing w:after="0" w:line="264"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73" w:lineRule="exact"/>
        <w:rPr>
          <w:rFonts w:ascii="Arial" w:cs="Arial" w:eastAsia="Arial" w:hAnsi="Arial"/>
          <w:sz w:val="18"/>
          <w:szCs w:val="18"/>
          <w:color w:val="auto"/>
        </w:rPr>
      </w:pPr>
    </w:p>
    <w:p>
      <w:pPr>
        <w:ind w:left="780" w:right="539" w:hanging="272"/>
        <w:spacing w:after="0" w:line="264"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second fiscal quarter of the period covered by this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00" w:right="1059" w:hanging="26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780" w:right="579" w:hanging="272"/>
        <w:spacing w:after="0" w:line="264"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959" w:hanging="272"/>
        <w:spacing w:after="0" w:line="277"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Dated this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2017</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5080</wp:posOffset>
            </wp:positionV>
            <wp:extent cx="397891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8"/>
          <w:szCs w:val="18"/>
          <w:color w:val="auto"/>
        </w:rPr>
        <w:t>Jonathan H. Cohen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52" w:name="page53"/>
    <w:bookmarkEnd w:id="52"/>
    <w:p>
      <w:pPr>
        <w:jc w:val="center"/>
        <w:ind w:right="579"/>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Rule 30a-2(a) 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117" w:lineRule="exact"/>
        <w:rPr>
          <w:sz w:val="20"/>
          <w:szCs w:val="20"/>
          <w:color w:val="auto"/>
        </w:rPr>
      </w:pPr>
    </w:p>
    <w:p>
      <w:pPr>
        <w:ind w:left="500" w:hanging="26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N-CSR of Oxford Lane Capital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00" w:right="539" w:hanging="26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78" w:lineRule="exact"/>
        <w:rPr>
          <w:rFonts w:ascii="Arial" w:cs="Arial" w:eastAsia="Arial" w:hAnsi="Arial"/>
          <w:sz w:val="18"/>
          <w:szCs w:val="18"/>
          <w:color w:val="auto"/>
        </w:rPr>
      </w:pPr>
    </w:p>
    <w:p>
      <w:pPr>
        <w:ind w:left="500" w:right="919" w:hanging="262"/>
        <w:spacing w:after="0" w:line="312"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38" w:lineRule="exact"/>
        <w:rPr>
          <w:rFonts w:ascii="Arial" w:cs="Arial" w:eastAsia="Arial" w:hAnsi="Arial"/>
          <w:sz w:val="16"/>
          <w:szCs w:val="16"/>
          <w:color w:val="auto"/>
        </w:rPr>
      </w:pPr>
    </w:p>
    <w:p>
      <w:pPr>
        <w:ind w:left="780" w:right="819" w:hanging="272"/>
        <w:spacing w:after="0" w:line="259"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859" w:hanging="272"/>
        <w:spacing w:after="0" w:line="264"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73" w:lineRule="exact"/>
        <w:rPr>
          <w:rFonts w:ascii="Arial" w:cs="Arial" w:eastAsia="Arial" w:hAnsi="Arial"/>
          <w:sz w:val="18"/>
          <w:szCs w:val="18"/>
          <w:color w:val="auto"/>
        </w:rPr>
      </w:pPr>
    </w:p>
    <w:p>
      <w:pPr>
        <w:ind w:left="780" w:right="539" w:hanging="272"/>
        <w:spacing w:after="0" w:line="264"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second fiscal quarter of the period covered by this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00" w:right="1059" w:hanging="26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780" w:right="579" w:hanging="272"/>
        <w:spacing w:after="0" w:line="264"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959" w:hanging="272"/>
        <w:spacing w:after="0" w:line="277"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Dated this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2017</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BRUCE L. RUBIN</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-130810</wp:posOffset>
            </wp:positionV>
            <wp:extent cx="39789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455930</wp:posOffset>
            </wp:positionV>
            <wp:extent cx="6114415"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959" w:right="1440" w:bottom="1440" w:gutter="0" w:footer="0" w:header="0"/>
        </w:sectPr>
      </w:pPr>
    </w:p>
    <w:bookmarkStart w:id="53" w:name="page54"/>
    <w:bookmarkEnd w:id="53"/>
    <w:p>
      <w:pPr>
        <w:jc w:val="right"/>
        <w:ind w:right="519"/>
        <w:spacing w:after="0"/>
        <w:rPr>
          <w:sz w:val="20"/>
          <w:szCs w:val="20"/>
          <w:color w:val="auto"/>
        </w:rPr>
      </w:pPr>
      <w:r>
        <w:rPr>
          <w:rFonts w:ascii="Arial" w:cs="Arial" w:eastAsia="Arial" w:hAnsi="Arial"/>
          <w:sz w:val="18"/>
          <w:szCs w:val="18"/>
          <w:b w:val="1"/>
          <w:bCs w:val="1"/>
          <w:color w:val="auto"/>
        </w:rPr>
        <w:t>Exhibit 99.906CERT</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Rule 30a-2(b) Certification</w:t>
      </w:r>
    </w:p>
    <w:p>
      <w:pPr>
        <w:spacing w:after="0" w:line="103" w:lineRule="exact"/>
        <w:rPr>
          <w:sz w:val="20"/>
          <w:szCs w:val="20"/>
          <w:color w:val="auto"/>
        </w:rPr>
      </w:pPr>
    </w:p>
    <w:p>
      <w:pPr>
        <w:ind w:right="579" w:firstLine="270"/>
        <w:spacing w:after="0" w:line="264" w:lineRule="auto"/>
        <w:rPr>
          <w:sz w:val="20"/>
          <w:szCs w:val="20"/>
          <w:color w:val="auto"/>
        </w:rPr>
      </w:pPr>
      <w:r>
        <w:rPr>
          <w:rFonts w:ascii="Arial" w:cs="Arial" w:eastAsia="Arial" w:hAnsi="Arial"/>
          <w:sz w:val="18"/>
          <w:szCs w:val="18"/>
          <w:color w:val="auto"/>
        </w:rPr>
        <w:t>In connection with the Report on Form N-CSR for the period ended March 31, 2017 (the “Report”) of Oxford Lane Capital Corp. (the “Registrant”), as filed with the Securities and Exchange Commission on the date hereof, I, Jonathan H. Cohen, the Chief Executive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Jonathan H. Cohen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  May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54" w:name="page55"/>
    <w:bookmarkEnd w:id="54"/>
    <w:p>
      <w:pPr>
        <w:jc w:val="center"/>
        <w:ind w:right="57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Rule 30a-2(b) Certification</w:t>
      </w:r>
    </w:p>
    <w:p>
      <w:pPr>
        <w:spacing w:after="0" w:line="103" w:lineRule="exact"/>
        <w:rPr>
          <w:sz w:val="20"/>
          <w:szCs w:val="20"/>
          <w:color w:val="auto"/>
        </w:rPr>
      </w:pPr>
    </w:p>
    <w:p>
      <w:pPr>
        <w:jc w:val="both"/>
        <w:ind w:right="839" w:firstLine="270"/>
        <w:spacing w:after="0" w:line="264" w:lineRule="auto"/>
        <w:rPr>
          <w:sz w:val="20"/>
          <w:szCs w:val="20"/>
          <w:color w:val="auto"/>
        </w:rPr>
      </w:pPr>
      <w:r>
        <w:rPr>
          <w:rFonts w:ascii="Arial" w:cs="Arial" w:eastAsia="Arial" w:hAnsi="Arial"/>
          <w:sz w:val="18"/>
          <w:szCs w:val="18"/>
          <w:color w:val="auto"/>
        </w:rPr>
        <w:t>In connection with the Report on Form N-CSR for the period ended March 31, 2017 (the “Report”) of Oxford Lane Capital Corp. (the “Registrant”), as filed with the Securities and Exchange Commission on the date hereof, I, Bruce L. Rubin, the Chief Financial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-130810</wp:posOffset>
            </wp:positionV>
            <wp:extent cx="39789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 May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455930</wp:posOffset>
            </wp:positionV>
            <wp:extent cx="6114415"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9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emdash "/>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6"/>
    </w:lvl>
  </w:abstractNum>
  <w:abstractNum w:abstractNumId="6">
    <w:nsid w:val="3F2DBA31"/>
    <w:multiLevelType w:val="hybridMultilevel"/>
    <w:lvl w:ilvl="0">
      <w:lvlJc w:val="left"/>
      <w:lvlText w:val="(%1)"/>
      <w:numFmt w:val="decimal"/>
      <w:start w:val="12"/>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5"/>
    </w:lvl>
  </w:abstractNum>
  <w:abstractNum w:abstractNumId="14">
    <w:nsid w:val="2443A858"/>
    <w:multiLevelType w:val="hybridMultilevel"/>
    <w:lvl w:ilvl="0">
      <w:lvlJc w:val="left"/>
      <w:lvlText w:val="&amp;"/>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6"/>
    </w:lvl>
  </w:abstractNum>
  <w:abstractNum w:abstractNumId="21">
    <w:nsid w:val="B03E0C6"/>
    <w:multiLevelType w:val="hybridMultilevel"/>
    <w:lvl w:ilvl="0">
      <w:lvlJc w:val="left"/>
      <w:lvlText w:val="(%1)"/>
      <w:numFmt w:val="lowerLetter"/>
      <w:start w:val="8"/>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2020-01-17T09:39:23Z</dcterms:created>
  <dcterms:modified xsi:type="dcterms:W3CDTF">2020-01-17T09:39:23Z</dcterms:modified>
</cp:coreProperties>
</file>