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SCHEDULE OF PORTFOLIO HOLDINGS OF REGISTERED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MANAGEMENT INVESTMENT 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Investment Company Act file number </w:t>
      </w:r>
      <w:r>
        <w:rPr>
          <w:rFonts w:ascii="Arial" w:cs="Arial" w:eastAsia="Arial" w:hAnsi="Arial"/>
          <w:sz w:val="18"/>
          <w:szCs w:val="18"/>
          <w:u w:val="single" w:color="auto"/>
          <w:color w:val="auto"/>
        </w:rPr>
        <w:t>811-22432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jc w:val="center"/>
              <w:ind w:left="1210"/>
              <w:spacing w:after="0"/>
              <w:rPr>
                <w:sz w:val="20"/>
                <w:szCs w:val="20"/>
                <w:color w:val="auto"/>
              </w:rPr>
            </w:pPr>
            <w:r>
              <w:rPr>
                <w:rFonts w:ascii="Arial" w:cs="Arial" w:eastAsia="Arial" w:hAnsi="Arial"/>
                <w:sz w:val="18"/>
                <w:szCs w:val="18"/>
                <w:color w:val="auto"/>
                <w:w w:val="90"/>
              </w:rPr>
              <w:t>8 Sound Shore Drive, Suite 255</w:t>
            </w:r>
          </w:p>
        </w:tc>
        <w:tc>
          <w:tcPr>
            <w:tcW w:w="7000" w:type="dxa"/>
            <w:vAlign w:val="bottom"/>
          </w:tcPr>
          <w:p>
            <w:pPr>
              <w:spacing w:after="0"/>
              <w:rPr>
                <w:sz w:val="18"/>
                <w:szCs w:val="18"/>
                <w:color w:val="auto"/>
              </w:rPr>
            </w:pPr>
          </w:p>
        </w:tc>
      </w:tr>
      <w:tr>
        <w:trPr>
          <w:trHeight w:val="230"/>
        </w:trPr>
        <w:tc>
          <w:tcPr>
            <w:tcW w:w="442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93"/>
              </w:rPr>
              <w:t>Greenwich, CT</w:t>
            </w:r>
          </w:p>
        </w:tc>
        <w:tc>
          <w:tcPr>
            <w:tcW w:w="70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06830</w:t>
            </w:r>
          </w:p>
        </w:tc>
      </w:tr>
      <w:tr>
        <w:trPr>
          <w:trHeight w:val="224"/>
        </w:trPr>
        <w:tc>
          <w:tcPr>
            <w:tcW w:w="4420" w:type="dxa"/>
            <w:vAlign w:val="bottom"/>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70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404"/>
        </w:trPr>
        <w:tc>
          <w:tcPr>
            <w:tcW w:w="4420" w:type="dxa"/>
            <w:vAlign w:val="bottom"/>
          </w:tcPr>
          <w:p>
            <w:pPr>
              <w:spacing w:after="0"/>
              <w:rPr>
                <w:sz w:val="24"/>
                <w:szCs w:val="24"/>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88"/>
              </w:rPr>
              <w:t>Jonathan H. Cohen</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10"/>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0"/>
              </w:rPr>
              <w:t>8 Sound Shore Drive, Suite 255</w:t>
            </w:r>
          </w:p>
        </w:tc>
      </w:tr>
      <w:tr>
        <w:trPr>
          <w:trHeight w:val="230"/>
        </w:trPr>
        <w:tc>
          <w:tcPr>
            <w:tcW w:w="442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jc w:val="center"/>
              <w:ind w:right="4310"/>
              <w:spacing w:after="0"/>
              <w:rPr>
                <w:sz w:val="20"/>
                <w:szCs w:val="20"/>
                <w:color w:val="auto"/>
              </w:rPr>
            </w:pPr>
            <w:r>
              <w:rPr>
                <w:rFonts w:ascii="Arial" w:cs="Arial" w:eastAsia="Arial" w:hAnsi="Arial"/>
                <w:sz w:val="18"/>
                <w:szCs w:val="18"/>
                <w:color w:val="auto"/>
                <w:w w:val="91"/>
              </w:rPr>
              <w:t>Greenwich, CT 06830</w:t>
            </w:r>
          </w:p>
        </w:tc>
      </w:tr>
      <w:tr>
        <w:trPr>
          <w:trHeight w:val="195"/>
        </w:trPr>
        <w:tc>
          <w:tcPr>
            <w:tcW w:w="4420" w:type="dxa"/>
            <w:vAlign w:val="bottom"/>
          </w:tcPr>
          <w:p>
            <w:pPr>
              <w:spacing w:after="0"/>
              <w:rPr>
                <w:sz w:val="16"/>
                <w:szCs w:val="16"/>
                <w:color w:val="auto"/>
              </w:rPr>
            </w:pPr>
          </w:p>
        </w:tc>
        <w:tc>
          <w:tcPr>
            <w:tcW w:w="7000" w:type="dxa"/>
            <w:vAlign w:val="bottom"/>
          </w:tcPr>
          <w:p>
            <w:pPr>
              <w:jc w:val="center"/>
              <w:ind w:right="4370"/>
              <w:spacing w:after="0" w:line="195" w:lineRule="exact"/>
              <w:rPr>
                <w:sz w:val="20"/>
                <w:szCs w:val="20"/>
                <w:color w:val="auto"/>
              </w:rPr>
            </w:pPr>
            <w:r>
              <w:rPr>
                <w:rFonts w:ascii="Arial" w:cs="Arial" w:eastAsia="Arial" w:hAnsi="Arial"/>
                <w:sz w:val="18"/>
                <w:szCs w:val="18"/>
                <w:color w:val="auto"/>
                <w:w w:val="88"/>
              </w:rPr>
              <w:t>(Name and address of agent for</w:t>
            </w:r>
          </w:p>
        </w:tc>
      </w:tr>
      <w:tr>
        <w:trPr>
          <w:trHeight w:val="230"/>
        </w:trPr>
        <w:tc>
          <w:tcPr>
            <w:tcW w:w="4420" w:type="dxa"/>
            <w:vAlign w:val="bottom"/>
          </w:tcPr>
          <w:p>
            <w:pPr>
              <w:spacing w:after="0"/>
              <w:rPr>
                <w:sz w:val="20"/>
                <w:szCs w:val="20"/>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1"/>
              </w:rPr>
              <w:t>service)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(203) 983-5275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fiscal year end: </w:t>
      </w:r>
      <w:r>
        <w:rPr>
          <w:rFonts w:ascii="Arial" w:cs="Arial" w:eastAsia="Arial" w:hAnsi="Arial"/>
          <w:sz w:val="18"/>
          <w:szCs w:val="18"/>
          <w:u w:val="single" w:color="auto"/>
          <w:color w:val="auto"/>
        </w:rPr>
        <w:t>March 31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reporting period: </w:t>
      </w:r>
      <w:r>
        <w:rPr>
          <w:rFonts w:ascii="Arial" w:cs="Arial" w:eastAsia="Arial" w:hAnsi="Arial"/>
          <w:sz w:val="18"/>
          <w:szCs w:val="18"/>
          <w:u w:val="single" w:color="auto"/>
          <w:color w:val="auto"/>
        </w:rPr>
        <w:t>June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1. Schedule of Investments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23"/>
                <w:szCs w:val="23"/>
                <w:b w:val="1"/>
                <w:bCs w:val="1"/>
                <w:color w:val="auto"/>
                <w:w w:val="97"/>
                <w:vertAlign w:val="superscript"/>
              </w:rPr>
              <w:t>(2)</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56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238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Dryden 42 Senior Loan Fund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secured notes - Class FR</w:t>
            </w:r>
            <w:r>
              <w:rPr>
                <w:rFonts w:ascii="Arial" w:cs="Arial" w:eastAsia="Arial" w:hAnsi="Arial"/>
                <w:sz w:val="21"/>
                <w:szCs w:val="21"/>
                <w:color w:val="auto"/>
                <w:vertAlign w:val="superscript"/>
              </w:rPr>
              <w:t>(3)(4)(6)</w:t>
            </w:r>
            <w:r>
              <w:rPr>
                <w:rFonts w:ascii="Arial" w:cs="Arial" w:eastAsia="Arial" w:hAnsi="Arial"/>
                <w:sz w:val="13"/>
                <w:szCs w:val="13"/>
                <w:color w:val="auto"/>
              </w:rPr>
              <w:t>, 9.54% (LIBOR + 7.20%, due July 15, 2030)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1,371,000</w:t>
            </w:r>
          </w:p>
        </w:tc>
        <w:tc>
          <w:tcPr>
            <w:tcW w:w="1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1,233,900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KVK 2014-3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8.45% (LIBOR + 6.10%, due October 15,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1,956,522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1,626,694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1,727,413</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21"/>
                <w:szCs w:val="21"/>
                <w:color w:val="auto"/>
                <w:vertAlign w:val="superscript"/>
              </w:rPr>
              <w:t>(3)(4)(6)</w:t>
            </w:r>
            <w:r>
              <w:rPr>
                <w:rFonts w:ascii="Arial" w:cs="Arial" w:eastAsia="Arial" w:hAnsi="Arial"/>
                <w:sz w:val="13"/>
                <w:szCs w:val="13"/>
                <w:color w:val="auto"/>
              </w:rPr>
              <w:t>, 7.16% (LIBOR + 4.80%, due July 20, 2024)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5,111,836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XXII,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21"/>
                <w:szCs w:val="21"/>
                <w:color w:val="auto"/>
                <w:vertAlign w:val="superscript"/>
              </w:rPr>
              <w:t>(3)(4)(6)</w:t>
            </w:r>
            <w:r>
              <w:rPr>
                <w:rFonts w:ascii="Arial" w:cs="Arial" w:eastAsia="Arial" w:hAnsi="Arial"/>
                <w:sz w:val="13"/>
                <w:szCs w:val="13"/>
                <w:color w:val="auto"/>
              </w:rPr>
              <w:t>, 9.10% (LIBOR + 7.39%, due January 17, 2031)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2,579,108</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2,489,241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Structured Finance</w:t>
            </w: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10,551,538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10,610,554</w:t>
            </w:r>
          </w:p>
        </w:tc>
        <w:tc>
          <w:tcPr>
            <w:tcW w:w="2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Collateralized Loan Obligation - Debt Investments</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10,551,538</w:t>
            </w:r>
          </w:p>
        </w:tc>
        <w:tc>
          <w:tcPr>
            <w:tcW w:w="2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10,610,554</w:t>
            </w:r>
          </w:p>
        </w:tc>
        <w:tc>
          <w:tcPr>
            <w:tcW w:w="2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23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Structured Finance</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AMMC CLO XI,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18.81%, maturity April 30, 2031)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2,100,000</w:t>
            </w:r>
          </w:p>
        </w:tc>
        <w:tc>
          <w:tcPr>
            <w:tcW w:w="1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AMMC CLO XII,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17.52%, maturity April 30, 2031)</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11,428,571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5,567,252</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4,914,286</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Anchorage Capital CLO 5-R,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13.84%, maturity January 15, 2030)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4,091,478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3,746,936</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Apidos CLO XXI</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20.95%, maturity July 18,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6,018,666</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5,916,000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Apex Credit CLO 2018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(5)(7)(9)(11)</w:t>
            </w:r>
            <w:r>
              <w:rPr>
                <w:rFonts w:ascii="Arial" w:cs="Arial" w:eastAsia="Arial" w:hAnsi="Arial"/>
                <w:sz w:val="13"/>
                <w:szCs w:val="13"/>
                <w:color w:val="auto"/>
              </w:rPr>
              <w:t>, (Estimated yield 22.22%, maturity April 25, 2031)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8,568,011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9,024,600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Apex Credit CLO 2015-II, Ltd. (fka: JFIN CLO 2015-II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28.82%, maturity October 17,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4,704,179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4,871,712</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Ares XL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13.07%, maturity October 15,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4,265,535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3,796,349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Atrium IX CLO</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13.13%, maturity February 28, 2024)</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2,224,200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1,787,961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1,801,602</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Atrium XII CLO</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28.61%, maturity April 22,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34,762,500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24,535,666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33,024,375</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Babson CLO Ltd. 2016-III</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15.10%, maturity January 15, 2028)</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2,596,383</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2,587,500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Battalion CLO VI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19.43%, maturity October 17, 2026)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1,875,176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Battalion CLO VII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8.56%, maturity October 17,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15,912,984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10,320,000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Benefit Street Partners CLO V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 xml:space="preserve">CLO preference shares </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9.93%, maturity October 20, 2026)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1,188,537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Blue Hill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15.33%, maturity January 15,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15,125,000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1,162,536</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207,443</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January 15, 2026)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96,635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B&amp;M CLO 2014-1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3.82%, maturity April 16, 2026)</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870,577</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580,000</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Structured Finance - (continued)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Bristol Park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11.75%, maturity April 15, 2029)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5,733,742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5,040,000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Carlyle Global Market Strategies CLO 2013-2,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17.40%, maturity April 18, 2025)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10,857,864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11,481,533</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Cathedral Lake CLO 2013,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21.02%, maturity October 15, 2029)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2,458,120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2,520,000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Cathedral Lake II,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19.47%, maturity July 16,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1,965,406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1,955,000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CIFC Funding 2013-II,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20.42%, maturity October 18, 2030)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15,995,000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7,025,331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7,757,575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CIFC Funding 2014-III,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13.03%, maturity July 22, 2026)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6,843,723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6,050,000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CIFC Funding 2014,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16.18%, maturity January 18, 2031)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4,913,964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4,420,000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Dryden 42 Senior Loan Fund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20.78%, maturity July 15, 2030)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4,909,612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4,777,858</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Dryden 49 Senior Loan Fund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16.53%, maturity July 18, 2030)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4,925,000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4,117,368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3,798,406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Golub Capital Partners CLO 35(B),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11.19%, maturity July 20,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4,374,145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3,600,000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Halcyon Loan Advisors Funding 2015-1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33.25%, maturity April 20,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3,774,773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3,640,000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Halcyon Loan Advisors Funding 2018-1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16.52%, maturity July 20, 2031)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11,250,000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10,045,551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9,151,926</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Hull Street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-19.65%, maturity October 18,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6,934,884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3,300,000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ICG US CLO 2016-1,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13.23%, maturity July 29, 2028)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4,661,176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4,376,128</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Ivy Hill Middle Market Credit VII,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18.14%, maturity October 20, 2029)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4,487,827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3,838,363</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Jamestown CLO III,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8.35%, maturity January 15, 2026)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8,149,384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7,008,750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Jamestown CLO IV,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27.73%, maturity July 15, 2026)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3,519,795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2,331,194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Jamestown CLO V,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24.64%, maturity January 17,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3,248,573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2,635,000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Jamestown CLO VII,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17.16%, maturity July 25,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4,894,195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4,900,000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Longfellow Place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23.01%, maturity April 15,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6,898,683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7,343,378</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11.14%, maturity January 20, 2025)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2,580,869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2,730,000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Madison Park Funding XI,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11.70%, maturity March 10, 2020)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1,236,843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872,556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865,790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Structured Finance - (continued)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XXIV,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11.79%, maturity March 10, 2020)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892,188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821,954</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829,735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Madison Park Funding XXV,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14.96%, maturity March 10, 2020)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1,206,472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1,287,000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XXVII,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13.99%, maturity March 10, 2020)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1,837,500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1,883,210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2,113,125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Madison Park Funding XXIX,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13.96%, maturity March 10, 2020)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10,125,000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10,125,000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XXX,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(5)(7)(9)(12)</w:t>
            </w:r>
            <w:r>
              <w:rPr>
                <w:rFonts w:ascii="Arial" w:cs="Arial" w:eastAsia="Arial" w:hAnsi="Arial"/>
                <w:sz w:val="13"/>
                <w:szCs w:val="13"/>
                <w:color w:val="auto"/>
              </w:rPr>
              <w:t>, (Estimated yield 15.79%, maturity April 15, 2029)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21,516,750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22,068,642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25,389,765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Midocean Credit CLO VI</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11.13%, maturity January 20,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20,586,666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19,266,000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Midocean Credit CLO VIII</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23.11%, maturity February 20, 2031)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4,299,076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4,050,000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18.30%, maturity July 20, 2024)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7,835,308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3,593,800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North End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July 17, 2025)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29,826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Northwoods Capital XI-B, Limited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19.55%, maturity April 19, 2031)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4,688,604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Octagon Investment Partners XXII,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19.82%, maturity January 22, 2030)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3,168,750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2,031,822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2,028,000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Octagon Investment Partners 27,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20.36%, maturity July 15,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3,242,397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3,163,901</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Octagon Investment Partners 33,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16.32%, maturity January 20, 2031)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9,436,615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9,500,000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OFSI Fund VII,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12.19%, maturity October 18, 2026)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20,903,032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17,304,000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OFSI BSL IX,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preferred shares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21.67%, maturity July 15, 2031)</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11,480,000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9,583,700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9,067,120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OFSI BSL IX,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3"/>
            <w:shd w:val="clear" w:color="auto" w:fill="CCEEFF"/>
          </w:tcPr>
          <w:p>
            <w:pPr>
              <w:spacing w:after="0" w:line="171" w:lineRule="exact"/>
              <w:rPr>
                <w:sz w:val="20"/>
                <w:szCs w:val="20"/>
                <w:color w:val="auto"/>
              </w:rPr>
            </w:pPr>
            <w:r>
              <w:rPr>
                <w:rFonts w:ascii="Arial" w:cs="Arial" w:eastAsia="Arial" w:hAnsi="Arial"/>
                <w:sz w:val="12"/>
                <w:szCs w:val="12"/>
                <w:color w:val="auto"/>
              </w:rPr>
              <w:t>CLO preferred warehouse shares</w:t>
            </w:r>
            <w:r>
              <w:rPr>
                <w:rFonts w:ascii="Arial" w:cs="Arial" w:eastAsia="Arial" w:hAnsi="Arial"/>
                <w:sz w:val="19"/>
                <w:szCs w:val="19"/>
                <w:color w:val="auto"/>
                <w:vertAlign w:val="superscript"/>
              </w:rPr>
              <w:t>(5)(7)(10)</w:t>
            </w:r>
            <w:r>
              <w:rPr>
                <w:rFonts w:ascii="Arial" w:cs="Arial" w:eastAsia="Arial" w:hAnsi="Arial"/>
                <w:sz w:val="12"/>
                <w:szCs w:val="12"/>
                <w:color w:val="auto"/>
              </w:rPr>
              <w:t>, (Estimated yield 14.45%, maturity October 17,</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15,000,000</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13.33%, maturity April 30,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4,277,253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4,050,000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OZLM XIV,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13.47%, maturity January 15,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8,269,490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7,445,586</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XIII,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9.22%, maturity July 30, 2027)</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3,017,508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2,560,000</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Structured Finance - (continued)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Regatta III Funding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14.03%, maturity April 15, 2026)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3,750,000</w:t>
            </w:r>
          </w:p>
        </w:tc>
        <w:tc>
          <w:tcPr>
            <w:tcW w:w="12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273,757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103,833</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Shackleton 2015-VII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19.18%, maturity April 15,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8,414,508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6,990,271</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Shackelton 2017-X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13.26%, maturity April 20, 2029)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9,114,445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7,900,000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Shackelton 2017-XI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13.33%, maturity August 15, 2030)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4,867,029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4,100,000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Sheridan Square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April 15, 2025)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167,753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49,500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Sound Point CLO VI,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13.61%, maturity October 20, 2026)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8,093,378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4,635,673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4,532,292</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Sound Point CLO VIII,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April 15, 2027)</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224,719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202,247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38,833</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13.90%, maturity July 17, 2026)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14,332,210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9,318,787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7,882,716</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Telos CLO 2013-4,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22.45%, maturity January 17, 2030)</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11,350,000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7,399,120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7,660,687</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Telos CLO 2014-6,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26.67%, maturity January 17,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4,053,629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3,701,245</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THL Credit Wind River 2014-3 CLO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18.57%, maturity January 22,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18,530,000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14,142,266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15,426,225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THL Credit Wind River 2017-1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13.71%, maturity April 18,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10,283,894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9,000,000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Tralee CLO II, Ltd.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31.63%, maturity January 20, 2030)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2,373,787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2,772,000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Tralee CLO IV,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20.12%, maturity January 20, 2030)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12,502,562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12,341,100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XIV CLO, Limited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20.46%, maturity August 28, 2029)</w:t>
            </w:r>
          </w:p>
        </w:tc>
        <w:tc>
          <w:tcPr>
            <w:tcW w:w="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6,426,852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5,940,000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Venture XV CLO, Limited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12.80%, maturity July 15, 2028)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4,546,727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4,355,000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XVII CLO, Limited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16.81%, maturity July 15, 2027)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11,860,680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11,091,927</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Venture XXI CLO, Limited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22.40%, maturity July 15, 2027)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15,091,080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15,712,500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(2)</w:t>
            </w:r>
          </w:p>
        </w:tc>
        <w:tc>
          <w:tcPr>
            <w:tcW w:w="140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56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Structured Finance - (continued)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XXXIII CLO, Limited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4"/>
          </w:tcPr>
          <w:p>
            <w:pPr>
              <w:spacing w:after="0" w:line="171" w:lineRule="exact"/>
              <w:rPr>
                <w:sz w:val="20"/>
                <w:szCs w:val="20"/>
                <w:color w:val="auto"/>
              </w:rPr>
            </w:pPr>
            <w:r>
              <w:rPr>
                <w:rFonts w:ascii="Arial" w:cs="Arial" w:eastAsia="Arial" w:hAnsi="Arial"/>
                <w:sz w:val="12"/>
                <w:szCs w:val="12"/>
                <w:color w:val="auto"/>
              </w:rPr>
              <w:t>CLO subordinated warehouse notes</w:t>
            </w:r>
            <w:r>
              <w:rPr>
                <w:rFonts w:ascii="Arial" w:cs="Arial" w:eastAsia="Arial" w:hAnsi="Arial"/>
                <w:sz w:val="19"/>
                <w:szCs w:val="19"/>
                <w:color w:val="auto"/>
                <w:vertAlign w:val="superscript"/>
              </w:rPr>
              <w:t>(5)(7)(10)</w:t>
            </w:r>
            <w:r>
              <w:rPr>
                <w:rFonts w:ascii="Arial" w:cs="Arial" w:eastAsia="Arial" w:hAnsi="Arial"/>
                <w:sz w:val="12"/>
                <w:szCs w:val="12"/>
                <w:color w:val="auto"/>
              </w:rPr>
              <w:t>, (Estimated yield 12.30%, maturity March 21,</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gridSpan w:val="2"/>
          </w:tcPr>
          <w:p>
            <w:pPr>
              <w:spacing w:after="0"/>
              <w:rPr>
                <w:sz w:val="20"/>
                <w:szCs w:val="20"/>
                <w:color w:val="auto"/>
              </w:rPr>
            </w:pPr>
            <w:r>
              <w:rPr>
                <w:rFonts w:ascii="Arial" w:cs="Arial" w:eastAsia="Arial" w:hAnsi="Arial"/>
                <w:sz w:val="14"/>
                <w:szCs w:val="14"/>
                <w:color w:val="auto"/>
              </w:rPr>
              <w:t>2019)</w:t>
            </w:r>
          </w:p>
        </w:tc>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20,250,000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20,250,000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20,250,000</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Wellfleet 2016-2 CLO, Ltd.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15.35%, maturity October 15, 2028)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8,356,142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Zais CLO 7, Limited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20.66%, maturity April 15, 2030)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10,050,000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7,926,209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8,542,500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Zais CLO 8, Limited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24.74%, maturity April 15, 2029)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2,721,981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Zais CLO 9, Limited</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18.97%, maturity July 20, 2031)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3,582,207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3,560,000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Other CLO equity related investments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4"/>
            <w:shd w:val="clear" w:color="auto" w:fill="CCEEFF"/>
          </w:tcPr>
          <w:p>
            <w:pPr>
              <w:spacing w:after="0" w:line="202" w:lineRule="exact"/>
              <w:rPr>
                <w:sz w:val="20"/>
                <w:szCs w:val="20"/>
                <w:color w:val="auto"/>
              </w:rPr>
            </w:pPr>
            <w:r>
              <w:rPr>
                <w:rFonts w:ascii="Arial" w:cs="Arial" w:eastAsia="Arial" w:hAnsi="Arial"/>
                <w:sz w:val="14"/>
                <w:szCs w:val="14"/>
                <w:color w:val="auto"/>
              </w:rPr>
              <w:t>CLO other</w:t>
            </w:r>
            <w:r>
              <w:rPr>
                <w:rFonts w:ascii="Arial" w:cs="Arial" w:eastAsia="Arial" w:hAnsi="Arial"/>
                <w:sz w:val="23"/>
                <w:szCs w:val="23"/>
                <w:color w:val="auto"/>
                <w:vertAlign w:val="superscript"/>
              </w:rPr>
              <w:t>(8)</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3,087,557</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Total Structured Finance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515,460,340</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496,167,922</w:t>
            </w:r>
          </w:p>
        </w:tc>
        <w:tc>
          <w:tcPr>
            <w:tcW w:w="20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158.54%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Equity Investments</w:t>
            </w: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515,460,340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496,167,922</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158.54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526,011,878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506,778,476</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161.93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0"/>
              </w:rPr>
              <w:t>Cash and Cash Equivalents</w:t>
            </w:r>
          </w:p>
        </w:tc>
        <w:tc>
          <w:tcPr>
            <w:tcW w:w="3920" w:type="dxa"/>
            <w:vAlign w:val="bottom"/>
            <w:tcBorders>
              <w:bottom w:val="single" w:sz="8" w:color="CCEEFF"/>
            </w:tcBorders>
            <w:gridSpan w:val="3"/>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gridSpan w:val="4"/>
          </w:tcPr>
          <w:p>
            <w:pPr>
              <w:spacing w:after="0" w:line="197" w:lineRule="exact"/>
              <w:rPr>
                <w:sz w:val="20"/>
                <w:szCs w:val="20"/>
                <w:color w:val="auto"/>
              </w:rPr>
            </w:pPr>
            <w:r>
              <w:rPr>
                <w:rFonts w:ascii="Arial" w:cs="Arial" w:eastAsia="Arial" w:hAnsi="Arial"/>
                <w:sz w:val="14"/>
                <w:szCs w:val="14"/>
                <w:color w:val="auto"/>
              </w:rPr>
              <w:t>First American Government Obligations Fund</w:t>
            </w:r>
            <w:r>
              <w:rPr>
                <w:rFonts w:ascii="Arial" w:cs="Arial" w:eastAsia="Arial" w:hAnsi="Arial"/>
                <w:sz w:val="22"/>
                <w:szCs w:val="22"/>
                <w:color w:val="auto"/>
                <w:vertAlign w:val="superscript"/>
              </w:rPr>
              <w:t>(13)</w:t>
            </w: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13,535,193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13,535,193</w:t>
            </w: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gridSpan w:val="4"/>
          </w:tcPr>
          <w:p>
            <w:pPr>
              <w:ind w:left="160"/>
              <w:spacing w:after="0"/>
              <w:rPr>
                <w:sz w:val="20"/>
                <w:szCs w:val="20"/>
                <w:color w:val="auto"/>
              </w:rPr>
            </w:pPr>
            <w:r>
              <w:rPr>
                <w:rFonts w:ascii="Arial" w:cs="Arial" w:eastAsia="Arial" w:hAnsi="Arial"/>
                <w:sz w:val="14"/>
                <w:szCs w:val="14"/>
                <w:b w:val="1"/>
                <w:bCs w:val="1"/>
                <w:color w:val="auto"/>
              </w:rPr>
              <w:t>Total Cash Equivalents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13,535,193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13,535,193</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Total Investments, Cash Equivalents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539,547,071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520,313,669</w:t>
            </w:r>
          </w:p>
        </w:tc>
        <w:tc>
          <w:tcPr>
            <w:tcW w:w="200" w:type="dxa"/>
            <w:vAlign w:val="bottom"/>
          </w:tcPr>
          <w:p>
            <w:pPr>
              <w:spacing w:after="0"/>
              <w:rPr>
                <w:sz w:val="18"/>
                <w:szCs w:val="18"/>
                <w:color w:val="auto"/>
              </w:rPr>
            </w:pPr>
          </w:p>
        </w:tc>
        <w:tc>
          <w:tcPr>
            <w:tcW w:w="1400" w:type="dxa"/>
            <w:vAlign w:val="bottom"/>
            <w:gridSpan w:val="2"/>
          </w:tcPr>
          <w:p>
            <w:pPr>
              <w:jc w:val="right"/>
              <w:spacing w:after="0" w:line="176" w:lineRule="exact"/>
              <w:rPr>
                <w:sz w:val="20"/>
                <w:szCs w:val="20"/>
                <w:color w:val="auto"/>
              </w:rPr>
            </w:pPr>
            <w:r>
              <w:rPr>
                <w:rFonts w:ascii="Arial" w:cs="Arial" w:eastAsia="Arial" w:hAnsi="Arial"/>
                <w:sz w:val="12"/>
                <w:szCs w:val="12"/>
                <w:b w:val="1"/>
                <w:bCs w:val="1"/>
                <w:color w:val="auto"/>
              </w:rPr>
              <w:t>166.2</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LIABILITIES IN EXCESS OF OTHER ASSETS (excluding cash equivalents)</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(207,354,102)</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0" w:type="dxa"/>
            <w:vAlign w:val="bottom"/>
            <w:gridSpan w:val="4"/>
          </w:tcPr>
          <w:p>
            <w:pPr>
              <w:spacing w:after="0" w:line="106" w:lineRule="exact"/>
              <w:rPr>
                <w:sz w:val="20"/>
                <w:szCs w:val="20"/>
                <w:color w:val="auto"/>
              </w:rPr>
            </w:pPr>
            <w:r>
              <w:rPr>
                <w:rFonts w:ascii="Arial" w:cs="Arial" w:eastAsia="Arial" w:hAnsi="Arial"/>
                <w:sz w:val="12"/>
                <w:szCs w:val="12"/>
                <w:b w:val="1"/>
                <w:bCs w:val="1"/>
                <w:color w:val="auto"/>
              </w:rPr>
              <w:t>NET ASSETS (equivalent to $9.98 per share based on 31,357,082 shares of common stock</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620" w:type="dxa"/>
            <w:vAlign w:val="bottom"/>
            <w:gridSpan w:val="5"/>
          </w:tcPr>
          <w:p>
            <w:pPr>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312,959,567</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436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317" w:lineRule="exact"/>
        <w:rPr>
          <w:sz w:val="20"/>
          <w:szCs w:val="20"/>
          <w:color w:val="auto"/>
        </w:rPr>
      </w:pPr>
    </w:p>
    <w:p>
      <w:pPr>
        <w:ind w:left="340" w:right="300" w:hanging="332"/>
        <w:spacing w:after="0" w:line="223" w:lineRule="auto"/>
        <w:tabs>
          <w:tab w:leader="none" w:pos="34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We do not "control" and are not an "affiliate" of any of our portfolio companies, each as defined in the Investment Company Act of 1940, as amended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line="180"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Fair value is determined in good faith by the Board of Directors of the Fund.</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Notes bear interest at variable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original issue discount or market discount.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effective yield less any cash distributions received or entitled to be received from CLO equity investments.</w:t>
      </w:r>
    </w:p>
    <w:p>
      <w:pPr>
        <w:spacing w:after="0" w:line="2" w:lineRule="exact"/>
        <w:rPr>
          <w:rFonts w:ascii="Arial" w:cs="Arial" w:eastAsia="Arial" w:hAnsi="Arial"/>
          <w:sz w:val="24"/>
          <w:szCs w:val="24"/>
          <w:color w:val="auto"/>
          <w:vertAlign w:val="superscript"/>
        </w:rPr>
      </w:pPr>
    </w:p>
    <w:p>
      <w:pPr>
        <w:ind w:left="340" w:right="540" w:hanging="332"/>
        <w:spacing w:after="0" w:line="187" w:lineRule="auto"/>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June 30, 2018.</w:t>
      </w:r>
    </w:p>
    <w:p>
      <w:pPr>
        <w:ind w:left="340" w:right="40" w:hanging="332"/>
        <w:spacing w:after="0" w:line="221" w:lineRule="auto"/>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ind w:left="340" w:hanging="332"/>
        <w:spacing w:after="0" w:line="180"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Fair value represents discounted cash flows associated with fees earned from CLO equity investments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Investment has not made inaugural distribution for relevant period end. See "Note 4. Investment Income."</w:t>
      </w:r>
    </w:p>
    <w:p>
      <w:pPr>
        <w:spacing w:after="0" w:line="2" w:lineRule="exact"/>
        <w:rPr>
          <w:rFonts w:ascii="Arial" w:cs="Arial" w:eastAsia="Arial" w:hAnsi="Arial"/>
          <w:sz w:val="24"/>
          <w:szCs w:val="24"/>
          <w:color w:val="auto"/>
          <w:vertAlign w:val="superscript"/>
        </w:rPr>
      </w:pPr>
    </w:p>
    <w:p>
      <w:pPr>
        <w:ind w:left="340" w:right="180" w:hanging="332"/>
        <w:spacing w:after="0" w:line="199" w:lineRule="auto"/>
        <w:tabs>
          <w:tab w:leader="none" w:pos="34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The subordinated shares and preferred shares represent an investment in a warehouse facility, which is a financing structure intended to aggregate loans that may be used to form the basis of a CLO vehicle.</w:t>
      </w:r>
    </w:p>
    <w:p>
      <w:pPr>
        <w:spacing w:after="0" w:line="1" w:lineRule="exact"/>
        <w:rPr>
          <w:rFonts w:ascii="Arial" w:cs="Arial" w:eastAsia="Arial" w:hAnsi="Arial"/>
          <w:sz w:val="28"/>
          <w:szCs w:val="28"/>
          <w:color w:val="auto"/>
          <w:vertAlign w:val="superscript"/>
        </w:rPr>
      </w:pPr>
    </w:p>
    <w:p>
      <w:pPr>
        <w:ind w:left="340" w:hanging="332"/>
        <w:spacing w:after="0" w:line="180"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CLO equity investment was optionally redeemed. See "Note 5. Securities Transactions."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Securities held as collateral pursuant to repurchase agreement with Nomura Securities International, Inc. See "Note 2. Investment Valuation."</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Represents cash equivalents held in a money market account as of June 30, 2018.</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The fair value of the investment was determined using significant unobservable inputs. See "Note 3.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N-Q. Accordingly, certain disclosures accompanying annual and semi-annual financial statements prepared in accordance with GAAP are omitted. In the opinion of management, all adjustments, consisting of normal recurring accruals, necessary for the fair statement of financial results for the interim periods have been omitted.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2018, as filed with the Securities and Exchange Commission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 VALUATION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Fund fair values its investment portfolio in accordance with the provisions of Financial Accounting Standards Board (“FASB”) Accounting Standards Codification (“ASC”) Topic 820, </w:t>
      </w:r>
      <w:r>
        <w:rPr>
          <w:rFonts w:ascii="Arial" w:cs="Arial" w:eastAsia="Arial" w:hAnsi="Arial"/>
          <w:sz w:val="17"/>
          <w:szCs w:val="17"/>
          <w:i w:val="1"/>
          <w:iCs w:val="1"/>
          <w:color w:val="auto"/>
        </w:rPr>
        <w:t>Fair Value Measurement and Disclosure</w:t>
      </w:r>
      <w:r>
        <w:rPr>
          <w:rFonts w:ascii="Arial" w:cs="Arial" w:eastAsia="Arial" w:hAnsi="Arial"/>
          <w:sz w:val="17"/>
          <w:szCs w:val="17"/>
          <w:color w:val="auto"/>
        </w:rPr>
        <w:t>. Estimates made in the preparation of OXLC’s financial statements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OXLC has acquired debt and equity positions in Collateralized Loan Obligations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LLC (“OXLC Management”)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the Adviser. If a third-party valuation firm is engaged by the Company,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Fund has entered into an agreement, whereby, it sold securities under agreements to be repurchased at an agreed-upon price and date. In such an agreement, the Fund accounts for this transaction as a collateralized financing transaction and is recorded at its contracted repurchase amount plus interest. The Fund’s securities sold under agreement to repurchase are carried at cost; which approximates fair value. Please Refer to “Note 8. Borrowings Related to Securities Sold Under Agreement to Repurchase” in our most recent Annual Report as of March 31, 2018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June 30, 2018 were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Assets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00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 debt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 equity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investments at fair value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9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at Reporting Date Using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10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Other Observable</w:t>
            </w: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Identical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25"/>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496.2</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496.2</w:t>
            </w:r>
          </w:p>
        </w:tc>
      </w:tr>
      <w:tr>
        <w:trPr>
          <w:trHeight w:val="20"/>
        </w:trPr>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506.8</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506.8</w:t>
            </w:r>
          </w:p>
        </w:tc>
      </w:tr>
      <w:tr>
        <w:trPr>
          <w:trHeight w:val="230"/>
        </w:trPr>
        <w:tc>
          <w:tcPr>
            <w:tcW w:w="10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-891540</wp:posOffset>
            </wp:positionV>
            <wp:extent cx="666369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-608330</wp:posOffset>
            </wp:positionV>
            <wp:extent cx="666369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-325120</wp:posOffset>
            </wp:positionV>
            <wp:extent cx="666369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88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June 30, 2018 and the level of each financial liability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9"/>
                <w:szCs w:val="19"/>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7.50% Series 2023 Term 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6.75% Series 2024 Term Preferred Shares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June 30, 2018.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techniques and methodologies and asset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gridSpan w:val="8"/>
          </w:tcPr>
          <w:p>
            <w:pPr>
              <w:ind w:left="74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Impact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Fair Value as of</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Valuation Techniques /</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9"/>
                <w:szCs w:val="19"/>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Range / 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Valuation from 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40" w:type="dxa"/>
            <w:vAlign w:val="bottom"/>
            <w:gridSpan w:val="2"/>
          </w:tcPr>
          <w:p>
            <w:pPr>
              <w:ind w:left="11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3"/>
                <w:szCs w:val="23"/>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2018</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Methodologies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100" w:type="dxa"/>
            <w:vAlign w:val="bottom"/>
          </w:tcPr>
          <w:p>
            <w:pPr>
              <w:spacing w:after="0"/>
              <w:rPr>
                <w:sz w:val="23"/>
                <w:szCs w:val="23"/>
                <w:color w:val="auto"/>
              </w:rPr>
            </w:pPr>
          </w:p>
        </w:tc>
        <w:tc>
          <w:tcPr>
            <w:tcW w:w="234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3"/>
              </w:rPr>
              <w:t>Average</w:t>
            </w:r>
            <w:r>
              <w:rPr>
                <w:rFonts w:ascii="Arial" w:cs="Arial" w:eastAsia="Arial" w:hAnsi="Arial"/>
                <w:sz w:val="30"/>
                <w:szCs w:val="30"/>
                <w:b w:val="1"/>
                <w:bCs w:val="1"/>
                <w:color w:val="auto"/>
                <w:w w:val="83"/>
                <w:vertAlign w:val="superscript"/>
              </w:rPr>
              <w:t>(5)</w:t>
            </w:r>
          </w:p>
        </w:tc>
        <w:tc>
          <w:tcPr>
            <w:tcW w:w="150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9"/>
              </w:rPr>
              <w:t>Increase in Input</w:t>
            </w:r>
            <w:r>
              <w:rPr>
                <w:rFonts w:ascii="Arial" w:cs="Arial" w:eastAsia="Arial" w:hAnsi="Arial"/>
                <w:sz w:val="30"/>
                <w:szCs w:val="30"/>
                <w:b w:val="1"/>
                <w:bCs w:val="1"/>
                <w:color w:val="auto"/>
                <w:w w:val="89"/>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88.3%-93.2% / 90.9%</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2"/>
                <w:szCs w:val="2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Yield Analysis</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340" w:type="dxa"/>
            <w:vAlign w:val="bottom"/>
            <w:gridSpan w:val="2"/>
          </w:tcPr>
          <w:p>
            <w:pPr>
              <w:ind w:left="100"/>
              <w:spacing w:after="0" w:line="256" w:lineRule="exact"/>
              <w:rPr>
                <w:sz w:val="20"/>
                <w:szCs w:val="20"/>
                <w:color w:val="auto"/>
              </w:rPr>
            </w:pPr>
            <w:r>
              <w:rPr>
                <w:rFonts w:ascii="Arial" w:cs="Arial" w:eastAsia="Arial" w:hAnsi="Arial"/>
                <w:sz w:val="29"/>
                <w:szCs w:val="29"/>
                <w:color w:val="auto"/>
                <w:vertAlign w:val="subscript"/>
              </w:rPr>
              <w:t>86%</w:t>
            </w: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8"/>
                <w:szCs w:val="18"/>
                <w:color w:val="auto"/>
              </w:rPr>
              <w:t>CLO equity</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405.0</w:t>
            </w:r>
          </w:p>
        </w:tc>
        <w:tc>
          <w:tcPr>
            <w:tcW w:w="220" w:type="dxa"/>
            <w:vAlign w:val="bottom"/>
          </w:tcPr>
          <w:p>
            <w:pPr>
              <w:spacing w:after="0"/>
              <w:rPr>
                <w:sz w:val="22"/>
                <w:szCs w:val="22"/>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1.4%-118.0% / 65.0%</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Recent Transaction</w:t>
            </w: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(3)</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48.5%-83.3% / 72.7%</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2"/>
                <w:szCs w:val="22"/>
                <w:color w:val="auto"/>
              </w:rPr>
            </w:pPr>
          </w:p>
        </w:tc>
        <w:tc>
          <w:tcPr>
            <w:tcW w:w="186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(4)</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(4)</w:t>
            </w:r>
          </w:p>
        </w:tc>
        <w:tc>
          <w:tcPr>
            <w:tcW w:w="234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12.8%</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Yield Analysis</w:t>
            </w: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22.0%-75.0% / 58.5%</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8"/>
                <w:szCs w:val="18"/>
                <w:color w:val="auto"/>
              </w:rPr>
              <w:t>CLO equity - side letters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2"/>
                <w:szCs w:val="22"/>
                <w:color w:val="auto"/>
              </w:rPr>
            </w:pPr>
          </w:p>
        </w:tc>
        <w:tc>
          <w:tcPr>
            <w:tcW w:w="186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(4)</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(4)</w:t>
            </w: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12.1%-18.9% / 16.1%</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Total Fair Value for 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 (continued)</w:t>
      </w:r>
    </w:p>
    <w:p>
      <w:pPr>
        <w:spacing w:after="0" w:line="229" w:lineRule="exact"/>
        <w:rPr>
          <w:sz w:val="20"/>
          <w:szCs w:val="20"/>
          <w:color w:val="auto"/>
        </w:rPr>
      </w:pPr>
    </w:p>
    <w:p>
      <w:pPr>
        <w:ind w:left="580" w:right="20" w:hanging="275"/>
        <w:spacing w:after="0" w:line="224" w:lineRule="auto"/>
        <w:tabs>
          <w:tab w:leader="none" w:pos="58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ind w:left="580" w:hanging="275"/>
        <w:spacing w:after="0" w:line="180" w:lineRule="auto"/>
        <w:tabs>
          <w:tab w:leader="none" w:pos="58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color w:val="auto"/>
        </w:rPr>
        <w:t>Represents a single investment fair value position, and therefore the range/weighted average is not applicable.</w:t>
      </w:r>
    </w:p>
    <w:p>
      <w:pPr>
        <w:spacing w:after="0" w:line="2" w:lineRule="exact"/>
        <w:rPr>
          <w:rFonts w:ascii="Arial" w:cs="Arial" w:eastAsia="Arial" w:hAnsi="Arial"/>
          <w:sz w:val="25"/>
          <w:szCs w:val="25"/>
          <w:color w:val="auto"/>
          <w:vertAlign w:val="superscript"/>
        </w:rPr>
      </w:pPr>
    </w:p>
    <w:p>
      <w:pPr>
        <w:ind w:left="580" w:right="180" w:hanging="275"/>
        <w:spacing w:after="0" w:line="187" w:lineRule="auto"/>
        <w:tabs>
          <w:tab w:leader="none" w:pos="58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jc w:val="both"/>
        <w:ind w:left="580" w:right="140" w:hanging="275"/>
        <w:spacing w:after="0" w:line="228" w:lineRule="auto"/>
        <w:tabs>
          <w:tab w:leader="none" w:pos="58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The Fund will calculate the fair value of certain CLO equity investments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1" w:lineRule="exact"/>
        <w:rPr>
          <w:rFonts w:ascii="Arial" w:cs="Arial" w:eastAsia="Arial" w:hAnsi="Arial"/>
          <w:sz w:val="28"/>
          <w:szCs w:val="28"/>
          <w:color w:val="auto"/>
          <w:vertAlign w:val="superscript"/>
        </w:rPr>
      </w:pPr>
    </w:p>
    <w:p>
      <w:pPr>
        <w:ind w:left="580" w:hanging="275"/>
        <w:spacing w:after="0" w:line="180" w:lineRule="auto"/>
        <w:tabs>
          <w:tab w:leader="none" w:pos="58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color w:val="auto"/>
        </w:rPr>
        <w:t>Weighted averages are calculated based on fair value of investments.</w:t>
      </w:r>
    </w:p>
    <w:p>
      <w:pPr>
        <w:spacing w:after="0" w:line="2" w:lineRule="exact"/>
        <w:rPr>
          <w:rFonts w:ascii="Arial" w:cs="Arial" w:eastAsia="Arial" w:hAnsi="Arial"/>
          <w:sz w:val="25"/>
          <w:szCs w:val="25"/>
          <w:color w:val="auto"/>
          <w:vertAlign w:val="superscript"/>
        </w:rPr>
      </w:pPr>
    </w:p>
    <w:p>
      <w:pPr>
        <w:ind w:left="580" w:right="120" w:hanging="275"/>
        <w:spacing w:after="0" w:line="232" w:lineRule="auto"/>
        <w:tabs>
          <w:tab w:leader="none" w:pos="58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8"/>
          <w:szCs w:val="18"/>
          <w:i w:val="1"/>
          <w:iCs w:val="1"/>
          <w:color w:val="auto"/>
        </w:rPr>
        <w:t>Beneficial Interests in Securitized Financial Assets</w:t>
      </w:r>
      <w:r>
        <w:rPr>
          <w:rFonts w:ascii="Arial" w:cs="Arial" w:eastAsia="Arial" w:hAnsi="Arial"/>
          <w:sz w:val="18"/>
          <w:szCs w:val="18"/>
          <w:color w:val="auto"/>
        </w:rPr>
        <w:t>, based upon an effective yield to the expected redemption utilizing estimated cash flows,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statement of operations presented in accordance with accounting principles generally accepted in the United States of America (“GAAP”) differs from both the tax-basis investment income and from the cash distributions actually received by the Fund during the period.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2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87"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June 30, 2018, the Fund had no non-accrual assets in its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INCOME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SECURITIES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Securities transactions are recorded on trade date. Realized gains and losses on investments sold are recorded on the basis of specific identification.</w:t>
      </w:r>
    </w:p>
    <w:p>
      <w:pPr>
        <w:spacing w:after="0" w:line="2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optional redemption (“optionally redeemed”) feature of a CLO allows a majority of the holders of the equity securities issued by the CLO issuer, after the end of a specified non-call period, to cause the redemption of the secured notes issued by the CLO with proceeds of either the liquidation of the CLO’s assets or through a refinancing with new debt. The optional redemption is effectively a voluntary prepayment of the secured debt issued by the CLO prior to the stated maturity of such debt.</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Distributions received on CLO equity investments which were optionally redeemed for which the cost basis has been reduced to zero are recorded as realized gains.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U.S. FEDERAL INCOME TAXES</w:t>
      </w:r>
    </w:p>
    <w:p>
      <w:pPr>
        <w:spacing w:after="0" w:line="229" w:lineRule="exact"/>
        <w:rPr>
          <w:sz w:val="20"/>
          <w:szCs w:val="20"/>
          <w:color w:val="auto"/>
        </w:rPr>
      </w:pPr>
    </w:p>
    <w:p>
      <w:pPr>
        <w:ind w:right="200" w:firstLine="584"/>
        <w:spacing w:after="0" w:line="259" w:lineRule="auto"/>
        <w:rPr>
          <w:sz w:val="20"/>
          <w:szCs w:val="20"/>
          <w:color w:val="auto"/>
        </w:rPr>
      </w:pPr>
      <w:r>
        <w:rPr>
          <w:rFonts w:ascii="Arial" w:cs="Arial" w:eastAsia="Arial" w:hAnsi="Arial"/>
          <w:sz w:val="18"/>
          <w:szCs w:val="18"/>
          <w:color w:val="auto"/>
        </w:rPr>
        <w:t>The Fund intends to operate so as to continue to qualify to be taxed as a regulated investment company (“RIC”) under Subchapter M of the Internal Revenue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7" w:lineRule="exact"/>
        <w:rPr>
          <w:sz w:val="20"/>
          <w:szCs w:val="20"/>
          <w:color w:val="auto"/>
        </w:rPr>
      </w:pPr>
    </w:p>
    <w:p>
      <w:pPr>
        <w:ind w:right="220" w:firstLine="584"/>
        <w:spacing w:after="0" w:line="259" w:lineRule="auto"/>
        <w:rPr>
          <w:sz w:val="20"/>
          <w:szCs w:val="20"/>
          <w:color w:val="auto"/>
        </w:rPr>
      </w:pPr>
      <w:r>
        <w:rPr>
          <w:rFonts w:ascii="Arial" w:cs="Arial" w:eastAsia="Arial" w:hAnsi="Arial"/>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w:t>
      </w:r>
    </w:p>
    <w:p>
      <w:pPr>
        <w:spacing w:after="0" w:line="187" w:lineRule="exact"/>
        <w:rPr>
          <w:sz w:val="20"/>
          <w:szCs w:val="20"/>
          <w:color w:val="auto"/>
        </w:rPr>
      </w:pPr>
    </w:p>
    <w:p>
      <w:pPr>
        <w:ind w:right="300" w:firstLine="584"/>
        <w:spacing w:after="0" w:line="286" w:lineRule="auto"/>
        <w:rPr>
          <w:sz w:val="20"/>
          <w:szCs w:val="20"/>
          <w:color w:val="auto"/>
        </w:rPr>
      </w:pPr>
      <w:r>
        <w:rPr>
          <w:rFonts w:ascii="Arial" w:cs="Arial" w:eastAsia="Arial" w:hAnsi="Arial"/>
          <w:sz w:val="17"/>
          <w:szCs w:val="17"/>
          <w:color w:val="auto"/>
        </w:rPr>
        <w:t>Differences between distributions and net investment income may also result from the treatment of short-term gains as ordinary income for tax purposes. Our distribution policy is based upon our estimate of our distributable net investment income, which includes actual distributions from our CLO equity class investments, with further consideration given to our realized gains or losses on a taxable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ind w:left="600"/>
              <w:spacing w:after="0"/>
              <w:rPr>
                <w:sz w:val="20"/>
                <w:szCs w:val="20"/>
                <w:color w:val="auto"/>
              </w:rPr>
            </w:pPr>
            <w:r>
              <w:rPr>
                <w:rFonts w:ascii="Arial" w:cs="Arial" w:eastAsia="Arial" w:hAnsi="Arial"/>
                <w:sz w:val="18"/>
                <w:szCs w:val="18"/>
                <w:color w:val="auto"/>
                <w:w w:val="98"/>
              </w:rPr>
              <w:t>As of June 30, 2018, the cost and net unrealized depreciation of securities on a tax basis were as follows: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for federal income tax purposes</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552,187,766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660"/>
              <w:spacing w:after="0"/>
              <w:rPr>
                <w:sz w:val="20"/>
                <w:szCs w:val="20"/>
                <w:color w:val="auto"/>
              </w:rPr>
            </w:pPr>
            <w:r>
              <w:rPr>
                <w:rFonts w:ascii="Arial" w:cs="Arial" w:eastAsia="Arial" w:hAnsi="Arial"/>
                <w:sz w:val="18"/>
                <w:szCs w:val="18"/>
                <w:color w:val="auto"/>
              </w:rPr>
              <w:t>Gross unrealized appreciation</w:t>
            </w:r>
          </w:p>
        </w:tc>
        <w:tc>
          <w:tcPr>
            <w:tcW w:w="7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19,911,709</w:t>
            </w:r>
          </w:p>
        </w:tc>
        <w:tc>
          <w:tcPr>
            <w:tcW w:w="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(65,320,999)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(45,409,290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2. Controls and Procedures.</w:t>
      </w:r>
    </w:p>
    <w:p>
      <w:pPr>
        <w:spacing w:after="0" w:line="225" w:lineRule="exact"/>
        <w:rPr>
          <w:sz w:val="20"/>
          <w:szCs w:val="20"/>
          <w:color w:val="auto"/>
        </w:rPr>
      </w:pPr>
    </w:p>
    <w:p>
      <w:pPr>
        <w:ind w:firstLine="258"/>
        <w:spacing w:after="0" w:line="293" w:lineRule="auto"/>
        <w:tabs>
          <w:tab w:leader="none" w:pos="76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principal executive officer) and Chief Financial Officer (the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20" w:firstLine="258"/>
        <w:spacing w:after="0" w:line="264" w:lineRule="auto"/>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as amended) that occurred during the Registrant’s last fiscal quarter that have materially affected or are reasonably likely to materially affect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3. Exhibits.</w:t>
      </w:r>
    </w:p>
    <w:p>
      <w:pPr>
        <w:spacing w:after="0" w:line="225" w:lineRule="exact"/>
        <w:rPr>
          <w:sz w:val="20"/>
          <w:szCs w:val="20"/>
          <w:color w:val="auto"/>
        </w:rPr>
      </w:pPr>
    </w:p>
    <w:p>
      <w:pPr>
        <w:ind w:right="140" w:firstLine="584"/>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as required by Rule 30a-2(a)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OXFORD LANE CAPITAL CORP.</w:t>
      </w:r>
    </w:p>
    <w:p>
      <w:pPr>
        <w:spacing w:after="0" w:line="225"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color w:val="auto"/>
        </w:rPr>
        <w:t>By:</w:t>
        <w:tab/>
        <w:t>/s/ Jonathan H. Cohen</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55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ind w:left="340"/>
              <w:spacing w:after="0"/>
              <w:rPr>
                <w:sz w:val="20"/>
                <w:szCs w:val="20"/>
                <w:color w:val="auto"/>
              </w:rPr>
            </w:pPr>
            <w:r>
              <w:rPr>
                <w:rFonts w:ascii="Arial" w:cs="Arial" w:eastAsia="Arial" w:hAnsi="Arial"/>
                <w:sz w:val="18"/>
                <w:szCs w:val="18"/>
                <w:color w:val="auto"/>
              </w:rPr>
              <w:t>By:  /s/ Jonathan H. Cohen</w:t>
            </w: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By:  /s/ Bruce L. Rubin</w:t>
            </w:r>
          </w:p>
        </w:tc>
        <w:tc>
          <w:tcPr>
            <w:tcW w:w="26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64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L. Rubin</w:t>
            </w:r>
          </w:p>
        </w:tc>
        <w:tc>
          <w:tcPr>
            <w:tcW w:w="260" w:type="dxa"/>
            <w:vAlign w:val="bottom"/>
          </w:tcPr>
          <w:p>
            <w:pPr>
              <w:spacing w:after="0"/>
              <w:rPr>
                <w:sz w:val="16"/>
                <w:szCs w:val="16"/>
                <w:color w:val="auto"/>
              </w:rPr>
            </w:pPr>
          </w:p>
        </w:tc>
      </w:tr>
      <w:tr>
        <w:trPr>
          <w:trHeight w:val="216"/>
        </w:trPr>
        <w:tc>
          <w:tcPr>
            <w:tcW w:w="5660" w:type="dxa"/>
            <w:vAlign w:val="bottom"/>
            <w:gridSpan w:val="2"/>
          </w:tcPr>
          <w:p>
            <w:pPr>
              <w:ind w:left="780"/>
              <w:spacing w:after="0"/>
              <w:rPr>
                <w:sz w:val="20"/>
                <w:szCs w:val="20"/>
                <w:color w:val="auto"/>
              </w:rPr>
            </w:pPr>
            <w:r>
              <w:rPr>
                <w:rFonts w:ascii="Arial" w:cs="Arial" w:eastAsia="Arial" w:hAnsi="Arial"/>
                <w:sz w:val="18"/>
                <w:szCs w:val="18"/>
                <w:color w:val="auto"/>
              </w:rPr>
              <w:t>Title: Chief Executive Officer</w:t>
            </w:r>
          </w:p>
        </w:tc>
        <w:tc>
          <w:tcPr>
            <w:tcW w:w="6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26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(Principal Executive Officer)</w:t>
            </w:r>
          </w:p>
        </w:tc>
        <w:tc>
          <w:tcPr>
            <w:tcW w:w="640" w:type="dxa"/>
            <w:vAlign w:val="bottom"/>
          </w:tcPr>
          <w:p>
            <w:pPr>
              <w:spacing w:after="0"/>
              <w:rPr>
                <w:sz w:val="20"/>
                <w:szCs w:val="20"/>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(Principal Financial Officer)</w:t>
            </w:r>
          </w:p>
        </w:tc>
        <w:tc>
          <w:tcPr>
            <w:tcW w:w="260" w:type="dxa"/>
            <w:vAlign w:val="bottom"/>
          </w:tcPr>
          <w:p>
            <w:pPr>
              <w:spacing w:after="0"/>
              <w:rPr>
                <w:sz w:val="20"/>
                <w:szCs w:val="20"/>
                <w:color w:val="auto"/>
              </w:rPr>
            </w:pPr>
          </w:p>
        </w:tc>
      </w:tr>
      <w:tr>
        <w:trPr>
          <w:trHeight w:val="432"/>
        </w:trPr>
        <w:tc>
          <w:tcPr>
            <w:tcW w:w="5660" w:type="dxa"/>
            <w:vAlign w:val="bottom"/>
            <w:gridSpan w:val="2"/>
          </w:tcPr>
          <w:p>
            <w:pPr>
              <w:ind w:left="780"/>
              <w:spacing w:after="0"/>
              <w:rPr>
                <w:sz w:val="20"/>
                <w:szCs w:val="20"/>
                <w:color w:val="auto"/>
              </w:rPr>
            </w:pPr>
            <w:r>
              <w:rPr>
                <w:rFonts w:ascii="Arial" w:cs="Arial" w:eastAsia="Arial" w:hAnsi="Arial"/>
                <w:sz w:val="18"/>
                <w:szCs w:val="18"/>
                <w:color w:val="auto"/>
              </w:rPr>
              <w:t>Date: August 7, 2018</w:t>
            </w:r>
          </w:p>
        </w:tc>
        <w:tc>
          <w:tcPr>
            <w:tcW w:w="64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Date: August 7, 2018</w:t>
            </w:r>
          </w:p>
        </w:tc>
        <w:tc>
          <w:tcPr>
            <w:tcW w:w="260" w:type="dxa"/>
            <w:vAlign w:val="bottom"/>
          </w:tcPr>
          <w:p>
            <w:pPr>
              <w:spacing w:after="0"/>
              <w:rPr>
                <w:sz w:val="24"/>
                <w:szCs w:val="24"/>
                <w:color w:val="auto"/>
              </w:rPr>
            </w:pPr>
          </w:p>
        </w:tc>
      </w:tr>
      <w:tr>
        <w:trPr>
          <w:trHeight w:val="675"/>
        </w:trPr>
        <w:tc>
          <w:tcPr>
            <w:tcW w:w="7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99.Cert</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580" w:hanging="27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580" w:hanging="275"/>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27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580" w:right="100" w:hanging="275"/>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880" w:hanging="291"/>
        <w:spacing w:after="0" w:line="264"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right="20" w:hanging="291"/>
        <w:spacing w:after="0" w:line="264"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100" w:hanging="291"/>
        <w:spacing w:after="0" w:line="264"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880" w:hanging="291"/>
        <w:spacing w:after="0" w:line="342" w:lineRule="auto"/>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580" w:right="180" w:hanging="27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80" w:right="280" w:hanging="291"/>
        <w:spacing w:after="0" w:line="308" w:lineRule="auto"/>
        <w:tabs>
          <w:tab w:leader="none" w:pos="8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240" w:hanging="291"/>
        <w:spacing w:after="0" w:line="277"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August,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580" w:hanging="27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580" w:hanging="275"/>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27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580" w:right="100" w:hanging="275"/>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880" w:right="380" w:hanging="291"/>
        <w:spacing w:after="0" w:line="264"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right="20" w:hanging="291"/>
        <w:spacing w:after="0" w:line="264"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100" w:hanging="291"/>
        <w:spacing w:after="0" w:line="264"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880" w:hanging="291"/>
        <w:spacing w:after="0" w:line="342"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580" w:right="180" w:hanging="27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80" w:right="280" w:hanging="291"/>
        <w:spacing w:after="0" w:line="308" w:lineRule="auto"/>
        <w:tabs>
          <w:tab w:leader="none" w:pos="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240" w:hanging="291"/>
        <w:spacing w:after="0" w:line="27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August,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99.906CERT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ind w:right="10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2018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880" w:hanging="291"/>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80" w:hanging="291"/>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ind w:right="8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2018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880" w:hanging="291"/>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80" w:hanging="291"/>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2020-01-13T06:27:38Z</dcterms:created>
  <dcterms:modified xsi:type="dcterms:W3CDTF">2020-01-13T06:27:38Z</dcterms:modified>
</cp:coreProperties>
</file>