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1500505</wp:posOffset>
            </wp:positionH>
            <wp:positionV relativeFrom="page">
              <wp:posOffset>612140</wp:posOffset>
            </wp:positionV>
            <wp:extent cx="455295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page">
              <wp:posOffset>1500505</wp:posOffset>
            </wp:positionH>
            <wp:positionV relativeFrom="page">
              <wp:posOffset>650240</wp:posOffset>
            </wp:positionV>
            <wp:extent cx="455295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52950" cy="2286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1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1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FORM N-CSR</w:t>
      </w:r>
    </w:p>
    <w:p>
      <w:pPr>
        <w:spacing w:after="0" w:line="20"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CERTIFIED SHAREHOLDER REPORT OF REGISTERED MANAGEMENT</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INVESTMENT COMPANIES</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Investment Company Act file number 811-22432</w:t>
      </w:r>
    </w:p>
    <w:p>
      <w:pPr>
        <w:spacing w:after="0" w:line="22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Oxford Lane Capital Corp.</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1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 Sound Shore Drive, Suite 255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Greenwich, CT 06830</w:t>
      </w: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Jonathan H. Cohen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jc w:val="center"/>
        <w:ind w:right="-19"/>
        <w:spacing w:after="0" w:line="233" w:lineRule="auto"/>
        <w:rPr>
          <w:sz w:val="20"/>
          <w:szCs w:val="20"/>
          <w:color w:val="auto"/>
        </w:rPr>
      </w:pPr>
      <w:r>
        <w:rPr>
          <w:rFonts w:ascii="Times New Roman" w:cs="Times New Roman" w:eastAsia="Times New Roman" w:hAnsi="Times New Roman"/>
          <w:sz w:val="16"/>
          <w:szCs w:val="16"/>
          <w:b w:val="1"/>
          <w:bCs w:val="1"/>
          <w:color w:val="auto"/>
        </w:rPr>
        <w:t>Oxford Lane Capital Corp.</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8 Sound Shore Drive, Suite 255</w:t>
      </w:r>
    </w:p>
    <w:p>
      <w:pPr>
        <w:jc w:val="center"/>
        <w:spacing w:after="0" w:line="234" w:lineRule="auto"/>
        <w:rPr>
          <w:sz w:val="20"/>
          <w:szCs w:val="20"/>
          <w:color w:val="auto"/>
        </w:rPr>
      </w:pPr>
      <w:r>
        <w:rPr>
          <w:rFonts w:ascii="Times New Roman" w:cs="Times New Roman" w:eastAsia="Times New Roman" w:hAnsi="Times New Roman"/>
          <w:sz w:val="16"/>
          <w:szCs w:val="16"/>
          <w:b w:val="1"/>
          <w:bCs w:val="1"/>
          <w:color w:val="auto"/>
        </w:rPr>
        <w:t>Greenwich, CT 06830</w:t>
      </w:r>
    </w:p>
    <w:p>
      <w:pPr>
        <w:jc w:val="center"/>
        <w:ind w:right="-19"/>
        <w:spacing w:after="0" w:line="234" w:lineRule="auto"/>
        <w:rPr>
          <w:sz w:val="20"/>
          <w:szCs w:val="20"/>
          <w:color w:val="auto"/>
        </w:rPr>
      </w:pPr>
      <w:r>
        <w:rPr>
          <w:rFonts w:ascii="Times New Roman" w:cs="Times New Roman" w:eastAsia="Times New Roman" w:hAnsi="Times New Roman"/>
          <w:sz w:val="16"/>
          <w:szCs w:val="16"/>
          <w:color w:val="auto"/>
        </w:rPr>
        <w:t>(Name and address of agent for service)</w:t>
      </w:r>
    </w:p>
    <w:p>
      <w:pPr>
        <w:ind w:left="3800"/>
        <w:spacing w:after="0"/>
        <w:rPr>
          <w:sz w:val="20"/>
          <w:szCs w:val="20"/>
          <w:color w:val="auto"/>
        </w:rPr>
      </w:pPr>
      <w:r>
        <w:rPr>
          <w:rFonts w:ascii="Times New Roman" w:cs="Times New Roman" w:eastAsia="Times New Roman" w:hAnsi="Times New Roman"/>
          <w:sz w:val="16"/>
          <w:szCs w:val="16"/>
          <w:b w:val="1"/>
          <w:bCs w:val="1"/>
          <w:color w:val="auto"/>
        </w:rPr>
        <w:t>__________________</w:t>
      </w:r>
    </w:p>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(203) 983-5275</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fiscal year end: March 31</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reporting period: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586105</wp:posOffset>
            </wp:positionH>
            <wp:positionV relativeFrom="paragraph">
              <wp:posOffset>522605</wp:posOffset>
            </wp:positionV>
            <wp:extent cx="455295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560705</wp:posOffset>
            </wp:positionV>
            <wp:extent cx="455295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795655</wp:posOffset>
            </wp:positionV>
            <wp:extent cx="45529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1440" w:right="1440" w:bottom="1440" w:gutter="0" w:footer="0" w:header="0"/>
        </w:sectPr>
      </w:pPr>
    </w:p>
    <w:bookmarkStart w:id="1" w:name="page2"/>
    <w:bookmarkEnd w:id="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1. Reports to Stockholders.</w:t>
      </w:r>
    </w:p>
    <w:p>
      <w:pPr>
        <w:spacing w:after="0" w:line="117" w:lineRule="exact"/>
        <w:rPr>
          <w:sz w:val="20"/>
          <w:szCs w:val="20"/>
          <w:color w:val="auto"/>
        </w:rPr>
      </w:pPr>
    </w:p>
    <w:p>
      <w:pPr>
        <w:ind w:left="920" w:right="1380" w:firstLine="382"/>
        <w:spacing w:after="0" w:line="257" w:lineRule="auto"/>
        <w:rPr>
          <w:sz w:val="20"/>
          <w:szCs w:val="20"/>
          <w:color w:val="auto"/>
        </w:rPr>
      </w:pPr>
      <w:r>
        <w:rPr>
          <w:rFonts w:ascii="Times New Roman" w:cs="Times New Roman" w:eastAsia="Times New Roman" w:hAnsi="Times New Roman"/>
          <w:sz w:val="16"/>
          <w:szCs w:val="16"/>
          <w:color w:val="auto"/>
        </w:rPr>
        <w:t>The semi-annual report to stockholders for the six months ended September 30, 2024 is filed herewith pursuant to Rule 30e-1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Oxford Lane Capital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Semi-Annual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b w:val="1"/>
          <w:bCs w:val="1"/>
          <w:i w:val="1"/>
          <w:iCs w:val="1"/>
          <w:color w:val="auto"/>
        </w:rPr>
        <w:t>oxfordlanecapital.com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228600</wp:posOffset>
            </wp:positionV>
            <wp:extent cx="45529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 w:name="page3"/>
    <w:bookmarkEnd w:id="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
        </w:trPr>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2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Letter to Stockholders and Management’s Discussion of Fund Performance</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r>
      <w:tr>
        <w:trPr>
          <w:trHeight w:val="203"/>
        </w:trPr>
        <w:tc>
          <w:tcPr>
            <w:tcW w:w="4660" w:type="dxa"/>
            <w:vAlign w:val="bottom"/>
            <w:tcBorders>
              <w:top w:val="single" w:sz="8" w:color="0000EE"/>
            </w:tcBorders>
            <w:gridSpan w:val="1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Important Information</w:t>
              </w:r>
            </w:hyperlink>
          </w:p>
        </w:tc>
        <w:tc>
          <w:tcPr>
            <w:tcW w:w="196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3</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Top Ten Holdings</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r>
      <w:tr>
        <w:trPr>
          <w:trHeight w:val="40"/>
        </w:trPr>
        <w:tc>
          <w:tcPr>
            <w:tcW w:w="82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right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Fees and Expenses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Statement of Assets and Liabilities</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r>
      <w:tr>
        <w:trPr>
          <w:trHeight w:val="203"/>
        </w:trPr>
        <w:tc>
          <w:tcPr>
            <w:tcW w:w="2160" w:type="dxa"/>
            <w:vAlign w:val="bottom"/>
            <w:tcBorders>
              <w:top w:val="single" w:sz="8" w:color="0000EE"/>
            </w:tcBorders>
            <w:gridSpan w:val="12"/>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Schedule of Investments</w:t>
              </w:r>
            </w:hyperlink>
          </w:p>
        </w:tc>
        <w:tc>
          <w:tcPr>
            <w:tcW w:w="4460" w:type="dxa"/>
            <w:vAlign w:val="bottom"/>
            <w:tcBorders>
              <w:top w:val="single" w:sz="8" w:color="CCEEFF"/>
            </w:tcBorders>
            <w:gridSpan w:val="6"/>
          </w:tcPr>
          <w:p>
            <w:pPr>
              <w:spacing w:after="0"/>
              <w:rPr>
                <w:sz w:val="17"/>
                <w:szCs w:val="17"/>
                <w:color w:val="auto"/>
              </w:rPr>
            </w:pPr>
          </w:p>
        </w:tc>
        <w:tc>
          <w:tcPr>
            <w:tcW w:w="5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8</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Statement of Operations</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w:t>
            </w:r>
          </w:p>
        </w:tc>
      </w:tr>
      <w:tr>
        <w:trPr>
          <w:trHeight w:val="40"/>
        </w:trPr>
        <w:tc>
          <w:tcPr>
            <w:tcW w:w="82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right w:val="single" w:sz="8" w:color="CCEEFF"/>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Statements of Changes in Net Assets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1560" w:type="dxa"/>
            <w:vAlign w:val="bottom"/>
            <w:tcBorders>
              <w:bottom w:val="single" w:sz="8" w:color="0000EE"/>
            </w:tcBorders>
            <w:gridSpan w:val="8"/>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Statement of Cash Flows</w:t>
              </w:r>
            </w:hyperlink>
          </w:p>
        </w:tc>
        <w:tc>
          <w:tcPr>
            <w:tcW w:w="5060" w:type="dxa"/>
            <w:vAlign w:val="bottom"/>
            <w:tcBorders>
              <w:bottom w:val="single" w:sz="8" w:color="CCEEFF"/>
            </w:tcBorders>
            <w:gridSpan w:val="10"/>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Notes to Financial Statements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0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Supplemental Information</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40"/>
        </w:trPr>
        <w:tc>
          <w:tcPr>
            <w:tcW w:w="820" w:type="dxa"/>
            <w:vAlign w:val="bottom"/>
            <w:tcBorders>
              <w:top w:val="single" w:sz="8" w:color="0000EE"/>
            </w:tcBorders>
            <w:shd w:val="clear" w:color="auto" w:fill="CCEEFF"/>
          </w:tcPr>
          <w:p>
            <w:pPr>
              <w:spacing w:after="0"/>
              <w:rPr>
                <w:sz w:val="3"/>
                <w:szCs w:val="3"/>
                <w:color w:val="auto"/>
              </w:rPr>
            </w:pPr>
          </w:p>
        </w:tc>
        <w:tc>
          <w:tcPr>
            <w:tcW w:w="1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right w:val="single" w:sz="8" w:color="CCEEFF"/>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300" w:type="dxa"/>
            <w:vAlign w:val="bottom"/>
            <w:tcBorders>
              <w:top w:val="single" w:sz="8" w:color="CCEEFF"/>
            </w:tcBorders>
            <w:shd w:val="clear" w:color="auto" w:fill="CCEEFF"/>
          </w:tcPr>
          <w:p>
            <w:pPr>
              <w:spacing w:after="0"/>
              <w:rPr>
                <w:sz w:val="3"/>
                <w:szCs w:val="3"/>
                <w:color w:val="auto"/>
              </w:rPr>
            </w:pPr>
          </w:p>
        </w:tc>
        <w:tc>
          <w:tcPr>
            <w:tcW w:w="1200" w:type="dxa"/>
            <w:vAlign w:val="bottom"/>
            <w:tcBorders>
              <w:top w:val="single" w:sz="8" w:color="CCEEFF"/>
            </w:tcBorders>
            <w:shd w:val="clear" w:color="auto" w:fill="CCEEFF"/>
          </w:tcPr>
          <w:p>
            <w:pPr>
              <w:spacing w:after="0"/>
              <w:rPr>
                <w:sz w:val="3"/>
                <w:szCs w:val="3"/>
                <w:color w:val="auto"/>
              </w:rPr>
            </w:pPr>
          </w:p>
        </w:tc>
        <w:tc>
          <w:tcPr>
            <w:tcW w:w="1960" w:type="dxa"/>
            <w:vAlign w:val="bottom"/>
            <w:tcBorders>
              <w:top w:val="single" w:sz="8" w:color="CCEEFF"/>
            </w:tcBorders>
            <w:shd w:val="clear" w:color="auto" w:fill="CCEEFF"/>
          </w:tcPr>
          <w:p>
            <w:pPr>
              <w:spacing w:after="0"/>
              <w:rPr>
                <w:sz w:val="3"/>
                <w:szCs w:val="3"/>
                <w:color w:val="auto"/>
              </w:rPr>
            </w:pPr>
          </w:p>
        </w:tc>
        <w:tc>
          <w:tcPr>
            <w:tcW w:w="560" w:type="dxa"/>
            <w:vAlign w:val="bottom"/>
            <w:tcBorders>
              <w:top w:val="single" w:sz="8" w:color="CCEEFF"/>
            </w:tcBorders>
            <w:shd w:val="clear" w:color="auto" w:fill="CCEEFF"/>
          </w:tcPr>
          <w:p>
            <w:pPr>
              <w:spacing w:after="0"/>
              <w:rPr>
                <w:sz w:val="3"/>
                <w:szCs w:val="3"/>
                <w:color w:val="auto"/>
              </w:rPr>
            </w:pP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Price Range of Common Stock</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820" w:type="dxa"/>
            <w:vAlign w:val="bottom"/>
            <w:tcBorders>
              <w:bottom w:val="single" w:sz="8" w:color="0000EE"/>
            </w:tcBorders>
            <w:shd w:val="clear" w:color="auto" w:fill="CCEEFF"/>
          </w:tcPr>
          <w:p>
            <w:pPr>
              <w:spacing w:after="0"/>
              <w:rPr>
                <w:rFonts w:ascii="Times New Roman" w:cs="Times New Roman" w:eastAsia="Times New Roman" w:hAnsi="Times New Roman"/>
                <w:sz w:val="16"/>
                <w:szCs w:val="16"/>
                <w:color w:val="0000EE"/>
                <w:w w:val="95"/>
              </w:rPr>
            </w:pPr>
            <w:hyperlink w:anchor="page1">
              <w:r>
                <w:rPr>
                  <w:rFonts w:ascii="Times New Roman" w:cs="Times New Roman" w:eastAsia="Times New Roman" w:hAnsi="Times New Roman"/>
                  <w:sz w:val="16"/>
                  <w:szCs w:val="16"/>
                  <w:color w:val="0000EE"/>
                  <w:w w:val="95"/>
                </w:rPr>
                <w:t>Distributions</w:t>
              </w:r>
            </w:hyperlink>
          </w:p>
        </w:tc>
        <w:tc>
          <w:tcPr>
            <w:tcW w:w="5800" w:type="dxa"/>
            <w:vAlign w:val="bottom"/>
            <w:tcBorders>
              <w:bottom w:val="single" w:sz="8" w:color="CCEEFF"/>
            </w:tcBorders>
            <w:gridSpan w:val="17"/>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Management</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Board Approval of the Investment Advisory Agreement</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w:t>
            </w:r>
          </w:p>
        </w:tc>
      </w:tr>
      <w:tr>
        <w:trPr>
          <w:trHeight w:val="203"/>
        </w:trPr>
        <w:tc>
          <w:tcPr>
            <w:tcW w:w="3460" w:type="dxa"/>
            <w:vAlign w:val="bottom"/>
            <w:tcBorders>
              <w:top w:val="single" w:sz="8" w:color="0000EE"/>
            </w:tcBorders>
            <w:gridSpan w:val="16"/>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Submission of Matters to a Vote of Stockholders</w:t>
              </w:r>
            </w:hyperlink>
          </w:p>
        </w:tc>
        <w:tc>
          <w:tcPr>
            <w:tcW w:w="316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74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302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6"/>
                <w:szCs w:val="16"/>
                <w:color w:val="0000EE"/>
                <w:w w:val="96"/>
              </w:rPr>
            </w:pPr>
            <w:hyperlink w:anchor="page1">
              <w:r>
                <w:rPr>
                  <w:rFonts w:ascii="Times New Roman" w:cs="Times New Roman" w:eastAsia="Times New Roman" w:hAnsi="Times New Roman"/>
                  <w:sz w:val="16"/>
                  <w:szCs w:val="16"/>
                  <w:color w:val="0000EE"/>
                  <w:w w:val="96"/>
                </w:rPr>
                <w:t>Changes Occurring During the Reporting Period</w:t>
              </w:r>
            </w:hyperlink>
          </w:p>
        </w:tc>
        <w:tc>
          <w:tcPr>
            <w:tcW w:w="3600" w:type="dxa"/>
            <w:vAlign w:val="bottom"/>
            <w:tcBorders>
              <w:bottom w:val="single" w:sz="8" w:color="CCEEFF"/>
            </w:tcBorders>
            <w:gridSpan w:val="4"/>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r>
      <w:tr>
        <w:trPr>
          <w:trHeight w:val="203"/>
        </w:trPr>
        <w:tc>
          <w:tcPr>
            <w:tcW w:w="6620" w:type="dxa"/>
            <w:vAlign w:val="bottom"/>
            <w:gridSpan w:val="18"/>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Principal Risks</w:t>
              </w:r>
            </w:hyperlink>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66</w:t>
            </w:r>
          </w:p>
        </w:tc>
      </w:tr>
      <w:tr>
        <w:trPr>
          <w:trHeight w:val="40"/>
        </w:trPr>
        <w:tc>
          <w:tcPr>
            <w:tcW w:w="8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6620" w:type="dxa"/>
            <w:vAlign w:val="bottom"/>
            <w:gridSpan w:val="18"/>
            <w:shd w:val="clear" w:color="auto" w:fill="CCEEFF"/>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Investment Objective, Opportunities and Strategies</w:t>
              </w:r>
            </w:hyperlink>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r>
      <w:tr>
        <w:trPr>
          <w:trHeight w:val="203"/>
        </w:trPr>
        <w:tc>
          <w:tcPr>
            <w:tcW w:w="3160" w:type="dxa"/>
            <w:vAlign w:val="bottom"/>
            <w:tcBorders>
              <w:top w:val="single" w:sz="8" w:color="0000EE"/>
            </w:tcBorders>
            <w:gridSpan w:val="15"/>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Additional Information</w:t>
              </w:r>
            </w:hyperlink>
          </w:p>
        </w:tc>
        <w:tc>
          <w:tcPr>
            <w:tcW w:w="3460" w:type="dxa"/>
            <w:vAlign w:val="bottom"/>
            <w:tcBorders>
              <w:top w:val="single" w:sz="8" w:color="CCEEFF"/>
            </w:tcBorders>
            <w:gridSpan w:val="3"/>
          </w:tcPr>
          <w:p>
            <w:pPr>
              <w:spacing w:after="0"/>
              <w:rPr>
                <w:sz w:val="17"/>
                <w:szCs w:val="17"/>
                <w:color w:val="auto"/>
              </w:rPr>
            </w:pPr>
          </w:p>
        </w:tc>
        <w:tc>
          <w:tcPr>
            <w:tcW w:w="56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100</w:t>
            </w:r>
          </w:p>
        </w:tc>
      </w:tr>
      <w:tr>
        <w:trPr>
          <w:trHeight w:val="20"/>
        </w:trPr>
        <w:tc>
          <w:tcPr>
            <w:tcW w:w="8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 w:name="page4"/>
    <w:bookmarkEnd w:id="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Letter to Stockholders and Management’s Discussion of Fund Performance</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November 1, 2024</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Our Stockholders:</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Company Overview</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We are pleased to submit to you the report of Oxford Lane Capital Corp. (“we”, “us”, “our”, the “Fund” or</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“Oxford Lane”) for the six months ended September 30, 2024. The net asset value (“NAV”) of our shares at that</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date was $4.76 per common share. The Fund’s common stock is traded on the NASDAQ Global Select Market and</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its trading price may, and often does, differ from its NAV. The Fund’s closing price at September 30, 2024 was</w:t>
      </w:r>
    </w:p>
    <w:p>
      <w:pPr>
        <w:ind w:left="920"/>
        <w:spacing w:after="0"/>
        <w:rPr>
          <w:sz w:val="20"/>
          <w:szCs w:val="20"/>
          <w:color w:val="auto"/>
        </w:rPr>
      </w:pPr>
      <w:r>
        <w:rPr>
          <w:rFonts w:ascii="Times New Roman" w:cs="Times New Roman" w:eastAsia="Times New Roman" w:hAnsi="Times New Roman"/>
          <w:sz w:val="14"/>
          <w:szCs w:val="14"/>
          <w:color w:val="auto"/>
        </w:rPr>
        <w:t>$5.24 compared to $5.08 at March 31, 2024. The total return based on market value for the Fund for the six months</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ended September 30, 2024, as reflected in the Fund’s financial highlights, was 13.42%. This return reflects the</w:t>
      </w:r>
    </w:p>
    <w:p>
      <w:pPr>
        <w:ind w:left="920"/>
        <w:spacing w:after="0"/>
        <w:rPr>
          <w:sz w:val="20"/>
          <w:szCs w:val="20"/>
          <w:color w:val="auto"/>
        </w:rPr>
      </w:pPr>
      <w:r>
        <w:rPr>
          <w:rFonts w:ascii="Times New Roman" w:cs="Times New Roman" w:eastAsia="Times New Roman" w:hAnsi="Times New Roman"/>
          <w:sz w:val="14"/>
          <w:szCs w:val="14"/>
          <w:color w:val="auto"/>
        </w:rPr>
        <w:t>change in market price for the six months ended September 30, 2024, as well as the impact of $0.51 per share in</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distributions declared and paid for the six months ended September 30, 2024. The total return based on NAV for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the six months ended September 30, 2024, as reflected in the Fund’s financial highlights, was 7.55%. Please refer</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to “Note 13. Financial Highlights” for further details. On October 30, 2024, the closing price of the Fund’s</w:t>
      </w:r>
    </w:p>
    <w:p>
      <w:pPr>
        <w:ind w:left="920"/>
        <w:spacing w:after="0"/>
        <w:rPr>
          <w:sz w:val="20"/>
          <w:szCs w:val="20"/>
          <w:color w:val="auto"/>
        </w:rPr>
      </w:pPr>
      <w:r>
        <w:rPr>
          <w:rFonts w:ascii="Times New Roman" w:cs="Times New Roman" w:eastAsia="Times New Roman" w:hAnsi="Times New Roman"/>
          <w:sz w:val="16"/>
          <w:szCs w:val="16"/>
          <w:color w:val="auto"/>
        </w:rPr>
        <w:t>common stock was $5.25.</w:t>
      </w:r>
    </w:p>
    <w:p>
      <w:pPr>
        <w:spacing w:after="0" w:line="97"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We note that there may be significant differences between Oxford Lane’s earnings prepared in accordance with generally accepted accounting principles (“GAAP”) in the United States of America and our taxable earnings, particularly related to collateralized loan obligation (“CLO”) equity investments where our taxable earnings are based upon the distributable share of earnings as determined under tax regulations for each CLO equity investment, while GAAP earnings are based upon an effective yield calculation. Additionally, as our taxable earnings are not generally known until after our distributions are made; those distributions may represent a return of capital on a tax basis. While reportable GAAP income from our CLO equity investments for the six months ended September 30, 2024 was approximately $182.4 million, we received or were entitled to receive approximately $301.7 million in distributions from our CLO equity investments.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Investment Objectives</w:t>
      </w:r>
    </w:p>
    <w:p>
      <w:pPr>
        <w:spacing w:after="0" w:line="117" w:lineRule="exact"/>
        <w:rPr>
          <w:sz w:val="20"/>
          <w:szCs w:val="20"/>
          <w:color w:val="auto"/>
        </w:rPr>
      </w:pPr>
    </w:p>
    <w:p>
      <w:pPr>
        <w:ind w:left="920" w:right="940" w:firstLine="382"/>
        <w:spacing w:after="0" w:line="251" w:lineRule="auto"/>
        <w:rPr>
          <w:sz w:val="20"/>
          <w:szCs w:val="20"/>
          <w:color w:val="auto"/>
        </w:rPr>
      </w:pPr>
      <w:r>
        <w:rPr>
          <w:rFonts w:ascii="Times New Roman" w:cs="Times New Roman" w:eastAsia="Times New Roman" w:hAnsi="Times New Roman"/>
          <w:sz w:val="15"/>
          <w:szCs w:val="15"/>
          <w:color w:val="auto"/>
        </w:rPr>
        <w:t>Our investment objective is to maximize our portfolio’s risk adjusted total return, and we currently seek to achieve our investment objective by investing in structured finance investments, specifically the equity and junior debt tranches of CLO vehicles</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5"/>
          <w:szCs w:val="15"/>
          <w:color w:val="auto"/>
        </w:rPr>
        <w:t>,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Investment Review</w:t>
      </w:r>
    </w:p>
    <w:p>
      <w:pPr>
        <w:spacing w:after="0" w:line="117" w:lineRule="exact"/>
        <w:rPr>
          <w:sz w:val="20"/>
          <w:szCs w:val="20"/>
          <w:color w:val="auto"/>
        </w:rPr>
      </w:pPr>
    </w:p>
    <w:p>
      <w:pPr>
        <w:ind w:left="920" w:right="960" w:firstLine="382"/>
        <w:spacing w:after="0" w:line="241" w:lineRule="auto"/>
        <w:rPr>
          <w:sz w:val="20"/>
          <w:szCs w:val="20"/>
          <w:color w:val="auto"/>
        </w:rPr>
      </w:pPr>
      <w:r>
        <w:rPr>
          <w:rFonts w:ascii="Times New Roman" w:cs="Times New Roman" w:eastAsia="Times New Roman" w:hAnsi="Times New Roman"/>
          <w:sz w:val="16"/>
          <w:szCs w:val="16"/>
          <w:color w:val="auto"/>
        </w:rPr>
        <w:t>We implement our investment objective by investing in equity and junior debt tranches of CLO vehicles, which are collateralized primarily by diverse portfolios of Senior Loans, and which generally have very little or no exposure to real estate loans, or mortgage loans or to pools of consumer-based debt, such as credit card receivables or auto loans.</w:t>
      </w:r>
    </w:p>
    <w:p>
      <w:pPr>
        <w:spacing w:after="0" w:line="97" w:lineRule="exact"/>
        <w:rPr>
          <w:sz w:val="20"/>
          <w:szCs w:val="20"/>
          <w:color w:val="auto"/>
        </w:rPr>
      </w:pPr>
    </w:p>
    <w:p>
      <w:pPr>
        <w:ind w:left="920" w:right="1260" w:firstLine="382"/>
        <w:spacing w:after="0" w:line="245" w:lineRule="auto"/>
        <w:rPr>
          <w:sz w:val="20"/>
          <w:szCs w:val="20"/>
          <w:color w:val="auto"/>
        </w:rPr>
      </w:pPr>
      <w:r>
        <w:rPr>
          <w:rFonts w:ascii="Times New Roman" w:cs="Times New Roman" w:eastAsia="Times New Roman" w:hAnsi="Times New Roman"/>
          <w:sz w:val="16"/>
          <w:szCs w:val="16"/>
          <w:color w:val="auto"/>
        </w:rPr>
        <w:t>Structurally, CLO vehicles are entities formed to originate and/or acquire a portfolio of loans. The loans within a CLO vehicle are generally limited to loans which meet established credit criteria and are subject to concentration limitations in order to limit a CLO vehicle’s exposure to a single credit.</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right="1100" w:hanging="377"/>
        <w:spacing w:after="0" w:line="258" w:lineRule="auto"/>
        <w:tabs>
          <w:tab w:leader="none" w:pos="1276"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CLO vehicle is formed by issuing various classes or “tranches” of debt (with the most senior tranches being rated “AAA” to the most junior tranches typically being rated “BB” or “B”) and equity. The tranches of CLO vehicles rated “”BB” or “B” may be referred to as “junk.” The equity of a CLO vehicle is generally structured to absorb the CLO’s losses before any of the CLO’s debt tranches, and it also has the lowest level of payment priority among the CLO’s tranches; therefore, the equity is typically the riskiest tranche of a CLO vehicle.</w:t>
      </w:r>
    </w:p>
    <w:p>
      <w:pPr>
        <w:spacing w:after="0" w:line="1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 w:name="page5"/>
    <w:bookmarkEnd w:id="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80" w:firstLine="382"/>
        <w:spacing w:after="0" w:line="239" w:lineRule="auto"/>
        <w:rPr>
          <w:sz w:val="20"/>
          <w:szCs w:val="20"/>
          <w:color w:val="auto"/>
        </w:rPr>
      </w:pPr>
      <w:r>
        <w:rPr>
          <w:rFonts w:ascii="Times New Roman" w:cs="Times New Roman" w:eastAsia="Times New Roman" w:hAnsi="Times New Roman"/>
          <w:sz w:val="16"/>
          <w:szCs w:val="16"/>
          <w:color w:val="auto"/>
        </w:rPr>
        <w:t>Our investment strategy also includes investing in warehouse facilities, which are financing structures intended to aggregate Senior Loans that may be used to form the basis of a CLO vehicle. We may also invest, on an opportunistic basis, in other corporate credits of a variety of types. Warehouse facilities typically incur leverage between four and six times prior to a CLO’s pricing. We may also invest, on an opportunistic basis, in other corporate credits of a variety of types.</w:t>
      </w:r>
    </w:p>
    <w:p>
      <w:pPr>
        <w:spacing w:after="0" w:line="100" w:lineRule="exact"/>
        <w:rPr>
          <w:sz w:val="20"/>
          <w:szCs w:val="20"/>
          <w:color w:val="auto"/>
        </w:rPr>
      </w:pPr>
    </w:p>
    <w:p>
      <w:pPr>
        <w:ind w:left="920" w:right="900" w:firstLine="382"/>
        <w:spacing w:after="0" w:line="245" w:lineRule="auto"/>
        <w:rPr>
          <w:sz w:val="20"/>
          <w:szCs w:val="20"/>
          <w:color w:val="auto"/>
        </w:rPr>
      </w:pPr>
      <w:r>
        <w:rPr>
          <w:rFonts w:ascii="Times New Roman" w:cs="Times New Roman" w:eastAsia="Times New Roman" w:hAnsi="Times New Roman"/>
          <w:sz w:val="16"/>
          <w:szCs w:val="16"/>
          <w:color w:val="auto"/>
        </w:rPr>
        <w:t>An investment in us carries with it a significant number of meaningful risks, certain of which are discussed in the notes to our unaudited financial statements. Investors should read “Note 14. Risks and Uncertainties”, as well as our prospectus, carefully.</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2024 Portfolio Review</w:t>
      </w:r>
    </w:p>
    <w:p>
      <w:pPr>
        <w:spacing w:after="0" w:line="117" w:lineRule="exact"/>
        <w:rPr>
          <w:sz w:val="20"/>
          <w:szCs w:val="20"/>
          <w:color w:val="auto"/>
        </w:rPr>
      </w:pPr>
    </w:p>
    <w:p>
      <w:pPr>
        <w:ind w:left="920" w:right="940" w:firstLine="382"/>
        <w:spacing w:after="0" w:line="257" w:lineRule="auto"/>
        <w:rPr>
          <w:sz w:val="20"/>
          <w:szCs w:val="20"/>
          <w:color w:val="auto"/>
        </w:rPr>
      </w:pPr>
      <w:r>
        <w:rPr>
          <w:rFonts w:ascii="Times New Roman" w:cs="Times New Roman" w:eastAsia="Times New Roman" w:hAnsi="Times New Roman"/>
          <w:sz w:val="16"/>
          <w:szCs w:val="16"/>
          <w:color w:val="auto"/>
        </w:rPr>
        <w:t>As of September 30, 2024, we held equity investments in 221 different CLO structures, and debt investments in 19 different CLO structures.</w:t>
      </w:r>
    </w:p>
    <w:p>
      <w:pPr>
        <w:spacing w:after="0" w:line="84" w:lineRule="exact"/>
        <w:rPr>
          <w:sz w:val="20"/>
          <w:szCs w:val="20"/>
          <w:color w:val="auto"/>
        </w:rPr>
      </w:pPr>
    </w:p>
    <w:p>
      <w:pPr>
        <w:ind w:left="920" w:right="960" w:firstLine="382"/>
        <w:spacing w:after="0" w:line="257" w:lineRule="auto"/>
        <w:rPr>
          <w:sz w:val="20"/>
          <w:szCs w:val="20"/>
          <w:color w:val="auto"/>
        </w:rPr>
      </w:pPr>
      <w:r>
        <w:rPr>
          <w:rFonts w:ascii="Times New Roman" w:cs="Times New Roman" w:eastAsia="Times New Roman" w:hAnsi="Times New Roman"/>
          <w:sz w:val="16"/>
          <w:szCs w:val="16"/>
          <w:color w:val="auto"/>
        </w:rPr>
        <w:t>For the six months ended September 30, 2024, net investment income, calculated in accordance with GAAP, was approximately $123.1 million, or $0.43 per weighted average common share.</w:t>
      </w:r>
    </w:p>
    <w:p>
      <w:pPr>
        <w:spacing w:after="0" w:line="84" w:lineRule="exact"/>
        <w:rPr>
          <w:sz w:val="20"/>
          <w:szCs w:val="20"/>
          <w:color w:val="auto"/>
        </w:rPr>
      </w:pPr>
    </w:p>
    <w:p>
      <w:pPr>
        <w:ind w:left="920" w:right="960" w:firstLine="382"/>
        <w:spacing w:after="0" w:line="245" w:lineRule="auto"/>
        <w:rPr>
          <w:sz w:val="20"/>
          <w:szCs w:val="20"/>
          <w:color w:val="auto"/>
        </w:rPr>
      </w:pPr>
      <w:r>
        <w:rPr>
          <w:rFonts w:ascii="Times New Roman" w:cs="Times New Roman" w:eastAsia="Times New Roman" w:hAnsi="Times New Roman"/>
          <w:sz w:val="16"/>
          <w:szCs w:val="16"/>
          <w:color w:val="auto"/>
        </w:rPr>
        <w:t>For the six months ended September 30, 2024, we recorded a net increase in net assets resulting from operations of approximately $65.6 million, or $0.23 per weighted average common share (inclusive of realized and unrealized gains and losses).</w:t>
      </w:r>
    </w:p>
    <w:p>
      <w:pPr>
        <w:spacing w:after="0" w:line="94" w:lineRule="exact"/>
        <w:rPr>
          <w:sz w:val="20"/>
          <w:szCs w:val="20"/>
          <w:color w:val="auto"/>
        </w:rPr>
      </w:pPr>
    </w:p>
    <w:p>
      <w:pPr>
        <w:ind w:left="920" w:right="1220" w:firstLine="382"/>
        <w:spacing w:after="0" w:line="328" w:lineRule="auto"/>
        <w:rPr>
          <w:sz w:val="20"/>
          <w:szCs w:val="20"/>
          <w:color w:val="auto"/>
        </w:rPr>
      </w:pPr>
      <w:r>
        <w:rPr>
          <w:rFonts w:ascii="Times New Roman" w:cs="Times New Roman" w:eastAsia="Times New Roman" w:hAnsi="Times New Roman"/>
          <w:sz w:val="14"/>
          <w:szCs w:val="14"/>
          <w:color w:val="auto"/>
        </w:rPr>
        <w:t>For the six months ended September 30, 2024, we made additional investments of approximately $756.9 million, and received approximately $256.5 million from sales and repayments of our CLO investments.</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Market Overview and Opportunity</w:t>
      </w:r>
    </w:p>
    <w:p>
      <w:pPr>
        <w:spacing w:after="0" w:line="117" w:lineRule="exact"/>
        <w:rPr>
          <w:sz w:val="20"/>
          <w:szCs w:val="20"/>
          <w:color w:val="auto"/>
        </w:rPr>
      </w:pPr>
    </w:p>
    <w:p>
      <w:pPr>
        <w:ind w:left="920" w:right="1200" w:firstLine="382"/>
        <w:spacing w:after="0" w:line="276" w:lineRule="auto"/>
        <w:rPr>
          <w:sz w:val="20"/>
          <w:szCs w:val="20"/>
          <w:color w:val="auto"/>
        </w:rPr>
      </w:pPr>
      <w:r>
        <w:rPr>
          <w:rFonts w:ascii="Times New Roman" w:cs="Times New Roman" w:eastAsia="Times New Roman" w:hAnsi="Times New Roman"/>
          <w:sz w:val="14"/>
          <w:szCs w:val="14"/>
          <w:color w:val="auto"/>
        </w:rPr>
        <w:t>The broader corporate loan and CLO equity market have demonstrated strong performance during the calendar year 2024, through September 30, 2024. The Morningstar LSTA US Leveraged Loan Index began the year at a price of 96.23% as of December 31, 2023, and reached a high of 96.99% in mid-May before settling at</w:t>
      </w:r>
    </w:p>
    <w:p>
      <w:pPr>
        <w:ind w:left="920"/>
        <w:spacing w:after="0"/>
        <w:rPr>
          <w:sz w:val="20"/>
          <w:szCs w:val="20"/>
          <w:color w:val="auto"/>
        </w:rPr>
      </w:pPr>
      <w:r>
        <w:rPr>
          <w:rFonts w:ascii="Times New Roman" w:cs="Times New Roman" w:eastAsia="Times New Roman" w:hAnsi="Times New Roman"/>
          <w:sz w:val="14"/>
          <w:szCs w:val="14"/>
          <w:color w:val="auto"/>
        </w:rPr>
        <w:t>96.59% as of June 30, 2024. From June 30, 2024, the Morningstar LSTA US Leveraged Loan Index increased to</w:t>
      </w:r>
    </w:p>
    <w:p>
      <w:pPr>
        <w:spacing w:after="0" w:line="18" w:lineRule="exact"/>
        <w:rPr>
          <w:sz w:val="20"/>
          <w:szCs w:val="20"/>
          <w:color w:val="auto"/>
        </w:rPr>
      </w:pPr>
    </w:p>
    <w:p>
      <w:pPr>
        <w:ind w:left="920" w:right="980"/>
        <w:spacing w:after="0" w:line="272" w:lineRule="auto"/>
        <w:rPr>
          <w:sz w:val="20"/>
          <w:szCs w:val="20"/>
          <w:color w:val="auto"/>
        </w:rPr>
      </w:pPr>
      <w:r>
        <w:rPr>
          <w:rFonts w:ascii="Times New Roman" w:cs="Times New Roman" w:eastAsia="Times New Roman" w:hAnsi="Times New Roman"/>
          <w:sz w:val="14"/>
          <w:szCs w:val="14"/>
          <w:color w:val="auto"/>
        </w:rPr>
        <w:t>96.71% as of September 30, 2024. The increase in U.S. loan prices led to an approximate 3-point increase in median U.S. CLO equity net asset values year to date. The default rate began the year at 1.53% and steadily declined to 0.78% in August 2024 before reaching 0.80% by principal amount in September 2024. The August default rate marked a 20-month low, however, out-of-court restructurings, exchanges, and sub-par buybacks which are not captured in this cited default rate, remain elevated. CLO gross new issuance through September 30, 2024 has been robust, totaling approximately $141.9 billion, compared to $81.9 billion by the same point in 2023. With this backdrop, we continue to see compelling opportunities and remain active in both the primary and secondary markets, while remaining cautious of potential volatility deriving from (i) uncertainty in the rate cutting trajectory, (ii) the upcoming U.S. Presidential election, and (iii) escalating geopolitical tensions.</w:t>
      </w:r>
    </w:p>
    <w:p>
      <w:pPr>
        <w:spacing w:after="0" w:line="25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Jonathan H. Cohen</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95" w:lineRule="exact"/>
        <w:rPr>
          <w:sz w:val="20"/>
          <w:szCs w:val="20"/>
          <w:color w:val="auto"/>
        </w:rPr>
      </w:pPr>
    </w:p>
    <w:p>
      <w:pPr>
        <w:ind w:left="920" w:right="960" w:firstLine="382"/>
        <w:spacing w:after="0" w:line="237" w:lineRule="auto"/>
        <w:rPr>
          <w:sz w:val="20"/>
          <w:szCs w:val="20"/>
          <w:color w:val="auto"/>
        </w:rPr>
      </w:pPr>
      <w:r>
        <w:rPr>
          <w:rFonts w:ascii="Times New Roman" w:cs="Times New Roman" w:eastAsia="Times New Roman" w:hAnsi="Times New Roman"/>
          <w:sz w:val="16"/>
          <w:szCs w:val="16"/>
          <w:i w:val="1"/>
          <w:iCs w:val="1"/>
          <w:color w:val="auto"/>
        </w:rPr>
        <w:t>This letter is intended to assist stockholders in understanding the Fund’s performance during the six months ended September 30, 2024. The views and opinions in this letter were current as of November 1, 2024. Statements other than those of historical facts included herein may constitute forward -looking statements and are not guarantees of future performance or results and involve a number of risks and uncertainties. Actual results may differ materially from those in the forward-looking statements as a result of a number of factors. The Fund undertakes no duty to update any forward-looking statement made herein. Information contained on our website is not incorporated by reference into this stockholder letter and you should not consider information contained on our website to be part of this stockholder letter or any other report we file with the Securities and Exchange Commission.</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 w:name="page6"/>
    <w:bookmarkEnd w:id="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Important Information</w:t>
      </w:r>
    </w:p>
    <w:p>
      <w:pPr>
        <w:spacing w:after="0" w:line="117" w:lineRule="exact"/>
        <w:rPr>
          <w:sz w:val="20"/>
          <w:szCs w:val="20"/>
          <w:color w:val="auto"/>
        </w:rPr>
      </w:pPr>
    </w:p>
    <w:p>
      <w:pPr>
        <w:ind w:left="920" w:right="1040" w:firstLine="382"/>
        <w:spacing w:after="0" w:line="238" w:lineRule="auto"/>
        <w:rPr>
          <w:sz w:val="20"/>
          <w:szCs w:val="20"/>
          <w:color w:val="auto"/>
        </w:rPr>
      </w:pPr>
      <w:r>
        <w:rPr>
          <w:rFonts w:ascii="Times New Roman" w:cs="Times New Roman" w:eastAsia="Times New Roman" w:hAnsi="Times New Roman"/>
          <w:sz w:val="16"/>
          <w:szCs w:val="16"/>
          <w:color w:val="auto"/>
        </w:rPr>
        <w:t>This report is transmitted to the stockholders of the Fund and is furnished pursuant to certain regulatory requirements. This report and the information and views herein do not constitute investment advice, or a recommendation or an offer to enter into any transaction with the Fund or any of its affiliates. This report is provided for informational purposes only, does not constitute an offer to sell securities of the Fund and is not a prospectus. From time to time, the Fund may have a registration statement relating to one or more of its securities on file with the U.S. Securities and Exchange Commission (“SEC”).</w:t>
      </w:r>
    </w:p>
    <w:p>
      <w:pPr>
        <w:spacing w:after="0" w:line="100" w:lineRule="exact"/>
        <w:rPr>
          <w:sz w:val="20"/>
          <w:szCs w:val="20"/>
          <w:color w:val="auto"/>
        </w:rPr>
      </w:pPr>
    </w:p>
    <w:p>
      <w:pPr>
        <w:ind w:left="920" w:right="920" w:firstLine="382"/>
        <w:spacing w:after="0" w:line="236" w:lineRule="auto"/>
        <w:rPr>
          <w:sz w:val="20"/>
          <w:szCs w:val="20"/>
          <w:color w:val="auto"/>
        </w:rPr>
      </w:pPr>
      <w:r>
        <w:rPr>
          <w:rFonts w:ascii="Times New Roman" w:cs="Times New Roman" w:eastAsia="Times New Roman" w:hAnsi="Times New Roman"/>
          <w:sz w:val="16"/>
          <w:szCs w:val="16"/>
          <w:color w:val="auto"/>
        </w:rPr>
        <w:t>An investment in the Fund is not appropriate for all investors. The investment program of the Fund is speculative, entails substantial risk and includes investment techniques not employed by traditional mutual funds. An investment in the Fund is not intended to be a complete investment program. Shares of closed-end investment companies, such as the Fund, may frequently trade at a discount from their NAV, which may increase investors’ risk of loss. Past performance is not indicative of, or a guarantee of, future performance. The performance and certain other portfolio information quoted herein represents information as of September 30, 2024. Nothing herein should be relied upon as a representation as to the future performance or portfolio holdings of the Fund. Investment return and principal value of an investment will fluctuate, and shares, when sold, may be worth more or less than their original cost. The Fund’s performance is subject to change since the end of the period noted in this report and may be lower or higher than the performance data shown herein.</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About Oxford Lane Capital Corp.</w:t>
      </w:r>
    </w:p>
    <w:p>
      <w:pPr>
        <w:spacing w:after="0" w:line="117"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Oxford Lane Capital Corp. is a publicly-traded registered closed-end management investment company. It currently seeks to achieve its investment objective of maximizing risk-adjusted total return by investing in debt and equity tranches of CLO vehicles. The Fund’s investment strategy also includes warehouse facilities, which are financing structures intended to aggregate loans that may be used to form the basis of a CLO vehicle.</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17" w:lineRule="exact"/>
        <w:rPr>
          <w:sz w:val="20"/>
          <w:szCs w:val="20"/>
          <w:color w:val="auto"/>
        </w:rPr>
      </w:pPr>
    </w:p>
    <w:p>
      <w:pPr>
        <w:ind w:left="920" w:right="920" w:firstLine="382"/>
        <w:spacing w:after="0" w:line="274" w:lineRule="auto"/>
        <w:rPr>
          <w:sz w:val="20"/>
          <w:szCs w:val="20"/>
          <w:color w:val="auto"/>
        </w:rPr>
      </w:pPr>
      <w:r>
        <w:rPr>
          <w:rFonts w:ascii="Times New Roman" w:cs="Times New Roman" w:eastAsia="Times New Roman" w:hAnsi="Times New Roman"/>
          <w:sz w:val="14"/>
          <w:szCs w:val="14"/>
          <w:color w:val="auto"/>
        </w:rPr>
        <w:t>This report may contain “forward-looking statements” within the meaning of the Private Securities Litigation Reform Act of 1995. Statements other than statements of historical facts included in this report may constitute forward- looking statements (including statements containing words such as “anticipates,” “expects,” “intends,” “plans,” “will,” “may,” “continue,” “believes,” “seeks,” “estimates,” “would,” “could,” “should,” “targets,” “projects,” and variations of these words and similar expressions are intended to identify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spacing w:after="0" w:line="1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 w:name="page7"/>
    <w:bookmarkEnd w:id="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TOP TEN HOLDINGS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Assets</w:t>
            </w:r>
          </w:p>
        </w:tc>
      </w:tr>
      <w:tr>
        <w:trPr>
          <w:trHeight w:val="30"/>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Regatta XXIX Funding Ltd. – CLO subordinated notes</w:t>
            </w:r>
          </w:p>
        </w:tc>
        <w:tc>
          <w:tcPr>
            <w:tcW w:w="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September 6, 2037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43,688,376</w:t>
            </w:r>
          </w:p>
        </w:tc>
        <w:tc>
          <w:tcPr>
            <w:tcW w:w="920" w:type="dxa"/>
            <w:vAlign w:val="bottom"/>
            <w:tcBorders>
              <w:bottom w:val="single" w:sz="8" w:color="CCEEFF"/>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2.72%</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Croton Park CLO, Ltd. – CLO subordinated notes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15, 2036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42,082,520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2.62%</w:t>
            </w:r>
          </w:p>
        </w:tc>
      </w:tr>
      <w:tr>
        <w:trPr>
          <w:trHeight w:val="26"/>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Voya CLO 2024-4, Ltd. – CLO subordinated notes</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July 20, 2037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38,448,000</w:t>
            </w:r>
          </w:p>
        </w:tc>
        <w:tc>
          <w:tcPr>
            <w:tcW w:w="920" w:type="dxa"/>
            <w:vAlign w:val="bottom"/>
            <w:tcBorders>
              <w:bottom w:val="single" w:sz="8" w:color="CCEEFF"/>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2.39%</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Elmwood CLO 27 Ltd. – CLO subordinated notes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18, 2037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34,641,750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2.16%</w:t>
            </w:r>
          </w:p>
        </w:tc>
      </w:tr>
      <w:tr>
        <w:trPr>
          <w:trHeight w:val="26"/>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Regatta XXII Funding Ltd. – CLO subordinated notes</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July 20, 2035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32,611,320</w:t>
            </w:r>
          </w:p>
        </w:tc>
        <w:tc>
          <w:tcPr>
            <w:tcW w:w="920" w:type="dxa"/>
            <w:vAlign w:val="bottom"/>
            <w:tcBorders>
              <w:bottom w:val="single" w:sz="8" w:color="CCEEFF"/>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2.03%</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Ares Loan Funding VII, Ltd. – CLO subordinated notes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22, 2037</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30,820,000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1.92%</w:t>
            </w:r>
          </w:p>
        </w:tc>
      </w:tr>
      <w:tr>
        <w:trPr>
          <w:trHeight w:val="26"/>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Octagon 60, Ltd. – CLO subordinated notes</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20, 2035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29,315,000</w:t>
            </w:r>
          </w:p>
        </w:tc>
        <w:tc>
          <w:tcPr>
            <w:tcW w:w="920" w:type="dxa"/>
            <w:vAlign w:val="bottom"/>
            <w:tcBorders>
              <w:bottom w:val="single" w:sz="8" w:color="CCEEFF"/>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1.83%</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Ares XLIV CLO Ltd. – CLO subordinated notes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April 15, 2034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28,834,520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1.80%</w:t>
            </w:r>
          </w:p>
        </w:tc>
      </w:tr>
      <w:tr>
        <w:trPr>
          <w:trHeight w:val="26"/>
        </w:trPr>
        <w:tc>
          <w:tcPr>
            <w:tcW w:w="4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Onex CLO Subsidiary 2023-1, Ltd. – CLO subordinated notes</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April 23, 2037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28,544,080</w:t>
            </w:r>
          </w:p>
        </w:tc>
        <w:tc>
          <w:tcPr>
            <w:tcW w:w="920" w:type="dxa"/>
            <w:vAlign w:val="bottom"/>
            <w:tcBorders>
              <w:bottom w:val="single" w:sz="8" w:color="CCEEFF"/>
            </w:tcBorders>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1.78%</w:t>
            </w: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Milford Park CLO, Ltd. – CLO subordinated notes</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20, 2035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27,356,800</w:t>
            </w:r>
          </w:p>
        </w:tc>
        <w:tc>
          <w:tcPr>
            <w:tcW w:w="92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6"/>
              </w:rPr>
              <w:t>1.70%</w:t>
            </w:r>
          </w:p>
        </w:tc>
      </w:tr>
    </w:tbl>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Portfolio Investment Breakdown as of September 30,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(Excludes cash equivalents and other assets)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69850</wp:posOffset>
            </wp:positionV>
            <wp:extent cx="4446905" cy="2853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46905"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 w:name="page8"/>
    <w:bookmarkEnd w:id="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FEES AND EXPENSES</w:t>
      </w:r>
    </w:p>
    <w:p>
      <w:pPr>
        <w:spacing w:after="0" w:line="117" w:lineRule="exact"/>
        <w:rPr>
          <w:sz w:val="20"/>
          <w:szCs w:val="20"/>
          <w:color w:val="auto"/>
        </w:rPr>
      </w:pPr>
    </w:p>
    <w:p>
      <w:pPr>
        <w:ind w:left="920" w:right="1100" w:firstLine="382"/>
        <w:spacing w:after="0" w:line="239" w:lineRule="auto"/>
        <w:rPr>
          <w:sz w:val="20"/>
          <w:szCs w:val="20"/>
          <w:color w:val="auto"/>
        </w:rPr>
      </w:pPr>
      <w:r>
        <w:rPr>
          <w:rFonts w:ascii="Times New Roman" w:cs="Times New Roman" w:eastAsia="Times New Roman" w:hAnsi="Times New Roman"/>
          <w:sz w:val="16"/>
          <w:szCs w:val="16"/>
          <w:color w:val="auto"/>
        </w:rPr>
        <w:t>The following table is intended to assist you in understanding the costs and expenses that you will bear directly or indirectly. We caution you that some of the percentages indicated in the table below are estimates and may vary. Except where the context suggests otherwise, whenever this report contains a reference to fees or expenses paid by “us” or “Oxford Lane Capital,” or that “we” will pay fees or expenses, you will indirectly bear such fees or expenses as an investor in Oxford Lane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94615</wp:posOffset>
            </wp:positionV>
            <wp:extent cx="4552950" cy="167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Stockholder transaction expenses:</w:t>
      </w:r>
    </w:p>
    <w:p>
      <w:pPr>
        <w:spacing w:after="0" w:line="63" w:lineRule="exact"/>
        <w:rPr>
          <w:sz w:val="20"/>
          <w:szCs w:val="20"/>
          <w:color w:val="auto"/>
        </w:rPr>
      </w:pPr>
    </w:p>
    <w:tbl>
      <w:tblPr>
        <w:tblLayout w:type="fixed"/>
        <w:tblInd w:w="920" w:type="dxa"/>
        <w:tblCellMar>
          <w:top w:w="0" w:type="dxa"/>
          <w:left w:w="0" w:type="dxa"/>
          <w:bottom w:w="0" w:type="dxa"/>
          <w:right w:w="0" w:type="dxa"/>
        </w:tblCellMar>
      </w:tblPr>
      <w:tr>
        <w:trPr>
          <w:trHeight w:val="115"/>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Sales load (as a percentage of offering price)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31"/>
        </w:trPr>
        <w:tc>
          <w:tcPr>
            <w:tcW w:w="5820" w:type="dxa"/>
            <w:vAlign w:val="bottom"/>
            <w:vMerge w:val="continue"/>
          </w:tcPr>
          <w:p>
            <w:pPr>
              <w:spacing w:after="0"/>
              <w:rPr>
                <w:sz w:val="11"/>
                <w:szCs w:val="11"/>
                <w:color w:val="auto"/>
              </w:rPr>
            </w:pPr>
          </w:p>
        </w:tc>
        <w:tc>
          <w:tcPr>
            <w:tcW w:w="1360" w:type="dxa"/>
            <w:vAlign w:val="bottom"/>
            <w:gridSpan w:val="2"/>
          </w:tcPr>
          <w:p>
            <w:pPr>
              <w:jc w:val="right"/>
              <w:ind w:right="240"/>
              <w:spacing w:after="0" w:line="132" w:lineRule="exact"/>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5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expenses borne by us (as a percentage of offering price)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131"/>
        </w:trPr>
        <w:tc>
          <w:tcPr>
            <w:tcW w:w="5820" w:type="dxa"/>
            <w:vAlign w:val="bottom"/>
            <w:vMerge w:val="continue"/>
            <w:shd w:val="clear" w:color="auto" w:fill="CCEEFF"/>
          </w:tcPr>
          <w:p>
            <w:pPr>
              <w:spacing w:after="0"/>
              <w:rPr>
                <w:sz w:val="11"/>
                <w:szCs w:val="11"/>
                <w:color w:val="auto"/>
              </w:rPr>
            </w:pPr>
          </w:p>
        </w:tc>
        <w:tc>
          <w:tcPr>
            <w:tcW w:w="1360" w:type="dxa"/>
            <w:vAlign w:val="bottom"/>
            <w:gridSpan w:val="2"/>
            <w:shd w:val="clear" w:color="auto" w:fill="CCEEFF"/>
          </w:tcPr>
          <w:p>
            <w:pPr>
              <w:jc w:val="right"/>
              <w:ind w:right="240"/>
              <w:spacing w:after="0" w:line="132" w:lineRule="exact"/>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1"/>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Distribution reinvestment plan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31"/>
        </w:trPr>
        <w:tc>
          <w:tcPr>
            <w:tcW w:w="5820" w:type="dxa"/>
            <w:vAlign w:val="bottom"/>
            <w:vMerge w:val="continue"/>
          </w:tcPr>
          <w:p>
            <w:pPr>
              <w:spacing w:after="0"/>
              <w:rPr>
                <w:sz w:val="11"/>
                <w:szCs w:val="11"/>
                <w:color w:val="auto"/>
              </w:rPr>
            </w:pPr>
          </w:p>
        </w:tc>
        <w:tc>
          <w:tcPr>
            <w:tcW w:w="1360" w:type="dxa"/>
            <w:vAlign w:val="bottom"/>
            <w:gridSpan w:val="2"/>
          </w:tcPr>
          <w:p>
            <w:pPr>
              <w:jc w:val="right"/>
              <w:ind w:right="240"/>
              <w:spacing w:after="0" w:line="132" w:lineRule="exact"/>
              <w:rPr>
                <w:sz w:val="20"/>
                <w:szCs w:val="20"/>
                <w:color w:val="auto"/>
              </w:rPr>
            </w:pPr>
            <w:r>
              <w:rPr>
                <w:rFonts w:ascii="Times New Roman" w:cs="Times New Roman" w:eastAsia="Times New Roman" w:hAnsi="Times New Roman"/>
                <w:sz w:val="14"/>
                <w:szCs w:val="14"/>
                <w:color w:val="auto"/>
              </w:rPr>
              <w:t>—</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stockholder transaction expenses (as a percentage of offering price)</w:t>
            </w: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vMerge w:val="continue"/>
            <w:shd w:val="clear" w:color="auto" w:fill="CCEEFF"/>
          </w:tcPr>
          <w:p>
            <w:pPr>
              <w:spacing w:after="0"/>
              <w:rPr>
                <w:sz w:val="20"/>
                <w:szCs w:val="20"/>
                <w:color w:val="auto"/>
              </w:rPr>
            </w:pPr>
          </w:p>
        </w:tc>
        <w:tc>
          <w:tcPr>
            <w:tcW w:w="13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Annual expenses (estimated as a percentage of net assets attributable to common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58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Base management fee</w:t>
            </w:r>
          </w:p>
        </w:tc>
        <w:tc>
          <w:tcPr>
            <w:tcW w:w="1360" w:type="dxa"/>
            <w:vAlign w:val="bottom"/>
            <w:gridSpan w:val="2"/>
            <w:shd w:val="clear" w:color="auto" w:fill="CCEEFF"/>
          </w:tcPr>
          <w:p>
            <w:pPr>
              <w:jc w:val="right"/>
              <w:spacing w:after="0" w:line="262" w:lineRule="exact"/>
              <w:rPr>
                <w:sz w:val="20"/>
                <w:szCs w:val="20"/>
                <w:color w:val="auto"/>
              </w:rPr>
            </w:pPr>
            <w:r>
              <w:rPr>
                <w:rFonts w:ascii="Times New Roman" w:cs="Times New Roman" w:eastAsia="Times New Roman" w:hAnsi="Times New Roman"/>
                <w:sz w:val="30"/>
                <w:szCs w:val="30"/>
                <w:color w:val="auto"/>
                <w:vertAlign w:val="subscript"/>
              </w:rPr>
              <w:t>2.69%</w:t>
            </w:r>
            <w:r>
              <w:rPr>
                <w:rFonts w:ascii="Times New Roman" w:cs="Times New Roman" w:eastAsia="Times New Roman" w:hAnsi="Times New Roman"/>
                <w:sz w:val="9"/>
                <w:szCs w:val="9"/>
                <w:color w:val="auto"/>
              </w:rPr>
              <w:t>(4)(5)</w:t>
            </w:r>
          </w:p>
        </w:tc>
        <w:tc>
          <w:tcPr>
            <w:tcW w:w="0" w:type="dxa"/>
            <w:vAlign w:val="bottom"/>
          </w:tcPr>
          <w:p>
            <w:pPr>
              <w:spacing w:after="0"/>
              <w:rPr>
                <w:sz w:val="1"/>
                <w:szCs w:val="1"/>
                <w:color w:val="auto"/>
              </w:rPr>
            </w:pPr>
          </w:p>
        </w:tc>
      </w:tr>
      <w:tr>
        <w:trPr>
          <w:trHeight w:val="166"/>
        </w:trPr>
        <w:tc>
          <w:tcPr>
            <w:tcW w:w="58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w w:val="99"/>
              </w:rPr>
              <w:t>Incentive fees payable under our investment advisory agreement (20% of pre-incentive net</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income)</w:t>
            </w:r>
          </w:p>
        </w:tc>
        <w:tc>
          <w:tcPr>
            <w:tcW w:w="1360" w:type="dxa"/>
            <w:vAlign w:val="bottom"/>
            <w:gridSpan w:val="2"/>
          </w:tcPr>
          <w:p>
            <w:pPr>
              <w:jc w:val="right"/>
              <w:spacing w:after="0" w:line="228" w:lineRule="exact"/>
              <w:rPr>
                <w:sz w:val="20"/>
                <w:szCs w:val="20"/>
                <w:color w:val="auto"/>
              </w:rPr>
            </w:pPr>
            <w:r>
              <w:rPr>
                <w:rFonts w:ascii="Times New Roman" w:cs="Times New Roman" w:eastAsia="Times New Roman" w:hAnsi="Times New Roman"/>
                <w:sz w:val="26"/>
                <w:szCs w:val="26"/>
                <w:color w:val="auto"/>
                <w:vertAlign w:val="subscript"/>
              </w:rPr>
              <w:t>3.68%</w:t>
            </w:r>
            <w:r>
              <w:rPr>
                <w:rFonts w:ascii="Times New Roman" w:cs="Times New Roman" w:eastAsia="Times New Roman" w:hAnsi="Times New Roman"/>
                <w:sz w:val="9"/>
                <w:szCs w:val="9"/>
                <w:color w:val="auto"/>
              </w:rPr>
              <w:t>(4)(6)</w:t>
            </w:r>
          </w:p>
        </w:tc>
        <w:tc>
          <w:tcPr>
            <w:tcW w:w="0" w:type="dxa"/>
            <w:vAlign w:val="bottom"/>
          </w:tcPr>
          <w:p>
            <w:pPr>
              <w:spacing w:after="0"/>
              <w:rPr>
                <w:sz w:val="1"/>
                <w:szCs w:val="1"/>
                <w:color w:val="auto"/>
              </w:rPr>
            </w:pPr>
          </w:p>
        </w:tc>
      </w:tr>
      <w:tr>
        <w:trPr>
          <w:trHeight w:val="26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payments on borrowed funds</w:t>
            </w:r>
          </w:p>
        </w:tc>
        <w:tc>
          <w:tcPr>
            <w:tcW w:w="1360" w:type="dxa"/>
            <w:vAlign w:val="bottom"/>
            <w:gridSpan w:val="2"/>
            <w:shd w:val="clear" w:color="auto" w:fill="CCEEFF"/>
          </w:tcPr>
          <w:p>
            <w:pPr>
              <w:jc w:val="right"/>
              <w:spacing w:after="0" w:line="262" w:lineRule="exact"/>
              <w:rPr>
                <w:sz w:val="20"/>
                <w:szCs w:val="20"/>
                <w:color w:val="auto"/>
              </w:rPr>
            </w:pPr>
            <w:r>
              <w:rPr>
                <w:rFonts w:ascii="Times New Roman" w:cs="Times New Roman" w:eastAsia="Times New Roman" w:hAnsi="Times New Roman"/>
                <w:sz w:val="30"/>
                <w:szCs w:val="30"/>
                <w:color w:val="auto"/>
                <w:vertAlign w:val="subscript"/>
              </w:rPr>
              <w:t>1.99%</w:t>
            </w:r>
            <w:r>
              <w:rPr>
                <w:rFonts w:ascii="Times New Roman" w:cs="Times New Roman" w:eastAsia="Times New Roman" w:hAnsi="Times New Roman"/>
                <w:sz w:val="9"/>
                <w:szCs w:val="9"/>
                <w:color w:val="auto"/>
              </w:rPr>
              <w:t>(7)(8)</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0.53%</w:t>
            </w:r>
            <w:r>
              <w:rPr>
                <w:rFonts w:ascii="Times New Roman" w:cs="Times New Roman" w:eastAsia="Times New Roman" w:hAnsi="Times New Roman"/>
                <w:sz w:val="19"/>
                <w:szCs w:val="19"/>
                <w:color w:val="auto"/>
                <w:vertAlign w:val="superscript"/>
              </w:rPr>
              <w:t>(9)</w:t>
            </w:r>
          </w:p>
        </w:tc>
        <w:tc>
          <w:tcPr>
            <w:tcW w:w="0" w:type="dxa"/>
            <w:vAlign w:val="bottom"/>
          </w:tcPr>
          <w:p>
            <w:pPr>
              <w:spacing w:after="0"/>
              <w:rPr>
                <w:sz w:val="1"/>
                <w:szCs w:val="1"/>
                <w:color w:val="auto"/>
              </w:rPr>
            </w:pPr>
          </w:p>
        </w:tc>
      </w:tr>
      <w:tr>
        <w:trPr>
          <w:trHeight w:val="20"/>
        </w:trPr>
        <w:tc>
          <w:tcPr>
            <w:tcW w:w="58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annual expenses</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8.89%</w:t>
            </w:r>
            <w:r>
              <w:rPr>
                <w:rFonts w:ascii="Times New Roman" w:cs="Times New Roman" w:eastAsia="Times New Roman" w:hAnsi="Times New Roman"/>
                <w:sz w:val="19"/>
                <w:szCs w:val="19"/>
                <w:color w:val="auto"/>
                <w:vertAlign w:val="superscript"/>
              </w:rPr>
              <w:t>(10)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Example</w:t>
      </w:r>
    </w:p>
    <w:p>
      <w:pPr>
        <w:spacing w:after="0" w:line="117" w:lineRule="exact"/>
        <w:rPr>
          <w:sz w:val="20"/>
          <w:szCs w:val="20"/>
          <w:color w:val="auto"/>
        </w:rPr>
      </w:pPr>
    </w:p>
    <w:p>
      <w:pPr>
        <w:ind w:left="920" w:right="960" w:firstLine="382"/>
        <w:spacing w:after="0" w:line="241" w:lineRule="auto"/>
        <w:rPr>
          <w:sz w:val="20"/>
          <w:szCs w:val="20"/>
          <w:color w:val="auto"/>
        </w:rPr>
      </w:pPr>
      <w:r>
        <w:rPr>
          <w:rFonts w:ascii="Times New Roman" w:cs="Times New Roman" w:eastAsia="Times New Roman" w:hAnsi="Times New Roman"/>
          <w:sz w:val="16"/>
          <w:szCs w:val="16"/>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35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30"/>
        </w:trPr>
        <w:tc>
          <w:tcPr>
            <w:tcW w:w="35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46"/>
        </w:trPr>
        <w:tc>
          <w:tcPr>
            <w:tcW w:w="35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auto"/>
              </w:rPr>
              <w:t>You would pay the following expenses on a $1,000</w:t>
            </w: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2"/>
        </w:trPr>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 assuming a 5% annual return</w:t>
            </w:r>
          </w:p>
        </w:tc>
        <w:tc>
          <w:tcPr>
            <w:tcW w:w="640" w:type="dxa"/>
            <w:vAlign w:val="bottom"/>
            <w:shd w:val="clear" w:color="auto" w:fill="CCEEFF"/>
          </w:tcPr>
          <w:p>
            <w:pPr>
              <w:jc w:val="right"/>
              <w:ind w:right="485"/>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87</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r>
      <w:tr>
        <w:trPr>
          <w:trHeight w:val="26"/>
        </w:trPr>
        <w:tc>
          <w:tcPr>
            <w:tcW w:w="35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04" w:lineRule="exact"/>
        <w:rPr>
          <w:sz w:val="20"/>
          <w:szCs w:val="20"/>
          <w:color w:val="auto"/>
        </w:rPr>
      </w:pPr>
    </w:p>
    <w:p>
      <w:pPr>
        <w:ind w:left="920" w:right="920" w:firstLine="382"/>
        <w:spacing w:after="0" w:line="235" w:lineRule="auto"/>
        <w:rPr>
          <w:sz w:val="20"/>
          <w:szCs w:val="20"/>
          <w:color w:val="auto"/>
        </w:rPr>
      </w:pPr>
      <w:r>
        <w:rPr>
          <w:rFonts w:ascii="Times New Roman" w:cs="Times New Roman" w:eastAsia="Times New Roman" w:hAnsi="Times New Roman"/>
          <w:sz w:val="16"/>
          <w:szCs w:val="16"/>
          <w:b w:val="1"/>
          <w:bCs w:val="1"/>
          <w:color w:val="auto"/>
        </w:rPr>
        <w:t xml:space="preserve">The example and the expenses in the tables above should not be considered as a representation of our future expenses, and actual expenses may be greater or less than those shown. </w:t>
      </w:r>
      <w:r>
        <w:rPr>
          <w:rFonts w:ascii="Times New Roman" w:cs="Times New Roman" w:eastAsia="Times New Roman" w:hAnsi="Times New Roman"/>
          <w:sz w:val="16"/>
          <w:szCs w:val="16"/>
          <w:color w:val="auto"/>
        </w:rPr>
        <w:t>While the example assumes, 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by the SEC, a 5.0% annual return, our performance will vary and may result in a return greater or less than 5.0%. The incentive fee under the investment advisory agreement (the “Investment Advisory Agreement”) with Oxford Lane Management, LLC (“Oxford Lane Management” or the “Adviser”), which, assuming a 5.0% annual return, would either not be payable or would have an insignificant impact on the expense amounts shown above, is included in the example. Also, while the example assumes reinvestment of all distributions at NAV, participants in our distribution reinvestment plan will receive a number of shares of our common stock, determined by dividing the total dollar amount of the distribution payable to a participant by the market price per share of our common stock at the close of trading on the distribution payment date, which may be at, above or below NAV. See “Distribution Reinvestment Plan” in this report for additional information regarding our distribution reinvestment plan.</w:t>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74" w:lineRule="exact"/>
        <w:rPr>
          <w:sz w:val="20"/>
          <w:szCs w:val="20"/>
          <w:color w:val="auto"/>
        </w:rPr>
      </w:pPr>
    </w:p>
    <w:p>
      <w:pPr>
        <w:jc w:val="both"/>
        <w:ind w:left="1300" w:right="1420" w:hanging="377"/>
        <w:spacing w:after="0" w:line="261"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securities to which this report relates are sold to or through underwriters, a corresponding prospectus supplement will disclose the applicable sales load and the “Example” will be updated accordingly.</w:t>
      </w:r>
    </w:p>
    <w:p>
      <w:pPr>
        <w:ind w:left="1300" w:right="1380" w:hanging="377"/>
        <w:spacing w:after="0" w:line="249"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prospectus or prospectus supplement relating to an offering of our securities will disclose the applicable offering expenses and total stockholder transaction expenses as a percentage of the offering price.</w:t>
      </w:r>
    </w:p>
    <w:p>
      <w:pPr>
        <w:ind w:left="1300" w:right="1060" w:hanging="377"/>
        <w:spacing w:after="0" w:line="249"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of the distribution reinvestment plan are included in “other expenses.” The plan administrator’s fees will be paid by us. We will not charge any brokerage charges or other charges to stockholders who participate in the plan. However, your own broker may impose brokerage charges in connection with your participation in the plan.</w:t>
      </w:r>
    </w:p>
    <w:p>
      <w:pPr>
        <w:ind w:left="1300" w:right="940" w:hanging="377"/>
        <w:spacing w:after="0" w:line="249" w:lineRule="auto"/>
        <w:tabs>
          <w:tab w:leader="none" w:pos="13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gross assets of approximately $2,429.1 million and approximately $534.0 million of leverage (which reflects $88.1 million aggregate amount of 6.25% Series 2027 Term Preferred Shares, $67.2 million aggregate amount of</w:t>
      </w:r>
    </w:p>
    <w:p>
      <w:pPr>
        <w:ind w:left="1300" w:right="112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 Series 2029 Term Preferred Shares, $63.8 million aggregate amount of 7.125% Series 2029 Term Preferred Shares, $100.0 million of the 6.75% Unsecured Notes due 2031, $100.0 million of the 5.00% Unsecured Notes due 2027 and $115.0 million of the 8.75% Unsecured Notes due 2030 issued and outstanding as of September 30, 2024 and assumes net assets of $1,805.6 million (which has been adjusted to reflect the issuance of an additional $200.0 million of common stock)).</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 w:name="page9"/>
    <w:bookmarkEnd w:id="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2" w:lineRule="exact"/>
        <w:rPr>
          <w:sz w:val="20"/>
          <w:szCs w:val="20"/>
          <w:color w:val="auto"/>
        </w:rPr>
      </w:pPr>
    </w:p>
    <w:p>
      <w:pPr>
        <w:ind w:left="1300" w:right="940" w:hanging="377"/>
        <w:spacing w:after="0" w:line="252" w:lineRule="auto"/>
        <w:tabs>
          <w:tab w:leader="none" w:pos="13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calculation presents our base management fee as a percentage of our net assets. Our base management fee under the Investment Advisory Agreement, however, is based on our gross assets, which is defined as all the assets of Oxford Lane Capital, including those acquired using borrowings for investment purposes. As a result, to the extent we use additional leverage, it would have the effect of increasing our base management fee as a percentage of our net assets.</w:t>
      </w:r>
    </w:p>
    <w:p>
      <w:pPr>
        <w:spacing w:after="0" w:line="160" w:lineRule="exact"/>
        <w:rPr>
          <w:rFonts w:ascii="Times New Roman" w:cs="Times New Roman" w:eastAsia="Times New Roman" w:hAnsi="Times New Roman"/>
          <w:sz w:val="14"/>
          <w:szCs w:val="14"/>
          <w:color w:val="auto"/>
        </w:rPr>
      </w:pPr>
    </w:p>
    <w:p>
      <w:pPr>
        <w:ind w:left="1300" w:right="1000" w:hanging="377"/>
        <w:spacing w:after="0" w:line="255" w:lineRule="auto"/>
        <w:tabs>
          <w:tab w:leader="none" w:pos="13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reflects the estimated annual incentive fees payable to Oxford Lane Management. The estimate assumes that the incentive fee earned will be proportional to the fee earned during the fiscal year ended March 31, 2024 and adjusted to include the estimated incentive fee based on the issuance of an additional $200.0 million of common stock.</w:t>
      </w:r>
    </w:p>
    <w:p>
      <w:pPr>
        <w:spacing w:after="0" w:line="259" w:lineRule="exact"/>
        <w:rPr>
          <w:rFonts w:ascii="Times New Roman" w:cs="Times New Roman" w:eastAsia="Times New Roman" w:hAnsi="Times New Roman"/>
          <w:sz w:val="14"/>
          <w:szCs w:val="14"/>
          <w:color w:val="auto"/>
        </w:rPr>
      </w:pPr>
    </w:p>
    <w:p>
      <w:pPr>
        <w:ind w:left="1300" w:right="1020"/>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incentive fee, which is payable quarterly in arrears, equals 20.0% of the excess, if any, of our “Pre-Incentive Fee Net Investment Income” that exceeds a 1.75% quarterly (7.0% annualized) hurdle rate, which we refer to as the “Hurdle”, subject to a “catch-up” provision measured at the end of each calendar quarter. The incentive fee is computed and paid on income that may include interest that is accrued but not yet received in cash. The operation of the incentive fee for each quarter is as follows:</w:t>
      </w:r>
    </w:p>
    <w:p>
      <w:pPr>
        <w:spacing w:after="0" w:line="102" w:lineRule="exact"/>
        <w:rPr>
          <w:rFonts w:ascii="Times New Roman" w:cs="Times New Roman" w:eastAsia="Times New Roman" w:hAnsi="Times New Roman"/>
          <w:sz w:val="14"/>
          <w:szCs w:val="14"/>
          <w:color w:val="auto"/>
        </w:rPr>
      </w:pPr>
    </w:p>
    <w:p>
      <w:pPr>
        <w:ind w:left="1680" w:right="940" w:hanging="375"/>
        <w:spacing w:after="0" w:line="252" w:lineRule="auto"/>
        <w:tabs>
          <w:tab w:leader="none" w:pos="16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no incentive fee is payable to Oxford Lane Management in any calendar quarter in which our Pre-Incentive Fee Net Investment Income does not exceed the Hurdle of 1.75%;</w:t>
      </w:r>
    </w:p>
    <w:p>
      <w:pPr>
        <w:spacing w:after="0" w:line="103" w:lineRule="exact"/>
        <w:rPr>
          <w:rFonts w:ascii="Times New Roman" w:cs="Times New Roman" w:eastAsia="Times New Roman" w:hAnsi="Times New Roman"/>
          <w:sz w:val="16"/>
          <w:szCs w:val="16"/>
          <w:color w:val="auto"/>
        </w:rPr>
      </w:pPr>
    </w:p>
    <w:p>
      <w:pPr>
        <w:ind w:left="1680" w:right="980" w:hanging="375"/>
        <w:spacing w:after="0" w:line="249" w:lineRule="auto"/>
        <w:tabs>
          <w:tab w:leader="none" w:pos="16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100% of our Pre-Incentive Fee Net Investment Income with respect to that portion of such Pre-Incentive Fee Net Investment Income, if any, that exceeds the Hurdle but is less than 2.1875% in any calendar quarter (8.75% annualized) is payable to our investment adviser. We refer to this portion of our Pre-Incentive Fee Net Investment Income (which exceeds the Hurdle but is less than 2.1875%) as the “catch-up.” The “catch-up” is meant to provide Oxford Lane Management with 20.0% of our Pre-Incentive Fee Net Investment Income, as if a Hurdle did not apply when our Pre-Incentive Fee Net Investment Income exceeds 2.1875% in any calendar quarter; and</w:t>
      </w:r>
    </w:p>
    <w:p>
      <w:pPr>
        <w:spacing w:after="0" w:line="109" w:lineRule="exact"/>
        <w:rPr>
          <w:rFonts w:ascii="Times New Roman" w:cs="Times New Roman" w:eastAsia="Times New Roman" w:hAnsi="Times New Roman"/>
          <w:sz w:val="16"/>
          <w:szCs w:val="16"/>
          <w:color w:val="auto"/>
        </w:rPr>
      </w:pPr>
    </w:p>
    <w:p>
      <w:pPr>
        <w:ind w:left="1680" w:right="1080" w:hanging="375"/>
        <w:spacing w:after="0" w:line="249" w:lineRule="auto"/>
        <w:tabs>
          <w:tab w:leader="none" w:pos="168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20.0% of the amount of our Pre-Incentive Fee Net Investment Income, if any, that exceeds 2.1875% in any calendar quarter (8.75% annualized) is payable to Oxford Lane Management (once the Hurdle is reached and the catch-up is achieved, 20.0% of all Pre-Incentive Fee Investment Income thereafter is allocated to Oxford Lane Management).</w:t>
      </w:r>
    </w:p>
    <w:p>
      <w:pPr>
        <w:spacing w:after="0" w:line="97" w:lineRule="exact"/>
        <w:rPr>
          <w:sz w:val="20"/>
          <w:szCs w:val="20"/>
          <w:color w:val="auto"/>
        </w:rPr>
      </w:pPr>
    </w:p>
    <w:p>
      <w:pPr>
        <w:ind w:left="1300" w:right="1060"/>
        <w:spacing w:after="0" w:line="286" w:lineRule="auto"/>
        <w:rPr>
          <w:sz w:val="20"/>
          <w:szCs w:val="20"/>
          <w:color w:val="auto"/>
        </w:rPr>
      </w:pPr>
      <w:r>
        <w:rPr>
          <w:rFonts w:ascii="Times New Roman" w:cs="Times New Roman" w:eastAsia="Times New Roman" w:hAnsi="Times New Roman"/>
          <w:sz w:val="14"/>
          <w:szCs w:val="14"/>
          <w:color w:val="auto"/>
        </w:rPr>
        <w:t>No incentive fee is payable to Oxford Lane Management on realized capital gains. For a more detailed discussion of the calculation of this fee, see “Note 5. Related Party Transactions.”</w:t>
      </w:r>
    </w:p>
    <w:p>
      <w:pPr>
        <w:spacing w:after="0" w:line="70" w:lineRule="exact"/>
        <w:rPr>
          <w:sz w:val="20"/>
          <w:szCs w:val="20"/>
          <w:color w:val="auto"/>
        </w:rPr>
      </w:pPr>
    </w:p>
    <w:p>
      <w:pPr>
        <w:ind w:left="1300" w:right="960" w:hanging="377"/>
        <w:spacing w:after="0" w:line="254" w:lineRule="auto"/>
        <w:tabs>
          <w:tab w:leader="none" w:pos="1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payments on borrowed funds” represents our annualized interest expense and includes interest payable on the $100 million 6.75% Unsecured Notes due 2031, $100 million 5.00% Unsecured Notes due 2027 and $115 million 8.75% Unsecured Notes due 2030, each as outstanding on September 30, 2024. We may issue additional debt securities. In the event that we were to issue additional debt securities, our borrowing costs, and correspondingly our total annual expenses would increase.</w:t>
      </w:r>
    </w:p>
    <w:p>
      <w:pPr>
        <w:ind w:left="1300" w:hanging="377"/>
        <w:spacing w:after="0"/>
        <w:tabs>
          <w:tab w:leader="none" w:pos="1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that we have an aggregate of (a) $88.1 million of preferred stock with a preferred rate of 6.25% per annum,</w:t>
      </w:r>
    </w:p>
    <w:p>
      <w:pPr>
        <w:spacing w:after="0" w:line="6" w:lineRule="exact"/>
        <w:rPr>
          <w:rFonts w:ascii="Times New Roman" w:cs="Times New Roman" w:eastAsia="Times New Roman" w:hAnsi="Times New Roman"/>
          <w:sz w:val="14"/>
          <w:szCs w:val="14"/>
          <w:color w:val="auto"/>
        </w:rPr>
      </w:pPr>
    </w:p>
    <w:p>
      <w:pPr>
        <w:ind w:left="1300" w:right="980"/>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 $67.2 million of preferred stock with a preferred rate of 6.00% per annum and (c) $63.8 million of preferred stock with a preferred rate of 7.125% per annum which were the amounts outstanding as of September 30, 2024. We may issue additional shares of preferred stock. In the event that we were to issue additional shares of preferred stock or debt securities, our borrowing costs, and correspondingly our total annual expenses, including, in the case of such preferred stock, the base management fee as a percentage of the Fund’s net assets attributable to common stock, would increase.</w:t>
      </w:r>
    </w:p>
    <w:p>
      <w:pPr>
        <w:spacing w:after="0" w:line="161"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expenses” ($9.6 million) are estimated for the current fiscal year.</w:t>
      </w:r>
    </w:p>
    <w:p>
      <w:pPr>
        <w:spacing w:after="0" w:line="6" w:lineRule="exact"/>
        <w:rPr>
          <w:rFonts w:ascii="Times New Roman" w:cs="Times New Roman" w:eastAsia="Times New Roman" w:hAnsi="Times New Roman"/>
          <w:sz w:val="14"/>
          <w:szCs w:val="14"/>
          <w:color w:val="auto"/>
        </w:rPr>
      </w:pPr>
    </w:p>
    <w:p>
      <w:pPr>
        <w:ind w:left="1300" w:right="960" w:hanging="377"/>
        <w:spacing w:after="0" w:line="252" w:lineRule="auto"/>
        <w:tabs>
          <w:tab w:leader="none" w:pos="13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“Total annual expenses” is presented as a percentage of net assets attributable to common stockholders, because the holders of shares of our common stock (and not the holders of our preferred stock or debt securities, if any) bear all of our fees and expenses, all of which are included in this fee table presentation. </w:t>
      </w:r>
      <w:r>
        <w:rPr>
          <w:rFonts w:ascii="Times New Roman" w:cs="Times New Roman" w:eastAsia="Times New Roman" w:hAnsi="Times New Roman"/>
          <w:sz w:val="14"/>
          <w:szCs w:val="14"/>
          <w:b w:val="1"/>
          <w:bCs w:val="1"/>
          <w:color w:val="auto"/>
        </w:rPr>
        <w:t>The indirect expenses associated with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the Fund’s CLO equity investments are not included in the fee table presentation, but if such expenses were included in the fee table presentation then the Fund’s total annual expenses would have been 28.02%.</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u w:val="single" w:color="auto"/>
          <w:color w:val="auto"/>
        </w:rPr>
        <w:t>Principal Risks</w:t>
      </w:r>
    </w:p>
    <w:p>
      <w:pPr>
        <w:spacing w:after="0" w:line="117" w:lineRule="exact"/>
        <w:rPr>
          <w:sz w:val="20"/>
          <w:szCs w:val="20"/>
          <w:color w:val="auto"/>
        </w:rPr>
      </w:pPr>
    </w:p>
    <w:p>
      <w:pPr>
        <w:jc w:val="both"/>
        <w:ind w:left="920" w:right="1320" w:firstLine="382"/>
        <w:spacing w:after="0" w:line="245" w:lineRule="auto"/>
        <w:rPr>
          <w:sz w:val="20"/>
          <w:szCs w:val="20"/>
          <w:color w:val="auto"/>
        </w:rPr>
      </w:pPr>
      <w:r>
        <w:rPr>
          <w:rFonts w:ascii="Times New Roman" w:cs="Times New Roman" w:eastAsia="Times New Roman" w:hAnsi="Times New Roman"/>
          <w:sz w:val="16"/>
          <w:szCs w:val="16"/>
          <w:color w:val="auto"/>
        </w:rPr>
        <w:t>For a description of the principal risk factors associated with an investment in the Fund, please refer to “Note 14. Risks and Uncertainties” in the Unaudited Notes to the Financial Statements and “Principal Risks” beginning on page 66.</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 w:name="page10"/>
    <w:bookmarkEnd w:id="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ASSETS AND LIABILITIES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6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30"/>
        </w:trPr>
        <w:tc>
          <w:tcPr>
            <w:tcW w:w="6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35"/>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Investments, at fair value (cost: $2,454,994,434)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1,995,615,140</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206,491,231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receivable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24,536,786</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receivable, including accrued interest purchased</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2,201,091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122,587</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Fee receivable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118,216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56"/>
        </w:trPr>
        <w:tc>
          <w:tcPr>
            <w:tcW w:w="6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Deferred offering costs on common stock</w:t>
            </w: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38,841</w:t>
            </w:r>
          </w:p>
        </w:tc>
        <w:tc>
          <w:tcPr>
            <w:tcW w:w="140" w:type="dxa"/>
            <w:vAlign w:val="bottom"/>
            <w:tcBorders>
              <w:bottom w:val="single" w:sz="8" w:color="CCEEFF"/>
            </w:tcBorders>
          </w:tcPr>
          <w:p>
            <w:pPr>
              <w:spacing w:after="0"/>
              <w:rPr>
                <w:sz w:val="22"/>
                <w:szCs w:val="22"/>
                <w:color w:val="auto"/>
              </w:rPr>
            </w:pPr>
          </w:p>
        </w:tc>
      </w:tr>
      <w:tr>
        <w:trPr>
          <w:trHeight w:val="243"/>
        </w:trPr>
        <w:tc>
          <w:tcPr>
            <w:tcW w:w="60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2,229,123,892</w:t>
            </w:r>
          </w:p>
        </w:tc>
        <w:tc>
          <w:tcPr>
            <w:tcW w:w="140" w:type="dxa"/>
            <w:vAlign w:val="bottom"/>
            <w:shd w:val="clear" w:color="auto" w:fill="CCEEFF"/>
          </w:tcPr>
          <w:p>
            <w:pPr>
              <w:spacing w:after="0"/>
              <w:rPr>
                <w:sz w:val="21"/>
                <w:szCs w:val="21"/>
                <w:color w:val="auto"/>
              </w:rPr>
            </w:pPr>
          </w:p>
        </w:tc>
      </w:tr>
      <w:tr>
        <w:trPr>
          <w:trHeight w:val="262"/>
        </w:trPr>
        <w:tc>
          <w:tcPr>
            <w:tcW w:w="6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43"/>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166"/>
        </w:trPr>
        <w:tc>
          <w:tcPr>
            <w:tcW w:w="6020" w:type="dxa"/>
            <w:vAlign w:val="bottom"/>
          </w:tcPr>
          <w:p>
            <w:pPr>
              <w:ind w:left="160"/>
              <w:spacing w:after="0" w:line="166" w:lineRule="exact"/>
              <w:rPr>
                <w:sz w:val="20"/>
                <w:szCs w:val="20"/>
                <w:color w:val="auto"/>
              </w:rPr>
            </w:pPr>
            <w:r>
              <w:rPr>
                <w:rFonts w:ascii="Times New Roman" w:cs="Times New Roman" w:eastAsia="Times New Roman" w:hAnsi="Times New Roman"/>
                <w:sz w:val="16"/>
                <w:szCs w:val="16"/>
                <w:color w:val="auto"/>
              </w:rPr>
              <w:t>Mandatorily redeemable preferred stock, net of unamortized deferred issuance costs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2"/>
        </w:trPr>
        <w:tc>
          <w:tcPr>
            <w:tcW w:w="6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$4,084,458 (50,000,000 shares authorized, 8,761,706 shares issued and outstanding)</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214,958,192</w:t>
            </w:r>
          </w:p>
        </w:tc>
        <w:tc>
          <w:tcPr>
            <w:tcW w:w="140" w:type="dxa"/>
            <w:vAlign w:val="bottom"/>
          </w:tcPr>
          <w:p>
            <w:pPr>
              <w:spacing w:after="0"/>
              <w:rPr>
                <w:sz w:val="17"/>
                <w:szCs w:val="17"/>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6"/>
        </w:trPr>
        <w:tc>
          <w:tcPr>
            <w:tcW w:w="6020" w:type="dxa"/>
            <w:vAlign w:val="bottom"/>
            <w:shd w:val="clear" w:color="auto" w:fill="CCEEFF"/>
          </w:tcPr>
          <w:p>
            <w:pPr>
              <w:ind w:left="160"/>
              <w:spacing w:after="0" w:line="166" w:lineRule="exact"/>
              <w:rPr>
                <w:sz w:val="20"/>
                <w:szCs w:val="20"/>
                <w:color w:val="auto"/>
              </w:rPr>
            </w:pPr>
            <w:r>
              <w:rPr>
                <w:rFonts w:ascii="Times New Roman" w:cs="Times New Roman" w:eastAsia="Times New Roman" w:hAnsi="Times New Roman"/>
                <w:sz w:val="16"/>
                <w:szCs w:val="16"/>
                <w:color w:val="auto"/>
              </w:rPr>
              <w:t>Notes payable – 8.75% unsecured notes, net of unamortized deferred issuance costs of</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8"/>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$3,772,797</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111,227,203</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66"/>
        </w:trPr>
        <w:tc>
          <w:tcPr>
            <w:tcW w:w="6020" w:type="dxa"/>
            <w:vAlign w:val="bottom"/>
          </w:tcPr>
          <w:p>
            <w:pPr>
              <w:ind w:left="160"/>
              <w:spacing w:after="0" w:line="166" w:lineRule="exact"/>
              <w:rPr>
                <w:sz w:val="20"/>
                <w:szCs w:val="20"/>
                <w:color w:val="auto"/>
              </w:rPr>
            </w:pPr>
            <w:r>
              <w:rPr>
                <w:rFonts w:ascii="Times New Roman" w:cs="Times New Roman" w:eastAsia="Times New Roman" w:hAnsi="Times New Roman"/>
                <w:sz w:val="16"/>
                <w:szCs w:val="16"/>
                <w:color w:val="auto"/>
              </w:rPr>
              <w:t>Notes payable – 5.00% unsecured notes, net of unamortized deferred issuance costs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2"/>
        </w:trPr>
        <w:tc>
          <w:tcPr>
            <w:tcW w:w="6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$1,576,260</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98,423,740</w:t>
            </w:r>
          </w:p>
        </w:tc>
        <w:tc>
          <w:tcPr>
            <w:tcW w:w="140" w:type="dxa"/>
            <w:vAlign w:val="bottom"/>
          </w:tcPr>
          <w:p>
            <w:pPr>
              <w:spacing w:after="0"/>
              <w:rPr>
                <w:sz w:val="17"/>
                <w:szCs w:val="17"/>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66"/>
        </w:trPr>
        <w:tc>
          <w:tcPr>
            <w:tcW w:w="6020" w:type="dxa"/>
            <w:vAlign w:val="bottom"/>
            <w:shd w:val="clear" w:color="auto" w:fill="CCEEFF"/>
          </w:tcPr>
          <w:p>
            <w:pPr>
              <w:ind w:left="160"/>
              <w:spacing w:after="0" w:line="166" w:lineRule="exact"/>
              <w:rPr>
                <w:sz w:val="20"/>
                <w:szCs w:val="20"/>
                <w:color w:val="auto"/>
              </w:rPr>
            </w:pPr>
            <w:r>
              <w:rPr>
                <w:rFonts w:ascii="Times New Roman" w:cs="Times New Roman" w:eastAsia="Times New Roman" w:hAnsi="Times New Roman"/>
                <w:sz w:val="16"/>
                <w:szCs w:val="16"/>
                <w:color w:val="auto"/>
              </w:rPr>
              <w:t>Notes payable – 6.75% unsecured notes, net of unamortized deferred issuance costs of</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08"/>
        </w:trPr>
        <w:tc>
          <w:tcPr>
            <w:tcW w:w="60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$2,310,915</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97,689,085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Securities purchased not settled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70,240,546</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Incentive fees payable to affiliate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16,797,120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Base management fee payable to affiliate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10,302,321</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Excise tax payable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2,621,821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1,029,377</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Directors’ fees payable</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Administrator expense payable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61,412</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payable</w:t>
            </w: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60,590</w:t>
            </w:r>
          </w:p>
        </w:tc>
        <w:tc>
          <w:tcPr>
            <w:tcW w:w="140" w:type="dxa"/>
            <w:vAlign w:val="bottom"/>
            <w:shd w:val="clear" w:color="auto" w:fill="CCEEFF"/>
          </w:tcPr>
          <w:p>
            <w:pPr>
              <w:spacing w:after="0"/>
              <w:rPr>
                <w:sz w:val="22"/>
                <w:szCs w:val="22"/>
                <w:color w:val="auto"/>
              </w:rPr>
            </w:pPr>
          </w:p>
        </w:tc>
      </w:tr>
      <w:tr>
        <w:trPr>
          <w:trHeight w:val="236"/>
        </w:trPr>
        <w:tc>
          <w:tcPr>
            <w:tcW w:w="6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623,481,407</w:t>
            </w:r>
          </w:p>
        </w:tc>
        <w:tc>
          <w:tcPr>
            <w:tcW w:w="140" w:type="dxa"/>
            <w:vAlign w:val="bottom"/>
            <w:tcBorders>
              <w:bottom w:val="single" w:sz="8" w:color="CCEEFF"/>
            </w:tcBorders>
          </w:tcPr>
          <w:p>
            <w:pPr>
              <w:spacing w:after="0"/>
              <w:rPr>
                <w:sz w:val="20"/>
                <w:szCs w:val="20"/>
                <w:color w:val="auto"/>
              </w:rPr>
            </w:pPr>
          </w:p>
        </w:tc>
      </w:tr>
      <w:tr>
        <w:trPr>
          <w:trHeight w:val="262"/>
        </w:trPr>
        <w:tc>
          <w:tcPr>
            <w:tcW w:w="6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37"/>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11)</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6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164"/>
        </w:trPr>
        <w:tc>
          <w:tcPr>
            <w:tcW w:w="6020" w:type="dxa"/>
            <w:vAlign w:val="bottom"/>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NET ASSETS applicable to common stock, $0.01 par value, 450,000,000 shares</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57"/>
        </w:trPr>
        <w:tc>
          <w:tcPr>
            <w:tcW w:w="60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authorized, 337,257,565 shares issued and outstanding</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1,605,642,485</w:t>
            </w:r>
          </w:p>
        </w:tc>
        <w:tc>
          <w:tcPr>
            <w:tcW w:w="140" w:type="dxa"/>
            <w:vAlign w:val="bottom"/>
            <w:tcBorders>
              <w:bottom w:val="single" w:sz="8" w:color="CCEEFF"/>
            </w:tcBorders>
          </w:tcPr>
          <w:p>
            <w:pPr>
              <w:spacing w:after="0"/>
              <w:rPr>
                <w:sz w:val="22"/>
                <w:szCs w:val="22"/>
                <w:color w:val="auto"/>
              </w:rPr>
            </w:pPr>
          </w:p>
        </w:tc>
      </w:tr>
      <w:tr>
        <w:trPr>
          <w:trHeight w:val="240"/>
        </w:trPr>
        <w:tc>
          <w:tcPr>
            <w:tcW w:w="6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7"/>
        </w:trPr>
        <w:tc>
          <w:tcPr>
            <w:tcW w:w="6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ASSETS consist of:</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3,372,576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7"/>
        </w:trPr>
        <w:tc>
          <w:tcPr>
            <w:tcW w:w="6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2,050,963,752</w:t>
            </w:r>
          </w:p>
        </w:tc>
        <w:tc>
          <w:tcPr>
            <w:tcW w:w="140" w:type="dxa"/>
            <w:vAlign w:val="bottom"/>
          </w:tcPr>
          <w:p>
            <w:pPr>
              <w:spacing w:after="0"/>
              <w:rPr>
                <w:sz w:val="20"/>
                <w:szCs w:val="20"/>
                <w:color w:val="auto"/>
              </w:rPr>
            </w:pPr>
          </w:p>
        </w:tc>
      </w:tr>
      <w:tr>
        <w:trPr>
          <w:trHeight w:val="26"/>
        </w:trPr>
        <w:tc>
          <w:tcPr>
            <w:tcW w:w="6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63"/>
        </w:trPr>
        <w:tc>
          <w:tcPr>
            <w:tcW w:w="6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distributable earnings/(accumulated losses)</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(448,693,843)</w:t>
            </w:r>
          </w:p>
        </w:tc>
      </w:tr>
      <w:tr>
        <w:trPr>
          <w:trHeight w:val="270"/>
        </w:trPr>
        <w:tc>
          <w:tcPr>
            <w:tcW w:w="60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1,605,642,485</w:t>
            </w:r>
          </w:p>
        </w:tc>
        <w:tc>
          <w:tcPr>
            <w:tcW w:w="140" w:type="dxa"/>
            <w:vAlign w:val="bottom"/>
            <w:tcBorders>
              <w:bottom w:val="single" w:sz="8" w:color="CCEEFF"/>
            </w:tcBorders>
          </w:tcPr>
          <w:p>
            <w:pPr>
              <w:spacing w:after="0"/>
              <w:rPr>
                <w:sz w:val="23"/>
                <w:szCs w:val="23"/>
                <w:color w:val="auto"/>
              </w:rPr>
            </w:pPr>
          </w:p>
        </w:tc>
      </w:tr>
      <w:tr>
        <w:trPr>
          <w:trHeight w:val="240"/>
        </w:trPr>
        <w:tc>
          <w:tcPr>
            <w:tcW w:w="6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90"/>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asset value per common share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tcBorders>
              <w:bottom w:val="single" w:sz="8" w:color="CCEEFF"/>
            </w:tcBorders>
          </w:tcPr>
          <w:p>
            <w:pPr>
              <w:spacing w:after="0"/>
              <w:rPr>
                <w:sz w:val="24"/>
                <w:szCs w:val="24"/>
                <w:color w:val="auto"/>
              </w:rPr>
            </w:pPr>
          </w:p>
        </w:tc>
      </w:tr>
      <w:tr>
        <w:trPr>
          <w:trHeight w:val="203"/>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price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20"/>
        </w:trPr>
        <w:tc>
          <w:tcPr>
            <w:tcW w:w="6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3"/>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Percentage of market price premium to net asset value per share</w:t>
            </w:r>
          </w:p>
        </w:tc>
        <w:tc>
          <w:tcPr>
            <w:tcW w:w="10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10.08%</w:t>
            </w:r>
          </w:p>
        </w:tc>
      </w:tr>
      <w:tr>
        <w:trPr>
          <w:trHeight w:val="20"/>
        </w:trPr>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44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10" w:name="page11"/>
    <w:bookmarkEnd w:id="1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6"/>
          <w:szCs w:val="16"/>
          <w:b w:val="1"/>
          <w:bCs w:val="1"/>
          <w:color w:val="auto"/>
        </w:rPr>
        <w:t>SCHEDULE OF INVESTMENTS</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ACQUISITION</w:t>
            </w:r>
          </w:p>
        </w:tc>
        <w:tc>
          <w:tcPr>
            <w:tcW w:w="4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jc w:val="right"/>
              <w:ind w:right="21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Borders>
              <w:bottom w:val="single" w:sz="8" w:color="auto"/>
            </w:tcBorders>
          </w:tcPr>
          <w:p>
            <w:pPr>
              <w:jc w:val="right"/>
              <w:ind w:right="131"/>
              <w:spacing w:after="0" w:line="181" w:lineRule="exact"/>
              <w:rPr>
                <w:sz w:val="20"/>
                <w:szCs w:val="20"/>
                <w:color w:val="auto"/>
              </w:rPr>
            </w:pPr>
            <w:r>
              <w:rPr>
                <w:rFonts w:ascii="Times New Roman" w:cs="Times New Roman" w:eastAsia="Times New Roman" w:hAnsi="Times New Roman"/>
                <w:sz w:val="20"/>
                <w:szCs w:val="20"/>
                <w:b w:val="1"/>
                <w:bCs w:val="1"/>
                <w:color w:val="auto"/>
                <w:vertAlign w:val="subscript"/>
              </w:rPr>
              <w:t>DATE</w:t>
            </w:r>
            <w:r>
              <w:rPr>
                <w:rFonts w:ascii="Times New Roman" w:cs="Times New Roman" w:eastAsia="Times New Roman" w:hAnsi="Times New Roman"/>
                <w:sz w:val="6"/>
                <w:szCs w:val="6"/>
                <w:b w:val="1"/>
                <w:bCs w:val="1"/>
                <w:color w:val="auto"/>
              </w:rPr>
              <w:t>(15)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195"/>
        </w:trPr>
        <w:tc>
          <w:tcPr>
            <w:tcW w:w="2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Debt Investments</w:t>
            </w:r>
          </w:p>
        </w:tc>
        <w:tc>
          <w:tcPr>
            <w:tcW w:w="34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Structured Finance – Debt Investments</w:t>
            </w:r>
          </w:p>
        </w:tc>
        <w:tc>
          <w:tcPr>
            <w:tcW w:w="1000" w:type="dxa"/>
            <w:vAlign w:val="bottom"/>
            <w:gridSpan w:val="3"/>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 Ltd.</w:t>
            </w: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secured notes – Class FRR</w:t>
            </w:r>
            <w:r>
              <w:rPr>
                <w:rFonts w:ascii="Times New Roman" w:cs="Times New Roman" w:eastAsia="Times New Roman" w:hAnsi="Times New Roman"/>
                <w:sz w:val="19"/>
                <w:szCs w:val="19"/>
                <w:color w:val="auto"/>
                <w:vertAlign w:val="superscript"/>
              </w:rPr>
              <w:t>(3)(9)(17)</w:t>
            </w:r>
            <w:r>
              <w:rPr>
                <w:rFonts w:ascii="Times New Roman" w:cs="Times New Roman" w:eastAsia="Times New Roman" w:hAnsi="Times New Roman"/>
                <w:sz w:val="13"/>
                <w:szCs w:val="13"/>
                <w:color w:val="auto"/>
              </w:rPr>
              <w:t>, 15.59%</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(SOFR + 10.45%, due July 18, 2037)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7/31/2024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$ 2,775,000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2,305,358</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2,485,290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XXXVII CLO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ER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12.83%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7.53%, due October 15, 2030)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6/23/2022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5,682,246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6,302,820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ER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11.49%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6.21%, due April 20, 2030)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1/19/2022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837,000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807,136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812,811</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F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13.73%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8.47%, due July 30, 2030)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11/18/2019</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6,966,438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5,307,400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D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11.69%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6.41%, due October 20, 2030)</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11/09/2022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4,750,000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3,991,173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4,494,925</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2017-6,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F </w:t>
            </w:r>
            <w:r>
              <w:rPr>
                <w:rFonts w:ascii="Times New Roman" w:cs="Times New Roman" w:eastAsia="Times New Roman" w:hAnsi="Times New Roman"/>
                <w:sz w:val="19"/>
                <w:szCs w:val="19"/>
                <w:color w:val="auto"/>
                <w:vertAlign w:val="superscript"/>
              </w:rPr>
              <w:t>(3)(6)(17)</w:t>
            </w:r>
            <w:r>
              <w:rPr>
                <w:rFonts w:ascii="Times New Roman" w:cs="Times New Roman" w:eastAsia="Times New Roman" w:hAnsi="Times New Roman"/>
                <w:sz w:val="13"/>
                <w:szCs w:val="13"/>
                <w:color w:val="auto"/>
              </w:rPr>
              <w:t>, 13.96%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8.66%, due July 15, 2029)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8/03/2022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2,542,312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2,123,578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1,948,428</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XII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w w:val="95"/>
              </w:rPr>
              <w:t>CLO secured notes – Class FR</w:t>
            </w:r>
            <w:r>
              <w:rPr>
                <w:rFonts w:ascii="Times New Roman" w:cs="Times New Roman" w:eastAsia="Times New Roman" w:hAnsi="Times New Roman"/>
                <w:sz w:val="19"/>
                <w:szCs w:val="19"/>
                <w:color w:val="auto"/>
                <w:w w:val="95"/>
                <w:vertAlign w:val="superscript"/>
              </w:rPr>
              <w:t>(3)(9)(11)(17)</w:t>
            </w:r>
            <w:r>
              <w:rPr>
                <w:rFonts w:ascii="Times New Roman" w:cs="Times New Roman" w:eastAsia="Times New Roman" w:hAnsi="Times New Roman"/>
                <w:sz w:val="13"/>
                <w:szCs w:val="13"/>
                <w:color w:val="auto"/>
                <w:w w:val="95"/>
              </w:rPr>
              <w:t>, 13.36% (SOFR</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+ 8.75%, due October 20, 2037)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9/24/2024</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2,509,698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2,331,509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2,331,509</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2013-2,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ER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13.79%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8.51%, due October 20, 2029)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4/20/2022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2,227,091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1,803,500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secured notes – Class ERR</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11.56%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6.26%, due October 15, 2030)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9/18/2023</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3,323,222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3,615,750</w:t>
            </w: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secured notes – Class FRR</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13.56%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8.26%, due October 15, 2030)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8/03/2021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4,375,000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3,895,469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3,305,750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Longfellow Place CLO,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w w:val="99"/>
              </w:rPr>
              <w:t>CLO secured notes – Class FRR</w:t>
            </w:r>
            <w:r>
              <w:rPr>
                <w:rFonts w:ascii="Times New Roman" w:cs="Times New Roman" w:eastAsia="Times New Roman" w:hAnsi="Times New Roman"/>
                <w:sz w:val="19"/>
                <w:szCs w:val="19"/>
                <w:color w:val="auto"/>
                <w:w w:val="99"/>
                <w:vertAlign w:val="superscript"/>
              </w:rPr>
              <w:t>(3)(6)(17)</w:t>
            </w:r>
            <w:r>
              <w:rPr>
                <w:rFonts w:ascii="Times New Roman" w:cs="Times New Roman" w:eastAsia="Times New Roman" w:hAnsi="Times New Roman"/>
                <w:sz w:val="13"/>
                <w:szCs w:val="13"/>
                <w:color w:val="auto"/>
                <w:w w:val="99"/>
              </w:rPr>
              <w:t>, 14.06% (SOFR</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+ 8.76%, due April 15, 2029)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3/26/2019</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5,194,350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4,491,709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645,138</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VI</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 xml:space="preserve">CLO secured notes – Class F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13.55%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8.27%, due April 20, 2033)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3/12/2021</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3,429,979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3,627,600</w:t>
            </w:r>
          </w:p>
        </w:tc>
        <w:tc>
          <w:tcPr>
            <w:tcW w:w="0" w:type="dxa"/>
            <w:vAlign w:val="bottom"/>
          </w:tcPr>
          <w:p>
            <w:pPr>
              <w:spacing w:after="0"/>
              <w:rPr>
                <w:sz w:val="1"/>
                <w:szCs w:val="1"/>
                <w:color w:val="auto"/>
              </w:rPr>
            </w:pPr>
          </w:p>
        </w:tc>
      </w:tr>
      <w:tr>
        <w:trPr>
          <w:trHeight w:val="526"/>
        </w:trPr>
        <w:tc>
          <w:tcPr>
            <w:tcW w:w="322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220" w:type="dxa"/>
            <w:vAlign w:val="bottom"/>
            <w:gridSpan w:val="4"/>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11.81% (SOFR +</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220" w:type="dxa"/>
            <w:vAlign w:val="bottom"/>
            <w:gridSpan w:val="4"/>
          </w:tcPr>
          <w:p>
            <w:pPr>
              <w:ind w:left="320"/>
              <w:spacing w:after="0"/>
              <w:rPr>
                <w:sz w:val="20"/>
                <w:szCs w:val="20"/>
                <w:color w:val="auto"/>
              </w:rPr>
            </w:pPr>
            <w:r>
              <w:rPr>
                <w:rFonts w:ascii="Times New Roman" w:cs="Times New Roman" w:eastAsia="Times New Roman" w:hAnsi="Times New Roman"/>
                <w:sz w:val="13"/>
                <w:szCs w:val="13"/>
                <w:color w:val="auto"/>
              </w:rPr>
              <w:t>6.51%, due January 15, 2030)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1/07/2022</w:t>
            </w:r>
          </w:p>
        </w:tc>
        <w:tc>
          <w:tcPr>
            <w:tcW w:w="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7,030,000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6,636,139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3,154,361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-6975475</wp:posOffset>
            </wp:positionV>
            <wp:extent cx="4552950" cy="167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-6231890</wp:posOffset>
            </wp:positionV>
            <wp:extent cx="4552950" cy="242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-5822315</wp:posOffset>
            </wp:positionV>
            <wp:extent cx="4552950" cy="167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-5412105</wp:posOffset>
            </wp:positionV>
            <wp:extent cx="4552950"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-5078730</wp:posOffset>
            </wp:positionV>
            <wp:extent cx="4552950" cy="242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-4668520</wp:posOffset>
            </wp:positionV>
            <wp:extent cx="4552950" cy="167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-3924935</wp:posOffset>
            </wp:positionV>
            <wp:extent cx="4552950" cy="2425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-3515360</wp:posOffset>
            </wp:positionV>
            <wp:extent cx="4552950" cy="16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167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-2771775</wp:posOffset>
            </wp:positionV>
            <wp:extent cx="4552950" cy="2425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-2362200</wp:posOffset>
            </wp:positionV>
            <wp:extent cx="4552950"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-7317105</wp:posOffset>
            </wp:positionV>
            <wp:extent cx="4552950" cy="174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2950" cy="174625"/>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100" w:right="1060" w:hanging="32"/>
        <w:spacing w:after="0" w:line="259" w:lineRule="auto"/>
        <w:tabs>
          <w:tab w:leader="none" w:pos="205" w:val="left"/>
        </w:tabs>
        <w:numPr>
          <w:ilvl w:val="0"/>
          <w:numId w:val="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375" w:lineRule="exact"/>
        <w:rPr>
          <w:sz w:val="20"/>
          <w:szCs w:val="20"/>
          <w:color w:val="auto"/>
        </w:rPr>
      </w:pPr>
    </w:p>
    <w:p>
      <w:pPr>
        <w:sectPr>
          <w:pgSz w:w="11900" w:h="16840" w:orient="portrait"/>
          <w:cols w:equalWidth="0" w:num="2">
            <w:col w:w="7440" w:space="160"/>
            <w:col w:w="1420"/>
          </w:cols>
          <w:pgMar w:left="1440" w:top="556" w:right="1440" w:bottom="1440"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11" w:name="page12"/>
    <w:bookmarkEnd w:id="1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80" w:type="dxa"/>
            <w:vAlign w:val="bottom"/>
          </w:tcPr>
          <w:p>
            <w:pPr>
              <w:spacing w:after="0"/>
              <w:rPr>
                <w:sz w:val="11"/>
                <w:szCs w:val="11"/>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20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80" w:type="dxa"/>
            <w:vAlign w:val="bottom"/>
          </w:tcPr>
          <w:p>
            <w:pPr>
              <w:spacing w:after="0"/>
              <w:rPr>
                <w:sz w:val="13"/>
                <w:szCs w:val="13"/>
                <w:color w:val="auto"/>
              </w:rPr>
            </w:pPr>
          </w:p>
        </w:tc>
        <w:tc>
          <w:tcPr>
            <w:tcW w:w="620" w:type="dxa"/>
            <w:vAlign w:val="bottom"/>
          </w:tcPr>
          <w:p>
            <w:pPr>
              <w:jc w:val="center"/>
              <w:ind w:right="16"/>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8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20" w:type="dxa"/>
            <w:vAlign w:val="bottom"/>
            <w:gridSpan w:val="5"/>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Debt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880" w:type="dxa"/>
            <w:vAlign w:val="bottom"/>
            <w:tcBorders>
              <w:top w:val="single" w:sz="8" w:color="auto"/>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Structured Finance – Debt Investments (continued)</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36, Ltd.</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rPr>
              <w:t xml:space="preserve">CLO secured notes – Class F </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13.31% (SOFR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color w:val="auto"/>
              </w:rPr>
              <w:t>8.01%, due April 15, 2031)</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9/08/2023</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420,975</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422,160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VIII, Ltd.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gridSpan w:val="6"/>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11.94% (SOFR +</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6.65%, due August 16, 2029)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7/12/2022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3,257,761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3,957,200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IX, Ltd.</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w w:val="99"/>
              </w:rPr>
              <w:t>CLO secured notes – Class ERR</w:t>
            </w:r>
            <w:r>
              <w:rPr>
                <w:rFonts w:ascii="Times New Roman" w:cs="Times New Roman" w:eastAsia="Times New Roman" w:hAnsi="Times New Roman"/>
                <w:sz w:val="19"/>
                <w:szCs w:val="19"/>
                <w:color w:val="auto"/>
                <w:w w:val="99"/>
                <w:vertAlign w:val="superscript"/>
              </w:rPr>
              <w:t>(3)(17)</w:t>
            </w:r>
            <w:r>
              <w:rPr>
                <w:rFonts w:ascii="Times New Roman" w:cs="Times New Roman" w:eastAsia="Times New Roman" w:hAnsi="Times New Roman"/>
                <w:sz w:val="13"/>
                <w:szCs w:val="13"/>
                <w:color w:val="auto"/>
                <w:w w:val="99"/>
              </w:rPr>
              <w:t>, 13.88% (SOFR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color w:val="auto"/>
              </w:rPr>
              <w:t>8.60%, due October 20, 2031)</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916,754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XXVI Funding Ltd.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gridSpan w:val="6"/>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13.18% (SOFR +</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7.90%, due January 25, 2037)</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10/31/2023</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9,321,655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9,746,050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12.62% (SOFR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color w:val="auto"/>
              </w:rPr>
              <w:t>7.34%, due July 20, 2035)</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5/06/2022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3,719,207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3,653,250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gridSpan w:val="6"/>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9"/>
              </w:rPr>
              <w:t xml:space="preserve">CLO secured notes – Class F </w:t>
            </w:r>
            <w:r>
              <w:rPr>
                <w:rFonts w:ascii="Times New Roman" w:cs="Times New Roman" w:eastAsia="Times New Roman" w:hAnsi="Times New Roman"/>
                <w:sz w:val="19"/>
                <w:szCs w:val="19"/>
                <w:color w:val="auto"/>
                <w:w w:val="99"/>
                <w:vertAlign w:val="superscript"/>
              </w:rPr>
              <w:t>(3)(6)(17)</w:t>
            </w:r>
            <w:r>
              <w:rPr>
                <w:rFonts w:ascii="Times New Roman" w:cs="Times New Roman" w:eastAsia="Times New Roman" w:hAnsi="Times New Roman"/>
                <w:sz w:val="13"/>
                <w:szCs w:val="13"/>
                <w:color w:val="auto"/>
                <w:w w:val="99"/>
              </w:rPr>
              <w:t>, 13.64% (SOFR +</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8.36%, due July 18, 2031)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5/25/2022</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1,293,252</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931,022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352,282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Wind River 2023-1 CLO Ltd.</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secured notes – Class E</w:t>
            </w:r>
            <w:r>
              <w:rPr>
                <w:rFonts w:ascii="Times New Roman" w:cs="Times New Roman" w:eastAsia="Times New Roman" w:hAnsi="Times New Roman"/>
                <w:sz w:val="19"/>
                <w:szCs w:val="19"/>
                <w:color w:val="auto"/>
                <w:vertAlign w:val="superscript"/>
              </w:rPr>
              <w:t>(3)(17)</w:t>
            </w:r>
            <w:r>
              <w:rPr>
                <w:rFonts w:ascii="Times New Roman" w:cs="Times New Roman" w:eastAsia="Times New Roman" w:hAnsi="Times New Roman"/>
                <w:sz w:val="13"/>
                <w:szCs w:val="13"/>
                <w:color w:val="auto"/>
              </w:rPr>
              <w:t>, 13.80% (SOFR +</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200" w:type="dxa"/>
            <w:vAlign w:val="bottom"/>
            <w:tcBorders>
              <w:bottom w:val="single" w:sz="8" w:color="CCEEFF"/>
            </w:tcBorders>
            <w:gridSpan w:val="6"/>
          </w:tcPr>
          <w:p>
            <w:pPr>
              <w:ind w:left="320"/>
              <w:spacing w:after="0"/>
              <w:rPr>
                <w:sz w:val="20"/>
                <w:szCs w:val="20"/>
                <w:color w:val="auto"/>
              </w:rPr>
            </w:pPr>
            <w:r>
              <w:rPr>
                <w:rFonts w:ascii="Times New Roman" w:cs="Times New Roman" w:eastAsia="Times New Roman" w:hAnsi="Times New Roman"/>
                <w:sz w:val="13"/>
                <w:szCs w:val="13"/>
                <w:color w:val="auto"/>
              </w:rPr>
              <w:t>8.52%, due April 25, 2036)</w:t>
            </w: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3/13/2023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9,644,839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10,209,000</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2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Total Structured Finance – Debt Investments</w:t>
            </w: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76,423,260</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69,305,024</w:t>
            </w:r>
          </w:p>
        </w:tc>
        <w:tc>
          <w:tcPr>
            <w:tcW w:w="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22"/>
        </w:trPr>
        <w:tc>
          <w:tcPr>
            <w:tcW w:w="3200" w:type="dxa"/>
            <w:vAlign w:val="bottom"/>
            <w:gridSpan w:val="6"/>
          </w:tcPr>
          <w:p>
            <w:pPr>
              <w:ind w:left="160"/>
              <w:spacing w:after="0" w:line="122" w:lineRule="exact"/>
              <w:rPr>
                <w:sz w:val="20"/>
                <w:szCs w:val="20"/>
                <w:color w:val="auto"/>
              </w:rPr>
            </w:pPr>
            <w:r>
              <w:rPr>
                <w:rFonts w:ascii="Times New Roman" w:cs="Times New Roman" w:eastAsia="Times New Roman" w:hAnsi="Times New Roman"/>
                <w:sz w:val="13"/>
                <w:szCs w:val="13"/>
                <w:b w:val="1"/>
                <w:bCs w:val="1"/>
                <w:color w:val="auto"/>
              </w:rPr>
              <w:t>Total Collateralized Loan Obligation – Debt</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76,423,260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69,305,024</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263"/>
        </w:trPr>
        <w:tc>
          <w:tcPr>
            <w:tcW w:w="22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2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22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w:t>
            </w:r>
          </w:p>
        </w:tc>
        <w:tc>
          <w:tcPr>
            <w:tcW w:w="880" w:type="dxa"/>
            <w:vAlign w:val="bottom"/>
            <w:tcBorders>
              <w:bottom w:val="single" w:sz="8" w:color="CCEEFF"/>
            </w:tcBorders>
            <w:gridSpan w:val="4"/>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522 Funding CLO I Ltd.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gridSpan w:val="6"/>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20.20%,</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15, 2035)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3/03/2023</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29,800,000</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13,148,100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9,598,920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AIG CLO 2018-1, LLC</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22.14%,</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4/25/2023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20,518,400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14,595,474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15,593,984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AIMCO CLO, Series 2015-A</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200" w:type="dxa"/>
            <w:vAlign w:val="bottom"/>
            <w:gridSpan w:val="6"/>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CCEEFF"/>
            </w:tcBorders>
            <w:gridSpan w:val="6"/>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13.14%, maturity October 17, 2034)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8/25/2021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13,548,313</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7,508,701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6,503,190</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AIMCO CLO 26, Ltd.</w:t>
            </w: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200" w:type="dxa"/>
            <w:vAlign w:val="bottom"/>
            <w:gridSpan w:val="6"/>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(4)(5)(7)</w:t>
            </w:r>
            <w:r>
              <w:rPr>
                <w:rFonts w:ascii="Times New Roman" w:cs="Times New Roman" w:eastAsia="Times New Roman" w:hAnsi="Times New Roman"/>
                <w:sz w:val="13"/>
                <w:szCs w:val="13"/>
                <w:color w:val="auto"/>
              </w:rPr>
              <w:t>, (Estimated yield 16.73%,</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200" w:type="dxa"/>
            <w:vAlign w:val="bottom"/>
            <w:gridSpan w:val="6"/>
          </w:tcPr>
          <w:p>
            <w:pPr>
              <w:ind w:left="320"/>
              <w:spacing w:after="0"/>
              <w:rPr>
                <w:sz w:val="20"/>
                <w:szCs w:val="20"/>
                <w:color w:val="auto"/>
              </w:rPr>
            </w:pPr>
            <w:r>
              <w:rPr>
                <w:rFonts w:ascii="Times New Roman" w:cs="Times New Roman" w:eastAsia="Times New Roman" w:hAnsi="Times New Roman"/>
                <w:sz w:val="13"/>
                <w:szCs w:val="13"/>
                <w:color w:val="auto"/>
              </w:rPr>
              <w:t>maturity September 19, 2026)</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9/26/2024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44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12" w:name="page13"/>
    <w:bookmarkEnd w:id="1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Allegro CLO II-S,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October 21, 2028)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2/06/2020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$ 20,800,000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3,670,680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ALM VII(R),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19.92%, maturity January 15,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28,479,682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8,757,593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8,643,583</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ALM XVII,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15, 2028)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AMMC CLO XII,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November 10,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9/10/2021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24,350,000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2,526,744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365,250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AMMC CLO 25,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28.47%,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15,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13,916,574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1-R,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13,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8/13/2020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896,321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662,175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4-R,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4"/>
              </w:rPr>
              <w:t>CLO subordinated notes</w:t>
            </w:r>
            <w:r>
              <w:rPr>
                <w:rFonts w:ascii="Times New Roman" w:cs="Times New Roman" w:eastAsia="Times New Roman" w:hAnsi="Times New Roman"/>
                <w:sz w:val="19"/>
                <w:szCs w:val="19"/>
                <w:color w:val="auto"/>
                <w:w w:val="94"/>
                <w:vertAlign w:val="superscript"/>
              </w:rPr>
              <w:t>(5)(7)(10)(11)(19)</w:t>
            </w:r>
            <w:r>
              <w:rPr>
                <w:rFonts w:ascii="Times New Roman" w:cs="Times New Roman" w:eastAsia="Times New Roman" w:hAnsi="Times New Roman"/>
                <w:sz w:val="13"/>
                <w:szCs w:val="13"/>
                <w:color w:val="auto"/>
                <w:w w:val="94"/>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28,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5/20/2019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574,721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5-R,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7/16/2019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27,316,000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734,817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131,117</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17,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8.85%,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6/04/2021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19,025,256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12,375,000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Anchorage Capital CLO 25,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18.37%,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4/24/2023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6,359,639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4,800,000</w:t>
            </w:r>
          </w:p>
        </w:tc>
        <w:tc>
          <w:tcPr>
            <w:tcW w:w="0" w:type="dxa"/>
            <w:vAlign w:val="bottom"/>
          </w:tcPr>
          <w:p>
            <w:pPr>
              <w:spacing w:after="0"/>
              <w:rPr>
                <w:sz w:val="1"/>
                <w:szCs w:val="1"/>
                <w:color w:val="auto"/>
              </w:rPr>
            </w:pPr>
          </w:p>
        </w:tc>
      </w:tr>
      <w:tr>
        <w:trPr>
          <w:trHeight w:val="43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2015-II, Ltd. (fka: JFIN CLO</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2015-II Ltd.)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October 17, 2026)</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11/22/2016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2,124,917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354,775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2018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25,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12,420,000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2,710,883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437,866</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8.15%,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18,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5/13/2019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11,444,518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-7362825</wp:posOffset>
            </wp:positionV>
            <wp:extent cx="4552950" cy="167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-6952615</wp:posOffset>
            </wp:positionV>
            <wp:extent cx="4552950"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-6619240</wp:posOffset>
            </wp:positionV>
            <wp:extent cx="4552950" cy="2425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-6209030</wp:posOffset>
            </wp:positionV>
            <wp:extent cx="4552950" cy="167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-5799455</wp:posOffset>
            </wp:positionV>
            <wp:extent cx="4552950" cy="167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-5465445</wp:posOffset>
            </wp:positionV>
            <wp:extent cx="4552950" cy="2425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-5055870</wp:posOffset>
            </wp:positionV>
            <wp:extent cx="4552950" cy="167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-4646295</wp:posOffset>
            </wp:positionV>
            <wp:extent cx="455295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-4312285</wp:posOffset>
            </wp:positionV>
            <wp:extent cx="4552950" cy="242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-3902075</wp:posOffset>
            </wp:positionV>
            <wp:extent cx="4552950" cy="167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-3492500</wp:posOffset>
            </wp:positionV>
            <wp:extent cx="4552950"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-3158490</wp:posOffset>
            </wp:positionV>
            <wp:extent cx="4552950" cy="242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-2748915</wp:posOffset>
            </wp:positionV>
            <wp:extent cx="4552950" cy="167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-2339340</wp:posOffset>
            </wp:positionV>
            <wp:extent cx="4552950" cy="167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-2005330</wp:posOffset>
            </wp:positionV>
            <wp:extent cx="4552950" cy="2425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-1595755</wp:posOffset>
            </wp:positionV>
            <wp:extent cx="4552950" cy="2203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52950" cy="22034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-7757160</wp:posOffset>
            </wp:positionV>
            <wp:extent cx="4552950" cy="2279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2950" cy="227965"/>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3069" w:lineRule="exact"/>
        <w:rPr>
          <w:sz w:val="20"/>
          <w:szCs w:val="20"/>
          <w:color w:val="auto"/>
        </w:rPr>
      </w:pPr>
    </w:p>
    <w:p>
      <w:pPr>
        <w:sectPr>
          <w:pgSz w:w="11900" w:h="16840" w:orient="portrait"/>
          <w:cols w:equalWidth="0" w:num="2">
            <w:col w:w="7440" w:space="180"/>
            <w:col w:w="1400"/>
          </w:cols>
          <w:pgMar w:left="1440" w:top="556" w:right="1440" w:bottom="705"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05" w:gutter="0" w:footer="0" w:header="0"/>
          <w:type w:val="continuous"/>
        </w:sectPr>
      </w:pPr>
    </w:p>
    <w:bookmarkStart w:id="13" w:name="page14"/>
    <w:bookmarkEnd w:id="1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FAIR</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0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08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Apex Credit CLO 2019-II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19.45%,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25, 2032)</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10/27/2020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4,500,000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2,039,520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1,463,465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XVIII-R</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27.69%,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22,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2,401,243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XXIII</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21.30%,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15, 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4/01/2022</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2,938,296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2,872,000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Apidos CLO XXXIV</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18.45%,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1/13/2022</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6,638,197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6,268,500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XXVII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11.97%,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28,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3/06/2019</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27,871,690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12,142,853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8,982,135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XXXIV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16.97%,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17, 2033)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8/30/2021</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9,132,699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XXXVR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11.28%,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9/13/2022</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2,047,427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1,538,820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XXXVII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6.56%,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2/12/2019</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6,276,921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3,252,606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XL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11.24%, maturity January 15, 2029)</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11/30/2017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41,274,000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1,481,173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XLII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9"/>
              </w:rPr>
              <w:t>CLO subordinated notes</w:t>
            </w:r>
            <w:r>
              <w:rPr>
                <w:rFonts w:ascii="Times New Roman" w:cs="Times New Roman" w:eastAsia="Times New Roman" w:hAnsi="Times New Roman"/>
                <w:sz w:val="19"/>
                <w:szCs w:val="19"/>
                <w:color w:val="auto"/>
                <w:w w:val="99"/>
                <w:vertAlign w:val="superscript"/>
              </w:rPr>
              <w:t>(5)(7)(10)(19)</w:t>
            </w:r>
            <w:r>
              <w:rPr>
                <w:rFonts w:ascii="Times New Roman" w:cs="Times New Roman" w:eastAsia="Times New Roman" w:hAnsi="Times New Roman"/>
                <w:sz w:val="13"/>
                <w:szCs w:val="13"/>
                <w:color w:val="auto"/>
                <w:w w:val="99"/>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January 22, 2028)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6/23/2021</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21,910,000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2,765,683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72,817</w:t>
            </w: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XLIV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29.28%, maturity April 15,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12/15/2023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30,943,942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28,834,520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0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XLVI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8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9"/>
              </w:rPr>
              <w:t>CLO subordinated notes</w:t>
            </w:r>
            <w:r>
              <w:rPr>
                <w:rFonts w:ascii="Times New Roman" w:cs="Times New Roman" w:eastAsia="Times New Roman" w:hAnsi="Times New Roman"/>
                <w:sz w:val="19"/>
                <w:szCs w:val="19"/>
                <w:color w:val="auto"/>
                <w:w w:val="99"/>
                <w:vertAlign w:val="superscript"/>
              </w:rPr>
              <w:t>(5)(7)(10)(19)</w:t>
            </w:r>
            <w:r>
              <w:rPr>
                <w:rFonts w:ascii="Times New Roman" w:cs="Times New Roman" w:eastAsia="Times New Roman" w:hAnsi="Times New Roman"/>
                <w:sz w:val="13"/>
                <w:szCs w:val="13"/>
                <w:color w:val="auto"/>
                <w:w w:val="99"/>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8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January 15,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1/25/2022</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304,554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117,215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XLIX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08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w:t>
            </w:r>
            <w:r>
              <w:rPr>
                <w:rFonts w:ascii="Times New Roman" w:cs="Times New Roman" w:eastAsia="Times New Roman" w:hAnsi="Times New Roman"/>
                <w:sz w:val="13"/>
                <w:szCs w:val="13"/>
                <w:color w:val="auto"/>
                <w:w w:val="98"/>
              </w:rPr>
              <w:t>, (Estimated yield 17.63%,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8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22,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8/19/2022</w:t>
            </w:r>
          </w:p>
        </w:tc>
        <w:tc>
          <w:tcPr>
            <w:tcW w:w="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2,030,145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1,923,930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14" w:name="page15"/>
    <w:bookmarkEnd w:id="1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FAIR</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VALUE</w:t>
            </w:r>
            <w:r>
              <w:rPr>
                <w:rFonts w:ascii="Times New Roman" w:cs="Times New Roman" w:eastAsia="Times New Roman" w:hAnsi="Times New Roman"/>
                <w:sz w:val="11"/>
                <w:szCs w:val="11"/>
                <w:b w:val="1"/>
                <w:bCs w:val="1"/>
                <w:color w:val="auto"/>
                <w:w w:val="93"/>
                <w:vertAlign w:val="superscript"/>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LVII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20.23%,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25,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8/22/2022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$ 21,200,000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12,665,420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11,083,920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LXI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11.16%,</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10,211,177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LXIV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31.86%, maturity October 22, 2039)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6/08/2023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10,049,280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6,184,270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6,591,864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Ares LXVII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26.29%,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25, 2036)</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10/31/2022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7,702,546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9,127,976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Ares Loan Funding VII,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18.89%, maturity October 22,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8/16/2024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31,553,555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Atlas Senior Loan Funding XVII,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18.37%,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4,334,989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2,910,000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Atlas Senior Loan Fund XVIII,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17.48%,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18,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4/21/2022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3,755,254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Atrium XV</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14.06%, maturity July 16,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9/17/2019</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12,749,599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11,340,000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Battalion CLO VII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17, 2028)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7/03/2018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26,900,000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2,748,141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18,830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2015-4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April 20,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7/22/2020</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9,644,700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2,074,812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868,023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2016-3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17.66%,</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November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8/18/2020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9,897,500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3,159,408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2,474,375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2018-1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July 30, 2030)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1/14/2020</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739,970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44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15" w:name="page16"/>
    <w:bookmarkEnd w:id="1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FAIR</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81"/>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5"/>
                <w:szCs w:val="15"/>
                <w:color w:val="auto"/>
              </w:rPr>
            </w:pPr>
          </w:p>
        </w:tc>
        <w:tc>
          <w:tcPr>
            <w:tcW w:w="780" w:type="dxa"/>
            <w:vAlign w:val="bottom"/>
            <w:gridSpan w:val="2"/>
          </w:tcPr>
          <w:p>
            <w:pPr>
              <w:jc w:val="center"/>
              <w:ind w:right="20"/>
              <w:spacing w:after="0" w:line="181" w:lineRule="exact"/>
              <w:rPr>
                <w:sz w:val="20"/>
                <w:szCs w:val="20"/>
                <w:color w:val="auto"/>
              </w:rPr>
            </w:pPr>
            <w:r>
              <w:rPr>
                <w:rFonts w:ascii="Times New Roman" w:cs="Times New Roman" w:eastAsia="Times New Roman" w:hAnsi="Times New Roman"/>
                <w:sz w:val="20"/>
                <w:szCs w:val="20"/>
                <w:b w:val="1"/>
                <w:bCs w:val="1"/>
                <w:color w:val="auto"/>
                <w:w w:val="84"/>
                <w:vertAlign w:val="subscript"/>
              </w:rPr>
              <w:t>DATE</w:t>
            </w:r>
            <w:r>
              <w:rPr>
                <w:rFonts w:ascii="Times New Roman" w:cs="Times New Roman" w:eastAsia="Times New Roman" w:hAnsi="Times New Roman"/>
                <w:sz w:val="6"/>
                <w:szCs w:val="6"/>
                <w:b w:val="1"/>
                <w:bCs w:val="1"/>
                <w:color w:val="auto"/>
                <w:w w:val="84"/>
              </w:rPr>
              <w:t>(15)</w:t>
            </w:r>
          </w:p>
        </w:tc>
        <w:tc>
          <w:tcPr>
            <w:tcW w:w="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123"/>
        </w:trPr>
        <w:tc>
          <w:tcPr>
            <w:tcW w:w="3140" w:type="dxa"/>
            <w:vAlign w:val="bottom"/>
            <w:tcBorders>
              <w:top w:val="single" w:sz="8" w:color="auto"/>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2018-3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18.54%,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6/11/2020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$ 23,825,000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5,435,765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XXXI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26.29%, maturity April 19,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16,782,602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9,643,982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9,062,605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CLO XXXIV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15.31%,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9,651,722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5.83%,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20,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2/13/2020</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27,980,000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8,843,317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3,637,400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2013-2,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4"/>
              </w:rPr>
              <w:t>CLO subordinated notes</w:t>
            </w:r>
            <w:r>
              <w:rPr>
                <w:rFonts w:ascii="Times New Roman" w:cs="Times New Roman" w:eastAsia="Times New Roman" w:hAnsi="Times New Roman"/>
                <w:sz w:val="19"/>
                <w:szCs w:val="19"/>
                <w:color w:val="auto"/>
                <w:w w:val="94"/>
                <w:vertAlign w:val="superscript"/>
              </w:rPr>
              <w:t>(5)(7)(10)(11)(19)</w:t>
            </w:r>
            <w:r>
              <w:rPr>
                <w:rFonts w:ascii="Times New Roman" w:cs="Times New Roman" w:eastAsia="Times New Roman" w:hAnsi="Times New Roman"/>
                <w:sz w:val="13"/>
                <w:szCs w:val="13"/>
                <w:color w:val="auto"/>
                <w:w w:val="94"/>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18,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3/19/2013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16,098,067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1,167,135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12,878</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2013-4,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January 15,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3,134,816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1,612,835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Global Market Strategies CLO 2014-5,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15,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3/27/2019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7,134,333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1,735,596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499,403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2020-1,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23.13%,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8/04/2023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12,601,653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2020-2,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16.11%, maturity January 25, 2035)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10/21/2020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14,558,333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9,937,251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7,424,750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2021-8,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12.82%,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42,537,500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29,610,912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24,246,375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2021-11,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16.85%,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25, 2039)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35,949,200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17,414,928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17,255,616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2022-3,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15.84%,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22,821,421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19,980,100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Carlyle US CLO 2024-F, Ltd. – Warehouse Equity</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(4)(5)(7)(11)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54.69%, maturity September 11, 2026)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8,944,444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8,944,444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8,944,444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Cathedral Lake CLO 2013,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w w:val="94"/>
              </w:rPr>
              <w:t>CLO subordinated notes</w:t>
            </w:r>
            <w:r>
              <w:rPr>
                <w:rFonts w:ascii="Times New Roman" w:cs="Times New Roman" w:eastAsia="Times New Roman" w:hAnsi="Times New Roman"/>
                <w:sz w:val="19"/>
                <w:szCs w:val="19"/>
                <w:color w:val="auto"/>
                <w:w w:val="94"/>
                <w:vertAlign w:val="superscript"/>
              </w:rPr>
              <w:t>(5)(7)(10)(11)(19)</w:t>
            </w:r>
            <w:r>
              <w:rPr>
                <w:rFonts w:ascii="Times New Roman" w:cs="Times New Roman" w:eastAsia="Times New Roman" w:hAnsi="Times New Roman"/>
                <w:sz w:val="13"/>
                <w:szCs w:val="13"/>
                <w:color w:val="auto"/>
                <w:w w:val="94"/>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October 15, 2029)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5/31/2018</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2,765,917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81,130</w:t>
            </w: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215"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7" w:name="page18"/>
    <w:bookmarkEnd w:id="1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Catskill Park CLO,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20,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7,942,500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1,477,961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777,571</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CBAM 2019-10,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25.88%,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6,737,590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CBAM 2021-14,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9.29%,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13,587,806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7,518,750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IV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23.44%,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23,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42,847,225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19,483,393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17,138,890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VIII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23.24%,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17,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1/28/2022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59,507,500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26,535,023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24,398,075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XII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17.84%,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32,008,575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22,931,240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18,564,974</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Cedar Funding XV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17.99%,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34,235,000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25,204,329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22,937,450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CIFC Funding 2014-III,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7"/>
              </w:rPr>
              <w:t>CLO income notes</w:t>
            </w:r>
            <w:r>
              <w:rPr>
                <w:rFonts w:ascii="Times New Roman" w:cs="Times New Roman" w:eastAsia="Times New Roman" w:hAnsi="Times New Roman"/>
                <w:sz w:val="19"/>
                <w:szCs w:val="19"/>
                <w:color w:val="auto"/>
                <w:w w:val="97"/>
                <w:vertAlign w:val="superscript"/>
              </w:rPr>
              <w:t>(5)(7)(11)(19)</w:t>
            </w:r>
            <w:r>
              <w:rPr>
                <w:rFonts w:ascii="Times New Roman" w:cs="Times New Roman" w:eastAsia="Times New Roman" w:hAnsi="Times New Roman"/>
                <w:sz w:val="13"/>
                <w:szCs w:val="13"/>
                <w:color w:val="auto"/>
                <w:w w:val="97"/>
              </w:rPr>
              <w:t>, (Estimated yield 0.00%,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22,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18,225,000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4,285,384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2,551,500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CIFC Funding 2021-VII,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14.95%,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23, 2035)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10/18/2021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27,435,000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22,835,310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19,478,850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Columbia Cent CLO 28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November 07,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1/14/2022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9,220,962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Columbia Cent CLO 32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30.73%,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24,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10/04/2023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17,687,500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10,838,325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8,666,875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Crestline Denali CLO XVI,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20,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4,796,195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2,996,400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Croton Park CLO, Ltd. - Warehouse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7"/>
              </w:rPr>
              <w:t>CLO preferred shares</w:t>
            </w:r>
            <w:r>
              <w:rPr>
                <w:rFonts w:ascii="Times New Roman" w:cs="Times New Roman" w:eastAsia="Times New Roman" w:hAnsi="Times New Roman"/>
                <w:sz w:val="19"/>
                <w:szCs w:val="19"/>
                <w:color w:val="auto"/>
                <w:w w:val="97"/>
                <w:vertAlign w:val="superscript"/>
              </w:rPr>
              <w:t>(4)(5)(7)</w:t>
            </w:r>
            <w:r>
              <w:rPr>
                <w:rFonts w:ascii="Times New Roman" w:cs="Times New Roman" w:eastAsia="Times New Roman" w:hAnsi="Times New Roman"/>
                <w:sz w:val="13"/>
                <w:szCs w:val="13"/>
                <w:color w:val="auto"/>
                <w:w w:val="97"/>
              </w:rPr>
              <w:t>, (Estimated yield 128.27%,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May 01, 2025)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-7309485</wp:posOffset>
            </wp:positionV>
            <wp:extent cx="4552950" cy="167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-6899910</wp:posOffset>
            </wp:positionV>
            <wp:extent cx="4552950" cy="167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2425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-6156325</wp:posOffset>
            </wp:positionV>
            <wp:extent cx="4552950" cy="167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-5746115</wp:posOffset>
            </wp:positionV>
            <wp:extent cx="4552950" cy="167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-5412740</wp:posOffset>
            </wp:positionV>
            <wp:extent cx="4552950" cy="2425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-5002530</wp:posOffset>
            </wp:positionV>
            <wp:extent cx="4552950" cy="167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-4592955</wp:posOffset>
            </wp:positionV>
            <wp:extent cx="4552950" cy="167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-7703820</wp:posOffset>
            </wp:positionV>
            <wp:extent cx="4552950" cy="227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2950" cy="227330"/>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985" w:lineRule="exact"/>
        <w:rPr>
          <w:sz w:val="20"/>
          <w:szCs w:val="20"/>
          <w:color w:val="auto"/>
        </w:rPr>
      </w:pPr>
    </w:p>
    <w:p>
      <w:pPr>
        <w:sectPr>
          <w:pgSz w:w="11900" w:h="16840" w:orient="portrait"/>
          <w:cols w:equalWidth="0" w:num="2">
            <w:col w:w="7440" w:space="180"/>
            <w:col w:w="1400"/>
          </w:cols>
          <w:pgMar w:left="1440" w:top="556" w:right="1440" w:bottom="78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18" w:name="page19"/>
    <w:bookmarkEnd w:id="1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Croton Park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16.44%, maturity October 15,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8/28/2024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$ 49,573,000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42,726,113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42,082,520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Dryden 38 Senior Loan Fund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July 15,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4,590,542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1,637,500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Dryden 53 CLO, LLC</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15,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9,640,783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1,894,302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867,670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Dryden 75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14,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1,547,438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946,553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Dryden 76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18.62%,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21,989,000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8,663,813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8,596,232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Dryden 78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18.43%, maturity April 17,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19,913,726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12,032,390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10,355,138</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Dryden 86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7.73%,</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17,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23,267,101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Dryden 87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20.62%,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May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13,909,650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Dryden 92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21.27%, maturity November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3,438,515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Dryden 106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17.22%,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2035)</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10/18/2022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29,477,500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23,601,443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21,468,483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Dryden 108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21.29%,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18,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6/15/2023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21,274,655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22,165,000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2020-11,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14.35%, maturity April 15, 2033)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2/21/2020</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58,231,578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27,623,092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20,963,368</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2021-12,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10.21%,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44,245,037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22,928,585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15,264,538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19" w:name="page20"/>
    <w:bookmarkEnd w:id="1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Elevation CLO 2021-14,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3.36%,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9/21/2021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$ 32,000,000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23,182,214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 CLO 2014-1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26.94%,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17,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6/13/2024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37,275,000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9,258,051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8,014,125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14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15.52%,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7/24/2023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20,117,782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18,864,000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16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14.45%, maturity April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21,937,841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19,648,000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27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12.91%, maturity April 18,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44,412,500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37,337,383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34,641,750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V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8,423,624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9,048,000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VI,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16.55%,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18,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23,677,000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17,405,023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17,580,173</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CLO XII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17.43%, maturity October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7/24/2023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7,976,440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Elmwood Warehouse Nomura 2,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(4)(5)(7)</w:t>
            </w:r>
            <w:r>
              <w:rPr>
                <w:rFonts w:ascii="Times New Roman" w:cs="Times New Roman" w:eastAsia="Times New Roman" w:hAnsi="Times New Roman"/>
                <w:sz w:val="13"/>
                <w:szCs w:val="13"/>
                <w:color w:val="auto"/>
              </w:rPr>
              <w:t>, (Estimated yield 19.10%,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16, 2026)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Franklin Park Place CLO I</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26.07%, maturity April 14,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5/30/2024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15,061,105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Gulf Stream Meridian 5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17.04%, maturity July 15,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3,310,756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3,277,973</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3-2014,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18,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6/19/2020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4,921,564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Highbridge Loan Management 5-2015,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22.48%,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23,125,000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3,220,557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1,819,938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-7309485</wp:posOffset>
            </wp:positionV>
            <wp:extent cx="4552950" cy="167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-6899910</wp:posOffset>
            </wp:positionV>
            <wp:extent cx="4552950" cy="167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2425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-6156325</wp:posOffset>
            </wp:positionV>
            <wp:extent cx="4552950" cy="167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-5746115</wp:posOffset>
            </wp:positionV>
            <wp:extent cx="4552950" cy="167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-5412105</wp:posOffset>
            </wp:positionV>
            <wp:extent cx="4552950" cy="2425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-5002530</wp:posOffset>
            </wp:positionV>
            <wp:extent cx="4552950" cy="167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-4592955</wp:posOffset>
            </wp:positionV>
            <wp:extent cx="4552950" cy="167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-7703820</wp:posOffset>
            </wp:positionV>
            <wp:extent cx="4552950" cy="2273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52950" cy="227330"/>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985" w:lineRule="exact"/>
        <w:rPr>
          <w:sz w:val="20"/>
          <w:szCs w:val="20"/>
          <w:color w:val="auto"/>
        </w:rPr>
      </w:pPr>
    </w:p>
    <w:p>
      <w:pPr>
        <w:sectPr>
          <w:pgSz w:w="11900" w:h="16840" w:orient="portrait"/>
          <w:cols w:equalWidth="0" w:num="2">
            <w:col w:w="7440" w:space="180"/>
            <w:col w:w="1400"/>
          </w:cols>
          <w:pgMar w:left="1440" w:top="556" w:right="1440" w:bottom="78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0" w:name="page21"/>
    <w:bookmarkEnd w:id="2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81"/>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5"/>
                <w:szCs w:val="15"/>
                <w:color w:val="auto"/>
              </w:rPr>
            </w:pPr>
          </w:p>
        </w:tc>
        <w:tc>
          <w:tcPr>
            <w:tcW w:w="780" w:type="dxa"/>
            <w:vAlign w:val="bottom"/>
            <w:gridSpan w:val="2"/>
          </w:tcPr>
          <w:p>
            <w:pPr>
              <w:jc w:val="center"/>
              <w:ind w:right="20"/>
              <w:spacing w:after="0" w:line="181" w:lineRule="exact"/>
              <w:rPr>
                <w:sz w:val="20"/>
                <w:szCs w:val="20"/>
                <w:color w:val="auto"/>
              </w:rPr>
            </w:pPr>
            <w:r>
              <w:rPr>
                <w:rFonts w:ascii="Times New Roman" w:cs="Times New Roman" w:eastAsia="Times New Roman" w:hAnsi="Times New Roman"/>
                <w:sz w:val="20"/>
                <w:szCs w:val="20"/>
                <w:b w:val="1"/>
                <w:bCs w:val="1"/>
                <w:color w:val="auto"/>
                <w:w w:val="84"/>
                <w:vertAlign w:val="subscript"/>
              </w:rPr>
              <w:t>DATE</w:t>
            </w:r>
            <w:r>
              <w:rPr>
                <w:rFonts w:ascii="Times New Roman" w:cs="Times New Roman" w:eastAsia="Times New Roman" w:hAnsi="Times New Roman"/>
                <w:sz w:val="6"/>
                <w:szCs w:val="6"/>
                <w:b w:val="1"/>
                <w:bCs w:val="1"/>
                <w:color w:val="auto"/>
                <w:w w:val="84"/>
              </w:rPr>
              <w:t>(15)</w:t>
            </w:r>
          </w:p>
        </w:tc>
        <w:tc>
          <w:tcPr>
            <w:tcW w:w="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123"/>
        </w:trPr>
        <w:tc>
          <w:tcPr>
            <w:tcW w:w="3140" w:type="dxa"/>
            <w:vAlign w:val="bottom"/>
            <w:tcBorders>
              <w:top w:val="single" w:sz="8" w:color="auto"/>
            </w:tcBorders>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HPS Loan Management 10-2016,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11.75%,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10/21/2021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$ 24,460,380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11,037,614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7,827,322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HPS Loan Management 2021-16,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13.31%,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23, 2035)</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11/12/2021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32,364,000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24,440,381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18,123,840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ICG US CLO 2014-1,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25.39%,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3/01/2023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28,687,500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5,266,482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2,868,750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ICG US CLO 2018-2,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2.51%,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22,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5,625,949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1,615,500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Kings Park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17.39%,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21, 2035)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12/07/2021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30,552,500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21,670,226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18,942,550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KVK CLO 2013-1,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January 14, 2028)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9/22/2020</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292,886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116,130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LCM 35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10.79%,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10/28/2021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18,411,221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9,694,077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LCM 40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27.67%,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15, 2036)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12,970,938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14,847,427</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Longfellow Place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15,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19,640,000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5,309,310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July 23, 2029)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425,600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XIII,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w w:val="94"/>
              </w:rPr>
              <w:t>CLO subordinated notes</w:t>
            </w:r>
            <w:r>
              <w:rPr>
                <w:rFonts w:ascii="Times New Roman" w:cs="Times New Roman" w:eastAsia="Times New Roman" w:hAnsi="Times New Roman"/>
                <w:sz w:val="19"/>
                <w:szCs w:val="19"/>
                <w:color w:val="auto"/>
                <w:w w:val="94"/>
                <w:vertAlign w:val="superscript"/>
              </w:rPr>
              <w:t>(5)(7)(10)(11)(19)</w:t>
            </w:r>
            <w:r>
              <w:rPr>
                <w:rFonts w:ascii="Times New Roman" w:cs="Times New Roman" w:eastAsia="Times New Roman" w:hAnsi="Times New Roman"/>
                <w:sz w:val="13"/>
                <w:szCs w:val="13"/>
                <w:color w:val="auto"/>
                <w:w w:val="94"/>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19,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9/17/2019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808,400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17.61%,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1/26/2022</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4,283,798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44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21" w:name="page22"/>
    <w:bookmarkEnd w:id="2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XXIV,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8.34%,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3/28/2019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3,568,750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1,478,552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1,177,688</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XXVIII,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19.50%,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15, 2030)</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4,267,000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2,245,835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1,584,413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Madison Park Funding XXX,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24.42%, maturity July 16,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2/23/2018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20,442,764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10,208,742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11,274,723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314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Madison Park Fund XLI, Ltd. (fka: Atrium XII</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CLO)</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April 22, 2027)</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10/08/2015</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39,075,000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273,525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XVI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26.68%, maturity November 16,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4/17/2024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8,174,294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7,472,500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XVII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25.43%,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8,448,854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XVIII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14.58%,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20,557,801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15,402,500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Marble Point CLO XXIV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20.02%,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20,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27,190,000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18,398,400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15,770,200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Mariner CLO 8,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27.24%, maturity April 20, 2033)</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11/08/2023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5,307,927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5,432,000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Medalist Partners Corporate Finance CLO VI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32.04%,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17, 2033)</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14,826,000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5,146,895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5,930,400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II</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29,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6/17/2021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3,256,849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III</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21,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4/24/2019</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5,610,318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Midocean Credit CLO VI</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2033)</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11/08/2016</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29,700,000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17,845,547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Milford Park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22.65%,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20, 2035)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5/12/2022</w:t>
            </w:r>
          </w:p>
        </w:tc>
        <w:tc>
          <w:tcPr>
            <w:tcW w:w="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32,960,000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27,036,022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27,356,800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31" w:gutter="0" w:footer="0" w:header="0"/>
        </w:sectPr>
      </w:pPr>
    </w:p>
    <w:bookmarkStart w:id="22" w:name="page23"/>
    <w:bookmarkEnd w:id="22"/>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23" w:name="page24"/>
    <w:bookmarkEnd w:id="2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MP CLO VIII,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9.79%,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28,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11/10/2021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$ 11,000,000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3,990,375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2,255,000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Nassau 2017-II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9/17/2019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8,200,260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Neuberger Berman CLO XIV,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6.85%,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28,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1,918,659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1,404,000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Neuberger Berman CLO XVII,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18.90%, maturity July 22, 2038)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6/13/2024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73,756,250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17,225,922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15,488,813</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Nyack Park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16.97%,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9/02/2021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25,263,613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Oaktree CLO 2018-1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October 20,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84,600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Oaktree CLO 2019-1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19.68%,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22,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2,241,747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Oaktree CLO 2019-3,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23.06%,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6,092,218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Oaktree CLO 2022-1,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24.16%,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May 15, 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22,122,158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2015-9,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26.71%,</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15, 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3,989,758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2015-10,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5"/>
              </w:rPr>
              <w:t>CLO preference shares</w:t>
            </w:r>
            <w:r>
              <w:rPr>
                <w:rFonts w:ascii="Times New Roman" w:cs="Times New Roman" w:eastAsia="Times New Roman" w:hAnsi="Times New Roman"/>
                <w:sz w:val="19"/>
                <w:szCs w:val="19"/>
                <w:color w:val="auto"/>
                <w:w w:val="95"/>
                <w:vertAlign w:val="superscript"/>
              </w:rPr>
              <w:t>(5)(7)(11)</w:t>
            </w:r>
            <w:r>
              <w:rPr>
                <w:rFonts w:ascii="Times New Roman" w:cs="Times New Roman" w:eastAsia="Times New Roman" w:hAnsi="Times New Roman"/>
                <w:sz w:val="13"/>
                <w:szCs w:val="13"/>
                <w:color w:val="auto"/>
                <w:w w:val="95"/>
              </w:rPr>
              <w:t>, (Estimated yield 23.65%,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26,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7/06/2023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11,127,503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10,642,500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2016-11,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5"/>
              </w:rPr>
              <w:t>CLO preference shares</w:t>
            </w:r>
            <w:r>
              <w:rPr>
                <w:rFonts w:ascii="Times New Roman" w:cs="Times New Roman" w:eastAsia="Times New Roman" w:hAnsi="Times New Roman"/>
                <w:sz w:val="19"/>
                <w:szCs w:val="19"/>
                <w:color w:val="auto"/>
                <w:w w:val="95"/>
                <w:vertAlign w:val="superscript"/>
              </w:rPr>
              <w:t>(5)(7)(11)</w:t>
            </w:r>
            <w:r>
              <w:rPr>
                <w:rFonts w:ascii="Times New Roman" w:cs="Times New Roman" w:eastAsia="Times New Roman" w:hAnsi="Times New Roman"/>
                <w:sz w:val="13"/>
                <w:szCs w:val="13"/>
                <w:color w:val="auto"/>
                <w:w w:val="95"/>
              </w:rPr>
              <w:t>, (Estimated yield 20.93%,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26,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14,266,796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13,110,000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2020-18,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preference shares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19.85%,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8/16/2022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46,010,000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17,896,641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17,943,900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-7309485</wp:posOffset>
            </wp:positionV>
            <wp:extent cx="4552950" cy="167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-6899910</wp:posOffset>
            </wp:positionV>
            <wp:extent cx="4552950" cy="167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2425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-6156325</wp:posOffset>
            </wp:positionV>
            <wp:extent cx="4552950" cy="167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-5746115</wp:posOffset>
            </wp:positionV>
            <wp:extent cx="4552950" cy="167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-5412740</wp:posOffset>
            </wp:positionV>
            <wp:extent cx="4552950" cy="2425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-5002530</wp:posOffset>
            </wp:positionV>
            <wp:extent cx="4552950" cy="167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-4592955</wp:posOffset>
            </wp:positionV>
            <wp:extent cx="4552950" cy="167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-7703820</wp:posOffset>
            </wp:positionV>
            <wp:extent cx="4552950" cy="2279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52950" cy="227965"/>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985" w:lineRule="exact"/>
        <w:rPr>
          <w:sz w:val="20"/>
          <w:szCs w:val="20"/>
          <w:color w:val="auto"/>
        </w:rPr>
      </w:pPr>
    </w:p>
    <w:p>
      <w:pPr>
        <w:sectPr>
          <w:pgSz w:w="11900" w:h="16840" w:orient="portrait"/>
          <w:cols w:equalWidth="0" w:num="2">
            <w:col w:w="7440" w:space="180"/>
            <w:col w:w="1400"/>
          </w:cols>
          <w:pgMar w:left="1440" w:top="556" w:right="1440" w:bottom="78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4" w:name="page25"/>
    <w:bookmarkEnd w:id="2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XXII,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22,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6/07/2018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$ 32,055,000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5,962,701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1,121,925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36,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April 15,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2,405,468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857,009</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38,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24.51%,</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9/13/2022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27,930,029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7,266,438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5,865,306</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40,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9.51%,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2/14/2019</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3,786,032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41,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25.96%, maturity October 15, 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7,338,021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6,402,124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42,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26.55%, maturity July 15,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15,412,447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7,119,931</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6,549,855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47,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19.34%,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20,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10/19/2023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5,274,438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Investment Partners 48,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16.41%,</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7/25/2022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7,300,492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6,047,500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52,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24.30%, maturity July 23,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31,926,829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23,288,243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23,625,853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57,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14.34%,</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2034)</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10/13/2021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31,725,000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22,367,587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15,124,770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Octagon 60,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9/08/2022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30,263,196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2024-34,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17.14%, maturity October 15,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26,469,494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25,385,360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OCP CLO 2024-37,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15.58%, maturity October 15,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9/27/2024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27,035,000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22,717,052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22,679,662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5" w:name="page26"/>
    <w:bookmarkEnd w:id="2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VIII,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preferred shares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 0.00%,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August 16,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8,500,000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2,969,634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OFSI BSL X,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25.31%, maturity April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14,111,694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Onex CLO Subsidiary 2023-1,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15.69%, maturity April 23,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35,600,000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31,456,522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28,544,080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OZLM VII,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July 17, 2029)</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1/29/2020</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21,891,673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2,032,047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407,185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IX,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67.66%,</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6/24/2022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1,516,992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OZLM XXIII,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27.35%,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31,755,000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11,892,195</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12,250,091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OZLM XIV,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9.22%,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15, 2034)</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12/07/2015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31,810,472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12,646,390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8,167,737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OZLM XIX,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20.62%,</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15,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42,795,000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19,069,920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15,313,142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Peace Park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18.89%,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13,909,503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12,937,500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VI Funding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10.07%,</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10/21/2021</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10,067,206</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XVIII Funding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17.46%,</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28,886,856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20,537,582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17,909,851</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XXII Funding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24.30%,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20,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38,823,000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29,922,148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32,611,320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XXIII Funding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 15.02%,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20, 2035)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11/04/2021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25,829,333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19,808,925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16,530,773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6" w:name="page27"/>
    <w:bookmarkEnd w:id="2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XXVI Funding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15.34%,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25, 2037)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10/31/2023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$ 17,467,500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15,617,717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14,323,350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Regatta XXIX Funding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14.72%, maturity September 6,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48,542,640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44,745,237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43,688,376</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Riserva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18.27%,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18,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3/18/2022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13,600,000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4,722,295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3,808,000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2019-1,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22.03%,</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9/13/2023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5,572,167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16.82%,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20, 2035)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38,068,750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29,431,765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22,079,875</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Rockford Tower CLO 2022-3,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37.20%, maturity July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10,047,705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Rockland Park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13.00%,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21,231,437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16,962,500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Romark CLO – V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income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10.58%,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15, 2035)</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11/18/2021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18,605,552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12,015,000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XXIX,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24.19%, maturity October 22,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9/20/2023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10,522,947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9,672,000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21.54%, maturity April 30,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3/06/2024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9,075,779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8,400,000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Sculptor CLO XXXIII,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16.24%, maturity July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7/01/2024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5,786,000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4,577,412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4,397,360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Shackleton 2013-IV-R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19.69%,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13,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8/14/2018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4,121,025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1,696,641</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Shackleton 2014-V-R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May 07,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9/17/2019</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3,132,959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-7309485</wp:posOffset>
            </wp:positionV>
            <wp:extent cx="4552950" cy="167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-6899910</wp:posOffset>
            </wp:positionV>
            <wp:extent cx="4552950" cy="167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2425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-6156325</wp:posOffset>
            </wp:positionV>
            <wp:extent cx="4552950" cy="167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-5746115</wp:posOffset>
            </wp:positionV>
            <wp:extent cx="4552950" cy="167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-5412740</wp:posOffset>
            </wp:positionV>
            <wp:extent cx="4552950" cy="2425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-5002530</wp:posOffset>
            </wp:positionV>
            <wp:extent cx="4552950" cy="167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-4592955</wp:posOffset>
            </wp:positionV>
            <wp:extent cx="4552950" cy="167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-7703820</wp:posOffset>
            </wp:positionV>
            <wp:extent cx="4552950" cy="2273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52950" cy="227330"/>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1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985" w:lineRule="exact"/>
        <w:rPr>
          <w:sz w:val="20"/>
          <w:szCs w:val="20"/>
          <w:color w:val="auto"/>
        </w:rPr>
      </w:pPr>
    </w:p>
    <w:p>
      <w:pPr>
        <w:sectPr>
          <w:pgSz w:w="11900" w:h="16840" w:orient="portrait"/>
          <w:cols w:equalWidth="0" w:num="2">
            <w:col w:w="7440" w:space="180"/>
            <w:col w:w="1400"/>
          </w:cols>
          <w:pgMar w:left="1440" w:top="556" w:right="1440" w:bottom="78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7" w:name="page28"/>
    <w:bookmarkEnd w:id="2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4,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23.40%, maturity October 26,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8/09/2023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7,056,061</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2,109,773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1,411,212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5,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25.96%, maturity April 25,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33,067,500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9,972,363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8,928,225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9,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11.64%,</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21,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7/19/2021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29,060,000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21,103,395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15,692,400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Signal Peak CLO 10,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13.43%,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January 24,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6,501,078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V-R,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18,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5/04/2021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2,859,667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July 26,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4,520,042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XXIII,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35.06%, maturity July 15,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19,202,500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5,421,540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4,848,175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XXIX,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26.55%,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25,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21,428,000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9,868,930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8,142,640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XXX,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24.67%,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25,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21,151,500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10,006,363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7,826,055</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XXXIII,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24.80%,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25,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15,733,176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7,927,179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6,450,602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Sound Point CLO 40,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15.98%, maturity October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8/06/2024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28,635,000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25,348,980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24,743,504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Symphony CLO XVII,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April 15, 2028)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486,167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1,417,475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TCW CLO 2021-2,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22.87%, maturity July 25,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5,625,000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3,177,223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8" w:name="page29"/>
    <w:bookmarkEnd w:id="2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3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TCW CLO 2022-1, Ltd.</w:t>
            </w:r>
          </w:p>
        </w:tc>
        <w:tc>
          <w:tcPr>
            <w:tcW w:w="82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27.99%,</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22, 2033)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$ 24,550,000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12,686,494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12,275,000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Telos CLO 2013-3,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17, 2026)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1/25/2013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14,332,210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6,266,409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Telos CLO 2014-6,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17, 2027)</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11/08/2017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9,166,640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THL Credit Wind River 2017-1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3.55%,</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April 18,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2/02/2017</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7,780,379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3,834,000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THL Credit Wind River 2018-3 CLO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13.57%,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20,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3/02/2022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16,207,786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9,398,000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Tralee CLO II,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20,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6/06/2018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1,683,974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Tralee CLO IV, Ltd.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20, 2030)</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12/21/2017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13,270,000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5,502,595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XV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15, 2032)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15,992,521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2,636,185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1,199,439</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XVII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(5)(7)(11)(19)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15, 2027)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1/09/2017</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6,377,579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w w:val="94"/>
              </w:rPr>
              <w:t>CLO subordinated notes</w:t>
            </w:r>
            <w:r>
              <w:rPr>
                <w:rFonts w:ascii="Times New Roman" w:cs="Times New Roman" w:eastAsia="Times New Roman" w:hAnsi="Times New Roman"/>
                <w:sz w:val="19"/>
                <w:szCs w:val="19"/>
                <w:color w:val="auto"/>
                <w:w w:val="94"/>
                <w:vertAlign w:val="superscript"/>
              </w:rPr>
              <w:t>(5)(7)(10)(11)(19)</w:t>
            </w:r>
            <w:r>
              <w:rPr>
                <w:rFonts w:ascii="Times New Roman" w:cs="Times New Roman" w:eastAsia="Times New Roman" w:hAnsi="Times New Roman"/>
                <w:sz w:val="13"/>
                <w:szCs w:val="13"/>
                <w:color w:val="auto"/>
                <w:w w:val="94"/>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15, 2027)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7/27/2018</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532,119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July 15, 2027)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8/16/2017</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13,459,356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XXII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January 15, 2031)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4,881,468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647,500</w:t>
            </w:r>
          </w:p>
        </w:tc>
        <w:tc>
          <w:tcPr>
            <w:tcW w:w="0" w:type="dxa"/>
            <w:vAlign w:val="bottom"/>
          </w:tcPr>
          <w:p>
            <w:pPr>
              <w:spacing w:after="0"/>
              <w:rPr>
                <w:sz w:val="1"/>
                <w:szCs w:val="1"/>
                <w:color w:val="auto"/>
              </w:rPr>
            </w:pPr>
          </w:p>
        </w:tc>
      </w:tr>
      <w:tr>
        <w:trPr>
          <w:trHeight w:val="526"/>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XXIII CLO, Limited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140" w:type="dxa"/>
            <w:vAlign w:val="bottom"/>
            <w:gridSpan w:val="3"/>
          </w:tcPr>
          <w:p>
            <w:pPr>
              <w:ind w:left="160"/>
              <w:spacing w:after="0" w:line="212"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13.24%,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19,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5/24/2022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4,125,000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1,314,077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-7309485</wp:posOffset>
            </wp:positionV>
            <wp:extent cx="4552950" cy="167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-6899910</wp:posOffset>
            </wp:positionV>
            <wp:extent cx="4552950" cy="167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-6565900</wp:posOffset>
            </wp:positionV>
            <wp:extent cx="4552950" cy="2425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-6156325</wp:posOffset>
            </wp:positionV>
            <wp:extent cx="4552950" cy="167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-5746115</wp:posOffset>
            </wp:positionV>
            <wp:extent cx="4552950" cy="167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-5412740</wp:posOffset>
            </wp:positionV>
            <wp:extent cx="4552950" cy="2425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-5002530</wp:posOffset>
            </wp:positionV>
            <wp:extent cx="4552950" cy="167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-4592955</wp:posOffset>
            </wp:positionV>
            <wp:extent cx="4552950" cy="167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-7703820</wp:posOffset>
            </wp:positionV>
            <wp:extent cx="4552950" cy="2279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52950" cy="227965"/>
                    </a:xfrm>
                    <a:prstGeom prst="rect">
                      <a:avLst/>
                    </a:prstGeom>
                    <a:noFill/>
                  </pic:spPr>
                </pic:pic>
              </a:graphicData>
            </a:graphic>
          </wp:anchor>
        </w:drawing>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11"/>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2985" w:lineRule="exact"/>
        <w:rPr>
          <w:sz w:val="20"/>
          <w:szCs w:val="20"/>
          <w:color w:val="auto"/>
        </w:rPr>
      </w:pPr>
    </w:p>
    <w:p>
      <w:pPr>
        <w:sectPr>
          <w:pgSz w:w="11900" w:h="16840" w:orient="portrait"/>
          <w:cols w:equalWidth="0" w:num="2">
            <w:col w:w="7440" w:space="180"/>
            <w:col w:w="1400"/>
          </w:cols>
          <w:pgMar w:left="1440" w:top="556" w:right="1440" w:bottom="78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29" w:name="page30"/>
    <w:bookmarkEnd w:id="2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10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1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2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40" w:type="dxa"/>
            <w:vAlign w:val="bottom"/>
            <w:gridSpan w:val="3"/>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980" w:type="dxa"/>
            <w:vAlign w:val="bottom"/>
            <w:tcBorders>
              <w:top w:val="single" w:sz="8" w:color="auto"/>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320" w:type="dxa"/>
            <w:vAlign w:val="bottom"/>
            <w:tcBorders>
              <w:top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0.00%, maturity April 20, 2029)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9/25/2020</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$ 13,750,000</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1,705,463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37 CLO,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9.29%,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July 15, 2032)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5/28/2019</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4,051,618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2,125,000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41 CLO,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18.40%,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January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4/06/2022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6,373,554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42 CLO,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16.33%,</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15,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4,804,079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44 CLO,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9.57%,</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8/16/2021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24,750,000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17,195,504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9,900,000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47 CLO,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29.69%,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April 20, 2036)</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10,150,370</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10,270,000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Venture 48 CLO,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23.82%,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8/24/2023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26,848,000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22,776,716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19,330,560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Vibrant CLO III,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0.00%, maturity October 20, 2031)</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2/05/2019</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31,810,000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7,587,877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3,658,150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Vibrant CLO XIV,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17.12%,</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8/17/2022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31,400,000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20,374,118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18,212,000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2018-4,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28.08%,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15,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1/03/2024</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38,851,800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11,396,163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13,598,130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2020-1,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12.58%,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maturity July 16,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3/08/2022</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15,500,000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10,417,945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8,215,000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3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314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2020-3,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140" w:type="dxa"/>
            <w:vAlign w:val="bottom"/>
            <w:gridSpan w:val="3"/>
            <w:shd w:val="clear" w:color="auto" w:fill="CCEEFF"/>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 15.79%,</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maturity October 20, 2034)</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5/03/2022</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10,500,000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8,168,217</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6,877,500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Voya CLO 2024-4,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3140" w:type="dxa"/>
            <w:vAlign w:val="bottom"/>
            <w:gridSpan w:val="3"/>
          </w:tcPr>
          <w:p>
            <w:pPr>
              <w:ind w:left="160"/>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1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auto"/>
              </w:rPr>
              <w:t>16.79%, maturity July 20, 2037)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7/12/2024</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42,720,000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39,880,830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38,448,000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788"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88" w:gutter="0" w:footer="0" w:header="0"/>
          <w:type w:val="continuous"/>
        </w:sectPr>
      </w:pPr>
    </w:p>
    <w:bookmarkStart w:id="30" w:name="page31"/>
    <w:bookmarkEnd w:id="3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FAIR</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560" w:type="dxa"/>
            <w:vAlign w:val="bottom"/>
            <w:gridSpan w:val="2"/>
          </w:tcPr>
          <w:p>
            <w:pPr>
              <w:jc w:val="center"/>
              <w:ind w:right="20"/>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040" w:type="dxa"/>
            <w:vAlign w:val="bottom"/>
            <w:gridSpan w:val="8"/>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040" w:type="dxa"/>
            <w:vAlign w:val="bottom"/>
            <w:gridSpan w:val="8"/>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 Equity Investments</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2820" w:type="dxa"/>
            <w:vAlign w:val="bottom"/>
            <w:tcBorders>
              <w:top w:val="single" w:sz="8" w:color="auto"/>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4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Investments (continued)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Wellfleet 2016-2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auto"/>
              </w:rPr>
              <w:t>0.00%, maturity October 20, 2028)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9/28/2016</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$ 11,000,000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5,280,208</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West CLO 2014-1,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(5)(7)(10)(11)(19)</w:t>
            </w:r>
            <w:r>
              <w:rPr>
                <w:rFonts w:ascii="Times New Roman" w:cs="Times New Roman" w:eastAsia="Times New Roman" w:hAnsi="Times New Roman"/>
                <w:sz w:val="13"/>
                <w:szCs w:val="13"/>
                <w:color w:val="auto"/>
              </w:rPr>
              <w:t>, (Estimated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CCEEFF"/>
            </w:tcBorders>
            <w:gridSpan w:val="7"/>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yield 0.00%, maturity July 18, 2026)</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11/16/2018</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20,250,000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2021-2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w w:val="99"/>
              </w:rPr>
              <w:t>CLO subordinated notes</w:t>
            </w:r>
            <w:r>
              <w:rPr>
                <w:rFonts w:ascii="Times New Roman" w:cs="Times New Roman" w:eastAsia="Times New Roman" w:hAnsi="Times New Roman"/>
                <w:sz w:val="19"/>
                <w:szCs w:val="19"/>
                <w:color w:val="auto"/>
                <w:w w:val="99"/>
                <w:vertAlign w:val="superscript"/>
              </w:rPr>
              <w:t>(5)(7)</w:t>
            </w:r>
            <w:r>
              <w:rPr>
                <w:rFonts w:ascii="Times New Roman" w:cs="Times New Roman" w:eastAsia="Times New Roman" w:hAnsi="Times New Roman"/>
                <w:sz w:val="13"/>
                <w:szCs w:val="13"/>
                <w:color w:val="auto"/>
                <w:w w:val="99"/>
              </w:rPr>
              <w:t>, (Estimated yield 7.89%,</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auto"/>
              </w:rPr>
              <w:t>maturity July 20, 2034)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20,197,995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12,587,000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Wind River 2021-4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(5)(7)(11)(19)</w:t>
            </w:r>
            <w:r>
              <w:rPr>
                <w:rFonts w:ascii="Times New Roman" w:cs="Times New Roman" w:eastAsia="Times New Roman" w:hAnsi="Times New Roman"/>
                <w:sz w:val="13"/>
                <w:szCs w:val="13"/>
                <w:color w:val="auto"/>
                <w:w w:val="98"/>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CCEEFF"/>
            </w:tcBorders>
            <w:gridSpan w:val="7"/>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0.00%, maturity January 20, 2035)</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8/15/2023</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9,096,750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5,008,791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2,729,025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2023-1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w w:val="99"/>
              </w:rPr>
              <w:t>CLO subordinated notes</w:t>
            </w:r>
            <w:r>
              <w:rPr>
                <w:rFonts w:ascii="Times New Roman" w:cs="Times New Roman" w:eastAsia="Times New Roman" w:hAnsi="Times New Roman"/>
                <w:sz w:val="19"/>
                <w:szCs w:val="19"/>
                <w:color w:val="auto"/>
                <w:w w:val="99"/>
                <w:vertAlign w:val="superscript"/>
              </w:rPr>
              <w:t>(5)(7)</w:t>
            </w:r>
            <w:r>
              <w:rPr>
                <w:rFonts w:ascii="Times New Roman" w:cs="Times New Roman" w:eastAsia="Times New Roman" w:hAnsi="Times New Roman"/>
                <w:sz w:val="13"/>
                <w:szCs w:val="13"/>
                <w:color w:val="auto"/>
                <w:w w:val="99"/>
              </w:rPr>
              <w:t>, (Estimated yield 6.68%,</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auto"/>
              </w:rPr>
              <w:t>maturity April 25, 2036)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3/13/2023</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42,300,000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35,002,918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25,380,000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York CLO-5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w:t>
            </w:r>
            <w:r>
              <w:rPr>
                <w:rFonts w:ascii="Times New Roman" w:cs="Times New Roman" w:eastAsia="Times New Roman" w:hAnsi="Times New Roman"/>
                <w:sz w:val="13"/>
                <w:szCs w:val="13"/>
                <w:color w:val="auto"/>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CCEEFF"/>
            </w:tcBorders>
            <w:gridSpan w:val="7"/>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34.91%, maturity July 22, 2037)</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5/20/2021</w:t>
            </w:r>
          </w:p>
        </w:tc>
        <w:tc>
          <w:tcPr>
            <w:tcW w:w="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32,625,000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15,770,288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20,390,625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Zais CLO 7,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notes</w:t>
            </w:r>
            <w:r>
              <w:rPr>
                <w:rFonts w:ascii="Times New Roman" w:cs="Times New Roman" w:eastAsia="Times New Roman" w:hAnsi="Times New Roman"/>
                <w:sz w:val="19"/>
                <w:szCs w:val="19"/>
                <w:color w:val="auto"/>
                <w:vertAlign w:val="superscript"/>
              </w:rPr>
              <w:t>(5)(7)(19)</w:t>
            </w:r>
            <w:r>
              <w:rPr>
                <w:rFonts w:ascii="Times New Roman" w:cs="Times New Roman" w:eastAsia="Times New Roman" w:hAnsi="Times New Roman"/>
                <w:sz w:val="13"/>
                <w:szCs w:val="13"/>
                <w:color w:val="auto"/>
              </w:rPr>
              <w:t>, (Estimated yield</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auto"/>
              </w:rPr>
              <w:t>0.00%, maturity April 15, 2030)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6/29/2021</w:t>
            </w:r>
          </w:p>
        </w:tc>
        <w:tc>
          <w:tcPr>
            <w:tcW w:w="4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9,200,000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1,764,640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Zais CLO 9,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w w:val="98"/>
              </w:rPr>
              <w:t>CLO subordinated notes</w:t>
            </w:r>
            <w:r>
              <w:rPr>
                <w:rFonts w:ascii="Times New Roman" w:cs="Times New Roman" w:eastAsia="Times New Roman" w:hAnsi="Times New Roman"/>
                <w:sz w:val="19"/>
                <w:szCs w:val="19"/>
                <w:color w:val="auto"/>
                <w:w w:val="98"/>
                <w:vertAlign w:val="superscript"/>
              </w:rPr>
              <w:t>(5)(7)(10)(19)</w:t>
            </w:r>
            <w:r>
              <w:rPr>
                <w:rFonts w:ascii="Times New Roman" w:cs="Times New Roman" w:eastAsia="Times New Roman" w:hAnsi="Times New Roman"/>
                <w:sz w:val="13"/>
                <w:szCs w:val="13"/>
                <w:color w:val="auto"/>
                <w:w w:val="98"/>
              </w:rPr>
              <w:t>, (Estimated yield</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2880" w:type="dxa"/>
            <w:vAlign w:val="bottom"/>
            <w:gridSpan w:val="7"/>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0.00%, maturity July 20, 2031)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6/19/2018</w:t>
            </w:r>
          </w:p>
        </w:tc>
        <w:tc>
          <w:tcPr>
            <w:tcW w:w="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4,245,763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68,580</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880" w:type="dxa"/>
            <w:vAlign w:val="bottom"/>
            <w:gridSpan w:val="7"/>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p>
        </w:tc>
        <w:tc>
          <w:tcPr>
            <w:tcW w:w="2880" w:type="dxa"/>
            <w:vAlign w:val="bottom"/>
            <w:gridSpan w:val="7"/>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2,364,336,897</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1,912,535,767</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119.11%</w:t>
            </w:r>
          </w:p>
        </w:tc>
        <w:tc>
          <w:tcPr>
            <w:tcW w:w="0" w:type="dxa"/>
            <w:vAlign w:val="bottom"/>
          </w:tcPr>
          <w:p>
            <w:pPr>
              <w:spacing w:after="0"/>
              <w:rPr>
                <w:sz w:val="1"/>
                <w:szCs w:val="1"/>
                <w:color w:val="auto"/>
              </w:rPr>
            </w:pPr>
          </w:p>
        </w:tc>
      </w:tr>
      <w:tr>
        <w:trPr>
          <w:trHeight w:val="263"/>
        </w:trPr>
        <w:tc>
          <w:tcPr>
            <w:tcW w:w="16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31"/>
        </w:trPr>
        <w:tc>
          <w:tcPr>
            <w:tcW w:w="3040" w:type="dxa"/>
            <w:vAlign w:val="bottom"/>
            <w:gridSpan w:val="8"/>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4"/>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34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w:t>
            </w:r>
          </w:p>
        </w:tc>
        <w:tc>
          <w:tcPr>
            <w:tcW w:w="36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60" w:type="dxa"/>
            <w:vAlign w:val="bottom"/>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86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Fee Note Investments</w:t>
            </w: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AMMC CLO 25,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w w:val="99"/>
              </w:rPr>
              <w:t>CLO subordinated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April 15,</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4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4/27/2022</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892,160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734,621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Ares LXI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w w:val="99"/>
              </w:rPr>
              <w:t>CLO subordinated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April 20,</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2037)</w:t>
            </w: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8/25/2021</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436,063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BlueMountain Fuji US CLO II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CCEEFF"/>
            </w:tcBorders>
            <w:gridSpan w:val="7"/>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October 20, 2030)</w:t>
            </w: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12/22/2021</w:t>
            </w:r>
          </w:p>
        </w:tc>
        <w:tc>
          <w:tcPr>
            <w:tcW w:w="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54,482</w:t>
            </w: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88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Columbia Cent CLO 28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880" w:type="dxa"/>
            <w:vAlign w:val="bottom"/>
            <w:gridSpan w:val="7"/>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880" w:type="dxa"/>
            <w:vAlign w:val="bottom"/>
            <w:gridSpan w:val="7"/>
          </w:tcPr>
          <w:p>
            <w:pPr>
              <w:ind w:left="160"/>
              <w:spacing w:after="0"/>
              <w:rPr>
                <w:sz w:val="20"/>
                <w:szCs w:val="20"/>
                <w:color w:val="auto"/>
              </w:rPr>
            </w:pPr>
            <w:r>
              <w:rPr>
                <w:rFonts w:ascii="Times New Roman" w:cs="Times New Roman" w:eastAsia="Times New Roman" w:hAnsi="Times New Roman"/>
                <w:sz w:val="13"/>
                <w:szCs w:val="13"/>
                <w:color w:val="auto"/>
              </w:rPr>
              <w:t>November 07, 2030)</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12/22/2021</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Highbridge Loan Management 3-2014,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88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 July 18,</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2029)</w:t>
            </w:r>
          </w:p>
        </w:tc>
        <w:tc>
          <w:tcPr>
            <w:tcW w:w="14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4/06/2022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33,855</w:t>
            </w: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83"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2" w:name="page33"/>
    <w:bookmarkEnd w:id="3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ind w:left="15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5"/>
              </w:rPr>
              <w:t>ACQUISITION</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96"/>
              <w:spacing w:after="0"/>
              <w:rPr>
                <w:sz w:val="20"/>
                <w:szCs w:val="20"/>
                <w:color w:val="auto"/>
              </w:rPr>
            </w:pPr>
            <w:r>
              <w:rPr>
                <w:rFonts w:ascii="Times New Roman" w:cs="Times New Roman" w:eastAsia="Times New Roman" w:hAnsi="Times New Roman"/>
                <w:sz w:val="11"/>
                <w:szCs w:val="11"/>
                <w:b w:val="1"/>
                <w:bCs w:val="1"/>
                <w:color w:val="auto"/>
              </w:rPr>
              <w:t>FAIR</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900" w:type="dxa"/>
            <w:vAlign w:val="bottom"/>
            <w:gridSpan w:val="3"/>
          </w:tcPr>
          <w:p>
            <w:pPr>
              <w:jc w:val="center"/>
              <w:ind w:right="260"/>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16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10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DATE</w:t>
            </w:r>
            <w:r>
              <w:rPr>
                <w:rFonts w:ascii="Times New Roman" w:cs="Times New Roman" w:eastAsia="Times New Roman" w:hAnsi="Times New Roman"/>
                <w:sz w:val="11"/>
                <w:szCs w:val="11"/>
                <w:b w:val="1"/>
                <w:bCs w:val="1"/>
                <w:color w:val="auto"/>
                <w:vertAlign w:val="superscript"/>
              </w:rPr>
              <w:t>(15)</w:t>
            </w:r>
          </w:p>
        </w:tc>
        <w:tc>
          <w:tcPr>
            <w:tcW w:w="90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SHARES</w:t>
            </w: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16"/>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160" w:type="dxa"/>
            <w:vAlign w:val="bottom"/>
            <w:gridSpan w:val="6"/>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 w:type="dxa"/>
            <w:vAlign w:val="bottom"/>
            <w:tcBorders>
              <w:top w:val="single" w:sz="8" w:color="auto"/>
            </w:tcBorders>
          </w:tcPr>
          <w:p>
            <w:pPr>
              <w:spacing w:after="0"/>
              <w:rPr>
                <w:sz w:val="11"/>
                <w:szCs w:val="11"/>
                <w:color w:val="auto"/>
              </w:rPr>
            </w:pPr>
          </w:p>
        </w:tc>
        <w:tc>
          <w:tcPr>
            <w:tcW w:w="2680" w:type="dxa"/>
            <w:vAlign w:val="bottom"/>
            <w:tcBorders>
              <w:top w:val="single" w:sz="8" w:color="auto"/>
            </w:tcBorders>
            <w:gridSpan w:val="3"/>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340" w:type="dxa"/>
            <w:vAlign w:val="bottom"/>
            <w:tcBorders>
              <w:top w:val="single" w:sz="8" w:color="auto"/>
            </w:tcBorders>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 (continued)</w:t>
            </w:r>
          </w:p>
        </w:tc>
        <w:tc>
          <w:tcPr>
            <w:tcW w:w="360" w:type="dxa"/>
            <w:vAlign w:val="bottom"/>
            <w:gridSpan w:val="2"/>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1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Structured Finance – Equity Fee Note Investments</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HPS Loan Management 2021-16, Ltd.</w:t>
            </w: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9"/>
              </w:rPr>
              <w:t>CLO subordinated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January 23,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11/12/2021</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691,498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620,557</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LCM 40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9"/>
              </w:rPr>
              <w:t>CLO subordinated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January 15,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2036)</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4/20/2023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275,106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332,573</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Octagon 57,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(8)(11)(18)</w:t>
            </w:r>
            <w:r>
              <w:rPr>
                <w:rFonts w:ascii="Times New Roman" w:cs="Times New Roman" w:eastAsia="Times New Roman" w:hAnsi="Times New Roman"/>
                <w:sz w:val="13"/>
                <w:szCs w:val="13"/>
                <w:color w:val="auto"/>
              </w:rPr>
              <w:t>, (maturity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October 15, 2034)</w:t>
            </w: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10/13/2021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486,987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368,219</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Octagon 60,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8"/>
              </w:rPr>
              <w:t>CLO subordinated fee notes</w:t>
            </w:r>
            <w:r>
              <w:rPr>
                <w:rFonts w:ascii="Times New Roman" w:cs="Times New Roman" w:eastAsia="Times New Roman" w:hAnsi="Times New Roman"/>
                <w:sz w:val="19"/>
                <w:szCs w:val="19"/>
                <w:color w:val="auto"/>
                <w:w w:val="98"/>
                <w:vertAlign w:val="superscript"/>
              </w:rPr>
              <w:t>(8)(18)</w:t>
            </w:r>
            <w:r>
              <w:rPr>
                <w:rFonts w:ascii="Times New Roman" w:cs="Times New Roman" w:eastAsia="Times New Roman" w:hAnsi="Times New Roman"/>
                <w:sz w:val="13"/>
                <w:szCs w:val="13"/>
                <w:color w:val="auto"/>
                <w:w w:val="98"/>
              </w:rPr>
              <w:t>, (maturity October 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9/08/2022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967,801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920,139</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Point AU Roche Park CLO,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8"/>
              </w:rPr>
              <w:t>CLO subordinated M1 fee notes</w:t>
            </w:r>
            <w:r>
              <w:rPr>
                <w:rFonts w:ascii="Times New Roman" w:cs="Times New Roman" w:eastAsia="Times New Roman" w:hAnsi="Times New Roman"/>
                <w:sz w:val="19"/>
                <w:szCs w:val="19"/>
                <w:color w:val="auto"/>
                <w:w w:val="98"/>
                <w:vertAlign w:val="superscript"/>
              </w:rPr>
              <w:t>(8)(18)</w:t>
            </w:r>
            <w:r>
              <w:rPr>
                <w:rFonts w:ascii="Times New Roman" w:cs="Times New Roman" w:eastAsia="Times New Roman" w:hAnsi="Times New Roman"/>
                <w:sz w:val="13"/>
                <w:szCs w:val="13"/>
                <w:color w:val="auto"/>
                <w:w w:val="98"/>
              </w:rPr>
              <w:t>, (maturity July 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72,844</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8"/>
              </w:rPr>
              <w:t>CLO subordinated M2 fee notes</w:t>
            </w:r>
            <w:r>
              <w:rPr>
                <w:rFonts w:ascii="Times New Roman" w:cs="Times New Roman" w:eastAsia="Times New Roman" w:hAnsi="Times New Roman"/>
                <w:sz w:val="19"/>
                <w:szCs w:val="19"/>
                <w:color w:val="auto"/>
                <w:w w:val="98"/>
                <w:vertAlign w:val="superscript"/>
              </w:rPr>
              <w:t>(8)(18)</w:t>
            </w:r>
            <w:r>
              <w:rPr>
                <w:rFonts w:ascii="Times New Roman" w:cs="Times New Roman" w:eastAsia="Times New Roman" w:hAnsi="Times New Roman"/>
                <w:sz w:val="13"/>
                <w:szCs w:val="13"/>
                <w:color w:val="auto"/>
                <w:w w:val="98"/>
              </w:rPr>
              <w:t>, (maturity July 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197,247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152,504</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Rockland Park CLO,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M1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April 20, 2034)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143,920</w:t>
            </w: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M2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April 20, 2034)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403,822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309,120</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Rockford Tower CLO 2021-3,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8"/>
              </w:rPr>
              <w:t>CLO subordinated fee notes</w:t>
            </w:r>
            <w:r>
              <w:rPr>
                <w:rFonts w:ascii="Times New Roman" w:cs="Times New Roman" w:eastAsia="Times New Roman" w:hAnsi="Times New Roman"/>
                <w:sz w:val="19"/>
                <w:szCs w:val="19"/>
                <w:color w:val="auto"/>
                <w:w w:val="98"/>
                <w:vertAlign w:val="superscript"/>
              </w:rPr>
              <w:t>(8)(18)</w:t>
            </w:r>
            <w:r>
              <w:rPr>
                <w:rFonts w:ascii="Times New Roman" w:cs="Times New Roman" w:eastAsia="Times New Roman" w:hAnsi="Times New Roman"/>
                <w:sz w:val="13"/>
                <w:szCs w:val="13"/>
                <w:color w:val="auto"/>
                <w:w w:val="98"/>
              </w:rPr>
              <w:t>, (maturity October 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9/22/2021</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316,988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259,328</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Rockford Tower CLO 2022-1,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 July 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5/06/2022</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386,651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358,203</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Romark CLO – V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9"/>
              </w:rPr>
              <w:t>CLO subordinated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January 15,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11/18/2021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11,616</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Sound Point CLO XXIII,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Y fee notes</w:t>
            </w:r>
            <w:r>
              <w:rPr>
                <w:rFonts w:ascii="Times New Roman" w:cs="Times New Roman" w:eastAsia="Times New Roman" w:hAnsi="Times New Roman"/>
                <w:sz w:val="19"/>
                <w:szCs w:val="19"/>
                <w:color w:val="auto"/>
                <w:vertAlign w:val="superscript"/>
              </w:rPr>
              <w:t>(8)(11)(18)</w:t>
            </w:r>
            <w:r>
              <w:rPr>
                <w:rFonts w:ascii="Times New Roman" w:cs="Times New Roman" w:eastAsia="Times New Roman" w:hAnsi="Times New Roman"/>
                <w:sz w:val="13"/>
                <w:szCs w:val="13"/>
                <w:color w:val="auto"/>
              </w:rPr>
              <w:t>, (maturity</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3000" w:type="dxa"/>
            <w:vAlign w:val="bottom"/>
            <w:gridSpan w:val="5"/>
          </w:tcPr>
          <w:p>
            <w:pPr>
              <w:ind w:left="160"/>
              <w:spacing w:after="0"/>
              <w:rPr>
                <w:sz w:val="20"/>
                <w:szCs w:val="20"/>
                <w:color w:val="auto"/>
              </w:rPr>
            </w:pPr>
            <w:r>
              <w:rPr>
                <w:rFonts w:ascii="Times New Roman" w:cs="Times New Roman" w:eastAsia="Times New Roman" w:hAnsi="Times New Roman"/>
                <w:sz w:val="13"/>
                <w:szCs w:val="13"/>
                <w:color w:val="auto"/>
              </w:rPr>
              <w:t>July 15, 2034)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5/09/2024</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162,168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158,506</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Sound Point CLO XXIX,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9"/>
              </w:rPr>
              <w:t>CLO subordinated Y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April 25,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8/09/2023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189,408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196,545</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Sound Point CLO XXX,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rPr>
              <w:t>CLO subordinated Y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 July 25,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8/03/2023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211,152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220,919</w:t>
            </w:r>
          </w:p>
        </w:tc>
        <w:tc>
          <w:tcPr>
            <w:tcW w:w="0" w:type="dxa"/>
            <w:vAlign w:val="bottom"/>
          </w:tcPr>
          <w:p>
            <w:pPr>
              <w:spacing w:after="0"/>
              <w:rPr>
                <w:sz w:val="1"/>
                <w:szCs w:val="1"/>
                <w:color w:val="auto"/>
              </w:rPr>
            </w:pPr>
          </w:p>
        </w:tc>
      </w:tr>
      <w:tr>
        <w:trPr>
          <w:trHeight w:val="526"/>
        </w:trPr>
        <w:tc>
          <w:tcPr>
            <w:tcW w:w="160" w:type="dxa"/>
            <w:vAlign w:val="bottom"/>
          </w:tcPr>
          <w:p>
            <w:pPr>
              <w:spacing w:after="0"/>
              <w:rPr>
                <w:sz w:val="24"/>
                <w:szCs w:val="24"/>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Sound Point CLO XXXIII, Ltd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60" w:type="dxa"/>
            <w:vAlign w:val="bottom"/>
          </w:tcPr>
          <w:p>
            <w:pPr>
              <w:spacing w:after="0"/>
              <w:rPr>
                <w:sz w:val="18"/>
                <w:szCs w:val="18"/>
                <w:color w:val="auto"/>
              </w:rPr>
            </w:pPr>
          </w:p>
        </w:tc>
        <w:tc>
          <w:tcPr>
            <w:tcW w:w="3000" w:type="dxa"/>
            <w:vAlign w:val="bottom"/>
            <w:gridSpan w:val="5"/>
          </w:tcPr>
          <w:p>
            <w:pPr>
              <w:spacing w:after="0" w:line="212" w:lineRule="exact"/>
              <w:rPr>
                <w:sz w:val="20"/>
                <w:szCs w:val="20"/>
                <w:color w:val="auto"/>
              </w:rPr>
            </w:pPr>
            <w:r>
              <w:rPr>
                <w:rFonts w:ascii="Times New Roman" w:cs="Times New Roman" w:eastAsia="Times New Roman" w:hAnsi="Times New Roman"/>
                <w:sz w:val="13"/>
                <w:szCs w:val="13"/>
                <w:color w:val="auto"/>
                <w:w w:val="99"/>
              </w:rPr>
              <w:t>CLO subordinated Y fee notes</w:t>
            </w:r>
            <w:r>
              <w:rPr>
                <w:rFonts w:ascii="Times New Roman" w:cs="Times New Roman" w:eastAsia="Times New Roman" w:hAnsi="Times New Roman"/>
                <w:sz w:val="19"/>
                <w:szCs w:val="19"/>
                <w:color w:val="auto"/>
                <w:w w:val="99"/>
                <w:vertAlign w:val="superscript"/>
              </w:rPr>
              <w:t>(8)(18)</w:t>
            </w:r>
            <w:r>
              <w:rPr>
                <w:rFonts w:ascii="Times New Roman" w:cs="Times New Roman" w:eastAsia="Times New Roman" w:hAnsi="Times New Roman"/>
                <w:sz w:val="13"/>
                <w:szCs w:val="13"/>
                <w:color w:val="auto"/>
                <w:w w:val="99"/>
              </w:rPr>
              <w:t>, (maturity April 25,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2035)</w:t>
            </w:r>
          </w:p>
        </w:tc>
        <w:tc>
          <w:tcPr>
            <w:tcW w:w="1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6/01/2023</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206,363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212,182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-7795260</wp:posOffset>
            </wp:positionV>
            <wp:extent cx="4552950" cy="167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-7385050</wp:posOffset>
            </wp:positionV>
            <wp:extent cx="4552950" cy="167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-7051675</wp:posOffset>
            </wp:positionV>
            <wp:extent cx="4552950" cy="2425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-6641465</wp:posOffset>
            </wp:positionV>
            <wp:extent cx="4552950" cy="167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-6231890</wp:posOffset>
            </wp:positionV>
            <wp:extent cx="4552950" cy="167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-5897880</wp:posOffset>
            </wp:positionV>
            <wp:extent cx="4552950" cy="2425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-5488305</wp:posOffset>
            </wp:positionV>
            <wp:extent cx="4552950" cy="167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-5078730</wp:posOffset>
            </wp:positionV>
            <wp:extent cx="4552950" cy="2425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-4668520</wp:posOffset>
            </wp:positionV>
            <wp:extent cx="4552950" cy="1670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-4258945</wp:posOffset>
            </wp:positionV>
            <wp:extent cx="4552950" cy="2425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-3849370</wp:posOffset>
            </wp:positionV>
            <wp:extent cx="4552950" cy="167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-3439795</wp:posOffset>
            </wp:positionV>
            <wp:extent cx="4552950" cy="167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-3105785</wp:posOffset>
            </wp:positionV>
            <wp:extent cx="4552950" cy="2425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-2695575</wp:posOffset>
            </wp:positionV>
            <wp:extent cx="4552950" cy="167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-2286000</wp:posOffset>
            </wp:positionV>
            <wp:extent cx="4552950" cy="167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-1951990</wp:posOffset>
            </wp:positionV>
            <wp:extent cx="4552950" cy="2425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-1542415</wp:posOffset>
            </wp:positionV>
            <wp:extent cx="4552950" cy="167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-1132840</wp:posOffset>
            </wp:positionV>
            <wp:extent cx="4552950" cy="1670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-798830</wp:posOffset>
            </wp:positionV>
            <wp:extent cx="4552950" cy="2425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552950" cy="242570"/>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-389255</wp:posOffset>
            </wp:positionV>
            <wp:extent cx="4552950" cy="1670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20320</wp:posOffset>
            </wp:positionV>
            <wp:extent cx="4552950" cy="1670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586105</wp:posOffset>
            </wp:positionH>
            <wp:positionV relativeFrom="paragraph">
              <wp:posOffset>-8341360</wp:posOffset>
            </wp:positionV>
            <wp:extent cx="4552950" cy="3263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52950" cy="3263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left="80" w:right="1060" w:hanging="26"/>
        <w:spacing w:after="0" w:line="259" w:lineRule="auto"/>
        <w:tabs>
          <w:tab w:leader="none" w:pos="184" w:val="left"/>
        </w:tabs>
        <w:numPr>
          <w:ilvl w:val="0"/>
          <w:numId w:val="1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OF NET</w:t>
      </w:r>
    </w:p>
    <w:p>
      <w:pPr>
        <w:spacing w:after="0"/>
        <w:rPr>
          <w:sz w:val="20"/>
          <w:szCs w:val="20"/>
          <w:color w:val="auto"/>
        </w:rPr>
      </w:pPr>
      <w:r>
        <w:rPr>
          <w:rFonts w:ascii="Times New Roman" w:cs="Times New Roman" w:eastAsia="Times New Roman" w:hAnsi="Times New Roman"/>
          <w:sz w:val="10"/>
          <w:szCs w:val="10"/>
          <w:b w:val="1"/>
          <w:bCs w:val="1"/>
          <w:color w:val="auto"/>
        </w:rPr>
        <w:t>ASSETS</w:t>
      </w:r>
    </w:p>
    <w:p>
      <w:pPr>
        <w:spacing w:after="0" w:line="13381" w:lineRule="exact"/>
        <w:rPr>
          <w:sz w:val="20"/>
          <w:szCs w:val="20"/>
          <w:color w:val="auto"/>
        </w:rPr>
      </w:pPr>
    </w:p>
    <w:p>
      <w:pPr>
        <w:sectPr>
          <w:pgSz w:w="11900" w:h="16840" w:orient="portrait"/>
          <w:cols w:equalWidth="0" w:num="2">
            <w:col w:w="7440" w:space="180"/>
            <w:col w:w="1400"/>
          </w:cols>
          <w:pgMar w:left="1440" w:top="556" w:right="1440" w:bottom="274" w:gutter="0" w:footer="0" w:header="0"/>
        </w:sectPr>
      </w:pPr>
    </w:p>
    <w:p>
      <w:pPr>
        <w:spacing w:after="0" w:line="15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b w:val="1"/>
          <w:bCs w:val="1"/>
          <w:color w:val="auto"/>
        </w:rPr>
        <w:t>THL Credit Wind River 2017-1 CLO Ltd.</w:t>
      </w:r>
    </w:p>
    <w:p>
      <w:pPr>
        <w:sectPr>
          <w:pgSz w:w="11900" w:h="16840" w:orient="portrait"/>
          <w:cols w:equalWidth="0" w:num="1">
            <w:col w:w="9020"/>
          </w:cols>
          <w:pgMar w:left="1440" w:top="556" w:right="1440" w:bottom="274" w:gutter="0" w:footer="0" w:header="0"/>
          <w:type w:val="continuous"/>
        </w:sectPr>
      </w:pPr>
    </w:p>
    <w:bookmarkStart w:id="33" w:name="page34"/>
    <w:bookmarkEnd w:id="33"/>
    <w:tbl>
      <w:tblPr>
        <w:tblLayout w:type="fixed"/>
        <w:tblInd w:w="1080" w:type="dxa"/>
        <w:tblCellMar>
          <w:top w:w="0" w:type="dxa"/>
          <w:left w:w="0" w:type="dxa"/>
          <w:bottom w:w="0" w:type="dxa"/>
          <w:right w:w="0" w:type="dxa"/>
        </w:tblCellMar>
      </w:tblPr>
      <w:tr>
        <w:trPr>
          <w:trHeight w:val="218"/>
        </w:trPr>
        <w:tc>
          <w:tcPr>
            <w:tcW w:w="306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w w:val="96"/>
              </w:rPr>
              <w:t>CLO subordinated fee notes</w:t>
            </w:r>
            <w:r>
              <w:rPr>
                <w:rFonts w:ascii="Times New Roman" w:cs="Times New Roman" w:eastAsia="Times New Roman" w:hAnsi="Times New Roman"/>
                <w:sz w:val="19"/>
                <w:szCs w:val="19"/>
                <w:color w:val="auto"/>
                <w:w w:val="96"/>
                <w:vertAlign w:val="superscript"/>
              </w:rPr>
              <w:t>(8)(18)</w:t>
            </w:r>
            <w:r>
              <w:rPr>
                <w:rFonts w:ascii="Times New Roman" w:cs="Times New Roman" w:eastAsia="Times New Roman" w:hAnsi="Times New Roman"/>
                <w:sz w:val="13"/>
                <w:szCs w:val="13"/>
                <w:color w:val="auto"/>
                <w:w w:val="96"/>
              </w:rPr>
              <w:t>, (maturity April 18,</w:t>
            </w:r>
          </w:p>
        </w:tc>
        <w:tc>
          <w:tcPr>
            <w:tcW w:w="1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1"/>
        </w:trPr>
        <w:tc>
          <w:tcPr>
            <w:tcW w:w="3060" w:type="dxa"/>
            <w:vAlign w:val="bottom"/>
          </w:tcPr>
          <w:p>
            <w:pPr>
              <w:jc w:val="right"/>
              <w:ind w:right="2534"/>
              <w:spacing w:after="0"/>
              <w:rPr>
                <w:sz w:val="20"/>
                <w:szCs w:val="20"/>
                <w:color w:val="auto"/>
              </w:rPr>
            </w:pPr>
            <w:r>
              <w:rPr>
                <w:rFonts w:ascii="Times New Roman" w:cs="Times New Roman" w:eastAsia="Times New Roman" w:hAnsi="Times New Roman"/>
                <w:sz w:val="13"/>
                <w:szCs w:val="13"/>
                <w:color w:val="auto"/>
              </w:rPr>
              <w:t>2036)</w:t>
            </w:r>
          </w:p>
        </w:tc>
        <w:tc>
          <w:tcPr>
            <w:tcW w:w="1420" w:type="dxa"/>
            <w:vAlign w:val="bottom"/>
          </w:tcPr>
          <w:p>
            <w:pPr>
              <w:jc w:val="right"/>
              <w:ind w:right="574"/>
              <w:spacing w:after="0"/>
              <w:rPr>
                <w:sz w:val="20"/>
                <w:szCs w:val="20"/>
                <w:color w:val="auto"/>
              </w:rPr>
            </w:pPr>
            <w:r>
              <w:rPr>
                <w:rFonts w:ascii="Times New Roman" w:cs="Times New Roman" w:eastAsia="Times New Roman" w:hAnsi="Times New Roman"/>
                <w:sz w:val="13"/>
                <w:szCs w:val="13"/>
                <w:color w:val="auto"/>
              </w:rPr>
              <w:t>2/02/2017</w:t>
            </w:r>
          </w:p>
        </w:tc>
        <w:tc>
          <w:tcPr>
            <w:tcW w:w="12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68,059</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364,245</w:t>
            </w: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1500505</wp:posOffset>
            </wp:positionH>
            <wp:positionV relativeFrom="page">
              <wp:posOffset>361950</wp:posOffset>
            </wp:positionV>
            <wp:extent cx="4552950" cy="3340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52950" cy="33401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31" w:right="1440" w:bottom="1440" w:gutter="0" w:footer="0" w:header="0"/>
        </w:sectPr>
      </w:pPr>
    </w:p>
    <w:bookmarkStart w:id="34" w:name="page35"/>
    <w:bookmarkEnd w:id="3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ACQUISITION</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PRINCIPAL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FAIR</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 OF</w:t>
            </w:r>
          </w:p>
        </w:tc>
        <w:tc>
          <w:tcPr>
            <w:tcW w:w="0" w:type="dxa"/>
            <w:vAlign w:val="bottom"/>
          </w:tcPr>
          <w:p>
            <w:pPr>
              <w:spacing w:after="0"/>
              <w:rPr>
                <w:sz w:val="1"/>
                <w:szCs w:val="1"/>
                <w:color w:val="auto"/>
              </w:rPr>
            </w:pPr>
          </w:p>
        </w:tc>
      </w:tr>
      <w:tr>
        <w:trPr>
          <w:trHeight w:val="120"/>
        </w:trPr>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AMOUNT/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60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1"/>
                <w:szCs w:val="11"/>
                <w:b w:val="1"/>
                <w:bCs w:val="1"/>
                <w:color w:val="auto"/>
                <w:w w:val="97"/>
              </w:rPr>
              <w:t>NET</w:t>
            </w:r>
          </w:p>
        </w:tc>
        <w:tc>
          <w:tcPr>
            <w:tcW w:w="0" w:type="dxa"/>
            <w:vAlign w:val="bottom"/>
          </w:tcPr>
          <w:p>
            <w:pPr>
              <w:spacing w:after="0"/>
              <w:rPr>
                <w:sz w:val="1"/>
                <w:szCs w:val="1"/>
                <w:color w:val="auto"/>
              </w:rPr>
            </w:pPr>
          </w:p>
        </w:tc>
      </w:tr>
      <w:tr>
        <w:trPr>
          <w:trHeight w:val="159"/>
        </w:trPr>
        <w:tc>
          <w:tcPr>
            <w:tcW w:w="3060" w:type="dxa"/>
            <w:vAlign w:val="bottom"/>
            <w:gridSpan w:val="7"/>
          </w:tcPr>
          <w:p>
            <w:pPr>
              <w:spacing w:after="0"/>
              <w:rPr>
                <w:sz w:val="20"/>
                <w:szCs w:val="20"/>
                <w:color w:val="auto"/>
              </w:rPr>
            </w:pPr>
            <w:r>
              <w:rPr>
                <w:rFonts w:ascii="Times New Roman" w:cs="Times New Roman" w:eastAsia="Times New Roman" w:hAnsi="Times New Roman"/>
                <w:sz w:val="11"/>
                <w:szCs w:val="11"/>
                <w:b w:val="1"/>
                <w:bCs w:val="1"/>
                <w:color w:val="auto"/>
              </w:rPr>
              <w:t>COMPANY/INVESTMENT</w:t>
            </w:r>
            <w:r>
              <w:rPr>
                <w:rFonts w:ascii="Times New Roman" w:cs="Times New Roman" w:eastAsia="Times New Roman" w:hAnsi="Times New Roman"/>
                <w:sz w:val="11"/>
                <w:szCs w:val="11"/>
                <w:b w:val="1"/>
                <w:bCs w:val="1"/>
                <w:color w:val="auto"/>
                <w:vertAlign w:val="superscript"/>
              </w:rPr>
              <w:t>(1)(13)(14)</w:t>
            </w:r>
          </w:p>
        </w:tc>
        <w:tc>
          <w:tcPr>
            <w:tcW w:w="80" w:type="dxa"/>
            <w:vAlign w:val="bottom"/>
          </w:tcPr>
          <w:p>
            <w:pPr>
              <w:spacing w:after="0"/>
              <w:rPr>
                <w:sz w:val="13"/>
                <w:szCs w:val="13"/>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3"/>
              </w:rPr>
              <w:t>DATE</w:t>
            </w:r>
            <w:r>
              <w:rPr>
                <w:rFonts w:ascii="Times New Roman" w:cs="Times New Roman" w:eastAsia="Times New Roman" w:hAnsi="Times New Roman"/>
                <w:sz w:val="11"/>
                <w:szCs w:val="11"/>
                <w:b w:val="1"/>
                <w:bCs w:val="1"/>
                <w:color w:val="auto"/>
                <w:w w:val="93"/>
                <w:vertAlign w:val="superscript"/>
              </w:rPr>
              <w:t>(15)</w:t>
            </w: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1"/>
                <w:szCs w:val="11"/>
                <w:b w:val="1"/>
                <w:bCs w:val="1"/>
                <w:color w:val="auto"/>
                <w:vertAlign w:val="superscript"/>
              </w:rPr>
              <w:t>(2)</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0" w:type="dxa"/>
            <w:vAlign w:val="bottom"/>
          </w:tcPr>
          <w:p>
            <w:pPr>
              <w:spacing w:after="0"/>
              <w:rPr>
                <w:sz w:val="1"/>
                <w:szCs w:val="1"/>
                <w:color w:val="auto"/>
              </w:rPr>
            </w:pP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060" w:type="dxa"/>
            <w:vAlign w:val="bottom"/>
            <w:gridSpan w:val="7"/>
            <w:shd w:val="clear" w:color="auto" w:fill="CCEEFF"/>
          </w:tcPr>
          <w:p>
            <w:pPr>
              <w:spacing w:after="0" w:line="124" w:lineRule="exact"/>
              <w:rPr>
                <w:sz w:val="20"/>
                <w:szCs w:val="20"/>
                <w:color w:val="auto"/>
              </w:rPr>
            </w:pPr>
            <w:r>
              <w:rPr>
                <w:rFonts w:ascii="Times New Roman" w:cs="Times New Roman" w:eastAsia="Times New Roman" w:hAnsi="Times New Roman"/>
                <w:sz w:val="13"/>
                <w:szCs w:val="13"/>
                <w:b w:val="1"/>
                <w:bCs w:val="1"/>
                <w:color w:val="auto"/>
              </w:rPr>
              <w:t>Collateralized Loan Obligation Fee Notes – Equity</w:t>
            </w: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 w:type="dxa"/>
            <w:vAlign w:val="bottom"/>
            <w:tcBorders>
              <w:top w:val="single" w:sz="8" w:color="auto"/>
            </w:tcBorders>
            <w:shd w:val="clear" w:color="auto" w:fill="CCEEFF"/>
          </w:tcPr>
          <w:p>
            <w:pPr>
              <w:spacing w:after="0"/>
              <w:rPr>
                <w:sz w:val="11"/>
                <w:szCs w:val="11"/>
                <w:color w:val="auto"/>
              </w:rPr>
            </w:pPr>
          </w:p>
        </w:tc>
        <w:tc>
          <w:tcPr>
            <w:tcW w:w="2680" w:type="dxa"/>
            <w:vAlign w:val="bottom"/>
            <w:tcBorders>
              <w:top w:val="single" w:sz="8" w:color="auto"/>
            </w:tcBorders>
            <w:gridSpan w:val="4"/>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 – Other CLO Equity Related</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auto"/>
            </w:tcBorders>
            <w:gridSpan w:val="3"/>
            <w:shd w:val="clear" w:color="auto" w:fill="CCEEFF"/>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Investments (continued)</w:t>
            </w:r>
          </w:p>
        </w:tc>
        <w:tc>
          <w:tcPr>
            <w:tcW w:w="360" w:type="dxa"/>
            <w:vAlign w:val="bottom"/>
            <w:tcBorders>
              <w:top w:val="single" w:sz="8" w:color="CCEEFF"/>
            </w:tcBorders>
            <w:gridSpan w:val="2"/>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16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auto"/>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150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7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7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3060" w:type="dxa"/>
            <w:vAlign w:val="bottom"/>
            <w:gridSpan w:val="7"/>
          </w:tcPr>
          <w:p>
            <w:pPr>
              <w:spacing w:after="0" w:line="132" w:lineRule="exact"/>
              <w:rPr>
                <w:sz w:val="20"/>
                <w:szCs w:val="20"/>
                <w:color w:val="auto"/>
              </w:rPr>
            </w:pPr>
            <w:r>
              <w:rPr>
                <w:rFonts w:ascii="Times New Roman" w:cs="Times New Roman" w:eastAsia="Times New Roman" w:hAnsi="Times New Roman"/>
                <w:sz w:val="13"/>
                <w:szCs w:val="13"/>
                <w:b w:val="1"/>
                <w:bCs w:val="1"/>
                <w:color w:val="auto"/>
              </w:rPr>
              <w:t>Structured Finance – Equity Fee Note Investments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60" w:type="dxa"/>
            <w:vAlign w:val="bottom"/>
            <w:tcBorders>
              <w:top w:val="single" w:sz="8" w:color="auto"/>
            </w:tcBorders>
          </w:tcPr>
          <w:p>
            <w:pPr>
              <w:spacing w:after="0"/>
              <w:rPr>
                <w:sz w:val="14"/>
                <w:szCs w:val="14"/>
                <w:color w:val="auto"/>
              </w:rPr>
            </w:pPr>
          </w:p>
        </w:tc>
        <w:tc>
          <w:tcPr>
            <w:tcW w:w="270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3"/>
                <w:szCs w:val="13"/>
                <w:b w:val="1"/>
                <w:bCs w:val="1"/>
                <w:color w:val="auto"/>
              </w:rPr>
              <w:t>(continued)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Tralee CLO IV,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900" w:type="dxa"/>
            <w:vAlign w:val="bottom"/>
            <w:gridSpan w:val="6"/>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900" w:type="dxa"/>
            <w:vAlign w:val="bottom"/>
            <w:gridSpan w:val="6"/>
          </w:tcPr>
          <w:p>
            <w:pPr>
              <w:ind w:left="160"/>
              <w:spacing w:after="0"/>
              <w:rPr>
                <w:sz w:val="20"/>
                <w:szCs w:val="20"/>
                <w:color w:val="auto"/>
              </w:rPr>
            </w:pPr>
            <w:r>
              <w:rPr>
                <w:rFonts w:ascii="Times New Roman" w:cs="Times New Roman" w:eastAsia="Times New Roman" w:hAnsi="Times New Roman"/>
                <w:sz w:val="13"/>
                <w:szCs w:val="13"/>
                <w:color w:val="auto"/>
              </w:rPr>
              <w:t>January 20, 2030)</w:t>
            </w:r>
          </w:p>
        </w:tc>
        <w:tc>
          <w:tcPr>
            <w:tcW w:w="8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8"/>
              </w:rPr>
              <w:t>3/16/2018</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Venture XXV CLO, Limited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900" w:type="dxa"/>
            <w:vAlign w:val="bottom"/>
            <w:gridSpan w:val="6"/>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(8)(10)(18)</w:t>
            </w:r>
            <w:r>
              <w:rPr>
                <w:rFonts w:ascii="Times New Roman" w:cs="Times New Roman" w:eastAsia="Times New Roman" w:hAnsi="Times New Roman"/>
                <w:sz w:val="13"/>
                <w:szCs w:val="13"/>
                <w:color w:val="auto"/>
              </w:rPr>
              <w:t>, (maturity</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6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April 20, 2029)</w:t>
            </w:r>
          </w:p>
        </w:tc>
        <w:tc>
          <w:tcPr>
            <w:tcW w:w="820" w:type="dxa"/>
            <w:vAlign w:val="bottom"/>
            <w:tcBorders>
              <w:bottom w:val="single" w:sz="8" w:color="CCEEFF"/>
            </w:tcBorders>
            <w:gridSpan w:val="2"/>
            <w:shd w:val="clear" w:color="auto" w:fill="CCEEFF"/>
          </w:tcPr>
          <w:p>
            <w:pPr>
              <w:jc w:val="center"/>
              <w:ind w:left="194"/>
              <w:spacing w:after="0"/>
              <w:rPr>
                <w:sz w:val="20"/>
                <w:szCs w:val="20"/>
                <w:color w:val="auto"/>
              </w:rPr>
            </w:pPr>
            <w:r>
              <w:rPr>
                <w:rFonts w:ascii="Times New Roman" w:cs="Times New Roman" w:eastAsia="Times New Roman" w:hAnsi="Times New Roman"/>
                <w:sz w:val="13"/>
                <w:szCs w:val="13"/>
                <w:color w:val="auto"/>
                <w:w w:val="98"/>
              </w:rPr>
              <w:t>9/25/2020</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Venture 42 CLO, Limited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900" w:type="dxa"/>
            <w:vAlign w:val="bottom"/>
            <w:gridSpan w:val="6"/>
          </w:tcPr>
          <w:p>
            <w:pPr>
              <w:spacing w:after="0" w:line="180" w:lineRule="exact"/>
              <w:rPr>
                <w:sz w:val="20"/>
                <w:szCs w:val="20"/>
                <w:color w:val="auto"/>
              </w:rPr>
            </w:pPr>
            <w:r>
              <w:rPr>
                <w:rFonts w:ascii="Times New Roman" w:cs="Times New Roman" w:eastAsia="Times New Roman" w:hAnsi="Times New Roman"/>
                <w:sz w:val="13"/>
                <w:szCs w:val="13"/>
                <w:color w:val="auto"/>
              </w:rPr>
              <w:t>CLO subordinated Y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60" w:type="dxa"/>
            <w:vAlign w:val="bottom"/>
          </w:tcPr>
          <w:p>
            <w:pPr>
              <w:spacing w:after="0"/>
              <w:rPr>
                <w:sz w:val="14"/>
                <w:szCs w:val="14"/>
                <w:color w:val="auto"/>
              </w:rPr>
            </w:pPr>
          </w:p>
        </w:tc>
        <w:tc>
          <w:tcPr>
            <w:tcW w:w="2900" w:type="dxa"/>
            <w:vAlign w:val="bottom"/>
            <w:gridSpan w:val="6"/>
          </w:tcPr>
          <w:p>
            <w:pPr>
              <w:ind w:left="160"/>
              <w:spacing w:after="0"/>
              <w:rPr>
                <w:sz w:val="20"/>
                <w:szCs w:val="20"/>
                <w:color w:val="auto"/>
              </w:rPr>
            </w:pPr>
            <w:r>
              <w:rPr>
                <w:rFonts w:ascii="Times New Roman" w:cs="Times New Roman" w:eastAsia="Times New Roman" w:hAnsi="Times New Roman"/>
                <w:sz w:val="13"/>
                <w:szCs w:val="13"/>
                <w:color w:val="auto"/>
              </w:rPr>
              <w:t>April 15, 2034)</w:t>
            </w:r>
          </w:p>
        </w:tc>
        <w:tc>
          <w:tcPr>
            <w:tcW w:w="8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8"/>
              </w:rPr>
              <w:t>3/15/2021</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222,918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169,115</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Wind River 2021-2 CLO Ltd.</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2900" w:type="dxa"/>
            <w:vAlign w:val="bottom"/>
            <w:gridSpan w:val="6"/>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 July 20,</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2034)</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center"/>
              <w:ind w:left="194"/>
              <w:spacing w:after="0"/>
              <w:rPr>
                <w:sz w:val="20"/>
                <w:szCs w:val="20"/>
                <w:color w:val="auto"/>
              </w:rPr>
            </w:pPr>
            <w:r>
              <w:rPr>
                <w:rFonts w:ascii="Times New Roman" w:cs="Times New Roman" w:eastAsia="Times New Roman" w:hAnsi="Times New Roman"/>
                <w:sz w:val="13"/>
                <w:szCs w:val="13"/>
                <w:color w:val="auto"/>
                <w:w w:val="98"/>
              </w:rPr>
              <w:t>5/14/2021</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410,840</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320,478</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Wind River 2023-1 CLO Ltd.</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900" w:type="dxa"/>
            <w:vAlign w:val="bottom"/>
            <w:gridSpan w:val="6"/>
          </w:tcPr>
          <w:p>
            <w:pPr>
              <w:spacing w:after="0" w:line="180" w:lineRule="exact"/>
              <w:rPr>
                <w:sz w:val="20"/>
                <w:szCs w:val="20"/>
                <w:color w:val="auto"/>
              </w:rPr>
            </w:pPr>
            <w:r>
              <w:rPr>
                <w:rFonts w:ascii="Times New Roman" w:cs="Times New Roman" w:eastAsia="Times New Roman" w:hAnsi="Times New Roman"/>
                <w:sz w:val="13"/>
                <w:szCs w:val="13"/>
                <w:color w:val="auto"/>
              </w:rPr>
              <w:t>CLO subordinated fee notes</w:t>
            </w:r>
            <w:r>
              <w:rPr>
                <w:rFonts w:ascii="Times New Roman" w:cs="Times New Roman" w:eastAsia="Times New Roman" w:hAnsi="Times New Roman"/>
                <w:sz w:val="19"/>
                <w:szCs w:val="19"/>
                <w:color w:val="auto"/>
                <w:vertAlign w:val="superscript"/>
              </w:rPr>
              <w:t>(8)(18)</w:t>
            </w:r>
            <w:r>
              <w:rPr>
                <w:rFonts w:ascii="Times New Roman" w:cs="Times New Roman" w:eastAsia="Times New Roman" w:hAnsi="Times New Roman"/>
                <w:sz w:val="13"/>
                <w:szCs w:val="13"/>
                <w:color w:val="auto"/>
              </w:rPr>
              <w:t>, (maturity April 25,</w:t>
            </w: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2036)</w:t>
            </w: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left="194"/>
              <w:spacing w:after="0"/>
              <w:rPr>
                <w:sz w:val="20"/>
                <w:szCs w:val="20"/>
                <w:color w:val="auto"/>
              </w:rPr>
            </w:pPr>
            <w:r>
              <w:rPr>
                <w:rFonts w:ascii="Times New Roman" w:cs="Times New Roman" w:eastAsia="Times New Roman" w:hAnsi="Times New Roman"/>
                <w:sz w:val="13"/>
                <w:szCs w:val="13"/>
                <w:color w:val="auto"/>
                <w:w w:val="98"/>
              </w:rPr>
              <w:t>3/13/2023</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2,163,783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2,395,741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60" w:type="dxa"/>
            <w:vAlign w:val="bottom"/>
            <w:tcBorders>
              <w:bottom w:val="single" w:sz="8" w:color="CCEEFF"/>
            </w:tcBorders>
          </w:tcPr>
          <w:p>
            <w:pPr>
              <w:spacing w:after="0"/>
              <w:rPr>
                <w:sz w:val="22"/>
                <w:szCs w:val="22"/>
                <w:color w:val="auto"/>
              </w:rPr>
            </w:pPr>
          </w:p>
        </w:tc>
        <w:tc>
          <w:tcPr>
            <w:tcW w:w="29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3"/>
                <w:szCs w:val="13"/>
                <w:color w:val="auto"/>
              </w:rPr>
              <w:t>CLO other</w:t>
            </w:r>
            <w:r>
              <w:rPr>
                <w:rFonts w:ascii="Times New Roman" w:cs="Times New Roman" w:eastAsia="Times New Roman" w:hAnsi="Times New Roman"/>
                <w:sz w:val="19"/>
                <w:szCs w:val="19"/>
                <w:color w:val="auto"/>
                <w:vertAlign w:val="superscript"/>
              </w:rPr>
              <w:t>(8)(18)</w:t>
            </w:r>
          </w:p>
        </w:tc>
        <w:tc>
          <w:tcPr>
            <w:tcW w:w="8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gridSpan w:val="2"/>
          </w:tcPr>
          <w:p>
            <w:pPr>
              <w:jc w:val="center"/>
              <w:ind w:left="22"/>
              <w:spacing w:after="0"/>
              <w:rPr>
                <w:sz w:val="20"/>
                <w:szCs w:val="20"/>
                <w:color w:val="auto"/>
              </w:rPr>
            </w:pPr>
            <w:r>
              <w:rPr>
                <w:rFonts w:ascii="Times New Roman" w:cs="Times New Roman" w:eastAsia="Times New Roman" w:hAnsi="Times New Roman"/>
                <w:sz w:val="13"/>
                <w:szCs w:val="13"/>
                <w:color w:val="auto"/>
                <w:w w:val="93"/>
              </w:rPr>
              <w:t>Various</w:t>
            </w:r>
            <w:r>
              <w:rPr>
                <w:rFonts w:ascii="Times New Roman" w:cs="Times New Roman" w:eastAsia="Times New Roman" w:hAnsi="Times New Roman"/>
                <w:sz w:val="19"/>
                <w:szCs w:val="19"/>
                <w:color w:val="auto"/>
                <w:w w:val="93"/>
                <w:vertAlign w:val="superscript"/>
              </w:rPr>
              <w:t>(16)</w:t>
            </w:r>
          </w:p>
        </w:tc>
        <w:tc>
          <w:tcPr>
            <w:tcW w:w="6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4,785,859</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4,928,574</w:t>
            </w:r>
          </w:p>
        </w:tc>
        <w:tc>
          <w:tcPr>
            <w:tcW w:w="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 w:type="dxa"/>
            <w:vAlign w:val="bottom"/>
            <w:shd w:val="clear" w:color="auto" w:fill="CCEEFF"/>
          </w:tcPr>
          <w:p>
            <w:pPr>
              <w:spacing w:after="0"/>
              <w:rPr>
                <w:sz w:val="21"/>
                <w:szCs w:val="21"/>
                <w:color w:val="auto"/>
              </w:rPr>
            </w:pPr>
          </w:p>
        </w:tc>
        <w:tc>
          <w:tcPr>
            <w:tcW w:w="2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Other CLO Equity Related Investments</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14,234,277</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13,774,349</w:t>
            </w:r>
          </w:p>
        </w:tc>
        <w:tc>
          <w:tcPr>
            <w:tcW w:w="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0.86%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90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Structured Finance – Equity Investments</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p>
        </w:tc>
        <w:tc>
          <w:tcPr>
            <w:tcW w:w="290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2,378,571,174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1,926,310,116</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119.97%</w:t>
            </w:r>
          </w:p>
        </w:tc>
        <w:tc>
          <w:tcPr>
            <w:tcW w:w="0" w:type="dxa"/>
            <w:vAlign w:val="bottom"/>
          </w:tcPr>
          <w:p>
            <w:pPr>
              <w:spacing w:after="0"/>
              <w:rPr>
                <w:sz w:val="1"/>
                <w:szCs w:val="1"/>
                <w:color w:val="auto"/>
              </w:rPr>
            </w:pPr>
          </w:p>
        </w:tc>
      </w:tr>
      <w:tr>
        <w:trPr>
          <w:trHeight w:val="130"/>
        </w:trPr>
        <w:tc>
          <w:tcPr>
            <w:tcW w:w="160" w:type="dxa"/>
            <w:vAlign w:val="bottom"/>
            <w:tcBorders>
              <w:top w:val="single" w:sz="8" w:color="CCEEFF"/>
            </w:tcBorders>
            <w:shd w:val="clear" w:color="auto" w:fill="CCEEFF"/>
          </w:tcPr>
          <w:p>
            <w:pPr>
              <w:spacing w:after="0"/>
              <w:rPr>
                <w:sz w:val="11"/>
                <w:szCs w:val="11"/>
                <w:color w:val="auto"/>
              </w:rPr>
            </w:pPr>
          </w:p>
        </w:tc>
        <w:tc>
          <w:tcPr>
            <w:tcW w:w="2900" w:type="dxa"/>
            <w:vAlign w:val="bottom"/>
            <w:tcBorders>
              <w:top w:val="single" w:sz="8" w:color="CCEEFF"/>
            </w:tcBorders>
            <w:gridSpan w:val="6"/>
            <w:shd w:val="clear" w:color="auto" w:fill="CCEEFF"/>
          </w:tcPr>
          <w:p>
            <w:pPr>
              <w:spacing w:after="0" w:line="130" w:lineRule="exact"/>
              <w:rPr>
                <w:sz w:val="20"/>
                <w:szCs w:val="20"/>
                <w:color w:val="auto"/>
              </w:rPr>
            </w:pPr>
            <w:r>
              <w:rPr>
                <w:rFonts w:ascii="Times New Roman" w:cs="Times New Roman" w:eastAsia="Times New Roman" w:hAnsi="Times New Roman"/>
                <w:sz w:val="13"/>
                <w:szCs w:val="13"/>
                <w:b w:val="1"/>
                <w:bCs w:val="1"/>
                <w:color w:val="auto"/>
              </w:rPr>
              <w:t>Total Collateralized Loan Obligation – Equity</w:t>
            </w:r>
          </w:p>
        </w:tc>
        <w:tc>
          <w:tcPr>
            <w:tcW w:w="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160" w:type="dxa"/>
            <w:vAlign w:val="bottom"/>
            <w:shd w:val="clear" w:color="auto" w:fill="CCEEFF"/>
          </w:tcPr>
          <w:p>
            <w:pPr>
              <w:spacing w:after="0"/>
              <w:rPr>
                <w:sz w:val="16"/>
                <w:szCs w:val="16"/>
                <w:color w:val="auto"/>
              </w:rPr>
            </w:pPr>
          </w:p>
        </w:tc>
        <w:tc>
          <w:tcPr>
            <w:tcW w:w="29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2,378,571,174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1,926,310,116</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119.97%</w:t>
            </w: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60" w:type="dxa"/>
            <w:vAlign w:val="bottom"/>
          </w:tcPr>
          <w:p>
            <w:pPr>
              <w:spacing w:after="0"/>
              <w:rPr>
                <w:sz w:val="23"/>
                <w:szCs w:val="23"/>
                <w:color w:val="auto"/>
              </w:rPr>
            </w:pPr>
          </w:p>
        </w:tc>
        <w:tc>
          <w:tcPr>
            <w:tcW w:w="290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2,454,994,434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1,995,615,140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124.29%</w:t>
            </w:r>
          </w:p>
        </w:tc>
        <w:tc>
          <w:tcPr>
            <w:tcW w:w="0" w:type="dxa"/>
            <w:vAlign w:val="bottom"/>
          </w:tcPr>
          <w:p>
            <w:pPr>
              <w:spacing w:after="0"/>
              <w:rPr>
                <w:sz w:val="1"/>
                <w:szCs w:val="1"/>
                <w:color w:val="auto"/>
              </w:rPr>
            </w:pPr>
          </w:p>
        </w:tc>
      </w:tr>
      <w:tr>
        <w:trPr>
          <w:trHeight w:val="243"/>
        </w:trPr>
        <w:tc>
          <w:tcPr>
            <w:tcW w:w="16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Cash Equivalents</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16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shd w:val="clear" w:color="auto" w:fill="CCEEFF"/>
          </w:tcPr>
          <w:p>
            <w:pPr>
              <w:spacing w:after="0"/>
              <w:rPr>
                <w:sz w:val="13"/>
                <w:szCs w:val="13"/>
                <w:color w:val="auto"/>
              </w:rPr>
            </w:pPr>
          </w:p>
        </w:tc>
        <w:tc>
          <w:tcPr>
            <w:tcW w:w="29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3"/>
                <w:szCs w:val="13"/>
                <w:color w:val="auto"/>
              </w:rPr>
              <w:t>First American Government Obligations Fund, Class Z</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160" w:type="dxa"/>
            <w:vAlign w:val="bottom"/>
            <w:shd w:val="clear" w:color="auto" w:fill="CCEEFF"/>
          </w:tcPr>
          <w:p>
            <w:pPr>
              <w:spacing w:after="0"/>
              <w:rPr>
                <w:sz w:val="19"/>
                <w:szCs w:val="19"/>
                <w:color w:val="auto"/>
              </w:rPr>
            </w:pPr>
          </w:p>
        </w:tc>
        <w:tc>
          <w:tcPr>
            <w:tcW w:w="29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Shares, 4.78%</w:t>
            </w:r>
            <w:r>
              <w:rPr>
                <w:rFonts w:ascii="Times New Roman" w:cs="Times New Roman" w:eastAsia="Times New Roman" w:hAnsi="Times New Roman"/>
                <w:sz w:val="19"/>
                <w:szCs w:val="19"/>
                <w:color w:val="auto"/>
                <w:vertAlign w:val="superscript"/>
              </w:rPr>
              <w:t>(12)</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179,258,081</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179,258,081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179,258,081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60" w:type="dxa"/>
            <w:vAlign w:val="bottom"/>
          </w:tcPr>
          <w:p>
            <w:pPr>
              <w:spacing w:after="0"/>
              <w:rPr>
                <w:sz w:val="20"/>
                <w:szCs w:val="20"/>
                <w:color w:val="auto"/>
              </w:rPr>
            </w:pPr>
          </w:p>
        </w:tc>
        <w:tc>
          <w:tcPr>
            <w:tcW w:w="2900" w:type="dxa"/>
            <w:vAlign w:val="bottom"/>
            <w:gridSpan w:val="6"/>
          </w:tcPr>
          <w:p>
            <w:pPr>
              <w:ind w:left="160"/>
              <w:spacing w:after="0"/>
              <w:rPr>
                <w:sz w:val="20"/>
                <w:szCs w:val="20"/>
                <w:color w:val="auto"/>
              </w:rPr>
            </w:pPr>
            <w:r>
              <w:rPr>
                <w:rFonts w:ascii="Times New Roman" w:cs="Times New Roman" w:eastAsia="Times New Roman" w:hAnsi="Times New Roman"/>
                <w:sz w:val="13"/>
                <w:szCs w:val="13"/>
                <w:b w:val="1"/>
                <w:bCs w:val="1"/>
                <w:color w:val="auto"/>
              </w:rPr>
              <w:t>Total Cash Equivalents</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179,258,081</w:t>
            </w:r>
          </w:p>
        </w:tc>
        <w:tc>
          <w:tcPr>
            <w:tcW w:w="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179,258,081</w:t>
            </w:r>
          </w:p>
        </w:tc>
        <w:tc>
          <w:tcPr>
            <w:tcW w:w="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11.16%</w:t>
            </w:r>
          </w:p>
        </w:tc>
        <w:tc>
          <w:tcPr>
            <w:tcW w:w="0" w:type="dxa"/>
            <w:vAlign w:val="bottom"/>
          </w:tcPr>
          <w:p>
            <w:pPr>
              <w:spacing w:after="0"/>
              <w:rPr>
                <w:sz w:val="1"/>
                <w:szCs w:val="1"/>
                <w:color w:val="auto"/>
              </w:rPr>
            </w:pPr>
          </w:p>
        </w:tc>
      </w:tr>
      <w:tr>
        <w:trPr>
          <w:trHeight w:val="263"/>
        </w:trPr>
        <w:tc>
          <w:tcPr>
            <w:tcW w:w="16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5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Total Investments and Cash Equivalents</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2,634,252,515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2,174,873,221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135.45%</w:t>
            </w:r>
          </w:p>
        </w:tc>
        <w:tc>
          <w:tcPr>
            <w:tcW w:w="0" w:type="dxa"/>
            <w:vAlign w:val="bottom"/>
          </w:tcPr>
          <w:p>
            <w:pPr>
              <w:spacing w:after="0"/>
              <w:rPr>
                <w:sz w:val="1"/>
                <w:szCs w:val="1"/>
                <w:color w:val="auto"/>
              </w:rPr>
            </w:pPr>
          </w:p>
        </w:tc>
      </w:tr>
      <w:tr>
        <w:trPr>
          <w:trHeight w:val="20"/>
        </w:trPr>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0" w:type="dxa"/>
            <w:vAlign w:val="bottom"/>
            <w:gridSpan w:val="3"/>
            <w:vMerge w:val="continue"/>
          </w:tcPr>
          <w:p>
            <w:pPr>
              <w:spacing w:after="0"/>
              <w:rPr>
                <w:sz w:val="17"/>
                <w:szCs w:val="17"/>
                <w:color w:val="auto"/>
              </w:rPr>
            </w:pP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300" w:right="960" w:hanging="377"/>
        <w:spacing w:after="0" w:line="256" w:lineRule="auto"/>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do not “control” and are not an “affiliate” of any of our portfolio companies, each as defined in the 1940 Act. In general, under the 1940 Act, we would be presumed to “control” a portfolio company if we owned more than 25% of its voting securities and would be an “affiliate” of a portfolio company if we owned 5% or more of its voting securities.</w:t>
      </w:r>
    </w:p>
    <w:p>
      <w:pPr>
        <w:spacing w:after="0" w:line="1"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is determined in good faith by the Board of Directors of the Fund.</w:t>
      </w:r>
    </w:p>
    <w:p>
      <w:pPr>
        <w:spacing w:after="0" w:line="5"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value reflects accretion of original issue discount or market discount.</w:t>
      </w:r>
    </w:p>
    <w:p>
      <w:pPr>
        <w:spacing w:after="0" w:line="5" w:lineRule="exact"/>
        <w:rPr>
          <w:rFonts w:ascii="Times New Roman" w:cs="Times New Roman" w:eastAsia="Times New Roman" w:hAnsi="Times New Roman"/>
          <w:sz w:val="13"/>
          <w:szCs w:val="13"/>
          <w:color w:val="auto"/>
        </w:rPr>
      </w:pPr>
    </w:p>
    <w:p>
      <w:pPr>
        <w:ind w:left="1300" w:right="1200" w:hanging="377"/>
        <w:spacing w:after="0" w:line="249" w:lineRule="auto"/>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subordinated notes represent an investment in a warehouse facility, which is a financing structure intended to aggregate loans that may be used to form the basis of a CLO vehicle.</w:t>
      </w:r>
    </w:p>
    <w:p>
      <w:pPr>
        <w:ind w:left="1300" w:right="1120" w:hanging="377"/>
        <w:spacing w:after="0" w:line="249" w:lineRule="auto"/>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value reflects accretion of effective yield less any cash distributions received or entitled to be received from CLO equity investments.</w:t>
      </w:r>
    </w:p>
    <w:p>
      <w:pPr>
        <w:ind w:left="1300" w:right="1020" w:hanging="377"/>
        <w:spacing w:after="0" w:line="249" w:lineRule="auto"/>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September 30, 2024, the investment includes interest income capitalized as additional investment principal (“PIK” Interest). The PIK interest rate for CLO debt positions represents the interest rate at payment date when PIK interest is received. Please refer to “Note 3. Summary of Significant Accounting Policies — Payment-In-Kind.”</w:t>
      </w:r>
    </w:p>
    <w:p>
      <w:pPr>
        <w:ind w:left="1300" w:right="980" w:hanging="377"/>
        <w:spacing w:after="0" w:line="251" w:lineRule="auto"/>
        <w:tabs>
          <w:tab w:leader="none" w:pos="13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 subordinated notes, preferred shares, preference shares and income notes are considered equity positions in the CLO’s vehicle. Equity investments are entitled to recurring distributions which are generally equal to the remaining cash flow of the payments made by the CLO’s securities less contractual payments to debt holders and fund expenses. The estimated yield indicated is based upon a current projection of the amount and timing of these recurring distributions and the estimated amount of repayment of principal upon termination. Such projections are periodically reviewed and adjusted, and the estimated yield may not ultimately be realized.</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(Continued on next page)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40" w:orient="portrait"/>
          <w:cols w:equalWidth="0" w:num="1">
            <w:col w:w="9020"/>
          </w:cols>
          <w:pgMar w:left="1440" w:top="556" w:right="1440" w:bottom="1440" w:gutter="0" w:footer="0" w:header="0"/>
        </w:sectPr>
      </w:pPr>
    </w:p>
    <w:p>
      <w:pPr>
        <w:spacing w:after="0" w:line="1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35" w:name="page36"/>
    <w:bookmarkEnd w:id="3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6"/>
          <w:szCs w:val="16"/>
          <w:b w:val="1"/>
          <w:bCs w:val="1"/>
          <w:color w:val="auto"/>
        </w:rPr>
        <w:t>SCHEDULE OF INVESTMENTS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8" w:lineRule="exact"/>
        <w:rPr>
          <w:sz w:val="20"/>
          <w:szCs w:val="20"/>
          <w:color w:val="auto"/>
        </w:rPr>
      </w:pPr>
    </w:p>
    <w:p>
      <w:pPr>
        <w:ind w:left="1300" w:right="1260" w:hanging="377"/>
        <w:spacing w:after="0" w:line="260" w:lineRule="auto"/>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Fair value includes the Fund’s interest in subordinated fee notes, and represents discounted cash flows associated with fees earned from those fee notes.</w:t>
      </w:r>
    </w:p>
    <w:p>
      <w:pPr>
        <w:ind w:left="1300" w:right="1420" w:hanging="377"/>
        <w:spacing w:after="0" w:line="249" w:lineRule="auto"/>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has not made inaugural distribution for relevant period end. Please refer to “Note 3. Summary of Significant Accounting Policies — Investment Income.”</w:t>
      </w:r>
    </w:p>
    <w:p>
      <w:pPr>
        <w:ind w:left="1300" w:right="960" w:hanging="377"/>
        <w:spacing w:after="0" w:line="249" w:lineRule="auto"/>
        <w:tabs>
          <w:tab w:leader="none" w:pos="128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CLO equity investment was optionally redeemed. Expected value of residual distributions, once received, is anticipated to be recognized as return of capital, pending any remaining amortized cost, and/or realized gain for any amounts received in excess of such amortized cost. Please refer to “Note 3. Summary of Significant Accounting Policies — Securities Transactions.”</w:t>
      </w: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 is co-invested with the Fund’s affiliates. See “Note 5. Related Party Transactions.”</w:t>
      </w:r>
    </w:p>
    <w:p>
      <w:pPr>
        <w:spacing w:after="0" w:line="5"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cash equivalents held in a money market fund as of September 30, 2024.</w:t>
      </w:r>
    </w:p>
    <w:p>
      <w:pPr>
        <w:spacing w:after="0" w:line="5"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fair value of the investment was determined using significant unobservable inputs. See “Note 4. Fair Value.”</w:t>
      </w:r>
    </w:p>
    <w:p>
      <w:pPr>
        <w:spacing w:after="0" w:line="5"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Fund generally acquires its investments in transactions not subject to registration under the Securities Act of 1933,</w:t>
      </w:r>
    </w:p>
    <w:p>
      <w:pPr>
        <w:spacing w:after="0" w:line="5" w:lineRule="exact"/>
        <w:rPr>
          <w:rFonts w:ascii="Times New Roman" w:cs="Times New Roman" w:eastAsia="Times New Roman" w:hAnsi="Times New Roman"/>
          <w:sz w:val="13"/>
          <w:szCs w:val="13"/>
          <w:color w:val="auto"/>
        </w:rPr>
      </w:pPr>
    </w:p>
    <w:p>
      <w:pPr>
        <w:ind w:left="1300" w:right="1100"/>
        <w:spacing w:after="0" w:line="249"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Acquisition date represents the initial date of purchase.</w:t>
      </w:r>
    </w:p>
    <w:p>
      <w:pPr>
        <w:spacing w:after="0" w:line="5" w:lineRule="exact"/>
        <w:rPr>
          <w:rFonts w:ascii="Times New Roman" w:cs="Times New Roman" w:eastAsia="Times New Roman" w:hAnsi="Times New Roman"/>
          <w:sz w:val="13"/>
          <w:szCs w:val="13"/>
          <w:color w:val="auto"/>
        </w:rPr>
      </w:pP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and fair value total represents multiple investments which were purchased within one year prior to September 30, 2024.</w:t>
      </w:r>
    </w:p>
    <w:p>
      <w:pPr>
        <w:spacing w:after="0" w:line="5" w:lineRule="exact"/>
        <w:rPr>
          <w:rFonts w:ascii="Times New Roman" w:cs="Times New Roman" w:eastAsia="Times New Roman" w:hAnsi="Times New Roman"/>
          <w:sz w:val="13"/>
          <w:szCs w:val="13"/>
          <w:color w:val="auto"/>
        </w:rPr>
      </w:pPr>
    </w:p>
    <w:p>
      <w:pPr>
        <w:ind w:left="1300" w:right="1280" w:hanging="377"/>
        <w:spacing w:after="0" w:line="249" w:lineRule="auto"/>
        <w:tabs>
          <w:tab w:leader="none" w:pos="128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balance outstanding for this debt investment, in whole or in part, is indexed to the 90-day Secured Overnight Financing Rate (“SOFR”).</w:t>
      </w:r>
    </w:p>
    <w:p>
      <w:pPr>
        <w:ind w:left="1300" w:hanging="377"/>
        <w:spacing w:after="0"/>
        <w:tabs>
          <w:tab w:leader="none" w:pos="13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value reflects amortized cost.</w:t>
      </w:r>
    </w:p>
    <w:p>
      <w:pPr>
        <w:spacing w:after="0" w:line="5" w:lineRule="exact"/>
        <w:rPr>
          <w:rFonts w:ascii="Times New Roman" w:cs="Times New Roman" w:eastAsia="Times New Roman" w:hAnsi="Times New Roman"/>
          <w:sz w:val="13"/>
          <w:szCs w:val="13"/>
          <w:color w:val="auto"/>
        </w:rPr>
      </w:pPr>
    </w:p>
    <w:p>
      <w:pPr>
        <w:ind w:left="1300" w:right="1060" w:hanging="377"/>
        <w:spacing w:after="0" w:line="261" w:lineRule="auto"/>
        <w:tabs>
          <w:tab w:leader="none" w:pos="1288"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September 30, 2024, the effective yield has been estimated to be 0%. The aggregate projected amount of future recurring distributions and terminal principal payment is less than the amortized investment cost.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6" w:name="page37"/>
    <w:bookmarkEnd w:id="3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OPERATIONS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67"/>
        </w:trPr>
        <w:tc>
          <w:tcPr>
            <w:tcW w:w="6080" w:type="dxa"/>
            <w:vAlign w:val="bottom"/>
          </w:tcPr>
          <w:p>
            <w:pPr>
              <w:spacing w:after="0"/>
              <w:rPr>
                <w:sz w:val="14"/>
                <w:szCs w:val="14"/>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67"/>
        </w:trPr>
        <w:tc>
          <w:tcPr>
            <w:tcW w:w="6080" w:type="dxa"/>
            <w:vAlign w:val="bottom"/>
          </w:tcPr>
          <w:p>
            <w:pPr>
              <w:spacing w:after="0"/>
              <w:rPr>
                <w:sz w:val="14"/>
                <w:szCs w:val="14"/>
                <w:color w:val="auto"/>
              </w:rPr>
            </w:pP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6080" w:type="dxa"/>
            <w:vAlign w:val="bottom"/>
          </w:tcPr>
          <w:p>
            <w:pPr>
              <w:spacing w:after="0"/>
              <w:rPr>
                <w:sz w:val="16"/>
                <w:szCs w:val="16"/>
                <w:color w:val="auto"/>
              </w:rPr>
            </w:pPr>
          </w:p>
        </w:tc>
        <w:tc>
          <w:tcPr>
            <w:tcW w:w="98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r>
      <w:tr>
        <w:trPr>
          <w:trHeight w:val="30"/>
        </w:trPr>
        <w:tc>
          <w:tcPr>
            <w:tcW w:w="6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5"/>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INVESTMENT INCOME</w:t>
            </w: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from securitization vehicles and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182,365,224</w:t>
            </w:r>
          </w:p>
        </w:tc>
        <w:tc>
          <w:tcPr>
            <w:tcW w:w="120" w:type="dxa"/>
            <w:vAlign w:val="bottom"/>
          </w:tcPr>
          <w:p>
            <w:pPr>
              <w:spacing w:after="0"/>
              <w:rPr>
                <w:sz w:val="20"/>
                <w:szCs w:val="20"/>
                <w:color w:val="auto"/>
              </w:rPr>
            </w:pP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Interest income – debt investments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7,243,760</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56"/>
        </w:trPr>
        <w:tc>
          <w:tcPr>
            <w:tcW w:w="6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Other income</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5,269,219</w:t>
            </w:r>
          </w:p>
        </w:tc>
        <w:tc>
          <w:tcPr>
            <w:tcW w:w="120" w:type="dxa"/>
            <w:vAlign w:val="bottom"/>
            <w:tcBorders>
              <w:bottom w:val="single" w:sz="8" w:color="CCEEFF"/>
            </w:tcBorders>
          </w:tcPr>
          <w:p>
            <w:pPr>
              <w:spacing w:after="0"/>
              <w:rPr>
                <w:sz w:val="22"/>
                <w:szCs w:val="22"/>
                <w:color w:val="auto"/>
              </w:rPr>
            </w:pPr>
          </w:p>
        </w:tc>
      </w:tr>
      <w:tr>
        <w:trPr>
          <w:trHeight w:val="243"/>
        </w:trPr>
        <w:tc>
          <w:tcPr>
            <w:tcW w:w="60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investment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194,878,203</w:t>
            </w:r>
          </w:p>
        </w:tc>
        <w:tc>
          <w:tcPr>
            <w:tcW w:w="120" w:type="dxa"/>
            <w:vAlign w:val="bottom"/>
            <w:shd w:val="clear" w:color="auto" w:fill="CCEEFF"/>
          </w:tcPr>
          <w:p>
            <w:pPr>
              <w:spacing w:after="0"/>
              <w:rPr>
                <w:sz w:val="21"/>
                <w:szCs w:val="21"/>
                <w:color w:val="auto"/>
              </w:rPr>
            </w:pPr>
          </w:p>
        </w:tc>
      </w:tr>
      <w:tr>
        <w:trPr>
          <w:trHeight w:val="262"/>
        </w:trPr>
        <w:tc>
          <w:tcPr>
            <w:tcW w:w="6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Incentive fees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30,785,625</w:t>
            </w:r>
          </w:p>
        </w:tc>
        <w:tc>
          <w:tcPr>
            <w:tcW w:w="120" w:type="dxa"/>
            <w:vAlign w:val="bottom"/>
          </w:tcPr>
          <w:p>
            <w:pPr>
              <w:spacing w:after="0"/>
              <w:rPr>
                <w:sz w:val="20"/>
                <w:szCs w:val="20"/>
                <w:color w:val="auto"/>
              </w:rPr>
            </w:pP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Base management fees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19,480,029</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17,667,049</w:t>
            </w:r>
          </w:p>
        </w:tc>
        <w:tc>
          <w:tcPr>
            <w:tcW w:w="120" w:type="dxa"/>
            <w:vAlign w:val="bottom"/>
          </w:tcPr>
          <w:p>
            <w:pPr>
              <w:spacing w:after="0"/>
              <w:rPr>
                <w:sz w:val="20"/>
                <w:szCs w:val="20"/>
                <w:color w:val="auto"/>
              </w:rPr>
            </w:pP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1,031,307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Professional fees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780,383</w:t>
            </w: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Excise tax expense</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735,552</w:t>
            </w: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Administrator expense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644,871</w:t>
            </w: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6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Directors’ fees</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182,001</w:t>
            </w:r>
          </w:p>
        </w:tc>
      </w:tr>
      <w:tr>
        <w:trPr>
          <w:trHeight w:val="237"/>
        </w:trPr>
        <w:tc>
          <w:tcPr>
            <w:tcW w:w="6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Insurance expense</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140,861</w:t>
            </w:r>
          </w:p>
        </w:tc>
      </w:tr>
      <w:tr>
        <w:trPr>
          <w:trHeight w:val="26"/>
        </w:trPr>
        <w:tc>
          <w:tcPr>
            <w:tcW w:w="6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Transfer agent and custodian fees</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287,184</w:t>
            </w:r>
          </w:p>
        </w:tc>
      </w:tr>
      <w:tr>
        <w:trPr>
          <w:trHeight w:val="236"/>
        </w:trPr>
        <w:tc>
          <w:tcPr>
            <w:tcW w:w="6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6"/>
                <w:szCs w:val="16"/>
                <w:color w:val="auto"/>
              </w:rPr>
              <w:t>Total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71,734,862</w:t>
            </w:r>
          </w:p>
        </w:tc>
        <w:tc>
          <w:tcPr>
            <w:tcW w:w="120" w:type="dxa"/>
            <w:vAlign w:val="bottom"/>
            <w:tcBorders>
              <w:bottom w:val="single" w:sz="8" w:color="CCEEFF"/>
            </w:tcBorders>
          </w:tcPr>
          <w:p>
            <w:pPr>
              <w:spacing w:after="0"/>
              <w:rPr>
                <w:sz w:val="20"/>
                <w:szCs w:val="20"/>
                <w:color w:val="auto"/>
              </w:rPr>
            </w:pPr>
          </w:p>
        </w:tc>
      </w:tr>
      <w:tr>
        <w:trPr>
          <w:trHeight w:val="243"/>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123,143,341</w:t>
            </w:r>
          </w:p>
        </w:tc>
        <w:tc>
          <w:tcPr>
            <w:tcW w:w="120" w:type="dxa"/>
            <w:vAlign w:val="bottom"/>
            <w:shd w:val="clear" w:color="auto" w:fill="CCEEFF"/>
          </w:tcPr>
          <w:p>
            <w:pPr>
              <w:spacing w:after="0"/>
              <w:rPr>
                <w:sz w:val="21"/>
                <w:szCs w:val="21"/>
                <w:color w:val="auto"/>
              </w:rPr>
            </w:pPr>
          </w:p>
        </w:tc>
      </w:tr>
    </w:tbl>
    <w:p>
      <w:pPr>
        <w:spacing w:after="0" w:line="248" w:lineRule="exact"/>
        <w:rPr>
          <w:sz w:val="20"/>
          <w:szCs w:val="20"/>
          <w:color w:val="auto"/>
        </w:rPr>
      </w:pPr>
    </w:p>
    <w:p>
      <w:pPr>
        <w:ind w:left="1080" w:right="2500" w:hanging="154"/>
        <w:spacing w:after="0" w:line="260" w:lineRule="auto"/>
        <w:rPr>
          <w:sz w:val="20"/>
          <w:szCs w:val="20"/>
          <w:color w:val="auto"/>
        </w:rPr>
      </w:pPr>
      <w:r>
        <w:rPr>
          <w:rFonts w:ascii="Times New Roman" w:cs="Times New Roman" w:eastAsia="Times New Roman" w:hAnsi="Times New Roman"/>
          <w:sz w:val="16"/>
          <w:szCs w:val="16"/>
          <w:b w:val="1"/>
          <w:bCs w:val="1"/>
          <w:color w:val="auto"/>
        </w:rPr>
        <w:t>NET CHANGE IN UNREALIZED DEPRECIATION AND REALIZED GAINS ON INVESTMENT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-243205</wp:posOffset>
            </wp:positionV>
            <wp:extent cx="4552950" cy="250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52950" cy="25019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p>
      <w:pPr>
        <w:spacing w:after="0" w:line="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Net change in unrealized depreciation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27940</wp:posOffset>
            </wp:positionV>
            <wp:extent cx="4552950" cy="1670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Net realized gain on investments</w:t>
      </w:r>
    </w:p>
    <w:p>
      <w:pPr>
        <w:spacing w:after="0" w:line="79" w:lineRule="exact"/>
        <w:rPr>
          <w:sz w:val="20"/>
          <w:szCs w:val="20"/>
          <w:color w:val="auto"/>
        </w:rPr>
      </w:pPr>
    </w:p>
    <w:p>
      <w:pPr>
        <w:ind w:left="920" w:right="1673"/>
        <w:spacing w:after="0" w:line="453" w:lineRule="auto"/>
        <w:rPr>
          <w:sz w:val="20"/>
          <w:szCs w:val="20"/>
          <w:color w:val="auto"/>
        </w:rPr>
      </w:pPr>
      <w:r>
        <w:rPr>
          <w:rFonts w:ascii="Times New Roman" w:cs="Times New Roman" w:eastAsia="Times New Roman" w:hAnsi="Times New Roman"/>
          <w:sz w:val="14"/>
          <w:szCs w:val="14"/>
          <w:color w:val="auto"/>
        </w:rPr>
        <w:t>Net realized gain and net change in unrealized depreciation Net increase in net assets resulting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-240665</wp:posOffset>
            </wp:positionV>
            <wp:extent cx="4552950" cy="1670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0" w:lineRule="exact"/>
        <w:rPr>
          <w:sz w:val="20"/>
          <w:szCs w:val="20"/>
          <w:color w:val="auto"/>
        </w:rPr>
      </w:pPr>
    </w:p>
    <w:p>
      <w:pPr>
        <w:jc w:val="center"/>
        <w:ind w:left="2747"/>
        <w:spacing w:after="0"/>
        <w:rPr>
          <w:sz w:val="20"/>
          <w:szCs w:val="20"/>
          <w:color w:val="auto"/>
        </w:rPr>
      </w:pPr>
      <w:r>
        <w:rPr>
          <w:rFonts w:ascii="Times New Roman" w:cs="Times New Roman" w:eastAsia="Times New Roman" w:hAnsi="Times New Roman"/>
          <w:sz w:val="14"/>
          <w:szCs w:val="14"/>
          <w:color w:val="auto"/>
        </w:rPr>
        <w:t>See Accompanying Notes.</w:t>
      </w:r>
    </w:p>
    <w:p>
      <w:pPr>
        <w:spacing w:after="0" w:line="174" w:lineRule="exact"/>
        <w:rPr>
          <w:sz w:val="20"/>
          <w:szCs w:val="20"/>
          <w:color w:val="auto"/>
        </w:rPr>
      </w:pPr>
    </w:p>
    <w:p>
      <w:pPr>
        <w:jc w:val="center"/>
        <w:ind w:left="2747"/>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(66,872,690)</w:t>
      </w:r>
    </w:p>
    <w:p>
      <w:pPr>
        <w:spacing w:after="0" w:line="91"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9,321,688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6223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47"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(57,551,002)</w:t>
      </w:r>
    </w:p>
    <w:p>
      <w:pPr>
        <w:spacing w:after="0" w:line="91" w:lineRule="exact"/>
        <w:rPr>
          <w:sz w:val="20"/>
          <w:szCs w:val="20"/>
          <w:color w:val="auto"/>
        </w:rPr>
      </w:pPr>
    </w:p>
    <w:p>
      <w:pPr>
        <w:ind w:left="267" w:hanging="267"/>
        <w:spacing w:after="0"/>
        <w:tabs>
          <w:tab w:leader="none" w:pos="267" w:val="left"/>
        </w:tabs>
        <w:numPr>
          <w:ilvl w:val="0"/>
          <w:numId w:val="15"/>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65,592,339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62230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ectPr>
          <w:pgSz w:w="11900" w:h="16840" w:orient="portrait"/>
          <w:cols w:equalWidth="0" w:num="2">
            <w:col w:w="6273" w:space="720"/>
            <w:col w:w="2027"/>
          </w:cols>
          <w:pgMar w:left="1440" w:top="556" w:right="1440" w:bottom="1440" w:gutter="0" w:footer="0" w:header="0"/>
          <w:type w:val="continuous"/>
        </w:sectPr>
      </w:pPr>
    </w:p>
    <w:bookmarkStart w:id="37" w:name="page38"/>
    <w:bookmarkEnd w:id="3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STATEMENTS OF CHANGES IN NET ASSETS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Ended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67"/>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88"/>
        </w:trPr>
        <w:tc>
          <w:tcPr>
            <w:tcW w:w="4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6"/>
                <w:szCs w:val="16"/>
                <w:color w:val="auto"/>
              </w:rPr>
            </w:pPr>
          </w:p>
        </w:tc>
      </w:tr>
      <w:tr>
        <w:trPr>
          <w:trHeight w:val="30"/>
        </w:trPr>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35"/>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in net assets from operations:</w:t>
            </w: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37"/>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investment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123,143,341</w:t>
            </w:r>
          </w:p>
        </w:tc>
        <w:tc>
          <w:tcPr>
            <w:tcW w:w="12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186,523,640</w:t>
            </w:r>
          </w:p>
        </w:tc>
        <w:tc>
          <w:tcPr>
            <w:tcW w:w="120" w:type="dxa"/>
            <w:vAlign w:val="bottom"/>
          </w:tcPr>
          <w:p>
            <w:pPr>
              <w:spacing w:after="0"/>
              <w:rPr>
                <w:sz w:val="20"/>
                <w:szCs w:val="20"/>
                <w:color w:val="auto"/>
              </w:rPr>
            </w:pPr>
          </w:p>
        </w:tc>
      </w:tr>
      <w:tr>
        <w:trPr>
          <w:trHeight w:val="26"/>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4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Net change in unrealized (depreciation)/appreciation on investments</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(66,872,690)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64,727,641</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56"/>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realized gains/(losses) on investments</w:t>
            </w: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9,321,688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(16,145,622)</w:t>
            </w:r>
          </w:p>
        </w:tc>
      </w:tr>
      <w:tr>
        <w:trPr>
          <w:trHeight w:val="243"/>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65,592,339</w:t>
            </w: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235,105,659</w:t>
            </w:r>
          </w:p>
        </w:tc>
        <w:tc>
          <w:tcPr>
            <w:tcW w:w="120" w:type="dxa"/>
            <w:vAlign w:val="bottom"/>
            <w:tcBorders>
              <w:top w:val="single" w:sz="8" w:color="CCEEFF"/>
            </w:tcBorders>
            <w:shd w:val="clear" w:color="auto" w:fill="CCEEFF"/>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of net investment income</w:t>
            </w: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(146,294,994)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(191,597,580)</w:t>
            </w:r>
          </w:p>
        </w:tc>
      </w:tr>
      <w:tr>
        <w:trPr>
          <w:trHeight w:val="20"/>
        </w:trPr>
        <w:tc>
          <w:tcPr>
            <w:tcW w:w="48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distributions to stockholders</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(146,294,994)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(191,597,580)</w:t>
            </w:r>
          </w:p>
        </w:tc>
      </w:tr>
      <w:tr>
        <w:trPr>
          <w:trHeight w:val="262"/>
        </w:trPr>
        <w:tc>
          <w:tcPr>
            <w:tcW w:w="48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4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share transactions:</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166"/>
        </w:trPr>
        <w:tc>
          <w:tcPr>
            <w:tcW w:w="4820" w:type="dxa"/>
            <w:vAlign w:val="bottom"/>
          </w:tcPr>
          <w:p>
            <w:pPr>
              <w:ind w:left="160"/>
              <w:spacing w:after="0" w:line="166" w:lineRule="exact"/>
              <w:rPr>
                <w:sz w:val="20"/>
                <w:szCs w:val="20"/>
                <w:color w:val="auto"/>
              </w:rPr>
            </w:pPr>
            <w:r>
              <w:rPr>
                <w:rFonts w:ascii="Times New Roman" w:cs="Times New Roman" w:eastAsia="Times New Roman" w:hAnsi="Times New Roman"/>
                <w:sz w:val="16"/>
                <w:szCs w:val="16"/>
                <w:color w:val="auto"/>
                <w:w w:val="98"/>
              </w:rPr>
              <w:t>Issuance of common stock (net of underwriting fees and offering costs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2"/>
        </w:trPr>
        <w:tc>
          <w:tcPr>
            <w:tcW w:w="48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$3,168,629 and $3,352,423, respectively)</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494,046,850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311,812,521</w:t>
            </w:r>
          </w:p>
        </w:tc>
        <w:tc>
          <w:tcPr>
            <w:tcW w:w="120" w:type="dxa"/>
            <w:vAlign w:val="bottom"/>
          </w:tcPr>
          <w:p>
            <w:pPr>
              <w:spacing w:after="0"/>
              <w:rPr>
                <w:sz w:val="17"/>
                <w:szCs w:val="17"/>
                <w:color w:val="auto"/>
              </w:rPr>
            </w:pPr>
          </w:p>
        </w:tc>
      </w:tr>
      <w:tr>
        <w:trPr>
          <w:trHeight w:val="26"/>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Reinvestment of distributions</w:t>
            </w: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21,212,300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22,614,354</w:t>
            </w:r>
          </w:p>
        </w:tc>
        <w:tc>
          <w:tcPr>
            <w:tcW w:w="120" w:type="dxa"/>
            <w:vAlign w:val="bottom"/>
            <w:shd w:val="clear" w:color="auto" w:fill="CCEEFF"/>
          </w:tcPr>
          <w:p>
            <w:pPr>
              <w:spacing w:after="0"/>
              <w:rPr>
                <w:sz w:val="22"/>
                <w:szCs w:val="22"/>
                <w:color w:val="auto"/>
              </w:rPr>
            </w:pPr>
          </w:p>
        </w:tc>
      </w:tr>
      <w:tr>
        <w:trPr>
          <w:trHeight w:val="236"/>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increase in net assets from capital share transactions</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515,259,150</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334,426,875</w:t>
            </w:r>
          </w:p>
        </w:tc>
        <w:tc>
          <w:tcPr>
            <w:tcW w:w="120" w:type="dxa"/>
            <w:vAlign w:val="bottom"/>
            <w:tcBorders>
              <w:bottom w:val="single" w:sz="8" w:color="CCEEFF"/>
            </w:tcBorders>
          </w:tcPr>
          <w:p>
            <w:pPr>
              <w:spacing w:after="0"/>
              <w:rPr>
                <w:sz w:val="20"/>
                <w:szCs w:val="20"/>
                <w:color w:val="auto"/>
              </w:rPr>
            </w:pPr>
          </w:p>
        </w:tc>
      </w:tr>
      <w:tr>
        <w:trPr>
          <w:trHeight w:val="262"/>
        </w:trPr>
        <w:tc>
          <w:tcPr>
            <w:tcW w:w="4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increase in net assets</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434,556,495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377,934,954</w:t>
            </w:r>
          </w:p>
        </w:tc>
        <w:tc>
          <w:tcPr>
            <w:tcW w:w="120" w:type="dxa"/>
            <w:vAlign w:val="bottom"/>
          </w:tcPr>
          <w:p>
            <w:pPr>
              <w:spacing w:after="0"/>
              <w:rPr>
                <w:sz w:val="20"/>
                <w:szCs w:val="20"/>
                <w:color w:val="auto"/>
              </w:rPr>
            </w:pPr>
          </w:p>
        </w:tc>
      </w:tr>
      <w:tr>
        <w:trPr>
          <w:trHeight w:val="26"/>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beginning of period/year</w:t>
            </w: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1,171,085,990</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793,151,036</w:t>
            </w:r>
          </w:p>
        </w:tc>
        <w:tc>
          <w:tcPr>
            <w:tcW w:w="120" w:type="dxa"/>
            <w:vAlign w:val="bottom"/>
            <w:shd w:val="clear" w:color="auto" w:fill="CCEEFF"/>
          </w:tcPr>
          <w:p>
            <w:pPr>
              <w:spacing w:after="0"/>
              <w:rPr>
                <w:sz w:val="22"/>
                <w:szCs w:val="22"/>
                <w:color w:val="auto"/>
              </w:rPr>
            </w:pPr>
          </w:p>
        </w:tc>
      </w:tr>
      <w:tr>
        <w:trPr>
          <w:trHeight w:val="262"/>
        </w:trPr>
        <w:tc>
          <w:tcPr>
            <w:tcW w:w="4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at end of period/year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1,605,642,485</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1,171,085,990</w:t>
            </w:r>
          </w:p>
        </w:tc>
        <w:tc>
          <w:tcPr>
            <w:tcW w:w="120" w:type="dxa"/>
            <w:vAlign w:val="bottom"/>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240"/>
        </w:trPr>
        <w:tc>
          <w:tcPr>
            <w:tcW w:w="4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4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share activity:</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7"/>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Shares issued</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93,919,706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62,310,055</w:t>
            </w:r>
          </w:p>
        </w:tc>
        <w:tc>
          <w:tcPr>
            <w:tcW w:w="120" w:type="dxa"/>
            <w:vAlign w:val="bottom"/>
          </w:tcPr>
          <w:p>
            <w:pPr>
              <w:spacing w:after="0"/>
              <w:rPr>
                <w:sz w:val="20"/>
                <w:szCs w:val="20"/>
                <w:color w:val="auto"/>
              </w:rPr>
            </w:pPr>
          </w:p>
        </w:tc>
      </w:tr>
      <w:tr>
        <w:trPr>
          <w:trHeight w:val="26"/>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4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Shares issued from distribution reinvestment plan</w:t>
            </w: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4,209,863</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4,744,636</w:t>
            </w:r>
          </w:p>
        </w:tc>
        <w:tc>
          <w:tcPr>
            <w:tcW w:w="120" w:type="dxa"/>
            <w:vAlign w:val="bottom"/>
            <w:shd w:val="clear" w:color="auto" w:fill="CCEEFF"/>
          </w:tcPr>
          <w:p>
            <w:pPr>
              <w:spacing w:after="0"/>
              <w:rPr>
                <w:sz w:val="22"/>
                <w:szCs w:val="22"/>
                <w:color w:val="auto"/>
              </w:rPr>
            </w:pPr>
          </w:p>
        </w:tc>
      </w:tr>
      <w:tr>
        <w:trPr>
          <w:trHeight w:val="230"/>
        </w:trPr>
        <w:tc>
          <w:tcPr>
            <w:tcW w:w="4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increase in capital share activity</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98,129,569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67,054,691</w:t>
            </w:r>
          </w:p>
        </w:tc>
        <w:tc>
          <w:tcPr>
            <w:tcW w:w="12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38" w:name="page39"/>
    <w:bookmarkEnd w:id="3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left="220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6"/>
          <w:szCs w:val="16"/>
          <w:b w:val="1"/>
          <w:bCs w:val="1"/>
          <w:color w:val="auto"/>
        </w:rPr>
        <w:t>STATEMENT OF CASH FLOWS</w:t>
      </w:r>
    </w:p>
    <w:p>
      <w:pPr>
        <w:jc w:val="center"/>
        <w:ind w:left="21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74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52950" cy="174625"/>
                    </a:xfrm>
                    <a:prstGeom prst="rect">
                      <a:avLst/>
                    </a:prstGeom>
                    <a:noFill/>
                  </pic:spPr>
                </pic:pic>
              </a:graphicData>
            </a:graphic>
          </wp:anchor>
        </w:drawing>
      </w:r>
    </w:p>
    <w:p>
      <w:pPr>
        <w:spacing w:after="0" w:line="7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increase in net assets resulting from operations</w:t>
      </w:r>
    </w:p>
    <w:p>
      <w:pPr>
        <w:spacing w:after="0" w:line="79" w:lineRule="exact"/>
        <w:rPr>
          <w:sz w:val="20"/>
          <w:szCs w:val="20"/>
          <w:color w:val="auto"/>
        </w:rPr>
      </w:pPr>
    </w:p>
    <w:p>
      <w:pPr>
        <w:ind w:left="1240" w:hanging="154"/>
        <w:spacing w:after="0" w:line="257" w:lineRule="auto"/>
        <w:rPr>
          <w:sz w:val="20"/>
          <w:szCs w:val="20"/>
          <w:color w:val="auto"/>
        </w:rPr>
      </w:pPr>
      <w:r>
        <w:rPr>
          <w:rFonts w:ascii="Times New Roman" w:cs="Times New Roman" w:eastAsia="Times New Roman" w:hAnsi="Times New Roman"/>
          <w:sz w:val="16"/>
          <w:szCs w:val="16"/>
          <w:color w:val="auto"/>
        </w:rPr>
        <w:t>Adjustments to reconcile net increase in net assets resulting from operations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-241300</wp:posOffset>
            </wp:positionV>
            <wp:extent cx="4552950" cy="2501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52950" cy="250190"/>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6"/>
          <w:szCs w:val="16"/>
          <w:color w:val="auto"/>
        </w:rPr>
        <w:t>Accretion of discount on investments</w:t>
      </w:r>
    </w:p>
    <w:p>
      <w:pPr>
        <w:spacing w:after="0" w:line="79" w:lineRule="exact"/>
        <w:rPr>
          <w:sz w:val="20"/>
          <w:szCs w:val="20"/>
          <w:color w:val="auto"/>
        </w:rPr>
      </w:pPr>
    </w:p>
    <w:p>
      <w:pPr>
        <w:ind w:left="1240" w:right="400"/>
        <w:spacing w:after="0" w:line="342" w:lineRule="auto"/>
        <w:rPr>
          <w:sz w:val="20"/>
          <w:szCs w:val="20"/>
          <w:color w:val="auto"/>
        </w:rPr>
      </w:pPr>
      <w:r>
        <w:rPr>
          <w:rFonts w:ascii="Times New Roman" w:cs="Times New Roman" w:eastAsia="Times New Roman" w:hAnsi="Times New Roman"/>
          <w:sz w:val="16"/>
          <w:szCs w:val="16"/>
          <w:color w:val="auto"/>
        </w:rPr>
        <w:t>Amortization of deferred issuance costs on mandatorily redeemable preferred stock Amortization of deferred offering costs on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-323850</wp:posOffset>
            </wp:positionV>
            <wp:extent cx="4552950" cy="1670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ind w:left="1240"/>
        <w:spacing w:after="0"/>
        <w:rPr>
          <w:sz w:val="20"/>
          <w:szCs w:val="20"/>
          <w:color w:val="auto"/>
        </w:rPr>
      </w:pPr>
      <w:r>
        <w:rPr>
          <w:rFonts w:ascii="Times New Roman" w:cs="Times New Roman" w:eastAsia="Times New Roman" w:hAnsi="Times New Roman"/>
          <w:sz w:val="16"/>
          <w:szCs w:val="16"/>
          <w:color w:val="auto"/>
        </w:rPr>
        <w:t>Amortization of deferred issuance costs on notes payable –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Non-cash interest income due to payment-in-kind</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Sales of investments</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Repayments of principal and reductions to investment cost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Net change in unrealized depreciation on investments</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Net 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Net reductions to CLO equity and related investment cost</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Decrease in distributions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fee receivable</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Decrease in interest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Decrease in prepaid expenses and other assets</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base management fee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incentive fee payable</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Decrease in excise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interest payable</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administrator expense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Decrease in accrued offering costs</w:t>
      </w:r>
    </w:p>
    <w:p>
      <w:pPr>
        <w:spacing w:after="0" w:line="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6"/>
          <w:szCs w:val="16"/>
          <w:color w:val="auto"/>
        </w:rPr>
        <w:t>Increase in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58420</wp:posOffset>
            </wp:positionV>
            <wp:extent cx="4552950" cy="1746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52950" cy="174625"/>
                    </a:xfrm>
                    <a:prstGeom prst="rect">
                      <a:avLst/>
                    </a:prstGeom>
                    <a:noFill/>
                  </pic:spPr>
                </pic:pic>
              </a:graphicData>
            </a:graphic>
          </wp:anchor>
        </w:drawing>
      </w:r>
    </w:p>
    <w:p>
      <w:pPr>
        <w:spacing w:after="0" w:line="3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Distributions paid (net of distribution reinvestment plan of $21,212,300)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Proceeds from the issuance of common stock</w:t>
      </w:r>
    </w:p>
    <w:p>
      <w:pPr>
        <w:spacing w:after="0" w:line="79" w:lineRule="exact"/>
        <w:rPr>
          <w:sz w:val="20"/>
          <w:szCs w:val="20"/>
          <w:color w:val="auto"/>
        </w:rPr>
      </w:pPr>
    </w:p>
    <w:p>
      <w:pPr>
        <w:ind w:left="1080" w:right="1340"/>
        <w:spacing w:after="0" w:line="342" w:lineRule="auto"/>
        <w:rPr>
          <w:sz w:val="20"/>
          <w:szCs w:val="20"/>
          <w:color w:val="auto"/>
        </w:rPr>
      </w:pPr>
      <w:r>
        <w:rPr>
          <w:rFonts w:ascii="Times New Roman" w:cs="Times New Roman" w:eastAsia="Times New Roman" w:hAnsi="Times New Roman"/>
          <w:sz w:val="16"/>
          <w:szCs w:val="16"/>
          <w:color w:val="auto"/>
        </w:rPr>
        <w:t>Underwriting fees and offering costs for the issuance of common stock Redemption of mandatorily redeemable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-323850</wp:posOffset>
            </wp:positionV>
            <wp:extent cx="4552950" cy="1670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ind w:left="1080"/>
        <w:spacing w:after="0"/>
        <w:rPr>
          <w:sz w:val="20"/>
          <w:szCs w:val="20"/>
          <w:color w:val="auto"/>
        </w:rPr>
      </w:pPr>
      <w:r>
        <w:rPr>
          <w:rFonts w:ascii="Times New Roman" w:cs="Times New Roman" w:eastAsia="Times New Roman" w:hAnsi="Times New Roman"/>
          <w:sz w:val="16"/>
          <w:szCs w:val="16"/>
          <w:color w:val="auto"/>
        </w:rPr>
        <w:t>Proceeds from the issuance of notes payable – 8.75% unsecured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Payment of deferred issuance costs – notes payable</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Net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p>
      <w:pPr>
        <w:spacing w:after="0" w:line="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SUPPLEMENTAL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Cash paid for interest</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Cash paid for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NON-CASH ACTIVITIES</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Value of shares issued in connection with dividend reinvestment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Cost of securities purchased not settled</w:t>
      </w:r>
    </w:p>
    <w:p>
      <w:pPr>
        <w:spacing w:after="0" w:line="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6"/>
          <w:szCs w:val="16"/>
          <w:color w:val="auto"/>
        </w:rPr>
        <w:t>Non-cash interest income due to payment-in-kind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-107950</wp:posOffset>
            </wp:positionV>
            <wp:extent cx="4552950" cy="1670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21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87"/>
        <w:spacing w:after="0"/>
        <w:rPr>
          <w:sz w:val="20"/>
          <w:szCs w:val="20"/>
          <w:color w:val="auto"/>
        </w:rPr>
      </w:pPr>
      <w:r>
        <w:rPr>
          <w:rFonts w:ascii="Times New Roman" w:cs="Times New Roman" w:eastAsia="Times New Roman" w:hAnsi="Times New Roman"/>
          <w:sz w:val="14"/>
          <w:szCs w:val="14"/>
          <w:b w:val="1"/>
          <w:bCs w:val="1"/>
          <w:color w:val="auto"/>
        </w:rPr>
        <w:t>Six Months</w:t>
      </w:r>
    </w:p>
    <w:p>
      <w:pPr>
        <w:spacing w:after="0" w:line="24" w:lineRule="exact"/>
        <w:rPr>
          <w:sz w:val="20"/>
          <w:szCs w:val="20"/>
          <w:color w:val="auto"/>
        </w:rPr>
      </w:pPr>
    </w:p>
    <w:p>
      <w:pPr>
        <w:ind w:left="327"/>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6" w:lineRule="exact"/>
        <w:rPr>
          <w:sz w:val="20"/>
          <w:szCs w:val="20"/>
          <w:color w:val="auto"/>
        </w:rPr>
      </w:pPr>
    </w:p>
    <w:p>
      <w:pPr>
        <w:ind w:left="87"/>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ind w:left="407"/>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300" w:lineRule="exact"/>
        <w:rPr>
          <w:sz w:val="20"/>
          <w:szCs w:val="20"/>
          <w:color w:val="auto"/>
        </w:rPr>
      </w:pPr>
    </w:p>
    <w:p>
      <w:pPr>
        <w:ind w:left="267" w:hanging="267"/>
        <w:spacing w:after="0"/>
        <w:tabs>
          <w:tab w:leader="none" w:pos="26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65,592,339</w:t>
      </w:r>
    </w:p>
    <w:p>
      <w:pPr>
        <w:spacing w:after="0" w:line="200" w:lineRule="exact"/>
        <w:rPr>
          <w:sz w:val="20"/>
          <w:szCs w:val="20"/>
          <w:color w:val="auto"/>
        </w:rPr>
      </w:pPr>
    </w:p>
    <w:p>
      <w:pPr>
        <w:spacing w:after="0" w:line="273"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(1,036,602)</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615,082</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102,937</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667,362</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(434,706)</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(758,296,831)</w:t>
      </w:r>
    </w:p>
    <w:p>
      <w:pPr>
        <w:spacing w:after="0" w:line="79"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6"/>
          <w:szCs w:val="16"/>
          <w:color w:val="auto"/>
        </w:rPr>
        <w:t>26,356,866</w:t>
      </w:r>
    </w:p>
    <w:p>
      <w:pPr>
        <w:spacing w:after="0" w:line="79"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6"/>
          <w:szCs w:val="16"/>
          <w:color w:val="auto"/>
        </w:rPr>
        <w:t>236,568,844</w:t>
      </w:r>
    </w:p>
    <w:p>
      <w:pPr>
        <w:spacing w:after="0" w:line="79" w:lineRule="exact"/>
        <w:rPr>
          <w:sz w:val="20"/>
          <w:szCs w:val="20"/>
          <w:color w:val="auto"/>
        </w:rPr>
      </w:pPr>
    </w:p>
    <w:p>
      <w:pPr>
        <w:ind w:left="267"/>
        <w:spacing w:after="0"/>
        <w:rPr>
          <w:sz w:val="20"/>
          <w:szCs w:val="20"/>
          <w:color w:val="auto"/>
        </w:rPr>
      </w:pPr>
      <w:r>
        <w:rPr>
          <w:rFonts w:ascii="Times New Roman" w:cs="Times New Roman" w:eastAsia="Times New Roman" w:hAnsi="Times New Roman"/>
          <w:sz w:val="16"/>
          <w:szCs w:val="16"/>
          <w:color w:val="auto"/>
        </w:rPr>
        <w:t>66,872,690</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(9,321,688)</w:t>
      </w:r>
    </w:p>
    <w:p>
      <w:pPr>
        <w:spacing w:after="0" w:line="79" w:lineRule="exact"/>
        <w:rPr>
          <w:sz w:val="20"/>
          <w:szCs w:val="20"/>
          <w:color w:val="auto"/>
        </w:rPr>
      </w:pPr>
    </w:p>
    <w:p>
      <w:pPr>
        <w:ind w:left="207"/>
        <w:spacing w:after="0"/>
        <w:rPr>
          <w:sz w:val="20"/>
          <w:szCs w:val="20"/>
          <w:color w:val="auto"/>
        </w:rPr>
      </w:pPr>
      <w:r>
        <w:rPr>
          <w:rFonts w:ascii="Times New Roman" w:cs="Times New Roman" w:eastAsia="Times New Roman" w:hAnsi="Times New Roman"/>
          <w:sz w:val="16"/>
          <w:szCs w:val="16"/>
          <w:color w:val="auto"/>
        </w:rPr>
        <w:t>120,695,631</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711,919</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(31,692)</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925,232</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142,771</w:t>
      </w:r>
    </w:p>
    <w:p>
      <w:pPr>
        <w:spacing w:after="0" w:line="7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6"/>
          <w:szCs w:val="16"/>
          <w:color w:val="auto"/>
        </w:rPr>
        <w:t>2,277,070</w:t>
      </w:r>
    </w:p>
    <w:p>
      <w:pPr>
        <w:spacing w:after="0" w:line="79" w:lineRule="exact"/>
        <w:rPr>
          <w:sz w:val="20"/>
          <w:szCs w:val="20"/>
          <w:color w:val="auto"/>
        </w:rPr>
      </w:pPr>
    </w:p>
    <w:p>
      <w:pPr>
        <w:ind w:left="367"/>
        <w:spacing w:after="0"/>
        <w:rPr>
          <w:sz w:val="20"/>
          <w:szCs w:val="20"/>
          <w:color w:val="auto"/>
        </w:rPr>
      </w:pPr>
      <w:r>
        <w:rPr>
          <w:rFonts w:ascii="Times New Roman" w:cs="Times New Roman" w:eastAsia="Times New Roman" w:hAnsi="Times New Roman"/>
          <w:sz w:val="16"/>
          <w:szCs w:val="16"/>
          <w:color w:val="auto"/>
        </w:rPr>
        <w:t>4,057,800</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(2,760,210)</w:t>
      </w:r>
    </w:p>
    <w:p>
      <w:pPr>
        <w:spacing w:after="0" w:line="79"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6"/>
          <w:szCs w:val="16"/>
          <w:color w:val="auto"/>
        </w:rPr>
        <w:t>27,951</w:t>
      </w:r>
    </w:p>
    <w:p>
      <w:pPr>
        <w:spacing w:after="0" w:line="79" w:lineRule="exact"/>
        <w:rPr>
          <w:sz w:val="20"/>
          <w:szCs w:val="20"/>
          <w:color w:val="auto"/>
        </w:rPr>
      </w:pPr>
    </w:p>
    <w:p>
      <w:pPr>
        <w:ind w:left="547"/>
        <w:spacing w:after="0"/>
        <w:rPr>
          <w:sz w:val="20"/>
          <w:szCs w:val="20"/>
          <w:color w:val="auto"/>
        </w:rPr>
      </w:pPr>
      <w:r>
        <w:rPr>
          <w:rFonts w:ascii="Times New Roman" w:cs="Times New Roman" w:eastAsia="Times New Roman" w:hAnsi="Times New Roman"/>
          <w:sz w:val="16"/>
          <w:szCs w:val="16"/>
          <w:color w:val="auto"/>
        </w:rPr>
        <w:t>19,471</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(2,888)</w:t>
      </w:r>
    </w:p>
    <w:p>
      <w:pPr>
        <w:spacing w:after="0" w:line="79" w:lineRule="exact"/>
        <w:rPr>
          <w:sz w:val="20"/>
          <w:szCs w:val="20"/>
          <w:color w:val="auto"/>
        </w:rPr>
      </w:pPr>
    </w:p>
    <w:p>
      <w:pPr>
        <w:ind w:left="487"/>
        <w:spacing w:after="0"/>
        <w:rPr>
          <w:sz w:val="20"/>
          <w:szCs w:val="20"/>
          <w:color w:val="auto"/>
        </w:rPr>
      </w:pPr>
      <w:r>
        <w:rPr>
          <w:rFonts w:ascii="Times New Roman" w:cs="Times New Roman" w:eastAsia="Times New Roman" w:hAnsi="Times New Roman"/>
          <w:sz w:val="16"/>
          <w:szCs w:val="16"/>
          <w:color w:val="auto"/>
        </w:rPr>
        <w:t>240,707</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(246,009,945)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223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(127,470,874)</w:t>
      </w:r>
    </w:p>
    <w:p>
      <w:pPr>
        <w:spacing w:after="0" w:line="79"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497,215,479</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(3,168,629)</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(68,125,375)</w:t>
      </w:r>
    </w:p>
    <w:p>
      <w:pPr>
        <w:spacing w:after="0" w:line="79"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115,000,000</w:t>
      </w:r>
    </w:p>
    <w:p>
      <w:pPr>
        <w:spacing w:after="0" w:line="79" w:lineRule="exact"/>
        <w:rPr>
          <w:sz w:val="20"/>
          <w:szCs w:val="20"/>
          <w:color w:val="auto"/>
        </w:rPr>
      </w:pPr>
    </w:p>
    <w:p>
      <w:pPr>
        <w:jc w:val="right"/>
        <w:ind w:right="1000"/>
        <w:spacing w:after="0"/>
        <w:rPr>
          <w:sz w:val="20"/>
          <w:szCs w:val="20"/>
          <w:color w:val="auto"/>
        </w:rPr>
      </w:pPr>
      <w:r>
        <w:rPr>
          <w:rFonts w:ascii="Times New Roman" w:cs="Times New Roman" w:eastAsia="Times New Roman" w:hAnsi="Times New Roman"/>
          <w:sz w:val="16"/>
          <w:szCs w:val="16"/>
          <w:color w:val="auto"/>
        </w:rPr>
        <w:t>(3,923,781)</w:t>
      </w:r>
    </w:p>
    <w:p>
      <w:pPr>
        <w:spacing w:after="0" w:line="91"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409,526,820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6223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322"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6"/>
          <w:szCs w:val="16"/>
          <w:color w:val="auto"/>
        </w:rPr>
        <w:t>163,516,875</w:t>
      </w:r>
    </w:p>
    <w:p>
      <w:pPr>
        <w:spacing w:after="0" w:line="79" w:lineRule="exact"/>
        <w:rPr>
          <w:sz w:val="20"/>
          <w:szCs w:val="20"/>
          <w:color w:val="auto"/>
        </w:rPr>
      </w:pPr>
    </w:p>
    <w:p>
      <w:pPr>
        <w:jc w:val="right"/>
        <w:ind w:right="1060"/>
        <w:spacing w:after="0"/>
        <w:rPr>
          <w:sz w:val="20"/>
          <w:szCs w:val="20"/>
          <w:color w:val="auto"/>
        </w:rPr>
      </w:pPr>
      <w:r>
        <w:rPr>
          <w:rFonts w:ascii="Times New Roman" w:cs="Times New Roman" w:eastAsia="Times New Roman" w:hAnsi="Times New Roman"/>
          <w:sz w:val="16"/>
          <w:szCs w:val="16"/>
          <w:color w:val="auto"/>
        </w:rPr>
        <w:t>42,974,356</w:t>
      </w:r>
    </w:p>
    <w:p>
      <w:pPr>
        <w:spacing w:after="0" w:line="91" w:lineRule="exact"/>
        <w:rPr>
          <w:sz w:val="20"/>
          <w:szCs w:val="20"/>
          <w:color w:val="auto"/>
        </w:rPr>
      </w:pPr>
    </w:p>
    <w:p>
      <w:pPr>
        <w:jc w:val="right"/>
        <w:ind w:right="1040"/>
        <w:spacing w:after="0"/>
        <w:tabs>
          <w:tab w:leader="none" w:pos="8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206,491,231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58420</wp:posOffset>
            </wp:positionV>
            <wp:extent cx="6223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2300" cy="762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67" w:hanging="267"/>
        <w:spacing w:after="0"/>
        <w:tabs>
          <w:tab w:leader="none" w:pos="267"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16,356,653</w:t>
      </w:r>
    </w:p>
    <w:p>
      <w:pPr>
        <w:spacing w:after="0" w:line="79" w:lineRule="exact"/>
        <w:rPr>
          <w:sz w:val="20"/>
          <w:szCs w:val="20"/>
          <w:color w:val="auto"/>
        </w:rPr>
      </w:pPr>
    </w:p>
    <w:p>
      <w:pPr>
        <w:ind w:left="367" w:hanging="367"/>
        <w:spacing w:after="0"/>
        <w:tabs>
          <w:tab w:leader="none" w:pos="367"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3,495,762</w:t>
      </w:r>
    </w:p>
    <w:p>
      <w:pPr>
        <w:spacing w:after="0" w:line="342" w:lineRule="exact"/>
        <w:rPr>
          <w:sz w:val="20"/>
          <w:szCs w:val="20"/>
          <w:color w:val="auto"/>
        </w:rPr>
      </w:pPr>
    </w:p>
    <w:p>
      <w:pPr>
        <w:ind w:left="267" w:hanging="267"/>
        <w:spacing w:after="0"/>
        <w:tabs>
          <w:tab w:leader="none" w:pos="2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21,212,300</w:t>
      </w:r>
    </w:p>
    <w:p>
      <w:pPr>
        <w:spacing w:after="0" w:line="78" w:lineRule="exact"/>
        <w:rPr>
          <w:rFonts w:ascii="Times New Roman" w:cs="Times New Roman" w:eastAsia="Times New Roman" w:hAnsi="Times New Roman"/>
          <w:sz w:val="16"/>
          <w:szCs w:val="16"/>
          <w:color w:val="auto"/>
        </w:rPr>
      </w:pPr>
    </w:p>
    <w:p>
      <w:pPr>
        <w:ind w:left="267" w:hanging="267"/>
        <w:spacing w:after="0"/>
        <w:tabs>
          <w:tab w:leader="none" w:pos="26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70,240,546</w:t>
      </w:r>
    </w:p>
    <w:p>
      <w:pPr>
        <w:spacing w:after="0" w:line="78" w:lineRule="exact"/>
        <w:rPr>
          <w:rFonts w:ascii="Times New Roman" w:cs="Times New Roman" w:eastAsia="Times New Roman" w:hAnsi="Times New Roman"/>
          <w:sz w:val="16"/>
          <w:szCs w:val="16"/>
          <w:color w:val="auto"/>
        </w:rPr>
      </w:pPr>
    </w:p>
    <w:p>
      <w:pPr>
        <w:ind w:left="487" w:hanging="487"/>
        <w:spacing w:after="0"/>
        <w:tabs>
          <w:tab w:leader="none" w:pos="487"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434,706</w:t>
      </w:r>
    </w:p>
    <w:p>
      <w:pPr>
        <w:spacing w:after="0" w:line="569" w:lineRule="exact"/>
        <w:rPr>
          <w:sz w:val="20"/>
          <w:szCs w:val="20"/>
          <w:color w:val="auto"/>
        </w:rPr>
      </w:pPr>
    </w:p>
    <w:p>
      <w:pPr>
        <w:sectPr>
          <w:pgSz w:w="11900" w:h="16840" w:orient="portrait"/>
          <w:cols w:equalWidth="0" w:num="2">
            <w:col w:w="6820" w:space="173"/>
            <w:col w:w="2027"/>
          </w:cols>
          <w:pgMar w:left="1440" w:top="556" w:right="1440" w:bottom="728" w:gutter="0" w:footer="0" w:header="0"/>
        </w:sect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728" w:gutter="0" w:footer="0" w:header="0"/>
          <w:type w:val="continuous"/>
        </w:sectPr>
      </w:pPr>
    </w:p>
    <w:bookmarkStart w:id="39" w:name="page40"/>
    <w:bookmarkEnd w:id="3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 UNAUDITED INTERIM FINANCIAL STATEMENTS</w:t>
      </w:r>
    </w:p>
    <w:p>
      <w:pPr>
        <w:spacing w:after="0" w:line="117" w:lineRule="exact"/>
        <w:rPr>
          <w:sz w:val="20"/>
          <w:szCs w:val="20"/>
          <w:color w:val="auto"/>
        </w:rPr>
      </w:pPr>
    </w:p>
    <w:p>
      <w:pPr>
        <w:ind w:left="920" w:right="1000" w:firstLine="382"/>
        <w:spacing w:after="0" w:line="274" w:lineRule="auto"/>
        <w:rPr>
          <w:sz w:val="20"/>
          <w:szCs w:val="20"/>
          <w:color w:val="auto"/>
        </w:rPr>
      </w:pPr>
      <w:r>
        <w:rPr>
          <w:rFonts w:ascii="Times New Roman" w:cs="Times New Roman" w:eastAsia="Times New Roman" w:hAnsi="Times New Roman"/>
          <w:sz w:val="14"/>
          <w:szCs w:val="14"/>
          <w:color w:val="auto"/>
        </w:rPr>
        <w:t>Interim financial statements of Oxford Lane Capital Corp. (“OXLC,” “we,” “us,” “our,” or the “Fund”) are prepared in accordance with generally accepted accounting principles in the United States of America (“GAAP”) for interim financial information and pursuant to the requirements for reporting on Form N-CSR. Accordingly, certain disclosures accompanying annual financial statements prepared in accordance with GAAP are omitted. In the opinion of management, all adjustments, consisting of normal recurring accruals, necessary for the fair statement of financial results for the interim periods have been included. The current period’s results of operations are not necessarily indicative of results that may be achieved for the year. The interim financial statements and notes thereto should be read in conjunction with the financial statements and notes thereto included in the Fund’s Form N-CSR for the year ended March 31, 2024, as filed with the Securities and Exchange Commission (“SEC”).</w:t>
      </w:r>
    </w:p>
    <w:p>
      <w:pPr>
        <w:spacing w:after="0" w:line="14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2. ORGANIZATION</w:t>
      </w:r>
    </w:p>
    <w:p>
      <w:pPr>
        <w:spacing w:after="0" w:line="117" w:lineRule="exact"/>
        <w:rPr>
          <w:sz w:val="20"/>
          <w:szCs w:val="20"/>
          <w:color w:val="auto"/>
        </w:rPr>
      </w:pPr>
    </w:p>
    <w:p>
      <w:pPr>
        <w:ind w:left="920" w:right="920" w:firstLine="382"/>
        <w:spacing w:after="0" w:line="271" w:lineRule="auto"/>
        <w:rPr>
          <w:sz w:val="20"/>
          <w:szCs w:val="20"/>
          <w:color w:val="auto"/>
        </w:rPr>
      </w:pPr>
      <w:r>
        <w:rPr>
          <w:rFonts w:ascii="Times New Roman" w:cs="Times New Roman" w:eastAsia="Times New Roman" w:hAnsi="Times New Roman"/>
          <w:sz w:val="14"/>
          <w:szCs w:val="14"/>
          <w:color w:val="auto"/>
        </w:rPr>
        <w:t>The Fund was incorporated under the General Corporation Laws of the State of Maryland on June 9, 2010. The Fund is a closed-end management investment company that is registered under the Investment Company Act of 1940, as amended (the “1940 Act”). In addition, the Fund has elected to be treated for tax purposes as a regulated investment company (“RIC”) under Subchapter M of the Internal Revenue Code of 1986, as amended (the “Code”). The Fund’s investment objective is to maximize its portfolio’s risk adjusted total return, and it currently seeks to achieve its investment objective by investing in structured finance investments, specifically the equity and junior debt tranches of collateralized loan obligation (“CLO”) vehicles, which are collateralized primarily by a diverse portfolio of senior secured loans made to companies whose debt is unrated or is rated below investment grade (the “Senior Loans”) and, to a limited extent, subordinated and/or unsecured loans and bonds (together with the Senior Loans, the “CLO Assets”). The Fund’s investment activities are managed by Oxford Lane Management, LLC (“Oxford Lane Management”), a registered investment adviser under the Investment Advisers Act of 1940, as amended (the “Advisers Act”). Oxford Funds, LLC (“Oxford Funds”) is the managing member of Oxford Lane Management and serves as the administrator of the Fund. Under the investment advisory agreement with Oxford Lane Management (the “Investment Advisory Agreement”), the Fund has agreed to pay Oxford Lane Management an annual base management fee based on gross assets as well as an incentive fee based on its performance. For further detail please refer to “Note 5. Related Party Transactions.”</w:t>
      </w:r>
    </w:p>
    <w:p>
      <w:pPr>
        <w:spacing w:after="0" w:line="3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3. SUMMARY OF SIGNIFICANT ACCOUNTING POLICIES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BASIS OF PRESENTATION</w:t>
      </w:r>
    </w:p>
    <w:p>
      <w:pPr>
        <w:spacing w:after="0" w:line="117"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 xml:space="preserve">The accompanying financial statements, which have been prepared in accordance with GAAP, include the accounts of the Fund. The Fund follows the accounting and reporting guidance in Financial Accounting Standards Board (“FASB”) Accounting Standards Codification (“ASC”) Topic 946, </w:t>
      </w:r>
      <w:r>
        <w:rPr>
          <w:rFonts w:ascii="Times New Roman" w:cs="Times New Roman" w:eastAsia="Times New Roman" w:hAnsi="Times New Roman"/>
          <w:sz w:val="16"/>
          <w:szCs w:val="16"/>
          <w:i w:val="1"/>
          <w:iCs w:val="1"/>
          <w:color w:val="auto"/>
        </w:rPr>
        <w:t>Financial Services — Investment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Companies</w:t>
      </w:r>
      <w:r>
        <w:rPr>
          <w:rFonts w:ascii="Times New Roman" w:cs="Times New Roman" w:eastAsia="Times New Roman" w:hAnsi="Times New Roman"/>
          <w:sz w:val="16"/>
          <w:szCs w:val="16"/>
          <w:color w:val="auto"/>
        </w:rPr>
        <w:t>. Certain prior period figures have been reclassified from those originally published on Form N-CSR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conform to the current period presentation for comparative purposes. The Fund maintains its accounting records in U.S. dollars.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USE OF ESTIMATES</w:t>
      </w:r>
    </w:p>
    <w:p>
      <w:pPr>
        <w:spacing w:after="0" w:line="117" w:lineRule="exact"/>
        <w:rPr>
          <w:sz w:val="20"/>
          <w:szCs w:val="20"/>
          <w:color w:val="auto"/>
        </w:rPr>
      </w:pPr>
    </w:p>
    <w:p>
      <w:pPr>
        <w:ind w:left="920" w:right="1200" w:firstLine="382"/>
        <w:spacing w:after="0" w:line="245" w:lineRule="auto"/>
        <w:rPr>
          <w:sz w:val="20"/>
          <w:szCs w:val="20"/>
          <w:color w:val="auto"/>
        </w:rPr>
      </w:pPr>
      <w:r>
        <w:rPr>
          <w:rFonts w:ascii="Times New Roman" w:cs="Times New Roman" w:eastAsia="Times New Roman" w:hAnsi="Times New Roman"/>
          <w:sz w:val="16"/>
          <w:szCs w:val="16"/>
          <w:color w:val="auto"/>
        </w:rPr>
        <w:t>The financial statements have been prepared in accordance with GAAP, which requires management to make estimates and assumptions that affect the amounts reported in the financial statements and accompanying notes. Actual results may differ from those estimates and such differences could be material.</w:t>
      </w:r>
    </w:p>
    <w:p>
      <w:pPr>
        <w:spacing w:after="0" w:line="94" w:lineRule="exact"/>
        <w:rPr>
          <w:sz w:val="20"/>
          <w:szCs w:val="20"/>
          <w:color w:val="auto"/>
        </w:rPr>
      </w:pPr>
    </w:p>
    <w:p>
      <w:pPr>
        <w:ind w:left="920" w:right="980" w:firstLine="382"/>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Fund may enter into contracts that contain a variety of representations and provide indemnifications. The Fund’s maximum exposure under these arrangements is unknown as this would involve future claims that may be made against the Fund that have not yet occurred. However, based upon experience, the Fund expects the risk of loss to be remote.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0" w:name="page41"/>
    <w:bookmarkEnd w:id="4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3. SUMMARY OF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p>
      <w:pPr>
        <w:spacing w:after="0" w:line="117" w:lineRule="exact"/>
        <w:rPr>
          <w:sz w:val="20"/>
          <w:szCs w:val="20"/>
          <w:color w:val="auto"/>
        </w:rPr>
      </w:pPr>
    </w:p>
    <w:p>
      <w:pPr>
        <w:ind w:left="920" w:right="960" w:firstLine="382"/>
        <w:spacing w:after="0" w:line="238" w:lineRule="auto"/>
        <w:rPr>
          <w:sz w:val="20"/>
          <w:szCs w:val="20"/>
          <w:color w:val="auto"/>
        </w:rPr>
      </w:pPr>
      <w:r>
        <w:rPr>
          <w:rFonts w:ascii="Times New Roman" w:cs="Times New Roman" w:eastAsia="Times New Roman" w:hAnsi="Times New Roman"/>
          <w:sz w:val="16"/>
          <w:szCs w:val="16"/>
          <w:color w:val="auto"/>
        </w:rPr>
        <w:t>Cash and cash equivalents consist of deposits held at custodian banks, and highly liquid investments, such as money market funds, which contain investments with original maturities of three months or less. The Fund places its cash equivalents with financial institutions, and, at times, cash held in bank accounts may exceed the Federal Deposit Insurance Corporation (“FDIC”) insured limit. Cash equivalents are classified as Level 1 assets and are included on the Fund’s Schedule of Investments. Cash equivalents are carried at cost or amortized cost which approximates fair value, and investments held in money market funds are valued at net asset value (“NAV”) per share.</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At September 30, 2024, cash and cash equivalents were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8"/>
        </w:trPr>
        <w:tc>
          <w:tcPr>
            <w:tcW w:w="6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0"/>
        </w:trPr>
        <w:tc>
          <w:tcPr>
            <w:tcW w:w="6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27,233,150</w:t>
            </w:r>
          </w:p>
        </w:tc>
      </w:tr>
      <w:tr>
        <w:trPr>
          <w:trHeight w:val="25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179,258,081</w:t>
            </w:r>
          </w:p>
        </w:tc>
      </w:tr>
      <w:tr>
        <w:trPr>
          <w:trHeight w:val="237"/>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206,491,231</w:t>
            </w:r>
          </w:p>
        </w:tc>
      </w:tr>
      <w:tr>
        <w:trPr>
          <w:trHeight w:val="20"/>
        </w:trPr>
        <w:tc>
          <w:tcPr>
            <w:tcW w:w="6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INVESTMENT VALUATION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Fund determines the fair values of its investment portfolio in accordance with the provisions of</w:t>
      </w:r>
    </w:p>
    <w:p>
      <w:pPr>
        <w:spacing w:after="0" w:line="13" w:lineRule="exact"/>
        <w:rPr>
          <w:sz w:val="20"/>
          <w:szCs w:val="20"/>
          <w:color w:val="auto"/>
        </w:rPr>
      </w:pPr>
    </w:p>
    <w:p>
      <w:pPr>
        <w:ind w:left="920" w:right="1100"/>
        <w:spacing w:after="0" w:line="234" w:lineRule="auto"/>
        <w:rPr>
          <w:sz w:val="20"/>
          <w:szCs w:val="20"/>
          <w:color w:val="auto"/>
        </w:rPr>
      </w:pPr>
      <w:r>
        <w:rPr>
          <w:rFonts w:ascii="Times New Roman" w:cs="Times New Roman" w:eastAsia="Times New Roman" w:hAnsi="Times New Roman"/>
          <w:sz w:val="16"/>
          <w:szCs w:val="16"/>
          <w:color w:val="auto"/>
        </w:rPr>
        <w:t>ASC 820, Fair Value Measurement (“ASC 820 -10”) and Rule 2a-5 under the 1940 Act (“Rule 2a-5”). Estimates made in the preparation of the Fund’s financial statements include the valuation of investments and the related amounts of unrealized appreciation and depreciation of investments recorded. The Fund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Fund makes. The Fund fair values each individual investment at least quarterly.</w:t>
      </w:r>
    </w:p>
    <w:p>
      <w:pPr>
        <w:spacing w:after="0" w:line="101" w:lineRule="exact"/>
        <w:rPr>
          <w:sz w:val="20"/>
          <w:szCs w:val="20"/>
          <w:color w:val="auto"/>
        </w:rPr>
      </w:pPr>
    </w:p>
    <w:p>
      <w:pPr>
        <w:ind w:left="920" w:right="940" w:firstLine="382"/>
        <w:spacing w:after="0" w:line="273" w:lineRule="auto"/>
        <w:rPr>
          <w:sz w:val="20"/>
          <w:szCs w:val="20"/>
          <w:color w:val="auto"/>
        </w:rPr>
      </w:pPr>
      <w:r>
        <w:rPr>
          <w:rFonts w:ascii="Times New Roman" w:cs="Times New Roman" w:eastAsia="Times New Roman" w:hAnsi="Times New Roman"/>
          <w:sz w:val="14"/>
          <w:szCs w:val="14"/>
          <w:color w:val="auto"/>
        </w:rPr>
        <w:t>ASC 820- 10 clarified the definition of fair value and requires companies to expand their disclosure about the use of fair value to measure assets and liabilities in interim and annual periods subsequent to initial recognition. ASC 820-10 defines fair value as the price that would be received to sell an asset or paid to transfer a liability in an orderly transaction between market participants at the measurement date. ASC 820-10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Fund considers the attributes of current market conditions on an ongoing basis and has determined that due to the general illiquidity of the market for its investment portfolio, whereby little or no market data exists, all of the Fund’s investments are based upon “Level 3” inputs as of September 30, 2024.</w:t>
      </w:r>
    </w:p>
    <w:p>
      <w:pPr>
        <w:spacing w:after="0" w:line="260"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The Board determines the value of its investment portfolio at least quarterly, after consideration of the Valuation Committee’s recommendation of fair value. In connection with that determination, Oxford Lane Management compiles relevant information, including a financial summary, recent trading activity in the security, if known, price indications from third -party pricing services and recent purchases and sales known to Oxford Lane Management in similar securities. All available information, including non -binding indicative bids and indicative indications of pricing from a third- party pricing service, which may not be considered reliable, will be considered by the Board and/or the Valuation Committee. In some instances, there may be limited trading activity in a security even though the market for the security is considered not active. In such cases the Board and/or the Valuation Committee will consider the number of trades, the size and timing of each trade, and other circumstances around such trades, to the extent such information is available. The Fund may elect to engage third -party valuation firms to provide assistance to the Valuation Committee and Board of Directors in valuing certain of our investments. The Valuation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1" w:name="page42"/>
    <w:bookmarkEnd w:id="4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3. SUMMARY OF SIGNIFICANT ACCOUNTING POLICIES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960"/>
        <w:spacing w:after="0" w:line="245" w:lineRule="auto"/>
        <w:rPr>
          <w:sz w:val="20"/>
          <w:szCs w:val="20"/>
          <w:color w:val="auto"/>
        </w:rPr>
      </w:pPr>
      <w:r>
        <w:rPr>
          <w:rFonts w:ascii="Times New Roman" w:cs="Times New Roman" w:eastAsia="Times New Roman" w:hAnsi="Times New Roman"/>
          <w:sz w:val="16"/>
          <w:szCs w:val="16"/>
          <w:color w:val="auto"/>
        </w:rPr>
        <w:t>Committee will evaluate the impact of such additional information, and factor it into its consideration of fair value. Changes in fair value, as described above, are recorded in the statement of operations as net change in unrealized appreciation/depreciation on investments.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Collateralized Loan Obligations — Debt and Equity</w:t>
      </w:r>
    </w:p>
    <w:p>
      <w:pPr>
        <w:spacing w:after="0" w:line="117" w:lineRule="exact"/>
        <w:rPr>
          <w:sz w:val="20"/>
          <w:szCs w:val="20"/>
          <w:color w:val="auto"/>
        </w:rPr>
      </w:pPr>
    </w:p>
    <w:p>
      <w:pPr>
        <w:ind w:left="920" w:right="900" w:firstLine="382"/>
        <w:spacing w:after="0" w:line="235" w:lineRule="auto"/>
        <w:rPr>
          <w:sz w:val="20"/>
          <w:szCs w:val="20"/>
          <w:color w:val="auto"/>
        </w:rPr>
      </w:pPr>
      <w:r>
        <w:rPr>
          <w:rFonts w:ascii="Times New Roman" w:cs="Times New Roman" w:eastAsia="Times New Roman" w:hAnsi="Times New Roman"/>
          <w:sz w:val="16"/>
          <w:szCs w:val="16"/>
          <w:color w:val="auto"/>
        </w:rPr>
        <w:t>The Fund has acquired debt and equity positions in CLO investment vehicles and has purchased CLO warehouse facilities. These investments are special purpose financing vehicles. In valuing such investments, the Fund considers the indicative prices provided by a recognized industry pricing service as a primary source for the Fund’s CLO debt and equity positions, and the implied yield of such prices, supplemented by actual trades executed in the market at or around period-end, as well as the indicative prices provided by the broker who arranges transactions in such investment vehicles. The Fund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 competition. In addition, the Fund considers the operating metrics of the specific investment vehicle, including compliance with collateralization tests, defaulted and restructured securities, and payment defaults, if any. In periods of illiquidity and volatility, the Fund may rely more heavily on other qualities and metrics, including, but not limited to, the collateral manager, time left in the reinvestment period, and expected cash flows and overcollateralization ratios, instead of the Fund’s generated valuation yields. The Valuation Committee will evaluate the impact of such additional information, and factor it into its consideration of fair value.</w:t>
      </w:r>
    </w:p>
    <w:p>
      <w:pPr>
        <w:spacing w:after="0" w:line="17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Securities Sold Under Agreement to Repurchase</w:t>
      </w:r>
    </w:p>
    <w:p>
      <w:pPr>
        <w:spacing w:after="0" w:line="117" w:lineRule="exact"/>
        <w:rPr>
          <w:sz w:val="20"/>
          <w:szCs w:val="20"/>
          <w:color w:val="auto"/>
        </w:rPr>
      </w:pPr>
    </w:p>
    <w:p>
      <w:pPr>
        <w:ind w:left="920" w:right="1000" w:firstLine="382"/>
        <w:spacing w:after="0" w:line="245" w:lineRule="auto"/>
        <w:rPr>
          <w:sz w:val="20"/>
          <w:szCs w:val="20"/>
          <w:color w:val="auto"/>
        </w:rPr>
      </w:pPr>
      <w:r>
        <w:rPr>
          <w:rFonts w:ascii="Times New Roman" w:cs="Times New Roman" w:eastAsia="Times New Roman" w:hAnsi="Times New Roman"/>
          <w:sz w:val="16"/>
          <w:szCs w:val="16"/>
          <w:color w:val="auto"/>
        </w:rPr>
        <w:t>The Fund may enter into an agreement whereby it sells securities to be repurchased at an agreed-upon price and date. Under such an agreement, the Fund accounts for this transaction as a collateralized financing transaction which is recorded at the contracted repurchase amount plus interest.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SHARE REPURCHASES</w:t>
      </w:r>
    </w:p>
    <w:p>
      <w:pPr>
        <w:spacing w:after="0" w:line="117" w:lineRule="exact"/>
        <w:rPr>
          <w:sz w:val="20"/>
          <w:szCs w:val="20"/>
          <w:color w:val="auto"/>
        </w:rPr>
      </w:pPr>
    </w:p>
    <w:p>
      <w:pPr>
        <w:ind w:left="920" w:right="960" w:firstLine="382"/>
        <w:spacing w:after="0" w:line="282" w:lineRule="auto"/>
        <w:rPr>
          <w:sz w:val="20"/>
          <w:szCs w:val="20"/>
          <w:color w:val="auto"/>
        </w:rPr>
      </w:pPr>
      <w:r>
        <w:rPr>
          <w:rFonts w:ascii="Times New Roman" w:cs="Times New Roman" w:eastAsia="Times New Roman" w:hAnsi="Times New Roman"/>
          <w:sz w:val="14"/>
          <w:szCs w:val="14"/>
          <w:color w:val="auto"/>
        </w:rPr>
        <w:t>From time to time, the Board of Directors may authorize a share repurchase program under which shares of the Fund’s common stock are purchased in open market transactions. Since the Fund is incorporated in the State of Maryland, state law requires share repurchases to be accounted for as a share retirement. The cost of repurchased shares is charged against capital on the settlement date. There was no share repurchase program authorized on the Fund’s common stock for the six months ended September 30, 2024 and the year ended March 31, 2024.</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PREFERRED STOCK</w:t>
      </w:r>
    </w:p>
    <w:p>
      <w:pPr>
        <w:spacing w:after="0" w:line="117" w:lineRule="exact"/>
        <w:rPr>
          <w:sz w:val="20"/>
          <w:szCs w:val="20"/>
          <w:color w:val="auto"/>
        </w:rPr>
      </w:pPr>
    </w:p>
    <w:p>
      <w:pPr>
        <w:ind w:left="920" w:right="1000" w:firstLine="382"/>
        <w:spacing w:after="0" w:line="328" w:lineRule="auto"/>
        <w:rPr>
          <w:sz w:val="20"/>
          <w:szCs w:val="20"/>
          <w:color w:val="auto"/>
        </w:rPr>
      </w:pPr>
      <w:r>
        <w:rPr>
          <w:rFonts w:ascii="Times New Roman" w:cs="Times New Roman" w:eastAsia="Times New Roman" w:hAnsi="Times New Roman"/>
          <w:sz w:val="14"/>
          <w:szCs w:val="14"/>
          <w:color w:val="auto"/>
        </w:rPr>
        <w:t>The Fund carries its mandatorily redeemable preferred stock at accreted cost on the Statement of Assets and Liabilities, and not fair value. Refer to “Note 8. Mandatorily Redeemable Preferred Stock” for further details.</w:t>
      </w:r>
    </w:p>
    <w:p>
      <w:pPr>
        <w:spacing w:after="0" w:line="10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PREPAID EXPENSES AND OTHER ASSETS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Prepaid expenses and other assets consists primarily of insurance costs.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2" w:name="page43"/>
    <w:bookmarkEnd w:id="4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3. SUMMARY OF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Income from securitization vehicles and investments</w:t>
      </w:r>
    </w:p>
    <w:p>
      <w:pPr>
        <w:spacing w:after="0" w:line="117"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w:cs="Times New Roman" w:eastAsia="Times New Roman" w:hAnsi="Times New Roman"/>
          <w:sz w:val="16"/>
          <w:szCs w:val="16"/>
          <w:i w:val="1"/>
          <w:iCs w:val="1"/>
          <w:color w:val="auto"/>
        </w:rPr>
        <w:t>Beneficial Interests in Securitized Financial Assets</w:t>
      </w:r>
      <w:r>
        <w:rPr>
          <w:rFonts w:ascii="Times New Roman" w:cs="Times New Roman" w:eastAsia="Times New Roman" w:hAnsi="Times New Roman"/>
          <w:sz w:val="16"/>
          <w:szCs w:val="16"/>
          <w:color w:val="auto"/>
        </w:rPr>
        <w:t>, based upon estimated cash flows, their expected timing, and expected redemption, including those CLO equity investments that have not made their inaugural distribution for the relevant period end. The Fund monitors the expected residual payments, and effective yield is determined and updated periodically, as needed. Accordingly, investment income recognized on CLO equity securities in the GAAP statement of operations differs from both the tax-basis investment income and from the cash distributions actually received by the Fund during the period.</w:t>
      </w:r>
    </w:p>
    <w:p>
      <w:pPr>
        <w:spacing w:after="0" w:line="100" w:lineRule="exact"/>
        <w:rPr>
          <w:sz w:val="20"/>
          <w:szCs w:val="20"/>
          <w:color w:val="auto"/>
        </w:rPr>
      </w:pPr>
    </w:p>
    <w:p>
      <w:pPr>
        <w:ind w:left="920" w:right="1000" w:firstLine="382"/>
        <w:spacing w:after="0" w:line="241" w:lineRule="auto"/>
        <w:rPr>
          <w:sz w:val="20"/>
          <w:szCs w:val="20"/>
          <w:color w:val="auto"/>
        </w:rPr>
      </w:pPr>
      <w:r>
        <w:rPr>
          <w:rFonts w:ascii="Times New Roman" w:cs="Times New Roman" w:eastAsia="Times New Roman" w:hAnsi="Times New Roman"/>
          <w:sz w:val="16"/>
          <w:szCs w:val="16"/>
          <w:color w:val="auto"/>
        </w:rPr>
        <w:t>The Fund also records income on its investments in certain securitization vehicles or CLO warehouse facilities, based on a stated rate per the underlying note purchase agreement plus accrued interest or, if there is no stated rate, then an estimated rate is calculated using a base case model projecting the timing of the ramp-up of the CLO warehouse facility.</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Interest Income — Debt Investments</w:t>
      </w:r>
    </w:p>
    <w:p>
      <w:pPr>
        <w:spacing w:after="0" w:line="117" w:lineRule="exact"/>
        <w:rPr>
          <w:sz w:val="20"/>
          <w:szCs w:val="20"/>
          <w:color w:val="auto"/>
        </w:rPr>
      </w:pPr>
    </w:p>
    <w:p>
      <w:pPr>
        <w:jc w:val="both"/>
        <w:ind w:left="920" w:right="1000" w:firstLine="382"/>
        <w:spacing w:after="0" w:line="282" w:lineRule="auto"/>
        <w:rPr>
          <w:sz w:val="20"/>
          <w:szCs w:val="20"/>
          <w:color w:val="auto"/>
        </w:rPr>
      </w:pPr>
      <w:r>
        <w:rPr>
          <w:rFonts w:ascii="Times New Roman" w:cs="Times New Roman" w:eastAsia="Times New Roman" w:hAnsi="Times New Roman"/>
          <w:sz w:val="14"/>
          <w:szCs w:val="14"/>
          <w:color w:val="auto"/>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spacing w:after="0" w:line="70" w:lineRule="exact"/>
        <w:rPr>
          <w:sz w:val="20"/>
          <w:szCs w:val="20"/>
          <w:color w:val="auto"/>
        </w:rPr>
      </w:pPr>
    </w:p>
    <w:p>
      <w:pPr>
        <w:ind w:left="920" w:right="1000" w:firstLine="382"/>
        <w:spacing w:after="0" w:line="238" w:lineRule="auto"/>
        <w:rPr>
          <w:sz w:val="20"/>
          <w:szCs w:val="20"/>
          <w:color w:val="auto"/>
        </w:rPr>
      </w:pPr>
      <w:r>
        <w:rPr>
          <w:rFonts w:ascii="Times New Roman" w:cs="Times New Roman" w:eastAsia="Times New Roman" w:hAnsi="Times New Roman"/>
          <w:sz w:val="16"/>
          <w:szCs w:val="16"/>
          <w:color w:val="auto"/>
        </w:rPr>
        <w:t>Generally, if the Fund does not expect the borrower to be able to service its debt and other obligations, the Fund will, on a discretionary basis, place the debt instrument on non-accrual status and will generally cease recognizing interest income on that loan for financial reporting purposes until all principal and interest have been brought current through payment or due to restructuring such that the interest income is deemed to be collectible. The Fund generally restores non-accrual loans to accrual status when past due principal and interest is paid and, in the Fund’s judgment, the payments are likely to remain current. As of September 30, 2024, the Fund did not have any investments in its portfolio on non-accrual status.</w:t>
      </w:r>
    </w:p>
    <w:p>
      <w:pPr>
        <w:spacing w:after="0" w:line="97" w:lineRule="exact"/>
        <w:rPr>
          <w:sz w:val="20"/>
          <w:szCs w:val="20"/>
          <w:color w:val="auto"/>
        </w:rPr>
      </w:pPr>
    </w:p>
    <w:p>
      <w:pPr>
        <w:ind w:left="920" w:right="1040" w:firstLine="382"/>
        <w:spacing w:after="0" w:line="245" w:lineRule="auto"/>
        <w:rPr>
          <w:sz w:val="20"/>
          <w:szCs w:val="20"/>
          <w:color w:val="auto"/>
        </w:rPr>
      </w:pPr>
      <w:r>
        <w:rPr>
          <w:rFonts w:ascii="Times New Roman" w:cs="Times New Roman" w:eastAsia="Times New Roman" w:hAnsi="Times New Roman"/>
          <w:sz w:val="16"/>
          <w:szCs w:val="16"/>
          <w:color w:val="auto"/>
        </w:rPr>
        <w:t>Interest income also includes a payment-in-kind (“PIK”) provision on certain investments in the Fund’s portfolio. Refer to the section below, “Payment-In-Kind,” for a description of the PIK provision and its impact on interest income.</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Payment-In-Kind</w:t>
      </w:r>
    </w:p>
    <w:p>
      <w:pPr>
        <w:spacing w:after="0" w:line="117" w:lineRule="exact"/>
        <w:rPr>
          <w:sz w:val="20"/>
          <w:szCs w:val="20"/>
          <w:color w:val="auto"/>
        </w:rPr>
      </w:pPr>
    </w:p>
    <w:p>
      <w:pPr>
        <w:ind w:left="920" w:right="960" w:firstLine="382"/>
        <w:spacing w:after="0" w:line="276" w:lineRule="auto"/>
        <w:rPr>
          <w:sz w:val="20"/>
          <w:szCs w:val="20"/>
          <w:color w:val="auto"/>
        </w:rPr>
      </w:pPr>
      <w:r>
        <w:rPr>
          <w:rFonts w:ascii="Times New Roman" w:cs="Times New Roman" w:eastAsia="Times New Roman" w:hAnsi="Times New Roman"/>
          <w:sz w:val="14"/>
          <w:szCs w:val="14"/>
          <w:color w:val="auto"/>
        </w:rPr>
        <w:t>The Fund holds debt investments in its portfolio which contain a contractual PIK provision. Certain PIK investments offer issuers the option at each payment date of making payments in cash or additional securities. PIK interest is computed at the contractual rate and is recorded as interest income. The PIK amount is added to the principal balance on the capitalization date. Upon capitalization, the PIK component is subject to the fair value estimates associated with the related investments. At the point the Fund believes PIK is not fully expected to be realized, the PIK investment will be placed on non-accrual status. When a PIK investment is placed on non-accrual status, the accrued, uncapitalized interest is reversed from the related receivable through interest income. PIK investments on non-accrual status are restored to accrual status once it becomes probable that PIK will be realized.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3" w:name="page44"/>
    <w:bookmarkEnd w:id="4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3. SUMMARY OF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Other Income</w:t>
      </w:r>
    </w:p>
    <w:p>
      <w:pPr>
        <w:spacing w:after="0" w:line="117"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Other income includes distributions from fee letters and success fees associated with portfolio investments. Distributions from fee letters are an enhancement to the return on CLO equity investments and are based upon a percentage of the collateral manager’s fees above the amortized cost and are recorded as other income when earned. The Fund may also earn success fees associated with its investments in CLO warehouse facilities, which are contingent upon a repayment of the warehouse by a permanent CLO securitization structure; such fees are earned and recognized when the repayment is completed. The Fund also earns income on its cash balance, which is swept into a money market fund at the close of business each day and then returned as cash the following business day.</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U.S. FEDERAL INCOME TAXES</w:t>
      </w:r>
    </w:p>
    <w:p>
      <w:pPr>
        <w:spacing w:after="0" w:line="117" w:lineRule="exact"/>
        <w:rPr>
          <w:sz w:val="20"/>
          <w:szCs w:val="20"/>
          <w:color w:val="auto"/>
        </w:rPr>
      </w:pPr>
    </w:p>
    <w:p>
      <w:pPr>
        <w:ind w:left="920" w:right="1000" w:firstLine="382"/>
        <w:spacing w:after="0" w:line="241" w:lineRule="auto"/>
        <w:rPr>
          <w:sz w:val="20"/>
          <w:szCs w:val="20"/>
          <w:color w:val="auto"/>
        </w:rPr>
      </w:pPr>
      <w:r>
        <w:rPr>
          <w:rFonts w:ascii="Times New Roman" w:cs="Times New Roman" w:eastAsia="Times New Roman" w:hAnsi="Times New Roman"/>
          <w:sz w:val="16"/>
          <w:szCs w:val="16"/>
          <w:color w:val="auto"/>
        </w:rPr>
        <w:t>The Fund intends to operate so as to continue to qualify to be taxed as a RIC under Subchapter M of the Code and, as such, to not be subject to U.S. federal income tax on the portion of its taxable income and gains timely distributed to stockholders. To qualify for RIC tax treatment, the Fund is required to distribute at least 90% of its investment company taxable income, as defined by the Code.</w:t>
      </w:r>
    </w:p>
    <w:p>
      <w:pPr>
        <w:spacing w:after="0" w:line="97" w:lineRule="exact"/>
        <w:rPr>
          <w:sz w:val="20"/>
          <w:szCs w:val="20"/>
          <w:color w:val="auto"/>
        </w:rPr>
      </w:pPr>
    </w:p>
    <w:p>
      <w:pPr>
        <w:ind w:left="920" w:right="1020" w:firstLine="382"/>
        <w:spacing w:after="0" w:line="238" w:lineRule="auto"/>
        <w:rPr>
          <w:sz w:val="20"/>
          <w:szCs w:val="20"/>
          <w:color w:val="auto"/>
        </w:rPr>
      </w:pPr>
      <w:r>
        <w:rPr>
          <w:rFonts w:ascii="Times New Roman" w:cs="Times New Roman" w:eastAsia="Times New Roman" w:hAnsi="Times New Roman"/>
          <w:sz w:val="16"/>
          <w:szCs w:val="16"/>
          <w:color w:val="auto"/>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spacing w:after="0" w:line="100" w:lineRule="exact"/>
        <w:rPr>
          <w:sz w:val="20"/>
          <w:szCs w:val="20"/>
          <w:color w:val="auto"/>
        </w:rPr>
      </w:pPr>
    </w:p>
    <w:p>
      <w:pPr>
        <w:ind w:left="920" w:right="920" w:firstLine="382"/>
        <w:spacing w:after="0" w:line="273" w:lineRule="auto"/>
        <w:rPr>
          <w:sz w:val="20"/>
          <w:szCs w:val="20"/>
          <w:color w:val="auto"/>
        </w:rPr>
      </w:pPr>
      <w:r>
        <w:rPr>
          <w:rFonts w:ascii="Times New Roman" w:cs="Times New Roman" w:eastAsia="Times New Roman" w:hAnsi="Times New Roman"/>
          <w:sz w:val="14"/>
          <w:szCs w:val="14"/>
          <w:color w:val="auto"/>
        </w:rPr>
        <w:t>The Fund recognizes the tax benefits of uncertain tax positions only when the position is more likely than not to be sustained, assuming examination by tax authorities. Management has analyzed the Fund’s tax positions and concluded that no liability for unrecognized tax benefits should be recorded related to uncertain tax positions expected to be taken in the Fund’s fiscal 2024 tax returns. The Fund identifies its major tax jurisdictions as</w:t>
      </w:r>
    </w:p>
    <w:p>
      <w:pPr>
        <w:spacing w:after="0" w:line="3" w:lineRule="exact"/>
        <w:rPr>
          <w:sz w:val="20"/>
          <w:szCs w:val="20"/>
          <w:color w:val="auto"/>
        </w:rPr>
      </w:pPr>
    </w:p>
    <w:p>
      <w:pPr>
        <w:ind w:left="920" w:right="1120"/>
        <w:spacing w:after="0" w:line="237" w:lineRule="auto"/>
        <w:rPr>
          <w:sz w:val="20"/>
          <w:szCs w:val="20"/>
          <w:color w:val="auto"/>
        </w:rPr>
      </w:pPr>
      <w:r>
        <w:rPr>
          <w:rFonts w:ascii="Times New Roman" w:cs="Times New Roman" w:eastAsia="Times New Roman" w:hAnsi="Times New Roman"/>
          <w:sz w:val="16"/>
          <w:szCs w:val="16"/>
          <w:color w:val="auto"/>
        </w:rPr>
        <w:t>U.S Federal and Connecticut State. The Fund is not aware of any tax position for which it is reasonably possible that the total amounts of unrecognized tax benefits will change materially.</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17"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The Fund’s distribution policy is based upon its estimate of its taxable net investment income, which includes actual distributions from the Fund’s CLO equity class investments, with further consideration given to its realized gains or losses on a taxable basis. Distributions from net investment income and capital gain distributions are determined in accordance with U.S. federal income tax regulations, which differ from GAAP. Distributions from net investment income, if any, are expected to be declared quarterly and paid monthly. Net realized capital gains, unless offset by any available capital loss carry-forward, are typically distributed to stockholders annually. Distributions to stockholders are recorded on the ex-dividend date and are automatically reinvested in full and fractional shares of the Fund in accordance with the Fund’s distribution reinvestment plan, unless the stockholder has elected to have them paid in cash.</w:t>
      </w:r>
    </w:p>
    <w:p>
      <w:pPr>
        <w:spacing w:after="0" w:line="98" w:lineRule="exact"/>
        <w:rPr>
          <w:sz w:val="20"/>
          <w:szCs w:val="20"/>
          <w:color w:val="auto"/>
        </w:rPr>
      </w:pPr>
    </w:p>
    <w:p>
      <w:pPr>
        <w:ind w:left="920" w:right="960" w:firstLine="382"/>
        <w:spacing w:after="0" w:line="237" w:lineRule="auto"/>
        <w:rPr>
          <w:sz w:val="20"/>
          <w:szCs w:val="20"/>
          <w:color w:val="auto"/>
        </w:rPr>
      </w:pPr>
      <w:r>
        <w:rPr>
          <w:rFonts w:ascii="Times New Roman" w:cs="Times New Roman" w:eastAsia="Times New Roman" w:hAnsi="Times New Roman"/>
          <w:sz w:val="16"/>
          <w:szCs w:val="16"/>
          <w:color w:val="auto"/>
        </w:rPr>
        <w:t>Amounts required to be distributed reflect estimates made by the Fund. The Fund intends to comply with the applicable provisions of the Code to make distributions of taxable income sufficient to relieve it of substantially all federal income taxes. Distributions paid by the Fund in accordance with RIC requirements are subject to re-characterization for tax purposes. The Fund, at its discretion, may carry forward taxable income in excess of calendar year distributions and pay a 4% excise tax on such income. The Fund will accrue excise tax on estimated excess taxable income, if any, as required. The Fund has approximately $2.6 million of estimated excise tax payable for estimated excise tax on undistributed taxable income. The amount is included in “Excise tax payable” on the Statement of Assets and Liabilities.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4" w:name="page45"/>
    <w:bookmarkEnd w:id="4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3. SUMMARY OF SIGNIFICANT ACCOUNTING POLICIES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SECURITIES TRANSACTIONS</w:t>
      </w:r>
    </w:p>
    <w:p>
      <w:pPr>
        <w:spacing w:after="0" w:line="117" w:lineRule="exact"/>
        <w:rPr>
          <w:sz w:val="20"/>
          <w:szCs w:val="20"/>
          <w:color w:val="auto"/>
        </w:rPr>
      </w:pPr>
    </w:p>
    <w:p>
      <w:pPr>
        <w:ind w:left="920" w:right="940" w:firstLine="382"/>
        <w:spacing w:after="0" w:line="276" w:lineRule="auto"/>
        <w:rPr>
          <w:sz w:val="20"/>
          <w:szCs w:val="20"/>
          <w:color w:val="auto"/>
        </w:rPr>
      </w:pPr>
      <w:r>
        <w:rPr>
          <w:rFonts w:ascii="Times New Roman" w:cs="Times New Roman" w:eastAsia="Times New Roman" w:hAnsi="Times New Roman"/>
          <w:sz w:val="14"/>
          <w:szCs w:val="14"/>
          <w:color w:val="auto"/>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voluntary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DEFERRED OFFERING COSTS ON COMMON STOCK</w:t>
      </w:r>
    </w:p>
    <w:p>
      <w:pPr>
        <w:spacing w:after="0" w:line="117" w:lineRule="exact"/>
        <w:rPr>
          <w:sz w:val="20"/>
          <w:szCs w:val="20"/>
          <w:color w:val="auto"/>
        </w:rPr>
      </w:pPr>
    </w:p>
    <w:p>
      <w:pPr>
        <w:ind w:left="920" w:right="1040" w:firstLine="382"/>
        <w:spacing w:after="0" w:line="239" w:lineRule="auto"/>
        <w:rPr>
          <w:sz w:val="20"/>
          <w:szCs w:val="20"/>
          <w:color w:val="auto"/>
        </w:rPr>
      </w:pPr>
      <w:r>
        <w:rPr>
          <w:rFonts w:ascii="Times New Roman" w:cs="Times New Roman" w:eastAsia="Times New Roman" w:hAnsi="Times New Roman"/>
          <w:sz w:val="16"/>
          <w:szCs w:val="16"/>
          <w:color w:val="auto"/>
        </w:rPr>
        <w:t>Deferred offering costs on common stock consist of fees and expenses incurred in connection with the registration and public offer and sale of the Fund’s common stock, including legal, accounting and printing fees. These costs are deferred at the time of incurrence and are subsequently charged as a reduction to capital when the offering takes place or as shares are issued. Deferred offering costs are periodically reviewed and expensed if the related registration statement is no longer active or if the offering is unsuccessful.</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DEFERRED DEBT AND MANDATORILY REDEEMABLE PREFERRED STOCK ISSUANCE COSTS</w:t>
      </w:r>
    </w:p>
    <w:p>
      <w:pPr>
        <w:spacing w:after="0" w:line="140"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Deferred debt and mandatorily redeemable preferred stock issuance costs consist of fees and expenses incurred in connection with the closing or amending of debt offerings and mandatorily redeemable preferred stock and are capitalized at the time of payment. These costs are amortized using the straight-line method over the terms of the respective debt securities or preferred stock. The amortized expenses are included in interest expense in the Fund’s financial statements. The unamortized deferred debt or preferred stock issuance costs are included on the Fund’s Statement of Assets and Liabilities as a direct deduction from the related debt and mandatorily redeemable preferred stock liability. Upon early termination of debt or preferred stock, the remaining balance of unamortized fees related to such debt or preferred stock is accelerated into realized loss on redemption of debt or preferred stock on the Fund’s Statement of Operations.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4. FAIR VALUE</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Fund’s assets measured at fair value on a recurring basis subject to the disclosure requirements of</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ASC 820-10 at September 30, 2024, were as follows: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0"/>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45"/>
        </w:trPr>
        <w:tc>
          <w:tcPr>
            <w:tcW w:w="2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2"/>
                <w:szCs w:val="12"/>
                <w:color w:val="auto"/>
              </w:rPr>
            </w:pPr>
          </w:p>
        </w:tc>
        <w:tc>
          <w:tcPr>
            <w:tcW w:w="980" w:type="dxa"/>
            <w:vAlign w:val="bottom"/>
          </w:tcPr>
          <w:p>
            <w:pPr>
              <w:jc w:val="center"/>
              <w:ind w:right="85"/>
              <w:spacing w:after="0" w:line="14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7"/>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Active Markets</w:t>
            </w:r>
          </w:p>
        </w:tc>
        <w:tc>
          <w:tcPr>
            <w:tcW w:w="140" w:type="dxa"/>
            <w:vAlign w:val="bottom"/>
          </w:tcPr>
          <w:p>
            <w:pPr>
              <w:spacing w:after="0"/>
              <w:rPr>
                <w:sz w:val="14"/>
                <w:szCs w:val="14"/>
                <w:color w:val="auto"/>
              </w:rPr>
            </w:pP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Identical</w:t>
            </w:r>
          </w:p>
        </w:tc>
        <w:tc>
          <w:tcPr>
            <w:tcW w:w="140" w:type="dxa"/>
            <w:vAlign w:val="bottom"/>
          </w:tcPr>
          <w:p>
            <w:pPr>
              <w:spacing w:after="0"/>
              <w:rPr>
                <w:sz w:val="14"/>
                <w:szCs w:val="14"/>
                <w:color w:val="auto"/>
              </w:rPr>
            </w:pPr>
          </w:p>
        </w:tc>
        <w:tc>
          <w:tcPr>
            <w:tcW w:w="98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4"/>
                <w:szCs w:val="14"/>
                <w:color w:val="auto"/>
              </w:rPr>
            </w:pPr>
          </w:p>
        </w:tc>
        <w:tc>
          <w:tcPr>
            <w:tcW w:w="98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7"/>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Assets ($ in millions)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6"/>
                <w:szCs w:val="16"/>
                <w:b w:val="1"/>
                <w:bCs w:val="1"/>
                <w:color w:val="auto"/>
                <w:vertAlign w:val="superscript"/>
              </w:rPr>
              <w:t>(1)</w:t>
            </w:r>
          </w:p>
        </w:tc>
      </w:tr>
      <w:tr>
        <w:trPr>
          <w:trHeight w:val="223"/>
        </w:trPr>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CLO debt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180" w:type="dxa"/>
            <w:vAlign w:val="bottom"/>
            <w:tcBorders>
              <w:bottom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r>
      <w:tr>
        <w:trPr>
          <w:trHeight w:val="237"/>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CLO equity</w:t>
            </w:r>
          </w:p>
        </w:tc>
        <w:tc>
          <w:tcPr>
            <w:tcW w:w="1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r>
      <w:tr>
        <w:trPr>
          <w:trHeight w:val="26"/>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CLO equity related investments</w:t>
            </w: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24"/>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investments at fair value</w:t>
            </w:r>
          </w:p>
        </w:tc>
        <w:tc>
          <w:tcPr>
            <w:tcW w:w="1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r>
      <w:tr>
        <w:trPr>
          <w:trHeight w:val="26"/>
        </w:trPr>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w:t>
            </w:r>
          </w:p>
        </w:tc>
      </w:tr>
      <w:tr>
        <w:trPr>
          <w:trHeight w:val="230"/>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ind w:left="8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2,174.9</w:t>
            </w: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hanging="377"/>
        <w:spacing w:after="0"/>
        <w:tabs>
          <w:tab w:leader="none" w:pos="13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5" w:name="page46"/>
    <w:bookmarkEnd w:id="4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4. FAIR VALUE </w:t>
      </w:r>
      <w:r>
        <w:rPr>
          <w:rFonts w:ascii="Times New Roman" w:cs="Times New Roman" w:eastAsia="Times New Roman" w:hAnsi="Times New Roman"/>
          <w:sz w:val="16"/>
          <w:szCs w:val="16"/>
          <w:color w:val="auto"/>
        </w:rPr>
        <w:t>(cont.)</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Financial Instruments Disclosed, But Not Carried, At Fair Value</w:t>
      </w:r>
    </w:p>
    <w:p>
      <w:pPr>
        <w:spacing w:after="0" w:line="93" w:lineRule="exact"/>
        <w:rPr>
          <w:sz w:val="20"/>
          <w:szCs w:val="20"/>
          <w:color w:val="auto"/>
        </w:rPr>
      </w:pPr>
    </w:p>
    <w:p>
      <w:pPr>
        <w:ind w:left="920" w:right="940" w:firstLine="382"/>
        <w:spacing w:after="0" w:line="245" w:lineRule="auto"/>
        <w:rPr>
          <w:sz w:val="20"/>
          <w:szCs w:val="20"/>
          <w:color w:val="auto"/>
        </w:rPr>
      </w:pPr>
      <w:r>
        <w:rPr>
          <w:rFonts w:ascii="Times New Roman" w:cs="Times New Roman" w:eastAsia="Times New Roman" w:hAnsi="Times New Roman"/>
          <w:sz w:val="16"/>
          <w:szCs w:val="16"/>
          <w:color w:val="auto"/>
        </w:rPr>
        <w:t>The following table presents the carrying value and fair value of the Fund’s financial liabilities disclosed, but not carried at fair value as of September 30, 2024 and the level of each financial liability within the fair value hierarchy:</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4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0"/>
        </w:trPr>
        <w:tc>
          <w:tcPr>
            <w:tcW w:w="4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6.25%</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2027 Term Preferred Shares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w w:val="96"/>
              </w:rPr>
              <w:t>6.00%</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2029 Term Preferred Shares</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7.125% Series 2029 Term Preferred Shares</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w w:val="96"/>
              </w:rPr>
              <w:t>5.00%</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Notes due 2027</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98.4</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3"/>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6.75%</w:t>
            </w:r>
          </w:p>
        </w:tc>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Unsecured Notes due 2031</w:t>
            </w:r>
            <w:r>
              <w:rPr>
                <w:rFonts w:ascii="Times New Roman" w:cs="Times New Roman" w:eastAsia="Times New Roman" w:hAnsi="Times New Roman"/>
                <w:sz w:val="19"/>
                <w:szCs w:val="19"/>
                <w:color w:val="auto"/>
                <w:vertAlign w:val="superscript"/>
              </w:rPr>
              <w:t>(2)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420" w:type="dxa"/>
            <w:vAlign w:val="bottom"/>
          </w:tcPr>
          <w:p>
            <w:pPr>
              <w:spacing w:after="0"/>
              <w:rPr>
                <w:sz w:val="20"/>
                <w:szCs w:val="20"/>
                <w:color w:val="auto"/>
              </w:rPr>
            </w:pPr>
            <w:r>
              <w:rPr>
                <w:rFonts w:ascii="Times New Roman" w:cs="Times New Roman" w:eastAsia="Times New Roman" w:hAnsi="Times New Roman"/>
                <w:sz w:val="16"/>
                <w:szCs w:val="16"/>
                <w:color w:val="auto"/>
                <w:w w:val="96"/>
              </w:rPr>
              <w:t>8.75%</w:t>
            </w:r>
          </w:p>
        </w:tc>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Unsecured Notes due 2030</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111.2</w:t>
            </w:r>
          </w:p>
        </w:tc>
        <w:tc>
          <w:tcPr>
            <w:tcW w:w="120" w:type="dxa"/>
            <w:vAlign w:val="bottom"/>
          </w:tcPr>
          <w:p>
            <w:pPr>
              <w:spacing w:after="0"/>
              <w:rPr>
                <w:sz w:val="22"/>
                <w:szCs w:val="2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 w:type="dxa"/>
            <w:vAlign w:val="bottom"/>
            <w:vMerge w:val="continue"/>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right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522.</w:t>
            </w:r>
            <w:r>
              <w:rPr>
                <w:rFonts w:ascii="Times New Roman" w:cs="Times New Roman" w:eastAsia="Times New Roman" w:hAnsi="Times New Roman"/>
                <w:sz w:val="16"/>
                <w:szCs w:val="16"/>
                <w:u w:val="single" w:color="auto"/>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w:t>
            </w:r>
            <w:r>
              <w:rPr>
                <w:rFonts w:ascii="Times New Roman" w:cs="Times New Roman" w:eastAsia="Times New Roman" w:hAnsi="Times New Roman"/>
                <w:sz w:val="16"/>
                <w:szCs w:val="16"/>
                <w:u w:val="single" w:color="auto"/>
                <w:color w:val="auto"/>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519.</w:t>
            </w:r>
            <w:r>
              <w:rPr>
                <w:rFonts w:ascii="Times New Roman" w:cs="Times New Roman" w:eastAsia="Times New Roman" w:hAnsi="Times New Roman"/>
                <w:sz w:val="16"/>
                <w:szCs w:val="16"/>
                <w:u w:val="single" w:color="auto"/>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jc w:val="both"/>
        <w:ind w:left="1300" w:right="1260" w:hanging="377"/>
        <w:spacing w:after="0" w:line="257" w:lineRule="auto"/>
        <w:tabs>
          <w:tab w:leader="none" w:pos="1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Term Preferred Stock (as defined below), fair value is based upon the closing price on the last day of the period. The Term Preferred Stock are listed on the NASDAQ Global Select Market (trading symbols “OXLCP”, “OXLCO” and “OXLCN”).</w:t>
      </w:r>
    </w:p>
    <w:p>
      <w:pPr>
        <w:ind w:left="1300" w:right="1020" w:hanging="377"/>
        <w:spacing w:after="0" w:line="253" w:lineRule="auto"/>
        <w:tabs>
          <w:tab w:leader="none" w:pos="13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5.00% Unsecured Notes due 2027, 6.75% Unsecured Notes due 2031 and 8.75% Unsecured Notes due 2030, fair value is based upon the closing price on the last day of the period. The 5.00% Unsecured Notes due 2027, 6.75% Unsecured Notes due 2031 and 8.75% Unsecured Notes due 2030 are listed on the NASDAQ Global Select Market (trading symbol “OXLCZ”, “OXLCL” and “OXLCI”, respectively).</w:t>
      </w:r>
    </w:p>
    <w:p>
      <w:pPr>
        <w:spacing w:after="0" w:line="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Significant Unobservable Inputs for Level 3 Investments</w:t>
      </w:r>
    </w:p>
    <w:p>
      <w:pPr>
        <w:spacing w:after="0" w:line="93" w:lineRule="exact"/>
        <w:rPr>
          <w:sz w:val="20"/>
          <w:szCs w:val="20"/>
          <w:color w:val="auto"/>
        </w:rPr>
      </w:pPr>
    </w:p>
    <w:p>
      <w:pPr>
        <w:ind w:left="920" w:right="960" w:firstLine="382"/>
        <w:spacing w:after="0" w:line="277" w:lineRule="auto"/>
        <w:rPr>
          <w:sz w:val="20"/>
          <w:szCs w:val="20"/>
          <w:color w:val="auto"/>
        </w:rPr>
      </w:pPr>
      <w:r>
        <w:rPr>
          <w:rFonts w:ascii="Times New Roman" w:cs="Times New Roman" w:eastAsia="Times New Roman" w:hAnsi="Times New Roman"/>
          <w:sz w:val="14"/>
          <w:szCs w:val="14"/>
          <w:color w:val="auto"/>
        </w:rPr>
        <w:t>In accordance with ASC 820- 10, the following table provides quantitative information about the Fund’s Level 3 fair value measurements as of September 30, 2024. The Fund’s Valuation Policy, as described above, establishes parameters for the sources and types of valuation analysis, as well as the methodologies and inputs that the Fund uses in determining fair value. If the Board of Directors, including upon recommendation of Oxford Lane Management, determines that additional techniques, sources or inputs are appropriate or necessary in a given situation, such additional work may be undertaken. The weighted average calculations in the table below are based on the fair value within each respective valuation technique and methodology and asset category.</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40" w:type="dxa"/>
            <w:vAlign w:val="bottom"/>
            <w:gridSpan w:val="7"/>
          </w:tcPr>
          <w:p>
            <w:pPr>
              <w:ind w:left="420"/>
              <w:spacing w:after="0"/>
              <w:rPr>
                <w:sz w:val="20"/>
                <w:szCs w:val="20"/>
                <w:color w:val="auto"/>
              </w:rPr>
            </w:pPr>
            <w:r>
              <w:rPr>
                <w:rFonts w:ascii="Times New Roman" w:cs="Times New Roman" w:eastAsia="Times New Roman" w:hAnsi="Times New Roman"/>
                <w:sz w:val="13"/>
                <w:szCs w:val="13"/>
                <w:b w:val="1"/>
                <w:bCs w:val="1"/>
                <w:color w:val="auto"/>
              </w:rPr>
              <w:t>Quantitative Information about Level 3 Fair Value Measurements</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Impact to</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160"/>
              <w:spacing w:after="0" w:line="136"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Valuation</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from</w:t>
            </w:r>
          </w:p>
        </w:tc>
        <w:tc>
          <w:tcPr>
            <w:tcW w:w="0" w:type="dxa"/>
            <w:vAlign w:val="bottom"/>
          </w:tcPr>
          <w:p>
            <w:pPr>
              <w:spacing w:after="0"/>
              <w:rPr>
                <w:sz w:val="1"/>
                <w:szCs w:val="1"/>
                <w:color w:val="auto"/>
              </w:rPr>
            </w:pPr>
          </w:p>
        </w:tc>
      </w:tr>
      <w:tr>
        <w:trPr>
          <w:trHeight w:val="155"/>
        </w:trPr>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Techniques/</w:t>
            </w:r>
          </w:p>
        </w:tc>
        <w:tc>
          <w:tcPr>
            <w:tcW w:w="6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Unobservable</w:t>
            </w:r>
          </w:p>
        </w:tc>
        <w:tc>
          <w:tcPr>
            <w:tcW w:w="60" w:type="dxa"/>
            <w:vAlign w:val="bottom"/>
          </w:tcPr>
          <w:p>
            <w:pPr>
              <w:spacing w:after="0"/>
              <w:rPr>
                <w:sz w:val="13"/>
                <w:szCs w:val="13"/>
                <w:color w:val="auto"/>
              </w:rPr>
            </w:pPr>
          </w:p>
        </w:tc>
        <w:tc>
          <w:tcPr>
            <w:tcW w:w="14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Range/Weighted</w:t>
            </w: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an Increase in</w:t>
            </w:r>
          </w:p>
        </w:tc>
        <w:tc>
          <w:tcPr>
            <w:tcW w:w="0" w:type="dxa"/>
            <w:vAlign w:val="bottom"/>
          </w:tcPr>
          <w:p>
            <w:pPr>
              <w:spacing w:after="0"/>
              <w:rPr>
                <w:sz w:val="1"/>
                <w:szCs w:val="1"/>
                <w:color w:val="auto"/>
              </w:rPr>
            </w:pPr>
          </w:p>
        </w:tc>
      </w:tr>
      <w:tr>
        <w:trPr>
          <w:trHeight w:val="227"/>
        </w:trPr>
        <w:tc>
          <w:tcPr>
            <w:tcW w:w="1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60" w:type="dxa"/>
            <w:vAlign w:val="bottom"/>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Methodologies</w:t>
            </w:r>
          </w:p>
        </w:tc>
        <w:tc>
          <w:tcPr>
            <w:tcW w:w="6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Input</w:t>
            </w:r>
          </w:p>
        </w:tc>
        <w:tc>
          <w:tcPr>
            <w:tcW w:w="60" w:type="dxa"/>
            <w:vAlign w:val="bottom"/>
          </w:tcPr>
          <w:p>
            <w:pPr>
              <w:spacing w:after="0"/>
              <w:rPr>
                <w:sz w:val="19"/>
                <w:szCs w:val="19"/>
                <w:color w:val="auto"/>
              </w:rPr>
            </w:pPr>
          </w:p>
        </w:tc>
        <w:tc>
          <w:tcPr>
            <w:tcW w:w="1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3"/>
                <w:szCs w:val="13"/>
                <w:b w:val="1"/>
                <w:bCs w:val="1"/>
                <w:color w:val="auto"/>
              </w:rPr>
              <w:t>Average</w:t>
            </w:r>
            <w:r>
              <w:rPr>
                <w:rFonts w:ascii="Times New Roman" w:cs="Times New Roman" w:eastAsia="Times New Roman" w:hAnsi="Times New Roman"/>
                <w:sz w:val="19"/>
                <w:szCs w:val="19"/>
                <w:b w:val="1"/>
                <w:bCs w:val="1"/>
                <w:color w:val="auto"/>
                <w:vertAlign w:val="superscript"/>
              </w:rPr>
              <w:t>(3)</w:t>
            </w:r>
          </w:p>
        </w:tc>
        <w:tc>
          <w:tcPr>
            <w:tcW w:w="80" w:type="dxa"/>
            <w:vAlign w:val="bottom"/>
          </w:tcPr>
          <w:p>
            <w:pPr>
              <w:spacing w:after="0"/>
              <w:rPr>
                <w:sz w:val="19"/>
                <w:szCs w:val="19"/>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Input</w:t>
            </w:r>
            <w:r>
              <w:rPr>
                <w:rFonts w:ascii="Times New Roman" w:cs="Times New Roman" w:eastAsia="Times New Roman" w:hAnsi="Times New Roman"/>
                <w:sz w:val="19"/>
                <w:szCs w:val="19"/>
                <w:b w:val="1"/>
                <w:bCs w:val="1"/>
                <w:color w:val="auto"/>
                <w:w w:val="91"/>
                <w:vertAlign w:val="superscript"/>
              </w:rPr>
              <w:t>(4)</w:t>
            </w:r>
          </w:p>
        </w:tc>
        <w:tc>
          <w:tcPr>
            <w:tcW w:w="0" w:type="dxa"/>
            <w:vAlign w:val="bottom"/>
          </w:tcPr>
          <w:p>
            <w:pPr>
              <w:spacing w:after="0"/>
              <w:rPr>
                <w:sz w:val="1"/>
                <w:szCs w:val="1"/>
                <w:color w:val="auto"/>
              </w:rPr>
            </w:pPr>
          </w:p>
        </w:tc>
      </w:tr>
      <w:tr>
        <w:trPr>
          <w:trHeight w:val="223"/>
        </w:trPr>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 in millions)</w:t>
            </w: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CLO debt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60" w:type="dxa"/>
            <w:vAlign w:val="bottom"/>
            <w:shd w:val="clear" w:color="auto" w:fill="CCEEFF"/>
          </w:tcPr>
          <w:p>
            <w:pPr>
              <w:spacing w:after="0"/>
              <w:rPr>
                <w:sz w:val="22"/>
                <w:szCs w:val="22"/>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Market Quotes</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NBIB</w:t>
            </w:r>
            <w:r>
              <w:rPr>
                <w:rFonts w:ascii="Times New Roman" w:cs="Times New Roman" w:eastAsia="Times New Roman" w:hAnsi="Times New Roman"/>
                <w:sz w:val="19"/>
                <w:szCs w:val="19"/>
                <w:color w:val="auto"/>
                <w:w w:val="95"/>
                <w:vertAlign w:val="superscript"/>
              </w:rPr>
              <w:t>(1)</w:t>
            </w:r>
          </w:p>
        </w:tc>
        <w:tc>
          <w:tcPr>
            <w:tcW w:w="60" w:type="dxa"/>
            <w:vAlign w:val="bottom"/>
            <w:shd w:val="clear" w:color="auto" w:fill="CCEEFF"/>
          </w:tcPr>
          <w:p>
            <w:pPr>
              <w:spacing w:after="0"/>
              <w:rPr>
                <w:sz w:val="22"/>
                <w:szCs w:val="22"/>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12.4% – 102.6%/79.5%</w:t>
            </w: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263"/>
        </w:trPr>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Recent Transaction</w:t>
            </w:r>
          </w:p>
        </w:tc>
        <w:tc>
          <w:tcPr>
            <w:tcW w:w="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Actual Trade</w:t>
            </w:r>
            <w:r>
              <w:rPr>
                <w:rFonts w:ascii="Times New Roman" w:cs="Times New Roman" w:eastAsia="Times New Roman" w:hAnsi="Times New Roman"/>
                <w:sz w:val="19"/>
                <w:szCs w:val="19"/>
                <w:color w:val="auto"/>
                <w:w w:val="97"/>
                <w:vertAlign w:val="superscript"/>
              </w:rPr>
              <w:t>(5)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4"/>
              </w:rPr>
              <w:t>92.9</w:t>
            </w:r>
            <w:r>
              <w:rPr>
                <w:rFonts w:ascii="Times New Roman" w:cs="Times New Roman" w:eastAsia="Times New Roman" w:hAnsi="Times New Roman"/>
                <w:sz w:val="19"/>
                <w:szCs w:val="19"/>
                <w:color w:val="auto"/>
                <w:w w:val="94"/>
                <w:vertAlign w:val="superscript"/>
              </w:rPr>
              <w:t>(8)</w:t>
            </w:r>
            <w:r>
              <w:rPr>
                <w:rFonts w:ascii="Times New Roman" w:cs="Times New Roman" w:eastAsia="Times New Roman" w:hAnsi="Times New Roman"/>
                <w:sz w:val="14"/>
                <w:szCs w:val="14"/>
                <w:color w:val="auto"/>
                <w:w w:val="94"/>
              </w:rPr>
              <w:t>%</w:t>
            </w:r>
          </w:p>
        </w:tc>
        <w:tc>
          <w:tcPr>
            <w:tcW w:w="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263"/>
        </w:trPr>
        <w:tc>
          <w:tcPr>
            <w:tcW w:w="1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CLO equity</w:t>
            </w:r>
          </w:p>
        </w:tc>
        <w:tc>
          <w:tcPr>
            <w:tcW w:w="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1,579.2</w:t>
            </w:r>
          </w:p>
        </w:tc>
        <w:tc>
          <w:tcPr>
            <w:tcW w:w="6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Quotes</w:t>
            </w:r>
          </w:p>
        </w:tc>
        <w:tc>
          <w:tcPr>
            <w:tcW w:w="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NBIB</w:t>
            </w:r>
            <w:r>
              <w:rPr>
                <w:rFonts w:ascii="Times New Roman" w:cs="Times New Roman" w:eastAsia="Times New Roman" w:hAnsi="Times New Roman"/>
                <w:sz w:val="19"/>
                <w:szCs w:val="19"/>
                <w:color w:val="auto"/>
                <w:w w:val="95"/>
                <w:vertAlign w:val="superscript"/>
              </w:rPr>
              <w:t>(1)</w:t>
            </w:r>
          </w:p>
        </w:tc>
        <w:tc>
          <w:tcPr>
            <w:tcW w:w="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 – 100.0%/41.0%</w:t>
            </w:r>
          </w:p>
        </w:tc>
        <w:tc>
          <w:tcPr>
            <w:tcW w:w="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w:t>
            </w:r>
          </w:p>
        </w:tc>
        <w:tc>
          <w:tcPr>
            <w:tcW w:w="0" w:type="dxa"/>
            <w:vAlign w:val="bottom"/>
          </w:tcPr>
          <w:p>
            <w:pPr>
              <w:spacing w:after="0"/>
              <w:rPr>
                <w:sz w:val="1"/>
                <w:szCs w:val="1"/>
                <w:color w:val="auto"/>
              </w:rPr>
            </w:pPr>
          </w:p>
        </w:tc>
      </w:tr>
      <w:tr>
        <w:trPr>
          <w:trHeight w:val="233"/>
        </w:trPr>
        <w:tc>
          <w:tcPr>
            <w:tcW w:w="1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Yield Analysis</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Discount Margin</w:t>
            </w: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14.5% – 29.7%/22.2%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Decrease</w:t>
            </w:r>
          </w:p>
        </w:tc>
        <w:tc>
          <w:tcPr>
            <w:tcW w:w="0" w:type="dxa"/>
            <w:vAlign w:val="bottom"/>
          </w:tcPr>
          <w:p>
            <w:pPr>
              <w:spacing w:after="0"/>
              <w:rPr>
                <w:sz w:val="1"/>
                <w:szCs w:val="1"/>
                <w:color w:val="auto"/>
              </w:rPr>
            </w:pPr>
          </w:p>
        </w:tc>
      </w:tr>
      <w:tr>
        <w:trPr>
          <w:trHeight w:val="30"/>
        </w:trPr>
        <w:tc>
          <w:tcPr>
            <w:tcW w:w="14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ectPr>
          <w:pgSz w:w="11900" w:h="16840" w:orient="portrait"/>
          <w:cols w:equalWidth="0" w:num="1">
            <w:col w:w="9020"/>
          </w:cols>
          <w:pgMar w:left="1440" w:top="55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080" w:right="160" w:hanging="154"/>
        <w:spacing w:after="0" w:line="276" w:lineRule="auto"/>
        <w:rPr>
          <w:sz w:val="20"/>
          <w:szCs w:val="20"/>
          <w:color w:val="auto"/>
        </w:rPr>
      </w:pPr>
      <w:r>
        <w:rPr>
          <w:rFonts w:ascii="Times New Roman" w:cs="Times New Roman" w:eastAsia="Times New Roman" w:hAnsi="Times New Roman"/>
          <w:sz w:val="14"/>
          <w:szCs w:val="14"/>
          <w:color w:val="auto"/>
        </w:rPr>
        <w:t>Other CLO equity related investments</w:t>
      </w:r>
    </w:p>
    <w:p>
      <w:pPr>
        <w:ind w:left="1080" w:hanging="154"/>
        <w:spacing w:after="0" w:line="324" w:lineRule="auto"/>
        <w:rPr>
          <w:sz w:val="20"/>
          <w:szCs w:val="20"/>
          <w:color w:val="auto"/>
        </w:rPr>
      </w:pPr>
      <w:r>
        <w:rPr>
          <w:rFonts w:ascii="Times New Roman" w:cs="Times New Roman" w:eastAsia="Times New Roman" w:hAnsi="Times New Roman"/>
          <w:sz w:val="13"/>
          <w:szCs w:val="13"/>
          <w:color w:val="auto"/>
        </w:rPr>
        <w:t>Total Fair Value for Level 3 Investments</w:t>
      </w:r>
      <w:r>
        <w:rPr>
          <w:rFonts w:ascii="Times New Roman" w:cs="Times New Roman" w:eastAsia="Times New Roman" w:hAnsi="Times New Roman"/>
          <w:sz w:val="17"/>
          <w:szCs w:val="17"/>
          <w:color w:val="auto"/>
          <w:vertAlign w:val="superscript"/>
        </w:rPr>
        <w:t>(7)</w:t>
      </w:r>
    </w:p>
    <w:p>
      <w:pPr>
        <w:ind w:left="920"/>
        <w:spacing w:after="0"/>
        <w:rPr>
          <w:sz w:val="20"/>
          <w:szCs w:val="20"/>
          <w:color w:val="auto"/>
        </w:rPr>
      </w:pPr>
      <w:r>
        <w:rPr>
          <w:rFonts w:ascii="Times New Roman" w:cs="Times New Roman" w:eastAsia="Times New Roman" w:hAnsi="Times New Roman"/>
          <w:sz w:val="14"/>
          <w:szCs w:val="14"/>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249.8</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Recent Transaction</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Actual trade</w:t>
            </w:r>
            <w:r>
              <w:rPr>
                <w:rFonts w:ascii="Times New Roman" w:cs="Times New Roman" w:eastAsia="Times New Roman" w:hAnsi="Times New Roman"/>
                <w:sz w:val="19"/>
                <w:szCs w:val="19"/>
                <w:color w:val="auto"/>
                <w:w w:val="98"/>
                <w:vertAlign w:val="superscript"/>
              </w:rPr>
              <w:t>(5)</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74.3% – 90.0%/84.2%</w:t>
            </w:r>
          </w:p>
        </w:tc>
        <w:tc>
          <w:tcPr>
            <w:tcW w:w="6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NA</w:t>
            </w:r>
          </w:p>
        </w:tc>
      </w:tr>
      <w:tr>
        <w:trPr>
          <w:trHeight w:val="226"/>
        </w:trPr>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Net Present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NBIB</w:t>
            </w:r>
            <w:r>
              <w:rPr>
                <w:rFonts w:ascii="Times New Roman" w:cs="Times New Roman" w:eastAsia="Times New Roman" w:hAnsi="Times New Roman"/>
                <w:sz w:val="19"/>
                <w:szCs w:val="19"/>
                <w:color w:val="auto"/>
                <w:w w:val="95"/>
                <w:vertAlign w:val="superscript"/>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7.9% – 80.2%/50.3%</w:t>
            </w:r>
          </w:p>
        </w:tc>
        <w:tc>
          <w:tcPr>
            <w:tcW w:w="6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NA</w:t>
            </w:r>
          </w:p>
        </w:tc>
      </w:tr>
      <w:tr>
        <w:trPr>
          <w:trHeight w:val="180"/>
        </w:trPr>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Liquidation Net Asset</w:t>
            </w:r>
          </w:p>
        </w:tc>
        <w:tc>
          <w:tcPr>
            <w:tcW w:w="10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1"/>
        </w:trPr>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Value</w:t>
            </w:r>
            <w:r>
              <w:rPr>
                <w:rFonts w:ascii="Times New Roman" w:cs="Times New Roman" w:eastAsia="Times New Roman" w:hAnsi="Times New Roman"/>
                <w:sz w:val="19"/>
                <w:szCs w:val="19"/>
                <w:color w:val="auto"/>
                <w:w w:val="95"/>
                <w:vertAlign w:val="superscript"/>
              </w:rPr>
              <w:t>(6)</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NBIB</w:t>
            </w:r>
            <w:r>
              <w:rPr>
                <w:rFonts w:ascii="Times New Roman" w:cs="Times New Roman" w:eastAsia="Times New Roman" w:hAnsi="Times New Roman"/>
                <w:sz w:val="19"/>
                <w:szCs w:val="19"/>
                <w:color w:val="auto"/>
                <w:w w:val="95"/>
                <w:vertAlign w:val="superscript"/>
              </w:rPr>
              <w:t>(1)</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0.1% – 18.3%/2.0%</w:t>
            </w:r>
          </w:p>
        </w:tc>
        <w:tc>
          <w:tcPr>
            <w:tcW w:w="6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w w:val="98"/>
              </w:rPr>
              <w:t>NA</w:t>
            </w:r>
          </w:p>
        </w:tc>
      </w:tr>
      <w:tr>
        <w:trPr>
          <w:trHeight w:val="346"/>
        </w:trPr>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Discounted cash flow</w:t>
            </w:r>
            <w:r>
              <w:rPr>
                <w:rFonts w:ascii="Times New Roman" w:cs="Times New Roman" w:eastAsia="Times New Roman" w:hAnsi="Times New Roman"/>
                <w:sz w:val="19"/>
                <w:szCs w:val="19"/>
                <w:color w:val="auto"/>
                <w:w w:val="98"/>
                <w:vertAlign w:val="superscript"/>
              </w:rPr>
              <w:t>(2)</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Discount rate</w:t>
            </w:r>
            <w:r>
              <w:rPr>
                <w:rFonts w:ascii="Times New Roman" w:cs="Times New Roman" w:eastAsia="Times New Roman" w:hAnsi="Times New Roman"/>
                <w:sz w:val="19"/>
                <w:szCs w:val="19"/>
                <w:color w:val="auto"/>
                <w:w w:val="97"/>
                <w:vertAlign w:val="superscript"/>
              </w:rPr>
              <w:t>(2)</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 – 48.2%/16.4%</w:t>
            </w:r>
          </w:p>
        </w:tc>
        <w:tc>
          <w:tcPr>
            <w:tcW w:w="66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Decrease</w:t>
            </w:r>
          </w:p>
        </w:tc>
      </w:tr>
      <w:tr>
        <w:trPr>
          <w:trHeight w:val="359"/>
        </w:trPr>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1,995.6</w:t>
            </w: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-917575</wp:posOffset>
            </wp:positionV>
            <wp:extent cx="4552950" cy="1670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drawing>
          <wp:anchor simplePos="0" relativeHeight="251657728" behindDoc="1" locked="0" layoutInCell="0" allowOverlap="1">
            <wp:simplePos x="0" y="0"/>
            <wp:positionH relativeFrom="column">
              <wp:posOffset>-975995</wp:posOffset>
            </wp:positionH>
            <wp:positionV relativeFrom="paragraph">
              <wp:posOffset>-500380</wp:posOffset>
            </wp:positionV>
            <wp:extent cx="4552950" cy="2349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552950" cy="234950"/>
                    </a:xfrm>
                    <a:prstGeom prst="rect">
                      <a:avLst/>
                    </a:prstGeom>
                    <a:noFill/>
                  </pic:spPr>
                </pic:pic>
              </a:graphicData>
            </a:graphic>
          </wp:anchor>
        </w:drawing>
      </w:r>
    </w:p>
    <w:p>
      <w:pPr>
        <w:spacing w:after="0" w:line="226" w:lineRule="exact"/>
        <w:rPr>
          <w:sz w:val="20"/>
          <w:szCs w:val="20"/>
          <w:color w:val="auto"/>
        </w:rPr>
      </w:pPr>
    </w:p>
    <w:p>
      <w:pPr>
        <w:sectPr>
          <w:pgSz w:w="11900" w:h="16840" w:orient="portrait"/>
          <w:cols w:equalWidth="0" w:num="2">
            <w:col w:w="2340" w:space="120"/>
            <w:col w:w="6560"/>
          </w:cols>
          <w:pgMar w:left="1440" w:top="556" w:right="1440" w:bottom="1440" w:gutter="0" w:footer="0" w:header="0"/>
          <w:type w:val="continuous"/>
        </w:sectPr>
      </w:pPr>
    </w:p>
    <w:p>
      <w:pPr>
        <w:ind w:left="1300" w:right="1080" w:hanging="377"/>
        <w:spacing w:after="0" w:line="261" w:lineRule="auto"/>
        <w:tabs>
          <w:tab w:leader="none" w:pos="13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generally uses non -binding indicative bid prices (“NBIB”) provided by an independent pricing service or broker on or near the valuation date as the primary basis for the fair value determinations for CLO debt and equity investments, which may be adjusted for pending equity distributions as of the valuation date. These prices are non-binding, and may not</w:t>
      </w:r>
    </w:p>
    <w:p>
      <w:pPr>
        <w:sectPr>
          <w:pgSz w:w="11900" w:h="16840" w:orient="portrait"/>
          <w:cols w:equalWidth="0" w:num="1">
            <w:col w:w="9020"/>
          </w:cols>
          <w:pgMar w:left="1440" w:top="556" w:right="1440" w:bottom="1440" w:gutter="0" w:footer="0" w:header="0"/>
          <w:type w:val="continuous"/>
        </w:sectPr>
      </w:pPr>
    </w:p>
    <w:p>
      <w:pPr>
        <w:spacing w:after="0" w:line="1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46" w:name="page47"/>
    <w:bookmarkEnd w:id="4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4. FAIR VALUE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1300" w:right="1000"/>
        <w:spacing w:after="0" w:line="257" w:lineRule="auto"/>
        <w:rPr>
          <w:sz w:val="20"/>
          <w:szCs w:val="20"/>
          <w:color w:val="auto"/>
        </w:rPr>
      </w:pPr>
      <w:r>
        <w:rPr>
          <w:rFonts w:ascii="Times New Roman" w:cs="Times New Roman" w:eastAsia="Times New Roman" w:hAnsi="Times New Roman"/>
          <w:sz w:val="14"/>
          <w:szCs w:val="14"/>
          <w:color w:val="auto"/>
        </w:rPr>
        <w:t>be determinative of fair value. Each price is evaluated by the Board of Directors in conjunction with additional information compiled by Oxford Lane Management, including performance and covenant compliance information as provided by the respective CLO’s independent trustee.</w:t>
      </w:r>
    </w:p>
    <w:p>
      <w:pPr>
        <w:spacing w:after="0" w:line="1" w:lineRule="exact"/>
        <w:rPr>
          <w:sz w:val="20"/>
          <w:szCs w:val="20"/>
          <w:color w:val="auto"/>
        </w:rPr>
      </w:pPr>
    </w:p>
    <w:p>
      <w:pPr>
        <w:ind w:left="1300" w:right="1120" w:hanging="377"/>
        <w:spacing w:after="0" w:line="249" w:lineRule="auto"/>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Fund will calculate the fair value of CLO equity side letters based upon the net present value of expected contractual payment streams discounted using estimated market yields for the equity tranche of the respective CLO vehicle.</w:t>
      </w:r>
    </w:p>
    <w:p>
      <w:pPr>
        <w:ind w:left="1300" w:hanging="377"/>
        <w:spacing w:after="0"/>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averages are calculated based on fair value of investments.</w:t>
      </w:r>
    </w:p>
    <w:p>
      <w:pPr>
        <w:spacing w:after="0" w:line="6" w:lineRule="exact"/>
        <w:rPr>
          <w:rFonts w:ascii="Times New Roman" w:cs="Times New Roman" w:eastAsia="Times New Roman" w:hAnsi="Times New Roman"/>
          <w:sz w:val="14"/>
          <w:szCs w:val="14"/>
          <w:color w:val="auto"/>
        </w:rPr>
      </w:pPr>
    </w:p>
    <w:p>
      <w:pPr>
        <w:ind w:left="1300" w:right="1100" w:hanging="377"/>
        <w:spacing w:after="0" w:line="249" w:lineRule="auto"/>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fair value measurement of an increase in each unobservable input is in isolation. The discount rate is the rate used to discount future cash flows in a discounted cash flow calculation. An increase in discount rate, in isolation, would result in a decrease in a fair value measurement. Significant increases or decreases in any of the unobservable inputs in isolation may result in a significantly lower or higher fair value measurement.</w:t>
      </w:r>
    </w:p>
    <w:p>
      <w:pPr>
        <w:spacing w:after="0" w:line="1" w:lineRule="exact"/>
        <w:rPr>
          <w:rFonts w:ascii="Times New Roman" w:cs="Times New Roman" w:eastAsia="Times New Roman" w:hAnsi="Times New Roman"/>
          <w:sz w:val="14"/>
          <w:szCs w:val="14"/>
          <w:color w:val="auto"/>
        </w:rPr>
      </w:pPr>
    </w:p>
    <w:p>
      <w:pPr>
        <w:ind w:left="1300" w:right="960" w:hanging="377"/>
        <w:spacing w:after="0" w:line="249" w:lineRule="auto"/>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provided by independent pricing services are evaluated in conjunction with actual trades and payoffs and, in certain cases, the value represented by actual trades or payoffs may be more representative of fair value as determined by the Board of Directors.</w:t>
      </w:r>
    </w:p>
    <w:p>
      <w:pPr>
        <w:ind w:left="1300" w:right="980" w:hanging="377"/>
        <w:spacing w:after="0" w:line="258" w:lineRule="auto"/>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those CLO equity and debt positions which have been optionally redeemed are generally valued using a liquidation NAV basis which represents the estimated expected residual value of the CLO as of the end of the period.</w:t>
      </w:r>
    </w:p>
    <w:p>
      <w:pPr>
        <w:spacing w:after="0" w:line="155"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6"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single investment fair value position, and therefore the range/weighted average is not applicable.</w:t>
      </w:r>
    </w:p>
    <w:p>
      <w:pPr>
        <w:spacing w:after="0" w:line="85" w:lineRule="exact"/>
        <w:rPr>
          <w:sz w:val="20"/>
          <w:szCs w:val="20"/>
          <w:color w:val="auto"/>
        </w:rPr>
      </w:pPr>
    </w:p>
    <w:p>
      <w:pPr>
        <w:ind w:left="920" w:right="1280" w:firstLine="382"/>
        <w:spacing w:after="0" w:line="257" w:lineRule="auto"/>
        <w:rPr>
          <w:sz w:val="20"/>
          <w:szCs w:val="20"/>
          <w:color w:val="auto"/>
        </w:rPr>
      </w:pPr>
      <w:r>
        <w:rPr>
          <w:rFonts w:ascii="Times New Roman" w:cs="Times New Roman" w:eastAsia="Times New Roman" w:hAnsi="Times New Roman"/>
          <w:sz w:val="16"/>
          <w:szCs w:val="16"/>
          <w:color w:val="auto"/>
        </w:rPr>
        <w:t>A reconciliation of the fair value of investments for the six months ended September 30, 2024, utilizing significant unobservable inputs, is as follows:</w:t>
      </w:r>
    </w:p>
    <w:p>
      <w:pPr>
        <w:spacing w:after="0" w:line="11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Collateralized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Collateralized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 CLO</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Obligation Debt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Loan Obligation</w:t>
            </w:r>
          </w:p>
        </w:tc>
        <w:tc>
          <w:tcPr>
            <w:tcW w:w="80" w:type="dxa"/>
            <w:vAlign w:val="bottom"/>
          </w:tcPr>
          <w:p>
            <w:pPr>
              <w:spacing w:after="0"/>
              <w:rPr>
                <w:sz w:val="14"/>
                <w:szCs w:val="14"/>
                <w:color w:val="auto"/>
              </w:rPr>
            </w:pPr>
          </w:p>
        </w:tc>
        <w:tc>
          <w:tcPr>
            <w:tcW w:w="10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Equity Related</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Investments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6"/>
                <w:szCs w:val="16"/>
                <w:b w:val="1"/>
                <w:bCs w:val="1"/>
                <w:color w:val="auto"/>
                <w:vertAlign w:val="superscript"/>
              </w:rPr>
              <w:t>(2)</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9.6</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1,672.7</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46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Realized gains (losses) included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4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6"/>
                <w:szCs w:val="16"/>
                <w:color w:val="auto"/>
                <w:w w:val="98"/>
              </w:rPr>
              <w:t>Unrealized appreciation (depreciation)</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included in earnings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(66.9)</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Accretion of discounts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743.2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756.2</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Sales and repayments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(256.5)</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Reductions to CLO equity cost value</w:t>
            </w:r>
            <w:r>
              <w:rPr>
                <w:rFonts w:ascii="Times New Roman" w:cs="Times New Roman" w:eastAsia="Times New Roman" w:hAnsi="Times New Roman"/>
                <w:sz w:val="19"/>
                <w:szCs w:val="19"/>
                <w:color w:val="auto"/>
                <w:w w:val="96"/>
                <w:vertAlign w:val="superscript"/>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(119.3)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(120.7)</w:t>
            </w: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r>
              <w:rPr>
                <w:rFonts w:ascii="Times New Roman" w:cs="Times New Roman" w:eastAsia="Times New Roman" w:hAnsi="Times New Roman"/>
                <w:sz w:val="16"/>
                <w:szCs w:val="16"/>
                <w:color w:val="auto"/>
              </w:rPr>
              <w:t>Payment in Kind income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6"/>
        </w:trPr>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Transfers in and/or out of level 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at September 30, 2024</w:t>
            </w:r>
            <w:r>
              <w:rPr>
                <w:rFonts w:ascii="Times New Roman" w:cs="Times New Roman" w:eastAsia="Times New Roman" w:hAnsi="Times New Roman"/>
                <w:sz w:val="19"/>
                <w:szCs w:val="19"/>
                <w:color w:val="auto"/>
                <w:vertAlign w:val="superscript"/>
              </w:rPr>
              <w:t>(2)</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460" w:type="dxa"/>
            <w:vAlign w:val="bottom"/>
            <w:vMerge w:val="continue"/>
          </w:tcPr>
          <w:p>
            <w:pPr>
              <w:spacing w:after="0"/>
              <w:rPr>
                <w:sz w:val="23"/>
                <w:szCs w:val="23"/>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tcPr>
          <w:p>
            <w:pPr>
              <w:spacing w:after="0"/>
              <w:rPr>
                <w:sz w:val="23"/>
                <w:szCs w:val="23"/>
                <w:color w:val="auto"/>
              </w:rPr>
            </w:pP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3"/>
                <w:szCs w:val="23"/>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1,995.6</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460" w:type="dxa"/>
            <w:vAlign w:val="bottom"/>
            <w:tcBorders>
              <w:top w:val="single" w:sz="8" w:color="CCEEFF"/>
            </w:tcBorders>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The amount of total gains for the</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rPr>
              <w:t>period included in earnings</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rPr>
              <w:t>attributable to the change in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rPr>
              <w:t>unrealized gains or (losses) related</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w w:val="99"/>
              </w:rPr>
              <w:t>to our Level 3 assets still held at the</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rPr>
              <w:t>reporting date and reported within</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w w:val="97"/>
              </w:rPr>
              <w:t>the net change in unrealized gains or</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color w:val="auto"/>
              </w:rPr>
              <w:t>(losses) on investments in our</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Statement of Operations</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(63.9)</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54" w:lineRule="exact"/>
        <w:rPr>
          <w:sz w:val="20"/>
          <w:szCs w:val="20"/>
          <w:color w:val="auto"/>
        </w:rPr>
      </w:pPr>
    </w:p>
    <w:p>
      <w:pPr>
        <w:ind w:left="1300" w:right="1120" w:hanging="377"/>
        <w:spacing w:after="0" w:line="254" w:lineRule="auto"/>
        <w:tabs>
          <w:tab w:leader="none" w:pos="1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Reduction to cost value on the Fund’s CLO equity investments represents the difference between distributions received, or entitled to be received, for the six months ended September 30, 2024, of approximately $301.7 million and the effective yield interest income recognized on the Fund’s CLO equity subordinated notes of approximately $182.4 million, plus the amortization of cost of the Fund’s CLO equity fee notes of approximately $1.4 million. A reduction to cost value is not made for CLO warehouse investments.</w:t>
      </w:r>
    </w:p>
    <w:p>
      <w:pPr>
        <w:ind w:left="1300" w:hanging="377"/>
        <w:spacing w:after="0"/>
        <w:tabs>
          <w:tab w:leader="none" w:pos="13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85"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There were no transfers in or out of Level 3 during the six months ended September 30,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7" w:name="page48"/>
    <w:bookmarkEnd w:id="4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5. RELATED PARTY TRANSACTIONS</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Investment Advisory Agreement</w:t>
      </w:r>
    </w:p>
    <w:p>
      <w:pPr>
        <w:spacing w:after="0" w:line="117" w:lineRule="exact"/>
        <w:rPr>
          <w:sz w:val="20"/>
          <w:szCs w:val="20"/>
          <w:color w:val="auto"/>
        </w:rPr>
      </w:pPr>
    </w:p>
    <w:p>
      <w:pPr>
        <w:jc w:val="both"/>
        <w:ind w:left="920" w:right="1080" w:firstLine="382"/>
        <w:spacing w:after="0" w:line="245" w:lineRule="auto"/>
        <w:rPr>
          <w:sz w:val="20"/>
          <w:szCs w:val="20"/>
          <w:color w:val="auto"/>
        </w:rPr>
      </w:pPr>
      <w:r>
        <w:rPr>
          <w:rFonts w:ascii="Times New Roman" w:cs="Times New Roman" w:eastAsia="Times New Roman" w:hAnsi="Times New Roman"/>
          <w:sz w:val="16"/>
          <w:szCs w:val="16"/>
          <w:color w:val="auto"/>
        </w:rPr>
        <w:t>Effective September 9, 2010, the Fund entered into the Investment Advisory Agreement with Oxford Lane Management, a registered investment adviser under the Advisers Act. Oxford Funds is the managing member of Oxford Lane Management and serves as the administrator of the Fund.</w:t>
      </w:r>
    </w:p>
    <w:p>
      <w:pPr>
        <w:spacing w:after="0" w:line="94" w:lineRule="exact"/>
        <w:rPr>
          <w:sz w:val="20"/>
          <w:szCs w:val="20"/>
          <w:color w:val="auto"/>
        </w:rPr>
      </w:pPr>
    </w:p>
    <w:p>
      <w:pPr>
        <w:jc w:val="both"/>
        <w:ind w:left="920" w:right="940" w:firstLine="382"/>
        <w:spacing w:after="0" w:line="245" w:lineRule="auto"/>
        <w:rPr>
          <w:sz w:val="20"/>
          <w:szCs w:val="20"/>
          <w:color w:val="auto"/>
        </w:rPr>
      </w:pPr>
      <w:r>
        <w:rPr>
          <w:rFonts w:ascii="Times New Roman" w:cs="Times New Roman" w:eastAsia="Times New Roman" w:hAnsi="Times New Roman"/>
          <w:sz w:val="16"/>
          <w:szCs w:val="16"/>
          <w:color w:val="auto"/>
        </w:rPr>
        <w:t>Pursuant to the Investment Advisory Agreement, the Fund has agreed to pay Oxford Lane Management a fee for advisory and management services consisting of two components — a base management fee (the “Management Fee”) and an incentive fee (the “Incentive Fee”).</w:t>
      </w:r>
    </w:p>
    <w:p>
      <w:pPr>
        <w:spacing w:after="0" w:line="94" w:lineRule="exact"/>
        <w:rPr>
          <w:sz w:val="20"/>
          <w:szCs w:val="20"/>
          <w:color w:val="auto"/>
        </w:rPr>
      </w:pPr>
    </w:p>
    <w:p>
      <w:pPr>
        <w:ind w:left="920" w:right="960" w:firstLine="382"/>
        <w:spacing w:after="0" w:line="238" w:lineRule="auto"/>
        <w:rPr>
          <w:sz w:val="20"/>
          <w:szCs w:val="20"/>
          <w:color w:val="auto"/>
        </w:rPr>
      </w:pPr>
      <w:r>
        <w:rPr>
          <w:rFonts w:ascii="Times New Roman" w:cs="Times New Roman" w:eastAsia="Times New Roman" w:hAnsi="Times New Roman"/>
          <w:sz w:val="16"/>
          <w:szCs w:val="16"/>
          <w:color w:val="auto"/>
        </w:rPr>
        <w:t>The Management Fee is calculated at an annual rate of 2.00% of the Fund’s gross assets. For services rendered under the Investment Advisory Agreement, the Management Fee is payable quarterly in arrears. The Management Fee is calculated based on the average value of the Fund’s gross assets, at the end of the two most recently completed calendar quarters, and appropriately adjusted for any share issuances or repurchases during the current calendar quarter. The Management Fee for any partial month or quarter will be appropriately pro-rated. For the six months ended September 30, 2024, the Fund recognized an expense of approximately $19.5 million. At September 30, 2024, the Fund had a Management Fee payable of approximately $10.3 million.</w:t>
      </w:r>
    </w:p>
    <w:p>
      <w:pPr>
        <w:spacing w:after="0" w:line="97" w:lineRule="exact"/>
        <w:rPr>
          <w:sz w:val="20"/>
          <w:szCs w:val="20"/>
          <w:color w:val="auto"/>
        </w:rPr>
      </w:pPr>
    </w:p>
    <w:p>
      <w:pPr>
        <w:ind w:left="920" w:right="940" w:firstLine="382"/>
        <w:spacing w:after="0" w:line="270" w:lineRule="auto"/>
        <w:rPr>
          <w:sz w:val="20"/>
          <w:szCs w:val="20"/>
          <w:color w:val="auto"/>
        </w:rPr>
      </w:pPr>
      <w:r>
        <w:rPr>
          <w:rFonts w:ascii="Times New Roman" w:cs="Times New Roman" w:eastAsia="Times New Roman" w:hAnsi="Times New Roman"/>
          <w:sz w:val="14"/>
          <w:szCs w:val="14"/>
          <w:color w:val="auto"/>
        </w:rPr>
        <w:t>The Incentive Fee is calculated and payable quarterly in arrears based on the pre-incentive fee net investment income for the immediately preceding calendar quarter. For this purpose, pre-incentive fee net investment income means income from securitization vehicles and investments, interest income from debt investments and any other income (including any other fees, such as commitment, origination, structuring, diligence and consulting fees or other fees that are received from an investment) accrued during the calendar quarter, minus the Fund’s operating expenses for the quarter (including the Management Fee, expenses payable under the Administration Agreement to Oxford Funds, and any interest expense and dividends paid on any issued and outstanding preferred stock, but excluding the Incentive Fee). Pre-incentive fee net investment income includes accrued income that the Fund has not yet received in cash, such as the amount of any market discount it may accrete on debt instruments purchased below par value. Pre-incentive fee net investment income does not include any realized or unrealized capital gains or losses, and the Fund could incur Incentive Fees in periods when there is a net decrease in net assets from operations. Pre-incentive fee net investment income, expressed as a rate of return on the value of the Fund’s net assets at the end of the immediately preceding calendar quarter, is compared to a hurdle of 1.75% per quarter (7.00% annualized). For such purposes, the Fund’s quarterly rate of return is determined by dividing its pre-incentive net investment income by its reported net assets as of the prior period end. The Fund’s pre-incentive fee net investment income used to calculate the Incentive Fee is also included in the amount of its gross assets used to calculate the 2.00% Management Fee. The Fund pays Oxford Lane Management an Incentive Fee with respect to the Fund’s pre-incentive fee net investment income in each calendar quarter as follows:</w:t>
      </w:r>
    </w:p>
    <w:p>
      <w:pPr>
        <w:spacing w:after="0" w:line="267" w:lineRule="exact"/>
        <w:rPr>
          <w:sz w:val="20"/>
          <w:szCs w:val="20"/>
          <w:color w:val="auto"/>
        </w:rPr>
      </w:pPr>
    </w:p>
    <w:p>
      <w:pPr>
        <w:ind w:left="1680" w:right="1020" w:hanging="375"/>
        <w:spacing w:after="0" w:line="257"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Incentive Fee in any calendar quarter in which the Fund’s pre-incentive fee net investment income does not exceed the hurdle of 1.75%;</w:t>
      </w:r>
    </w:p>
    <w:p>
      <w:pPr>
        <w:spacing w:after="0" w:line="83" w:lineRule="exact"/>
        <w:rPr>
          <w:rFonts w:ascii="Times New Roman" w:cs="Times New Roman" w:eastAsia="Times New Roman" w:hAnsi="Times New Roman"/>
          <w:sz w:val="16"/>
          <w:szCs w:val="16"/>
          <w:color w:val="auto"/>
        </w:rPr>
      </w:pPr>
    </w:p>
    <w:p>
      <w:pPr>
        <w:ind w:left="1680" w:right="980" w:hanging="375"/>
        <w:spacing w:after="0" w:line="238" w:lineRule="auto"/>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 of Fund’s pre-incentive fee net investment income with respect to that portion of such pre-incentive fee net investment income, if any, that exceeds the hurdle but is less than 2.1875% in any calendar quarter (8.75% annualized). The Fund refers to this portion of its pre-incentive fee net investment income (which exceeds the hurdle but is less than 2.1875%) as the “catch-up”. The “catch-up” is meant to provide Oxford Lane Management with 20% of the Fund’s pre-incentive fee net investment income as if a hurdle did not apply if the net investment income exceeds 2.1875% in any calendar quarter; and</w:t>
      </w:r>
    </w:p>
    <w:p>
      <w:pPr>
        <w:spacing w:after="0" w:line="97"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 of the amount of the Fund’s pre-incentive fee net investment income, if any, that exceeds</w:t>
      </w:r>
    </w:p>
    <w:p>
      <w:pPr>
        <w:spacing w:after="0" w:line="13" w:lineRule="exact"/>
        <w:rPr>
          <w:rFonts w:ascii="Times New Roman" w:cs="Times New Roman" w:eastAsia="Times New Roman" w:hAnsi="Times New Roman"/>
          <w:sz w:val="16"/>
          <w:szCs w:val="16"/>
          <w:color w:val="auto"/>
        </w:rPr>
      </w:pPr>
    </w:p>
    <w:p>
      <w:pPr>
        <w:ind w:left="1680" w:right="940"/>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2.1875% in any calendar quarter (8.75% annualized) is payable to Oxford Lane Management (once the hurdle is reached and the “catch-up” is achieved, 20% of all pre-incentive fee net investment income thereafter is allocated to Oxford Lane Management).</w:t>
      </w:r>
    </w:p>
    <w:p>
      <w:pPr>
        <w:spacing w:after="0" w:line="1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8" w:name="page49"/>
    <w:bookmarkEnd w:id="4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5. RELATED PARTY TRANSACTIONS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980" w:firstLine="382"/>
        <w:spacing w:after="0" w:line="245" w:lineRule="auto"/>
        <w:rPr>
          <w:sz w:val="20"/>
          <w:szCs w:val="20"/>
          <w:color w:val="auto"/>
        </w:rPr>
      </w:pPr>
      <w:r>
        <w:rPr>
          <w:rFonts w:ascii="Times New Roman" w:cs="Times New Roman" w:eastAsia="Times New Roman" w:hAnsi="Times New Roman"/>
          <w:sz w:val="16"/>
          <w:szCs w:val="16"/>
          <w:color w:val="auto"/>
        </w:rPr>
        <w:t>There is no offset in subsequent quarters for any quarter in which an Incentive Fee is not earned. For the six months ended September 30, 2024, the Fund recognized incentive fee expense of approximately $30.8 million. At September 30, 2024, the Fund had an Incentive Fee payable of approximately $16.8 million.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Agreement</w:t>
      </w:r>
    </w:p>
    <w:p>
      <w:pPr>
        <w:spacing w:after="0" w:line="117" w:lineRule="exact"/>
        <w:rPr>
          <w:sz w:val="20"/>
          <w:szCs w:val="20"/>
          <w:color w:val="auto"/>
        </w:rPr>
      </w:pPr>
    </w:p>
    <w:p>
      <w:pPr>
        <w:ind w:left="920" w:right="960" w:firstLine="382"/>
        <w:spacing w:after="0" w:line="239" w:lineRule="auto"/>
        <w:rPr>
          <w:sz w:val="20"/>
          <w:szCs w:val="20"/>
          <w:color w:val="auto"/>
        </w:rPr>
      </w:pPr>
      <w:r>
        <w:rPr>
          <w:rFonts w:ascii="Times New Roman" w:cs="Times New Roman" w:eastAsia="Times New Roman" w:hAnsi="Times New Roman"/>
          <w:sz w:val="16"/>
          <w:szCs w:val="16"/>
          <w:color w:val="auto"/>
        </w:rPr>
        <w:t>Effective September 9, 2010, the Fund entered into an administration agreement (the “Administration Agreement”) with Oxford Funds to serve as its administrator. Under the Administration Agreement, Oxford Funds performs, or oversees the performance of, the Fund’s required administrative services, which include, among other things, being responsible for the financial records which the Fund is required to maintain and for preparation of the reports to the Fund’s stockholders.</w:t>
      </w:r>
    </w:p>
    <w:p>
      <w:pPr>
        <w:spacing w:after="0" w:line="100" w:lineRule="exact"/>
        <w:rPr>
          <w:sz w:val="20"/>
          <w:szCs w:val="20"/>
          <w:color w:val="auto"/>
        </w:rPr>
      </w:pPr>
    </w:p>
    <w:p>
      <w:pPr>
        <w:ind w:left="920" w:right="1020" w:firstLine="382"/>
        <w:spacing w:after="0" w:line="273" w:lineRule="auto"/>
        <w:rPr>
          <w:sz w:val="20"/>
          <w:szCs w:val="20"/>
          <w:color w:val="auto"/>
        </w:rPr>
      </w:pPr>
      <w:r>
        <w:rPr>
          <w:rFonts w:ascii="Times New Roman" w:cs="Times New Roman" w:eastAsia="Times New Roman" w:hAnsi="Times New Roman"/>
          <w:sz w:val="14"/>
          <w:szCs w:val="14"/>
          <w:color w:val="auto"/>
        </w:rPr>
        <w:t>Oxford Funds assists the Fund in determining and publishing the Fund’s NAV, overseeing the preparation and filing of the Fund’s tax returns and the printing and dissemination of reports to the Fund’s stockholders, and generally overseeing the payment of the Fund’s expenses and the performance of administrative and professional services rendered to the Fund by others. Payments under the Administration Agreement are equal to an amount based upon the Fund’s allocable portion of Oxford Funds’ overhead in performing its obligations under the Administration Agreement, including rent, and the Fund’s allocable portion of the compensation of the Fund’s chief financial officer and any administrative support staff, including accounting personnel. The Fund will also reimburse Oxford Funds for costs associated with the functions performed by the Fund’s chief compliance officer that Oxford Funds pays on behalf of the Fund pursuant to the terms of an agreement between the Fund and ACA Group, LLC (“ACA”). Other expenses that are paid by the Fund include legal, compliance, audit and tax services, market data services, excise taxes, if any, and miscellaneous office expenses. The Administration Agreement may be terminated by either party without penalty upon 60 days’ written notice to the other party.</w:t>
      </w:r>
    </w:p>
    <w:p>
      <w:pPr>
        <w:spacing w:after="0" w:line="3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Independent Director’s Compensation</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independent directors receive an annual fee of $90,000. In addition, the independent directors receive</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$4,000 plus reimbursement of reasonable out-of-pocket expenses incurred in connection with attending each Board</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of Directors meeting, and relevant committee members receive $1,500 plus reimbursement of reasonable out-of-</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pocket expenses incurred in connection with attending each Valuation Committee meeting and $1,500 plus</w:t>
      </w:r>
    </w:p>
    <w:p>
      <w:pPr>
        <w:ind w:left="920"/>
        <w:spacing w:after="0"/>
        <w:rPr>
          <w:sz w:val="20"/>
          <w:szCs w:val="20"/>
          <w:color w:val="auto"/>
        </w:rPr>
      </w:pPr>
      <w:r>
        <w:rPr>
          <w:rFonts w:ascii="Times New Roman" w:cs="Times New Roman" w:eastAsia="Times New Roman" w:hAnsi="Times New Roman"/>
          <w:sz w:val="14"/>
          <w:szCs w:val="14"/>
          <w:color w:val="auto"/>
        </w:rPr>
        <w:t>reimbursement of reasonable out-of-pocket expenses incurred in connection with attending each Audit Committee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meeting. The Chairman of the Audit Committee continues to receive an additional annual fee of $10,000. No</w:t>
      </w:r>
    </w:p>
    <w:p>
      <w:pPr>
        <w:ind w:left="920"/>
        <w:spacing w:after="0"/>
        <w:rPr>
          <w:sz w:val="20"/>
          <w:szCs w:val="20"/>
          <w:color w:val="auto"/>
        </w:rPr>
      </w:pPr>
      <w:r>
        <w:rPr>
          <w:rFonts w:ascii="Times New Roman" w:cs="Times New Roman" w:eastAsia="Times New Roman" w:hAnsi="Times New Roman"/>
          <w:sz w:val="14"/>
          <w:szCs w:val="14"/>
          <w:color w:val="auto"/>
        </w:rPr>
        <w:t>compensation is paid to directors who are interested persons of the Fund as defined in Section 2(a)(19) of the 1940</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Act.</w:t>
      </w:r>
    </w:p>
    <w:p>
      <w:pPr>
        <w:spacing w:after="0" w:line="97" w:lineRule="exact"/>
        <w:rPr>
          <w:sz w:val="20"/>
          <w:szCs w:val="20"/>
          <w:color w:val="auto"/>
        </w:rPr>
      </w:pPr>
    </w:p>
    <w:p>
      <w:pPr>
        <w:ind w:left="920" w:right="940" w:firstLine="382"/>
        <w:spacing w:after="0" w:line="257" w:lineRule="auto"/>
        <w:rPr>
          <w:sz w:val="20"/>
          <w:szCs w:val="20"/>
          <w:color w:val="auto"/>
        </w:rPr>
      </w:pPr>
      <w:r>
        <w:rPr>
          <w:rFonts w:ascii="Times New Roman" w:cs="Times New Roman" w:eastAsia="Times New Roman" w:hAnsi="Times New Roman"/>
          <w:sz w:val="16"/>
          <w:szCs w:val="16"/>
          <w:color w:val="auto"/>
        </w:rPr>
        <w:t>Certain directors, officers and other related parties, including members of Oxford Lane Management, owned, directly or indirectly, approximately 3.0% of the common stock of the Fund at September 30, 2024.</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Co-Investment Exemptive Relief</w:t>
      </w:r>
    </w:p>
    <w:p>
      <w:pPr>
        <w:spacing w:after="0" w:line="117" w:lineRule="exact"/>
        <w:rPr>
          <w:sz w:val="20"/>
          <w:szCs w:val="20"/>
          <w:color w:val="auto"/>
        </w:rPr>
      </w:pPr>
    </w:p>
    <w:p>
      <w:pPr>
        <w:ind w:left="920" w:right="920" w:firstLine="382"/>
        <w:spacing w:after="0" w:line="237" w:lineRule="auto"/>
        <w:rPr>
          <w:sz w:val="20"/>
          <w:szCs w:val="20"/>
          <w:color w:val="auto"/>
        </w:rPr>
      </w:pPr>
      <w:r>
        <w:rPr>
          <w:rFonts w:ascii="Times New Roman" w:cs="Times New Roman" w:eastAsia="Times New Roman" w:hAnsi="Times New Roman"/>
          <w:sz w:val="16"/>
          <w:szCs w:val="16"/>
          <w:color w:val="auto"/>
        </w:rPr>
        <w:t>On June 14, 2017, the SEC issued an exemptive order (the “Exemptive Order”) permitting the Fund and certain of its affiliates to complete negotiated co-investment transactions in portfolio companies, subject to certain conditions. Subject to satisfaction of certain conditions to the Exemptive Order, the Fund and certain of its affiliates are now permitted, together with any future business development companies, registered closed-end funds and certain private funds, each of whose investment adviser is Oxford Lane Management or an investment adviser controlling, controlled by, or under common control with Oxford Lane Management, to co-invest in negotiated investment opportunities where doing so would otherwise be prohibited under the 1940 Act, providing the Fund’s stockholders with access to a broader array of investment opportunities.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49" w:name="page50"/>
    <w:bookmarkEnd w:id="4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5. RELATED PARTY TRANSACTIONS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920" w:firstLine="382"/>
        <w:spacing w:after="0" w:line="277" w:lineRule="auto"/>
        <w:rPr>
          <w:sz w:val="20"/>
          <w:szCs w:val="20"/>
          <w:color w:val="auto"/>
        </w:rPr>
      </w:pPr>
      <w:r>
        <w:rPr>
          <w:rFonts w:ascii="Times New Roman" w:cs="Times New Roman" w:eastAsia="Times New Roman" w:hAnsi="Times New Roman"/>
          <w:sz w:val="14"/>
          <w:szCs w:val="14"/>
          <w:color w:val="auto"/>
        </w:rPr>
        <w:t>Pursuant to the Order, the Fund is permitted to co- invest in such investment opportunities with its affiliates if a “required majority” (as defined in Section 57(o) of the 1940 Act) of its independent directors make certain conclusions in connection with a co -investment transaction, including, but not limited to, that (1) the terms of the potential co-investment transaction, including the consideration to be paid, are reasonable and fair to the Fund and its stockholders and do not involve overreaching in respect of the Fund or its stockholders on the part of any person concerned, and (2) the potential co- investment transaction is consistent with the interests of the Fund’s stockholders and is consistent with the Fund’s then-current investment objective and strategies.</w:t>
      </w:r>
    </w:p>
    <w:p>
      <w:pPr>
        <w:spacing w:after="0" w:line="1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6. RECENT ACCOUNTING PRONOUNCEMENTS</w:t>
      </w:r>
    </w:p>
    <w:p>
      <w:pPr>
        <w:spacing w:after="0" w:line="117"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In June 2022, the FASB issued ASU 2022- 03, “Fair Value Measurement of Equity Securities Subject to Contractual Sale Restrictions.” The amendments in this update provide that a contractual restriction on the sale of an equity security is not considered part of the unit of account of the equity security and, therefore, is not considered in measuring fair value. The amendments in this update also require additional disclosures for equity securities subject to contractual sales restrictions. ASU 2022-03 is required for years beginning after December 15, 2023, though early adoption is permitted. The Fund does not expect ASU 2022-03 to have a material impact to the financial statements and the notes thereto.</w:t>
      </w:r>
    </w:p>
    <w:p>
      <w:pPr>
        <w:spacing w:after="0" w:line="97" w:lineRule="exact"/>
        <w:rPr>
          <w:sz w:val="20"/>
          <w:szCs w:val="20"/>
          <w:color w:val="auto"/>
        </w:rPr>
      </w:pPr>
    </w:p>
    <w:p>
      <w:pPr>
        <w:ind w:left="920" w:right="960" w:firstLine="382"/>
        <w:spacing w:after="0" w:line="245" w:lineRule="auto"/>
        <w:rPr>
          <w:sz w:val="20"/>
          <w:szCs w:val="20"/>
          <w:color w:val="auto"/>
        </w:rPr>
      </w:pPr>
      <w:r>
        <w:rPr>
          <w:rFonts w:ascii="Times New Roman" w:cs="Times New Roman" w:eastAsia="Times New Roman" w:hAnsi="Times New Roman"/>
          <w:sz w:val="16"/>
          <w:szCs w:val="16"/>
          <w:color w:val="auto"/>
        </w:rPr>
        <w:t>Other than the aforementioned guidance, the Fund’s management does not believe that any recently issued, but not yet effective, accounting standards, if currently adopted, would have a material effect on the accompanying financial statements.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7. DISTRIBUTIONS</w:t>
      </w:r>
    </w:p>
    <w:p>
      <w:pPr>
        <w:spacing w:after="0" w:line="117" w:lineRule="exact"/>
        <w:rPr>
          <w:sz w:val="20"/>
          <w:szCs w:val="20"/>
          <w:color w:val="auto"/>
        </w:rPr>
      </w:pPr>
    </w:p>
    <w:p>
      <w:pPr>
        <w:ind w:left="920" w:right="960" w:firstLine="382"/>
        <w:spacing w:after="0" w:line="276" w:lineRule="auto"/>
        <w:rPr>
          <w:sz w:val="20"/>
          <w:szCs w:val="20"/>
          <w:color w:val="auto"/>
        </w:rPr>
      </w:pPr>
      <w:r>
        <w:rPr>
          <w:rFonts w:ascii="Times New Roman" w:cs="Times New Roman" w:eastAsia="Times New Roman" w:hAnsi="Times New Roman"/>
          <w:sz w:val="14"/>
          <w:szCs w:val="14"/>
          <w:color w:val="auto"/>
        </w:rPr>
        <w:t>For the six months ended September 30, 2024, the Fund declared and paid distributions on its common stock of $0.51 per share, or $ 146,294,994. The Fund declared and paid distributions on its common stock of $0.95 per share, or $191,597,580 for the year ended March 31, 2024. The tax character of distributions paid for the</w:t>
      </w:r>
    </w:p>
    <w:p>
      <w:pPr>
        <w:ind w:left="920" w:right="920"/>
        <w:spacing w:after="0" w:line="234" w:lineRule="auto"/>
        <w:rPr>
          <w:sz w:val="20"/>
          <w:szCs w:val="20"/>
          <w:color w:val="auto"/>
        </w:rPr>
      </w:pPr>
      <w:r>
        <w:rPr>
          <w:rFonts w:ascii="Times New Roman" w:cs="Times New Roman" w:eastAsia="Times New Roman" w:hAnsi="Times New Roman"/>
          <w:sz w:val="16"/>
          <w:szCs w:val="16"/>
          <w:color w:val="auto"/>
        </w:rPr>
        <w:t>six months ended September 30, 2024 represented, on an estimated basis, $146,294,994 million from ordinary income. For the six months ended September 30, 2024, the amounts and sources of distributions reported are only estimates. The tax character of distributions paid for the year ended March 31, 2024 represented, on an estimated basis, $191,597,580 from ordinary income. For the year ended March 31, 2024 and the six months ended September 30, 2024, the amounts and sources of distributions reported are only estimates. The ultimate tax character of distributions is unknown until our tax return is filed. For the six months ended September 30, 2024 and for the year ended March 31, 2024, the Fund also declared and paid dividends on preferred stock of $8,189,639 and $18,678,510, respectively. The tax character of distributions paid on preferred stock represented ordinary income.</w:t>
      </w:r>
    </w:p>
    <w:p>
      <w:pPr>
        <w:spacing w:after="0" w:line="100" w:lineRule="exact"/>
        <w:rPr>
          <w:sz w:val="20"/>
          <w:szCs w:val="20"/>
          <w:color w:val="auto"/>
        </w:rPr>
      </w:pPr>
    </w:p>
    <w:p>
      <w:pPr>
        <w:ind w:left="920" w:right="920" w:firstLine="382"/>
        <w:spacing w:after="0" w:line="282" w:lineRule="auto"/>
        <w:rPr>
          <w:sz w:val="20"/>
          <w:szCs w:val="20"/>
          <w:color w:val="auto"/>
        </w:rPr>
      </w:pPr>
      <w:r>
        <w:rPr>
          <w:rFonts w:ascii="Times New Roman" w:cs="Times New Roman" w:eastAsia="Times New Roman" w:hAnsi="Times New Roman"/>
          <w:sz w:val="14"/>
          <w:szCs w:val="14"/>
          <w:color w:val="auto"/>
        </w:rPr>
        <w:t>For the fiscal year ended March 31, 2024, the Fund had available $ 119,613,135 of long-term capital losses, which can be used to offset future capital gains. For the fiscal year ended March 31, 2024, the Fund did not utilize its capital loss carryforward. Under the current law, capital losses related to securities realized after October 31 of a taxable year and prior to the Fund’s fiscal year end (“post-October”) may be deferred as occurring the first day of the following fiscal year. For the fiscal year ended March 31, 2024, the Fund had no post-October losses to defer.</w:t>
      </w:r>
    </w:p>
    <w:p>
      <w:pPr>
        <w:spacing w:after="0" w:line="70" w:lineRule="exact"/>
        <w:rPr>
          <w:sz w:val="20"/>
          <w:szCs w:val="20"/>
          <w:color w:val="auto"/>
        </w:rPr>
      </w:pPr>
    </w:p>
    <w:p>
      <w:pPr>
        <w:ind w:left="920" w:right="1240" w:firstLine="382"/>
        <w:spacing w:after="0" w:line="257" w:lineRule="auto"/>
        <w:rPr>
          <w:sz w:val="20"/>
          <w:szCs w:val="20"/>
          <w:color w:val="auto"/>
        </w:rPr>
      </w:pPr>
      <w:r>
        <w:rPr>
          <w:rFonts w:ascii="Times New Roman" w:cs="Times New Roman" w:eastAsia="Times New Roman" w:hAnsi="Times New Roman"/>
          <w:sz w:val="16"/>
          <w:szCs w:val="16"/>
          <w:color w:val="auto"/>
        </w:rPr>
        <w:t>As of March 31, 2024, the estimated components of distributable earnings (accumulated losses) on a tax basis were as follows: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Distributable ordinary income</w:t>
            </w:r>
          </w:p>
        </w:tc>
        <w:tc>
          <w:tcPr>
            <w:tcW w:w="2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  225,605,956</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long-term capital gains (capital loss carry forward)</w:t>
            </w:r>
          </w:p>
        </w:tc>
        <w:tc>
          <w:tcPr>
            <w:tcW w:w="2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(119,613,135)</w:t>
            </w:r>
          </w:p>
        </w:tc>
      </w:tr>
      <w:tr>
        <w:trPr>
          <w:trHeight w:val="26"/>
        </w:trPr>
        <w:tc>
          <w:tcPr>
            <w:tcW w:w="50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depreciation on investments*</w:t>
            </w:r>
          </w:p>
        </w:tc>
        <w:tc>
          <w:tcPr>
            <w:tcW w:w="21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(471,594,081)</w:t>
            </w:r>
          </w:p>
        </w:tc>
      </w:tr>
      <w:tr>
        <w:trPr>
          <w:trHeight w:val="237"/>
        </w:trPr>
        <w:tc>
          <w:tcPr>
            <w:tcW w:w="5040" w:type="dxa"/>
            <w:vAlign w:val="bottom"/>
          </w:tcPr>
          <w:p>
            <w:pPr>
              <w:spacing w:after="0"/>
              <w:rPr>
                <w:sz w:val="20"/>
                <w:szCs w:val="20"/>
                <w:color w:val="auto"/>
              </w:rPr>
            </w:pPr>
            <w:r>
              <w:rPr>
                <w:rFonts w:ascii="Times New Roman" w:cs="Times New Roman" w:eastAsia="Times New Roman" w:hAnsi="Times New Roman"/>
                <w:sz w:val="16"/>
                <w:szCs w:val="16"/>
                <w:color w:val="auto"/>
              </w:rPr>
              <w:t>Other timing differences</w:t>
            </w:r>
          </w:p>
        </w:tc>
        <w:tc>
          <w:tcPr>
            <w:tcW w:w="2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(2,389,928)</w:t>
            </w:r>
          </w:p>
        </w:tc>
      </w:tr>
      <w:tr>
        <w:trPr>
          <w:trHeight w:val="247"/>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2140" w:type="dxa"/>
            <w:vAlign w:val="bottom"/>
          </w:tcPr>
          <w:p>
            <w:pPr>
              <w:spacing w:after="0"/>
              <w:rPr>
                <w:sz w:val="21"/>
                <w:szCs w:val="21"/>
                <w:color w:val="auto"/>
              </w:rPr>
            </w:pPr>
          </w:p>
        </w:tc>
      </w:tr>
    </w:tbl>
    <w:p>
      <w:pPr>
        <w:spacing w:after="0" w:line="65" w:lineRule="exact"/>
        <w:rPr>
          <w:sz w:val="20"/>
          <w:szCs w:val="20"/>
          <w:color w:val="auto"/>
        </w:rPr>
      </w:pPr>
    </w:p>
    <w:p>
      <w:pPr>
        <w:ind w:left="1300" w:right="1400" w:hanging="377"/>
        <w:spacing w:after="0" w:line="286" w:lineRule="auto"/>
        <w:tabs>
          <w:tab w:leader="none" w:pos="127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book basis and tax basis unrealized gains/(losses) is due to the Fund’s CLO equity and partnership investments.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0" w:name="page51"/>
    <w:bookmarkEnd w:id="5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7. DISTRIBUTIONS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1500" w:firstLine="382"/>
        <w:spacing w:after="0" w:line="257" w:lineRule="auto"/>
        <w:rPr>
          <w:sz w:val="20"/>
          <w:szCs w:val="20"/>
          <w:color w:val="auto"/>
        </w:rPr>
      </w:pPr>
      <w:r>
        <w:rPr>
          <w:rFonts w:ascii="Times New Roman" w:cs="Times New Roman" w:eastAsia="Times New Roman" w:hAnsi="Times New Roman"/>
          <w:sz w:val="16"/>
          <w:szCs w:val="16"/>
          <w:color w:val="auto"/>
        </w:rPr>
        <w:t>As of March 31, 2024, the effect of permanent “book/tax” reclassifications resulted in the following increase/(decrease) to the components of net assets:</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243"/>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distributable earnings/(accumulated losses)</w:t>
            </w:r>
          </w:p>
        </w:tc>
        <w:tc>
          <w:tcPr>
            <w:tcW w:w="17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5,528,019</w:t>
            </w:r>
          </w:p>
        </w:tc>
      </w:tr>
      <w:tr>
        <w:trPr>
          <w:trHeight w:val="237"/>
        </w:trPr>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Paid-In-Capital</w:t>
            </w:r>
          </w:p>
        </w:tc>
        <w:tc>
          <w:tcPr>
            <w:tcW w:w="1700" w:type="dxa"/>
            <w:vAlign w:val="bottom"/>
          </w:tcPr>
          <w:p>
            <w:pPr>
              <w:spacing w:after="0"/>
              <w:rPr>
                <w:sz w:val="20"/>
                <w:szCs w:val="20"/>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(5,528,019)</w:t>
            </w:r>
          </w:p>
        </w:tc>
      </w:tr>
    </w:tbl>
    <w:p>
      <w:pPr>
        <w:spacing w:after="0" w:line="168" w:lineRule="exact"/>
        <w:rPr>
          <w:sz w:val="20"/>
          <w:szCs w:val="20"/>
          <w:color w:val="auto"/>
        </w:rPr>
      </w:pPr>
    </w:p>
    <w:p>
      <w:pPr>
        <w:ind w:left="920" w:right="1420" w:firstLine="382"/>
        <w:spacing w:after="0" w:line="257" w:lineRule="auto"/>
        <w:rPr>
          <w:sz w:val="20"/>
          <w:szCs w:val="20"/>
          <w:color w:val="auto"/>
        </w:rPr>
      </w:pPr>
      <w:r>
        <w:rPr>
          <w:rFonts w:ascii="Times New Roman" w:cs="Times New Roman" w:eastAsia="Times New Roman" w:hAnsi="Times New Roman"/>
          <w:sz w:val="16"/>
          <w:szCs w:val="16"/>
          <w:color w:val="auto"/>
        </w:rPr>
        <w:t>These differences are primarily due to the CLO equity investments, partnership investments, and non-deductible excise tax paid.</w:t>
      </w:r>
    </w:p>
    <w:p>
      <w:pPr>
        <w:spacing w:after="0" w:line="84" w:lineRule="exact"/>
        <w:rPr>
          <w:sz w:val="20"/>
          <w:szCs w:val="20"/>
          <w:color w:val="auto"/>
        </w:rPr>
      </w:pPr>
    </w:p>
    <w:p>
      <w:pPr>
        <w:jc w:val="both"/>
        <w:ind w:left="920" w:right="1140" w:firstLine="382"/>
        <w:spacing w:after="0" w:line="245" w:lineRule="auto"/>
        <w:rPr>
          <w:sz w:val="20"/>
          <w:szCs w:val="20"/>
          <w:color w:val="auto"/>
        </w:rPr>
      </w:pPr>
      <w:r>
        <w:rPr>
          <w:rFonts w:ascii="Times New Roman" w:cs="Times New Roman" w:eastAsia="Times New Roman" w:hAnsi="Times New Roman"/>
          <w:sz w:val="16"/>
          <w:szCs w:val="16"/>
          <w:color w:val="auto"/>
        </w:rPr>
        <w:t>As of September 30, 2024, the aggregate gross unrealized appreciation for tax purposes was $44,518,561, and aggregate gross unrealized depreciation was $692,138,013. For tax purposes, the cost basis of the portfolio investments at September 30, 2024 was $2,643,234,592.</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8. MANDATORILY REDEEMABLE PREFERRED STOCK</w:t>
      </w:r>
    </w:p>
    <w:p>
      <w:pPr>
        <w:spacing w:after="0" w:line="117" w:lineRule="exact"/>
        <w:rPr>
          <w:sz w:val="20"/>
          <w:szCs w:val="20"/>
          <w:color w:val="auto"/>
        </w:rPr>
      </w:pPr>
    </w:p>
    <w:p>
      <w:pPr>
        <w:ind w:left="920" w:right="960" w:firstLine="382"/>
        <w:spacing w:after="0" w:line="235" w:lineRule="auto"/>
        <w:rPr>
          <w:sz w:val="20"/>
          <w:szCs w:val="20"/>
          <w:color w:val="auto"/>
        </w:rPr>
      </w:pPr>
      <w:r>
        <w:rPr>
          <w:rFonts w:ascii="Times New Roman" w:cs="Times New Roman" w:eastAsia="Times New Roman" w:hAnsi="Times New Roman"/>
          <w:sz w:val="16"/>
          <w:szCs w:val="16"/>
          <w:color w:val="auto"/>
        </w:rPr>
        <w:t>The Fund has authorized 50 million shares of mandatorily redeemable preferred stock, at a par value of $0.01 per share, and had 8,761,706 shares issued and outstanding at September 30, 2024. During the six months ended September 30, 2024, the Fund had the following series of preferred stock outstanding: 6.75% Series 2024 Term Preferred Shares (the “6.75% Series 2024 Shares”), 6.25% Series 2027 Term Preferred Shares (the “6.25% Series 2027 Shares”); 6.00% Series 2029 Term Preferred Shares (the “6.00% Series 2029 Shares”); and its 7.125% Series 2029 Term Preferred Shares (the “7.125% Series 2029 Shares”), collectively the “Term Preferred Shares”, each issued in an underwritten public offering. The Fund is required to redeem all of the outstanding Term Preferred Shares on their respective redemption dates, at a redemption price equal to $25 per share plus an amount equal to accumulated but unpaid dividends, if any, to the date of the redemption. The Fund cannot effect any amendment, alteration, or repeal of the Fund’s obligation to redeem all of the Term Preferred Shares without the prior unanimous vote or consent of the holders of such Term Preferred Shares. At any time on or after the optional redemption date, at the Fund’s sole option, the Fund may redeem the Term Preferred Shares at a redemption price per share equal to the sum of the $25 liquidation preference per share plus an amount equal to accumulated but unpaid dividends, if any, on such Term Preferred Shares. The Fund, with the authorization by the Board of Directors, may repurchase any of the Term Preferred Shares from time to time in the open market and effectively extinguish the debt. As of September 30, 2024, there were no accumulated but unpaid dividends on the Fund’s Term Preferred Shares.</w:t>
      </w:r>
    </w:p>
    <w:p>
      <w:pPr>
        <w:spacing w:after="0" w:line="104" w:lineRule="exact"/>
        <w:rPr>
          <w:sz w:val="20"/>
          <w:szCs w:val="20"/>
          <w:color w:val="auto"/>
        </w:rPr>
      </w:pPr>
    </w:p>
    <w:p>
      <w:pPr>
        <w:ind w:left="920" w:right="1480" w:firstLine="382"/>
        <w:spacing w:after="0" w:line="257" w:lineRule="auto"/>
        <w:rPr>
          <w:sz w:val="20"/>
          <w:szCs w:val="20"/>
          <w:color w:val="auto"/>
        </w:rPr>
      </w:pPr>
      <w:r>
        <w:rPr>
          <w:rFonts w:ascii="Times New Roman" w:cs="Times New Roman" w:eastAsia="Times New Roman" w:hAnsi="Times New Roman"/>
          <w:sz w:val="16"/>
          <w:szCs w:val="16"/>
          <w:color w:val="auto"/>
        </w:rPr>
        <w:t>On July 1, 2024, the Fund redeemed all 2,725,015 of the issued and outstanding shares of the 6.75% Series 2024 Shares for a redemption price of $25 per share.</w:t>
      </w:r>
    </w:p>
    <w:p>
      <w:pPr>
        <w:spacing w:after="0" w:line="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The Fund’s Term Preferred Share activity for the six months ended September 30, 2024, was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860" w:type="dxa"/>
            <w:vAlign w:val="bottom"/>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rPr>
              <w:t>6.75%</w:t>
            </w:r>
          </w:p>
        </w:tc>
        <w:tc>
          <w:tcPr>
            <w:tcW w:w="14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6.25%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6.00%</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7.125%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Series 2024</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2027</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1820" w:type="dxa"/>
            <w:vAlign w:val="bottom"/>
          </w:tcPr>
          <w:p>
            <w:pPr>
              <w:spacing w:after="0"/>
              <w:rPr>
                <w:sz w:val="16"/>
                <w:szCs w:val="16"/>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0"/>
        </w:trPr>
        <w:tc>
          <w:tcPr>
            <w:tcW w:w="18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46"/>
        </w:trPr>
        <w:tc>
          <w:tcPr>
            <w:tcW w:w="18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6"/>
                <w:szCs w:val="16"/>
                <w:color w:val="auto"/>
              </w:rPr>
              <w:t>Shares outstanding at</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08"/>
        </w:trPr>
        <w:tc>
          <w:tcPr>
            <w:tcW w:w="18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March 31,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2,725,015</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3,524,806</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2,686,900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2,550,000</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11,486,721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3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Shares issued</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1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redeemed</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(2,725,015)</w:t>
            </w:r>
          </w:p>
        </w:tc>
        <w:tc>
          <w:tcPr>
            <w:tcW w:w="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(2,725,015)</w:t>
            </w:r>
          </w:p>
        </w:tc>
      </w:tr>
      <w:tr>
        <w:trPr>
          <w:trHeight w:val="146"/>
        </w:trPr>
        <w:tc>
          <w:tcPr>
            <w:tcW w:w="1820" w:type="dxa"/>
            <w:vAlign w:val="bottom"/>
          </w:tcPr>
          <w:p>
            <w:pPr>
              <w:spacing w:after="0" w:line="146" w:lineRule="exact"/>
              <w:rPr>
                <w:sz w:val="20"/>
                <w:szCs w:val="20"/>
                <w:color w:val="auto"/>
              </w:rPr>
            </w:pPr>
            <w:r>
              <w:rPr>
                <w:rFonts w:ascii="Times New Roman" w:cs="Times New Roman" w:eastAsia="Times New Roman" w:hAnsi="Times New Roman"/>
                <w:sz w:val="16"/>
                <w:szCs w:val="16"/>
                <w:color w:val="auto"/>
              </w:rPr>
              <w:t>Shares outstanding at</w:t>
            </w: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5"/>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September 30, 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3,524,806</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2,686,900</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2,550,000</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8,761,706</w:t>
            </w:r>
          </w:p>
        </w:tc>
        <w:tc>
          <w:tcPr>
            <w:tcW w:w="120" w:type="dxa"/>
            <w:vAlign w:val="bottom"/>
          </w:tcPr>
          <w:p>
            <w:pPr>
              <w:spacing w:after="0"/>
              <w:rPr>
                <w:sz w:val="18"/>
                <w:szCs w:val="18"/>
                <w:color w:val="auto"/>
              </w:rPr>
            </w:pPr>
          </w:p>
        </w:tc>
      </w:tr>
      <w:tr>
        <w:trPr>
          <w:trHeight w:val="20"/>
        </w:trPr>
        <w:tc>
          <w:tcPr>
            <w:tcW w:w="1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1"/>
        </w:trPr>
        <w:tc>
          <w:tcPr>
            <w:tcW w:w="1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166"/>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6" w:right="1440" w:bottom="1440" w:gutter="0" w:footer="0" w:header="0"/>
        </w:sectPr>
      </w:pPr>
    </w:p>
    <w:bookmarkStart w:id="51" w:name="page52"/>
    <w:bookmarkEnd w:id="5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8. MANDATORILY REDEEMABLE PREFERRED STOCK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Fund’s Term Preferred Share balances as of September 30, 2024, were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7.125%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2027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7"/>
        </w:trPr>
        <w:tc>
          <w:tcPr>
            <w:tcW w:w="27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6"/>
                <w:szCs w:val="16"/>
                <w:b w:val="1"/>
                <w:bCs w:val="1"/>
                <w:color w:val="auto"/>
                <w:vertAlign w:val="superscript"/>
              </w:rPr>
              <w:t>(2)</w:t>
            </w:r>
          </w:p>
        </w:tc>
      </w:tr>
      <w:tr>
        <w:trPr>
          <w:trHeight w:val="22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value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67,172,500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63,750,000</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219,042,650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56"/>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Deferred issuance cost</w:t>
            </w: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(1,040,117)</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(1,454,664)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(1,589,677)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(4,084,458)</w:t>
            </w:r>
          </w:p>
        </w:tc>
      </w:tr>
      <w:tr>
        <w:trPr>
          <w:trHeight w:val="238"/>
        </w:trPr>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Carrying value</w:t>
            </w:r>
            <w:r>
              <w:rPr>
                <w:rFonts w:ascii="Times New Roman" w:cs="Times New Roman" w:eastAsia="Times New Roman" w:hAnsi="Times New Roman"/>
                <w:sz w:val="19"/>
                <w:szCs w:val="19"/>
                <w:color w:val="auto"/>
                <w:vertAlign w:val="superscript"/>
              </w:rPr>
              <w:t>(2)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87,080,033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65,717,836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62,160,323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214,958,192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5"/>
        </w:trPr>
        <w:tc>
          <w:tcPr>
            <w:tcW w:w="2780" w:type="dxa"/>
            <w:vAlign w:val="bottom"/>
          </w:tcPr>
          <w:p>
            <w:pPr>
              <w:spacing w:after="0" w:line="215" w:lineRule="exact"/>
              <w:rPr>
                <w:sz w:val="20"/>
                <w:szCs w:val="20"/>
                <w:color w:val="auto"/>
              </w:rPr>
            </w:pPr>
            <w:r>
              <w:rPr>
                <w:rFonts w:ascii="Times New Roman" w:cs="Times New Roman" w:eastAsia="Times New Roman" w:hAnsi="Times New Roman"/>
                <w:sz w:val="16"/>
                <w:szCs w:val="16"/>
                <w:color w:val="auto"/>
              </w:rPr>
              <w:t>Fair value</w:t>
            </w:r>
            <w:r>
              <w:rPr>
                <w:rFonts w:ascii="Times New Roman" w:cs="Times New Roman" w:eastAsia="Times New Roman" w:hAnsi="Times New Roman"/>
                <w:sz w:val="19"/>
                <w:szCs w:val="19"/>
                <w:color w:val="auto"/>
                <w:vertAlign w:val="superscript"/>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84,630,592</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61,530,010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61,914,000</w:t>
            </w:r>
          </w:p>
        </w:tc>
        <w:tc>
          <w:tcPr>
            <w:tcW w:w="120" w:type="dxa"/>
            <w:vAlign w:val="bottom"/>
          </w:tcPr>
          <w:p>
            <w:pPr>
              <w:spacing w:after="0"/>
              <w:rPr>
                <w:sz w:val="18"/>
                <w:szCs w:val="18"/>
                <w:color w:val="auto"/>
              </w:rPr>
            </w:pPr>
          </w:p>
        </w:tc>
        <w:tc>
          <w:tcPr>
            <w:tcW w:w="24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208,074,602</w:t>
            </w:r>
          </w:p>
        </w:tc>
        <w:tc>
          <w:tcPr>
            <w:tcW w:w="140" w:type="dxa"/>
            <w:vAlign w:val="bottom"/>
          </w:tcPr>
          <w:p>
            <w:pPr>
              <w:spacing w:after="0"/>
              <w:rPr>
                <w:sz w:val="18"/>
                <w:szCs w:val="18"/>
                <w:color w:val="auto"/>
              </w:rPr>
            </w:pPr>
          </w:p>
        </w:tc>
      </w:tr>
      <w:tr>
        <w:trPr>
          <w:trHeight w:val="263"/>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price per share</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24.01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24.28</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r>
      <w:tr>
        <w:trPr>
          <w:trHeight w:val="22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65" w:lineRule="exact"/>
        <w:rPr>
          <w:sz w:val="20"/>
          <w:szCs w:val="20"/>
          <w:color w:val="auto"/>
        </w:rPr>
      </w:pPr>
    </w:p>
    <w:p>
      <w:pPr>
        <w:ind w:left="1300" w:right="1020" w:hanging="377"/>
        <w:spacing w:after="0" w:line="261" w:lineRule="auto"/>
        <w:tabs>
          <w:tab w:leader="none" w:pos="1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September 30, 2024 closing market price per share of each respective series of Term Preferred Shares on the NASDAQ Global Select Market.</w:t>
      </w:r>
    </w:p>
    <w:p>
      <w:pPr>
        <w:ind w:left="1300" w:hanging="377"/>
        <w:spacing w:after="0"/>
        <w:tabs>
          <w:tab w:leader="none" w:pos="13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109" w:lineRule="exact"/>
        <w:rPr>
          <w:rFonts w:ascii="Times New Roman" w:cs="Times New Roman" w:eastAsia="Times New Roman" w:hAnsi="Times New Roman"/>
          <w:sz w:val="14"/>
          <w:szCs w:val="14"/>
          <w:color w:val="auto"/>
        </w:rPr>
      </w:pPr>
    </w:p>
    <w:p>
      <w:pPr>
        <w:ind w:left="1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terms of the Fund’s Term Preferred Share offerings are as set forth in the table below:</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1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6.25%</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6.00%</w:t>
            </w:r>
          </w:p>
        </w:tc>
        <w:tc>
          <w:tcPr>
            <w:tcW w:w="80" w:type="dxa"/>
            <w:vAlign w:val="bottom"/>
          </w:tcPr>
          <w:p>
            <w:pPr>
              <w:spacing w:after="0"/>
              <w:rPr>
                <w:sz w:val="14"/>
                <w:szCs w:val="14"/>
                <w:color w:val="auto"/>
              </w:rPr>
            </w:pPr>
          </w:p>
        </w:tc>
        <w:tc>
          <w:tcPr>
            <w:tcW w:w="112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7.125%</w:t>
            </w:r>
          </w:p>
        </w:tc>
      </w:tr>
      <w:tr>
        <w:trPr>
          <w:trHeight w:val="167"/>
        </w:trPr>
        <w:tc>
          <w:tcPr>
            <w:tcW w:w="37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2027</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2029</w:t>
            </w:r>
          </w:p>
        </w:tc>
      </w:tr>
      <w:tr>
        <w:trPr>
          <w:trHeight w:val="167"/>
        </w:trPr>
        <w:tc>
          <w:tcPr>
            <w:tcW w:w="37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167"/>
        </w:trPr>
        <w:tc>
          <w:tcPr>
            <w:tcW w:w="37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r>
      <w:tr>
        <w:trPr>
          <w:trHeight w:val="188"/>
        </w:trPr>
        <w:tc>
          <w:tcPr>
            <w:tcW w:w="37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30"/>
        </w:trPr>
        <w:tc>
          <w:tcPr>
            <w:tcW w:w="3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price per share</w:t>
            </w:r>
          </w:p>
        </w:tc>
        <w:tc>
          <w:tcPr>
            <w:tcW w:w="1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$25.00</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Term redemption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28, 2027</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August 31, 2029</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June 30, 2029</w:t>
            </w:r>
          </w:p>
        </w:tc>
      </w:tr>
      <w:tr>
        <w:trPr>
          <w:trHeight w:val="26"/>
        </w:trPr>
        <w:tc>
          <w:tcPr>
            <w:tcW w:w="3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 redemption price per share</w:t>
            </w:r>
          </w:p>
        </w:tc>
        <w:tc>
          <w:tcPr>
            <w:tcW w:w="11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85"/>
              <w:spacing w:after="0"/>
              <w:rPr>
                <w:sz w:val="20"/>
                <w:szCs w:val="20"/>
                <w:color w:val="auto"/>
              </w:rPr>
            </w:pPr>
            <w:r>
              <w:rPr>
                <w:rFonts w:ascii="Times New Roman" w:cs="Times New Roman" w:eastAsia="Times New Roman" w:hAnsi="Times New Roman"/>
                <w:sz w:val="16"/>
                <w:szCs w:val="16"/>
                <w:color w:val="auto"/>
              </w:rPr>
              <w:t>$25.00</w:t>
            </w:r>
          </w:p>
        </w:tc>
      </w:tr>
      <w:tr>
        <w:trPr>
          <w:trHeight w:val="237"/>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Optional redemption date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28, 2023</w:t>
            </w: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7"/>
              </w:rPr>
              <w:t>August 31, 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June 30, 2024</w:t>
            </w:r>
          </w:p>
        </w:tc>
      </w:tr>
      <w:tr>
        <w:trPr>
          <w:trHeight w:val="26"/>
        </w:trPr>
        <w:tc>
          <w:tcPr>
            <w:tcW w:w="3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Stated interest rate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6.25%</w:t>
            </w:r>
          </w:p>
        </w:tc>
        <w:tc>
          <w:tcPr>
            <w:tcW w:w="1120" w:type="dxa"/>
            <w:vAlign w:val="bottom"/>
            <w:gridSpan w:val="2"/>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6"/>
              </w:rPr>
              <w:t>6.00%</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7.125%</w:t>
            </w:r>
          </w:p>
        </w:tc>
      </w:tr>
      <w:tr>
        <w:trPr>
          <w:trHeight w:val="26"/>
        </w:trPr>
        <w:tc>
          <w:tcPr>
            <w:tcW w:w="37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06"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The Fund’s Term Preferred Shares had no accrued interest payable at September 30, 2024. Deferred issuance costs represent underwriting fees and other direct costs incurred that are related to the Fund’s Term Preferred Shares. As of September 30, 2024, the Fund had an unamortized deferred debt issuance cost balance of approximately $4.1 million related to the issuance of the Term Preferred Shares.</w:t>
      </w:r>
    </w:p>
    <w:p>
      <w:pPr>
        <w:spacing w:after="0" w:line="9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table below summarizes the components of interest expense, effective interest rates and cash paid on the</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Term Preferred Shares for the six months ended September 30, 2024:</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6.75%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7.125%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2024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 2027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2029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6"/>
                <w:szCs w:val="16"/>
                <w:b w:val="1"/>
                <w:bCs w:val="1"/>
                <w:color w:val="auto"/>
                <w:vertAlign w:val="superscript"/>
              </w:rPr>
              <w:t>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243"/>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Stated interest expense</w:t>
            </w:r>
            <w:r>
              <w:rPr>
                <w:rFonts w:ascii="Times New Roman" w:cs="Times New Roman" w:eastAsia="Times New Roman" w:hAnsi="Times New Roman"/>
                <w:sz w:val="19"/>
                <w:szCs w:val="19"/>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1,149,616</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2,753,755</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2,015,175</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2,271,094</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8,189,640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18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Amortization of deferred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1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issuance costs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216,052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148,220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167,769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615,082</w:t>
            </w: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interest expense</w:t>
            </w:r>
            <w:r>
              <w:rPr>
                <w:rFonts w:ascii="Times New Roman" w:cs="Times New Roman" w:eastAsia="Times New Roman" w:hAnsi="Times New Roman"/>
                <w:sz w:val="19"/>
                <w:szCs w:val="19"/>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8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1,232,657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2,969,807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2,163,395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2,438,863</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8,804,722</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820" w:type="dxa"/>
            <w:vAlign w:val="bottom"/>
          </w:tcPr>
          <w:p>
            <w:pPr>
              <w:spacing w:after="0" w:line="215" w:lineRule="exact"/>
              <w:rPr>
                <w:sz w:val="20"/>
                <w:szCs w:val="20"/>
                <w:color w:val="auto"/>
              </w:rPr>
            </w:pPr>
            <w:r>
              <w:rPr>
                <w:rFonts w:ascii="Times New Roman" w:cs="Times New Roman" w:eastAsia="Times New Roman" w:hAnsi="Times New Roman"/>
                <w:sz w:val="16"/>
                <w:szCs w:val="16"/>
                <w:color w:val="auto"/>
              </w:rPr>
              <w:t>Effective interest rate</w:t>
            </w:r>
            <w:r>
              <w:rPr>
                <w:rFonts w:ascii="Times New Roman" w:cs="Times New Roman" w:eastAsia="Times New Roman" w:hAnsi="Times New Roman"/>
                <w:sz w:val="19"/>
                <w:szCs w:val="19"/>
                <w:color w:val="auto"/>
                <w:vertAlign w:val="superscript"/>
              </w:rPr>
              <w:t>(2)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43"/>
        </w:trPr>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2,753,755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2,015,175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2,271,094</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8,189,640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300" w:right="980" w:hanging="377"/>
        <w:spacing w:after="0" w:line="261" w:lineRule="auto"/>
        <w:tabs>
          <w:tab w:leader="none" w:pos="1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Stated interest is composed of distributions declared and paid of approximately $8.2 million for the six months ended September 30, 2024.</w:t>
      </w:r>
    </w:p>
    <w:p>
      <w:pPr>
        <w:ind w:left="1300" w:hanging="377"/>
        <w:spacing w:after="0"/>
        <w:tabs>
          <w:tab w:leader="none" w:pos="13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weighted average effective rate for each respective series of Term Preferred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2" w:name="page53"/>
    <w:bookmarkEnd w:id="5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ind w:right="-19"/>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8. MANDATORILY REDEEMABLE PREFERRED STOCK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1300" w:hanging="377"/>
        <w:spacing w:after="0"/>
        <w:tabs>
          <w:tab w:leader="none" w:pos="1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Totals may not sum due to rounding.</w:t>
      </w:r>
    </w:p>
    <w:p>
      <w:pPr>
        <w:spacing w:after="0" w:line="22" w:lineRule="exact"/>
        <w:rPr>
          <w:rFonts w:ascii="Times New Roman" w:cs="Times New Roman" w:eastAsia="Times New Roman" w:hAnsi="Times New Roman"/>
          <w:sz w:val="14"/>
          <w:szCs w:val="14"/>
          <w:color w:val="auto"/>
        </w:rPr>
      </w:pPr>
    </w:p>
    <w:p>
      <w:pPr>
        <w:ind w:left="1300" w:right="1960" w:hanging="377"/>
        <w:spacing w:after="0" w:line="262" w:lineRule="auto"/>
        <w:tabs>
          <w:tab w:leader="none" w:pos="13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2024, the Fund redeemed all 2,725,015 of the issued and outstanding shares of the 6.75% Series 2024 Shares for a redemption price of $25 per share.</w:t>
      </w:r>
    </w:p>
    <w:p>
      <w:pPr>
        <w:spacing w:after="0" w:line="1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9. BORROWINGS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NOTES PAYABLE — 6.75% UNSECURED NOTES DUE 2031</w:t>
      </w:r>
    </w:p>
    <w:p>
      <w:pPr>
        <w:spacing w:after="0" w:line="117" w:lineRule="exact"/>
        <w:rPr>
          <w:sz w:val="20"/>
          <w:szCs w:val="20"/>
          <w:color w:val="auto"/>
        </w:rPr>
      </w:pPr>
    </w:p>
    <w:p>
      <w:pPr>
        <w:ind w:left="920" w:right="1120" w:firstLine="382"/>
        <w:spacing w:after="0" w:line="280" w:lineRule="auto"/>
        <w:rPr>
          <w:sz w:val="20"/>
          <w:szCs w:val="20"/>
          <w:color w:val="auto"/>
        </w:rPr>
      </w:pPr>
      <w:r>
        <w:rPr>
          <w:rFonts w:ascii="Times New Roman" w:cs="Times New Roman" w:eastAsia="Times New Roman" w:hAnsi="Times New Roman"/>
          <w:sz w:val="14"/>
          <w:szCs w:val="14"/>
          <w:color w:val="auto"/>
        </w:rPr>
        <w:t>On March 16, 2021, the Fund completed an underwritten public offering, including the full exercise of the underwriters’ 30-day overallotment option, of approximately $100.0 million in aggregate principal amount of</w:t>
      </w:r>
    </w:p>
    <w:p>
      <w:pPr>
        <w:spacing w:after="0" w:line="1" w:lineRule="exact"/>
        <w:rPr>
          <w:sz w:val="20"/>
          <w:szCs w:val="20"/>
          <w:color w:val="auto"/>
        </w:rPr>
      </w:pPr>
    </w:p>
    <w:p>
      <w:pPr>
        <w:ind w:left="920" w:right="960"/>
        <w:spacing w:after="0" w:line="235" w:lineRule="auto"/>
        <w:rPr>
          <w:sz w:val="20"/>
          <w:szCs w:val="20"/>
          <w:color w:val="auto"/>
        </w:rPr>
      </w:pPr>
      <w:r>
        <w:rPr>
          <w:rFonts w:ascii="Times New Roman" w:cs="Times New Roman" w:eastAsia="Times New Roman" w:hAnsi="Times New Roman"/>
          <w:sz w:val="16"/>
          <w:szCs w:val="16"/>
          <w:color w:val="auto"/>
        </w:rPr>
        <w:t>6.75% Unsecured Notes due 2031 (the “6.75% Notes”). The 6.75% Notes will mature on March 31, 2031 and may be redeemed in whole or in part at any time or from time to time at the Fund’s option on or after March 16, 2024. The 6.75% Notes bear interest at a rate of 6.75% per year payable quarterly on March 31, June 30, September 30, and December 31, of each year, commencing June 30, 2021.</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aggregate accrued interest payable on the 6.75% Notes as of September 30, 2024 was approximately</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$18,750. As of September 30, 2024, the Fund had unamortized deferred debt issuance costs of approximately $2.3</w:t>
      </w:r>
    </w:p>
    <w:p>
      <w:pPr>
        <w:spacing w:after="0" w:line="18" w:lineRule="exact"/>
        <w:rPr>
          <w:sz w:val="20"/>
          <w:szCs w:val="20"/>
          <w:color w:val="auto"/>
        </w:rPr>
      </w:pPr>
    </w:p>
    <w:p>
      <w:pPr>
        <w:ind w:left="920" w:right="1060"/>
        <w:spacing w:after="0" w:line="235" w:lineRule="auto"/>
        <w:rPr>
          <w:sz w:val="20"/>
          <w:szCs w:val="20"/>
          <w:color w:val="auto"/>
        </w:rPr>
      </w:pPr>
      <w:r>
        <w:rPr>
          <w:rFonts w:ascii="Times New Roman" w:cs="Times New Roman" w:eastAsia="Times New Roman" w:hAnsi="Times New Roman"/>
          <w:sz w:val="16"/>
          <w:szCs w:val="16"/>
          <w:color w:val="auto"/>
        </w:rPr>
        <w:t>million, relating to the 6.75% Notes. The deferred debt issuance costs are being amortized over the term of the 6.75% Notes and are included in interest expense in the statement of operations. The effective annualized interest rate for the six months ended September 30, 2024 was approximately 7.09%. The interest expense paid for the six months ended September 30, 2024 was approximately $3.4 million.</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NOTES PAYABLE — 5.00% UNSECURED NOTES DUE 2027</w:t>
      </w:r>
    </w:p>
    <w:p>
      <w:pPr>
        <w:spacing w:after="0" w:line="117" w:lineRule="exact"/>
        <w:rPr>
          <w:sz w:val="20"/>
          <w:szCs w:val="20"/>
          <w:color w:val="auto"/>
        </w:rPr>
      </w:pPr>
    </w:p>
    <w:p>
      <w:pPr>
        <w:ind w:left="920" w:right="1040" w:firstLine="382"/>
        <w:spacing w:after="0" w:line="280" w:lineRule="auto"/>
        <w:rPr>
          <w:sz w:val="20"/>
          <w:szCs w:val="20"/>
          <w:color w:val="auto"/>
        </w:rPr>
      </w:pPr>
      <w:r>
        <w:rPr>
          <w:rFonts w:ascii="Times New Roman" w:cs="Times New Roman" w:eastAsia="Times New Roman" w:hAnsi="Times New Roman"/>
          <w:sz w:val="14"/>
          <w:szCs w:val="14"/>
          <w:color w:val="auto"/>
        </w:rPr>
        <w:t>On January 13, 2022, the Fund completed an underwritten public offering, including the full exercise of the underwriters’ 30-day overallotment option, of approximately $100.0 million in aggregate principal amount of</w:t>
      </w:r>
    </w:p>
    <w:p>
      <w:pPr>
        <w:spacing w:after="0" w:line="1" w:lineRule="exact"/>
        <w:rPr>
          <w:sz w:val="20"/>
          <w:szCs w:val="20"/>
          <w:color w:val="auto"/>
        </w:rPr>
      </w:pPr>
    </w:p>
    <w:p>
      <w:pPr>
        <w:ind w:left="920" w:right="1060"/>
        <w:spacing w:after="0" w:line="235" w:lineRule="auto"/>
        <w:rPr>
          <w:sz w:val="20"/>
          <w:szCs w:val="20"/>
          <w:color w:val="auto"/>
        </w:rPr>
      </w:pPr>
      <w:r>
        <w:rPr>
          <w:rFonts w:ascii="Times New Roman" w:cs="Times New Roman" w:eastAsia="Times New Roman" w:hAnsi="Times New Roman"/>
          <w:sz w:val="16"/>
          <w:szCs w:val="16"/>
          <w:color w:val="auto"/>
        </w:rPr>
        <w:t>5.00% Unsecured Notes due 2027 (the “5.00% Notes”). The 5.00% Notes will mature on January 31, 2027 and may be redeemed in whole or in part at any time or from time to time at the Fund’s option on or after January 31, 2024. The 5.00% Notes bear interest at a rate of 5.00% per year payable quarterly on March 31, June 30, September 30, and December 31, of each year, commencing March 31, 2022.</w:t>
      </w:r>
    </w:p>
    <w:p>
      <w:pPr>
        <w:spacing w:after="0" w:line="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aggregate accrued interest payable on the 5.00% Notes as of September 30, 2024, was approximately</w:t>
      </w:r>
    </w:p>
    <w:p>
      <w:pPr>
        <w:spacing w:after="0" w:line="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$13,889. As of September 30, 2024, the Fund had unamortized deferred debt issuance costs of approximately $1.6</w:t>
      </w:r>
    </w:p>
    <w:p>
      <w:pPr>
        <w:spacing w:after="0" w:line="18" w:lineRule="exact"/>
        <w:rPr>
          <w:sz w:val="20"/>
          <w:szCs w:val="20"/>
          <w:color w:val="auto"/>
        </w:rPr>
      </w:pPr>
    </w:p>
    <w:p>
      <w:pPr>
        <w:ind w:left="920" w:right="1060"/>
        <w:spacing w:after="0" w:line="235" w:lineRule="auto"/>
        <w:rPr>
          <w:sz w:val="20"/>
          <w:szCs w:val="20"/>
          <w:color w:val="auto"/>
        </w:rPr>
      </w:pPr>
      <w:r>
        <w:rPr>
          <w:rFonts w:ascii="Times New Roman" w:cs="Times New Roman" w:eastAsia="Times New Roman" w:hAnsi="Times New Roman"/>
          <w:sz w:val="16"/>
          <w:szCs w:val="16"/>
          <w:color w:val="auto"/>
        </w:rPr>
        <w:t>million, relating to the 5.00% Notes. The deferred debt issuance costs are being amortized over the term of the 5.00% Notes and are included in interest expense in the statement of operations. The effective annualized interest rate for the six months ended September 30, 2024 was approximately 5.66%. The interest expense paid for the six months ended September 30, 2024 was approximately $2.5 million.</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NOTES PAYABLE — 8.75% UNSECURED NOTES DUE 2030</w:t>
      </w:r>
    </w:p>
    <w:p>
      <w:pPr>
        <w:spacing w:after="0" w:line="117" w:lineRule="exact"/>
        <w:rPr>
          <w:sz w:val="20"/>
          <w:szCs w:val="20"/>
          <w:color w:val="auto"/>
        </w:rPr>
      </w:pPr>
    </w:p>
    <w:p>
      <w:pPr>
        <w:ind w:left="920" w:right="1300" w:firstLine="382"/>
        <w:spacing w:after="0" w:line="280" w:lineRule="auto"/>
        <w:rPr>
          <w:sz w:val="20"/>
          <w:szCs w:val="20"/>
          <w:color w:val="auto"/>
        </w:rPr>
      </w:pPr>
      <w:r>
        <w:rPr>
          <w:rFonts w:ascii="Times New Roman" w:cs="Times New Roman" w:eastAsia="Times New Roman" w:hAnsi="Times New Roman"/>
          <w:sz w:val="14"/>
          <w:szCs w:val="14"/>
          <w:color w:val="auto"/>
        </w:rPr>
        <w:t>On July 8, 2024, the Fund completed an underwritten public offering, including the full exercise of the underwriters’ 30-day overallotment option, of approximately $115.0 million in aggregate principal amount of</w:t>
      </w:r>
    </w:p>
    <w:p>
      <w:pPr>
        <w:spacing w:after="0" w:line="1" w:lineRule="exact"/>
        <w:rPr>
          <w:sz w:val="20"/>
          <w:szCs w:val="20"/>
          <w:color w:val="auto"/>
        </w:rPr>
      </w:pPr>
    </w:p>
    <w:p>
      <w:pPr>
        <w:ind w:left="920" w:right="1040"/>
        <w:spacing w:after="0" w:line="235" w:lineRule="auto"/>
        <w:rPr>
          <w:sz w:val="20"/>
          <w:szCs w:val="20"/>
          <w:color w:val="auto"/>
        </w:rPr>
      </w:pPr>
      <w:r>
        <w:rPr>
          <w:rFonts w:ascii="Times New Roman" w:cs="Times New Roman" w:eastAsia="Times New Roman" w:hAnsi="Times New Roman"/>
          <w:sz w:val="16"/>
          <w:szCs w:val="16"/>
          <w:color w:val="auto"/>
        </w:rPr>
        <w:t>8.75% Unsecured Notes due 2030 (the “8.75% Notes” and together with the 6.75% Notes and 5.00% Notes, the “Notes”). The 8.75% Notes will mature on June 30, 2030 and may be redeemed in whole or in part at any time or from time to time at the Fund’s option on or after June 30, 2028. The 8.75% Notes bear interest at a rate of 8.75% per year payable quarterly on March 31, June 30, September 30, and December 31, of each year, commencing September 30, 2024.</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3" w:name="page54"/>
    <w:bookmarkEnd w:id="5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9. BORROWINGS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aggregate accrued interest payable on the 8.75% Notes as of September 30, 2024, was approximately</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$27,951. As of September 30, 2024, the Fund had unamortized deferred debt issuance costs of approximately $3.8</w:t>
      </w:r>
    </w:p>
    <w:p>
      <w:pPr>
        <w:spacing w:after="0" w:line="18" w:lineRule="exact"/>
        <w:rPr>
          <w:sz w:val="20"/>
          <w:szCs w:val="20"/>
          <w:color w:val="auto"/>
        </w:rPr>
      </w:pPr>
    </w:p>
    <w:p>
      <w:pPr>
        <w:ind w:left="920" w:right="1060"/>
        <w:spacing w:after="0" w:line="235" w:lineRule="auto"/>
        <w:rPr>
          <w:sz w:val="20"/>
          <w:szCs w:val="20"/>
          <w:color w:val="auto"/>
        </w:rPr>
      </w:pPr>
      <w:r>
        <w:rPr>
          <w:rFonts w:ascii="Times New Roman" w:cs="Times New Roman" w:eastAsia="Times New Roman" w:hAnsi="Times New Roman"/>
          <w:sz w:val="16"/>
          <w:szCs w:val="16"/>
          <w:color w:val="auto"/>
        </w:rPr>
        <w:t>million, relating to the 8.75% Notes. The deferred debt issuance costs are being amortized over the term of the 8.75% Notes and are included in interest expense in the statement of operations. The effective annualized interest rate for the six months ended September 30, 2024 was approximately 9.23%. The interest expense paid for the six months ended September 30, 2024 was approximately $2.3 million.</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10. PURCHASES, SALES AND REPAYMENTS OF SECURITIES</w:t>
      </w:r>
    </w:p>
    <w:p>
      <w:pPr>
        <w:spacing w:after="0" w:line="117" w:lineRule="exact"/>
        <w:rPr>
          <w:sz w:val="20"/>
          <w:szCs w:val="20"/>
          <w:color w:val="auto"/>
        </w:rPr>
      </w:pPr>
    </w:p>
    <w:p>
      <w:pPr>
        <w:ind w:left="920" w:right="1220" w:firstLine="382"/>
        <w:spacing w:after="0" w:line="239" w:lineRule="auto"/>
        <w:rPr>
          <w:sz w:val="20"/>
          <w:szCs w:val="20"/>
          <w:color w:val="auto"/>
        </w:rPr>
      </w:pPr>
      <w:r>
        <w:rPr>
          <w:rFonts w:ascii="Times New Roman" w:cs="Times New Roman" w:eastAsia="Times New Roman" w:hAnsi="Times New Roman"/>
          <w:sz w:val="16"/>
          <w:szCs w:val="16"/>
          <w:color w:val="auto"/>
        </w:rPr>
        <w:t>During the six months ended September 30, 2024, purchases of securities totaled approximately $756.9 million including approximately $70.2 million of unsettled purchases. In addition, during the six months ended September 30, 2024, the Fund’s sales of securities totaled approximately $19.9 million. The Fund had approximately $236.6 million in repayments, excluding short-term investments, during the six months ended September 30, 2024.</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11. COMMITMENTS AND CONTINGENCIES</w:t>
      </w:r>
    </w:p>
    <w:p>
      <w:pPr>
        <w:spacing w:after="0" w:line="117" w:lineRule="exact"/>
        <w:rPr>
          <w:sz w:val="20"/>
          <w:szCs w:val="20"/>
          <w:color w:val="auto"/>
        </w:rPr>
      </w:pPr>
    </w:p>
    <w:p>
      <w:pPr>
        <w:ind w:left="920" w:right="1040" w:firstLine="382"/>
        <w:spacing w:after="0" w:line="238" w:lineRule="auto"/>
        <w:rPr>
          <w:sz w:val="20"/>
          <w:szCs w:val="20"/>
          <w:color w:val="auto"/>
        </w:rPr>
      </w:pPr>
      <w:r>
        <w:rPr>
          <w:rFonts w:ascii="Times New Roman" w:cs="Times New Roman" w:eastAsia="Times New Roman" w:hAnsi="Times New Roman"/>
          <w:sz w:val="16"/>
          <w:szCs w:val="16"/>
          <w:color w:val="auto"/>
        </w:rPr>
        <w:t>As of September 30, 2024, the Fund had six commitments related to AIMCO CLO26, Ltd. preferred shares of approximately $11.6 million; Ares CLO Warehouse 2024-7, Ltd. preferred shares of approximately $16.0 million; Carlyle US CLO 2024-F, Ltd. preferred shares of approximately $5.1 million; CIFC Ravello Warehouse, Ltd. preferred shares of approximately $16.0 million; Croton Park CLO, Ltd. preferred shares of approximately $9.8 million; and Elmwood Warehouse Nomura 2, Ltd. preferred shares of approximately $28.9 million. The total commitment amount does not necessarily represent future cash requirements.</w:t>
      </w:r>
    </w:p>
    <w:p>
      <w:pPr>
        <w:spacing w:after="0" w:line="100" w:lineRule="exact"/>
        <w:rPr>
          <w:sz w:val="20"/>
          <w:szCs w:val="20"/>
          <w:color w:val="auto"/>
        </w:rPr>
      </w:pPr>
    </w:p>
    <w:p>
      <w:pPr>
        <w:ind w:left="920" w:right="960" w:firstLine="382"/>
        <w:spacing w:after="0" w:line="239" w:lineRule="auto"/>
        <w:rPr>
          <w:sz w:val="20"/>
          <w:szCs w:val="20"/>
          <w:color w:val="auto"/>
        </w:rPr>
      </w:pPr>
      <w:r>
        <w:rPr>
          <w:rFonts w:ascii="Times New Roman" w:cs="Times New Roman" w:eastAsia="Times New Roman" w:hAnsi="Times New Roman"/>
          <w:sz w:val="16"/>
          <w:szCs w:val="16"/>
          <w:color w:val="auto"/>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12. INDEMNIFICATION</w:t>
      </w:r>
    </w:p>
    <w:p>
      <w:pPr>
        <w:spacing w:after="0" w:line="117" w:lineRule="exact"/>
        <w:rPr>
          <w:sz w:val="20"/>
          <w:szCs w:val="20"/>
          <w:color w:val="auto"/>
        </w:rPr>
      </w:pPr>
    </w:p>
    <w:p>
      <w:pPr>
        <w:ind w:left="920" w:right="920" w:firstLine="382"/>
        <w:spacing w:after="0" w:line="239" w:lineRule="auto"/>
        <w:rPr>
          <w:sz w:val="20"/>
          <w:szCs w:val="20"/>
          <w:color w:val="auto"/>
        </w:rPr>
      </w:pPr>
      <w:r>
        <w:rPr>
          <w:rFonts w:ascii="Times New Roman" w:cs="Times New Roman" w:eastAsia="Times New Roman" w:hAnsi="Times New Roman"/>
          <w:sz w:val="16"/>
          <w:szCs w:val="16"/>
          <w:color w:val="auto"/>
        </w:rPr>
        <w:t>Under the Fund’s organizational documents, the Fund’s officers and directors are indemnified against certain liabilities arising out of the performance of their duties to the Fund. In addition, in the normal course of business, the Fund enters into contracts that contain a variety of representations which provide general indemnifications. The Fund’s maximum exposure under these agreements cannot be known, however, the Fund expects any risk of loss to be remote.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4" w:name="page55"/>
    <w:bookmarkEnd w:id="5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ind w:right="860"/>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13. FINANCIAL HIGHLIGHTS</w:t>
      </w:r>
    </w:p>
    <w:p>
      <w:pPr>
        <w:spacing w:after="0" w:line="117" w:lineRule="exact"/>
        <w:rPr>
          <w:sz w:val="20"/>
          <w:szCs w:val="20"/>
          <w:color w:val="auto"/>
        </w:rPr>
      </w:pPr>
    </w:p>
    <w:p>
      <w:pPr>
        <w:ind w:left="920" w:right="2020" w:firstLine="382"/>
        <w:spacing w:after="0" w:line="257" w:lineRule="auto"/>
        <w:rPr>
          <w:sz w:val="20"/>
          <w:szCs w:val="20"/>
          <w:color w:val="auto"/>
        </w:rPr>
      </w:pPr>
      <w:r>
        <w:rPr>
          <w:rFonts w:ascii="Times New Roman" w:cs="Times New Roman" w:eastAsia="Times New Roman" w:hAnsi="Times New Roman"/>
          <w:sz w:val="16"/>
          <w:szCs w:val="16"/>
          <w:color w:val="auto"/>
        </w:rPr>
        <w:t>Financial highlights for the six months ended September 30, 2024 and years ended March 31, 2024, 2023 2022, 2021, 2020, 2019, 2018, 2017, 2016, and 2015 are as follows:</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Six Months</w:t>
            </w:r>
          </w:p>
        </w:tc>
        <w:tc>
          <w:tcPr>
            <w:tcW w:w="4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60" w:type="dxa"/>
            <w:vAlign w:val="bottom"/>
          </w:tcPr>
          <w:p>
            <w:pPr>
              <w:spacing w:after="0"/>
              <w:rPr>
                <w:sz w:val="11"/>
                <w:szCs w:val="11"/>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4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6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8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80" w:type="dxa"/>
            <w:vAlign w:val="bottom"/>
          </w:tcPr>
          <w:p>
            <w:pPr>
              <w:spacing w:after="0"/>
              <w:rPr>
                <w:sz w:val="11"/>
                <w:szCs w:val="11"/>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Year</w:t>
            </w:r>
          </w:p>
        </w:tc>
        <w:tc>
          <w:tcPr>
            <w:tcW w:w="60" w:type="dxa"/>
            <w:vAlign w:val="bottom"/>
          </w:tcPr>
          <w:p>
            <w:pPr>
              <w:spacing w:after="0"/>
              <w:rPr>
                <w:sz w:val="11"/>
                <w:szCs w:val="11"/>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 w:type="dxa"/>
            <w:vAlign w:val="bottom"/>
          </w:tcPr>
          <w:p>
            <w:pPr>
              <w:spacing w:after="0"/>
              <w:rPr>
                <w:sz w:val="11"/>
                <w:szCs w:val="11"/>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Year</w:t>
            </w:r>
          </w:p>
        </w:tc>
        <w:tc>
          <w:tcPr>
            <w:tcW w:w="60" w:type="dxa"/>
            <w:vAlign w:val="bottom"/>
          </w:tcPr>
          <w:p>
            <w:pPr>
              <w:spacing w:after="0"/>
              <w:rPr>
                <w:sz w:val="11"/>
                <w:szCs w:val="11"/>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Year</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4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1"/>
                <w:szCs w:val="11"/>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4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8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80" w:type="dxa"/>
            <w:vAlign w:val="bottom"/>
          </w:tcPr>
          <w:p>
            <w:pPr>
              <w:spacing w:after="0"/>
              <w:rPr>
                <w:sz w:val="11"/>
                <w:szCs w:val="11"/>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1"/>
              </w:rPr>
              <w:t>Ended</w:t>
            </w:r>
          </w:p>
        </w:tc>
        <w:tc>
          <w:tcPr>
            <w:tcW w:w="60" w:type="dxa"/>
            <w:vAlign w:val="bottom"/>
          </w:tcPr>
          <w:p>
            <w:pPr>
              <w:spacing w:after="0"/>
              <w:rPr>
                <w:sz w:val="11"/>
                <w:szCs w:val="11"/>
                <w:color w:val="auto"/>
              </w:rPr>
            </w:pPr>
          </w:p>
        </w:tc>
        <w:tc>
          <w:tcPr>
            <w:tcW w:w="6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1"/>
                <w:szCs w:val="11"/>
                <w:color w:val="auto"/>
              </w:rPr>
            </w:pP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60" w:type="dxa"/>
            <w:vAlign w:val="bottom"/>
          </w:tcPr>
          <w:p>
            <w:pPr>
              <w:spacing w:after="0"/>
              <w:rPr>
                <w:sz w:val="11"/>
                <w:szCs w:val="11"/>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1"/>
              </w:rPr>
              <w:t>Ended</w:t>
            </w: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8"/>
              </w:rPr>
              <w:t>September 30,</w:t>
            </w:r>
          </w:p>
        </w:tc>
        <w:tc>
          <w:tcPr>
            <w:tcW w:w="4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60" w:type="dxa"/>
            <w:vAlign w:val="bottom"/>
          </w:tcPr>
          <w:p>
            <w:pPr>
              <w:spacing w:after="0"/>
              <w:rPr>
                <w:sz w:val="11"/>
                <w:szCs w:val="11"/>
                <w:color w:val="auto"/>
              </w:rPr>
            </w:pPr>
          </w:p>
        </w:tc>
        <w:tc>
          <w:tcPr>
            <w:tcW w:w="70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60" w:type="dxa"/>
            <w:vAlign w:val="bottom"/>
          </w:tcPr>
          <w:p>
            <w:pPr>
              <w:spacing w:after="0"/>
              <w:rPr>
                <w:sz w:val="11"/>
                <w:szCs w:val="11"/>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40" w:type="dxa"/>
            <w:vAlign w:val="bottom"/>
          </w:tcPr>
          <w:p>
            <w:pPr>
              <w:spacing w:after="0"/>
              <w:rPr>
                <w:sz w:val="11"/>
                <w:szCs w:val="11"/>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60" w:type="dxa"/>
            <w:vAlign w:val="bottom"/>
          </w:tcPr>
          <w:p>
            <w:pPr>
              <w:spacing w:after="0"/>
              <w:rPr>
                <w:sz w:val="11"/>
                <w:szCs w:val="11"/>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March 31,</w:t>
            </w:r>
          </w:p>
        </w:tc>
        <w:tc>
          <w:tcPr>
            <w:tcW w:w="80" w:type="dxa"/>
            <w:vAlign w:val="bottom"/>
          </w:tcPr>
          <w:p>
            <w:pPr>
              <w:spacing w:after="0"/>
              <w:rPr>
                <w:sz w:val="11"/>
                <w:szCs w:val="11"/>
                <w:color w:val="auto"/>
              </w:rPr>
            </w:pP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80" w:type="dxa"/>
            <w:vAlign w:val="bottom"/>
          </w:tcPr>
          <w:p>
            <w:pPr>
              <w:spacing w:after="0"/>
              <w:rPr>
                <w:sz w:val="11"/>
                <w:szCs w:val="11"/>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60" w:type="dxa"/>
            <w:vAlign w:val="bottom"/>
          </w:tcPr>
          <w:p>
            <w:pPr>
              <w:spacing w:after="0"/>
              <w:rPr>
                <w:sz w:val="11"/>
                <w:szCs w:val="11"/>
                <w:color w:val="auto"/>
              </w:rPr>
            </w:pPr>
          </w:p>
        </w:tc>
        <w:tc>
          <w:tcPr>
            <w:tcW w:w="6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60" w:type="dxa"/>
            <w:vAlign w:val="bottom"/>
          </w:tcPr>
          <w:p>
            <w:pPr>
              <w:spacing w:after="0"/>
              <w:rPr>
                <w:sz w:val="11"/>
                <w:szCs w:val="11"/>
                <w:color w:val="auto"/>
              </w:rPr>
            </w:pPr>
          </w:p>
        </w:tc>
        <w:tc>
          <w:tcPr>
            <w:tcW w:w="66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60" w:type="dxa"/>
            <w:vAlign w:val="bottom"/>
          </w:tcPr>
          <w:p>
            <w:pPr>
              <w:spacing w:after="0"/>
              <w:rPr>
                <w:sz w:val="11"/>
                <w:szCs w:val="11"/>
                <w:color w:val="auto"/>
              </w:rPr>
            </w:pPr>
          </w:p>
        </w:tc>
        <w:tc>
          <w:tcPr>
            <w:tcW w:w="54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March 31,</w:t>
            </w:r>
          </w:p>
        </w:tc>
        <w:tc>
          <w:tcPr>
            <w:tcW w:w="0" w:type="dxa"/>
            <w:vAlign w:val="bottom"/>
          </w:tcPr>
          <w:p>
            <w:pPr>
              <w:spacing w:after="0"/>
              <w:rPr>
                <w:sz w:val="1"/>
                <w:szCs w:val="1"/>
                <w:color w:val="auto"/>
              </w:rPr>
            </w:pPr>
          </w:p>
        </w:tc>
      </w:tr>
      <w:tr>
        <w:trPr>
          <w:trHeight w:val="142"/>
        </w:trPr>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left="7"/>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2019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2016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Per Share Data</w:t>
            </w:r>
          </w:p>
        </w:tc>
        <w:tc>
          <w:tcPr>
            <w:tcW w:w="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Net asset value at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beginning of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period/year</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10.08</w:t>
            </w:r>
          </w:p>
        </w:tc>
        <w:tc>
          <w:tcPr>
            <w:tcW w:w="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10.20</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14.08</w:t>
            </w:r>
          </w:p>
        </w:tc>
        <w:tc>
          <w:tcPr>
            <w:tcW w:w="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16.26</w:t>
            </w:r>
          </w:p>
        </w:tc>
        <w:tc>
          <w:tcPr>
            <w:tcW w:w="0" w:type="dxa"/>
            <w:vAlign w:val="bottom"/>
          </w:tcPr>
          <w:p>
            <w:pPr>
              <w:spacing w:after="0"/>
              <w:rPr>
                <w:sz w:val="1"/>
                <w:szCs w:val="1"/>
                <w:color w:val="auto"/>
              </w:rPr>
            </w:pPr>
          </w:p>
        </w:tc>
      </w:tr>
      <w:tr>
        <w:trPr>
          <w:trHeight w:val="120"/>
        </w:trPr>
        <w:tc>
          <w:tcPr>
            <w:tcW w:w="1140" w:type="dxa"/>
            <w:vAlign w:val="bottom"/>
            <w:tcBorders>
              <w:top w:val="single" w:sz="8" w:color="CCEEFF"/>
            </w:tcBorders>
            <w:gridSpan w:val="5"/>
            <w:shd w:val="clear" w:color="auto" w:fill="CCEEFF"/>
          </w:tcPr>
          <w:p>
            <w:pPr>
              <w:spacing w:after="0" w:line="120" w:lineRule="exact"/>
              <w:rPr>
                <w:sz w:val="20"/>
                <w:szCs w:val="20"/>
                <w:color w:val="auto"/>
              </w:rPr>
            </w:pPr>
            <w:r>
              <w:rPr>
                <w:rFonts w:ascii="Times New Roman" w:cs="Times New Roman" w:eastAsia="Times New Roman" w:hAnsi="Times New Roman"/>
                <w:sz w:val="11"/>
                <w:szCs w:val="11"/>
                <w:color w:val="auto"/>
              </w:rPr>
              <w:t>Net investment</w:t>
            </w: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income</w:t>
            </w:r>
            <w:r>
              <w:rPr>
                <w:rFonts w:ascii="Times New Roman" w:cs="Times New Roman" w:eastAsia="Times New Roman" w:hAnsi="Times New Roman"/>
                <w:sz w:val="11"/>
                <w:szCs w:val="11"/>
                <w:color w:val="auto"/>
                <w:vertAlign w:val="superscript"/>
              </w:rPr>
              <w:t>(1)</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0.43</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0.92</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0.97</w:t>
            </w: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0.88</w:t>
            </w: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Net realized and</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unrealized (losses)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gains</w:t>
            </w:r>
            <w:r>
              <w:rPr>
                <w:rFonts w:ascii="Times New Roman" w:cs="Times New Roman" w:eastAsia="Times New Roman" w:hAnsi="Times New Roman"/>
                <w:sz w:val="11"/>
                <w:szCs w:val="11"/>
                <w:color w:val="auto"/>
                <w:vertAlign w:val="superscript"/>
              </w:rPr>
              <w:t>(2)</w:t>
            </w:r>
          </w:p>
        </w:tc>
        <w:tc>
          <w:tcPr>
            <w:tcW w:w="8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(0.17)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(2.11)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(5.39)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(1.92)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(0.12)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(6.28)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(1.14)</w:t>
            </w:r>
          </w:p>
        </w:tc>
        <w:tc>
          <w:tcPr>
            <w:tcW w:w="0" w:type="dxa"/>
            <w:vAlign w:val="bottom"/>
          </w:tcPr>
          <w:p>
            <w:pPr>
              <w:spacing w:after="0"/>
              <w:rPr>
                <w:sz w:val="1"/>
                <w:szCs w:val="1"/>
                <w:color w:val="auto"/>
              </w:rPr>
            </w:pPr>
          </w:p>
        </w:tc>
      </w:tr>
      <w:tr>
        <w:trPr>
          <w:trHeight w:val="119"/>
        </w:trPr>
        <w:tc>
          <w:tcPr>
            <w:tcW w:w="1140" w:type="dxa"/>
            <w:vAlign w:val="bottom"/>
            <w:tcBorders>
              <w:top w:val="single" w:sz="8" w:color="CCEEFF"/>
            </w:tcBorders>
            <w:gridSpan w:val="5"/>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Total from investment</w:t>
            </w: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operations</w:t>
            </w:r>
          </w:p>
        </w:tc>
        <w:tc>
          <w:tcPr>
            <w:tcW w:w="8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(4.14)</w:t>
            </w: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(0.51)</w:t>
            </w: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5.41</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(4.64)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140" w:type="dxa"/>
            <w:vAlign w:val="bottom"/>
            <w:gridSpan w:val="5"/>
          </w:tcPr>
          <w:p>
            <w:pPr>
              <w:spacing w:after="0" w:line="111" w:lineRule="exact"/>
              <w:rPr>
                <w:sz w:val="20"/>
                <w:szCs w:val="20"/>
                <w:color w:val="auto"/>
              </w:rPr>
            </w:pPr>
            <w:r>
              <w:rPr>
                <w:rFonts w:ascii="Times New Roman" w:cs="Times New Roman" w:eastAsia="Times New Roman" w:hAnsi="Times New Roman"/>
                <w:sz w:val="11"/>
                <w:szCs w:val="11"/>
                <w:color w:val="auto"/>
                <w:w w:val="99"/>
              </w:rPr>
              <w:t>Distributions per share of</w:t>
            </w: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net investment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income</w:t>
            </w:r>
            <w:r>
              <w:rPr>
                <w:rFonts w:ascii="Times New Roman" w:cs="Times New Roman" w:eastAsia="Times New Roman" w:hAnsi="Times New Roman"/>
                <w:sz w:val="11"/>
                <w:szCs w:val="11"/>
                <w:color w:val="auto"/>
                <w:vertAlign w:val="superscript"/>
              </w:rPr>
              <w:t>(3)</w:t>
            </w:r>
          </w:p>
        </w:tc>
        <w:tc>
          <w:tcPr>
            <w:tcW w:w="8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(0.95)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(0.90)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(0.83)</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(0.59)</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(0.99)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(1.34)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(2.26)</w:t>
            </w: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per share</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from realized gain on</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investments</w:t>
            </w:r>
            <w:r>
              <w:rPr>
                <w:rFonts w:ascii="Times New Roman" w:cs="Times New Roman" w:eastAsia="Times New Roman" w:hAnsi="Times New Roman"/>
                <w:sz w:val="11"/>
                <w:szCs w:val="11"/>
                <w:color w:val="auto"/>
                <w:vertAlign w:val="superscript"/>
              </w:rPr>
              <w:t>(3)</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(0.14)</w:t>
            </w:r>
          </w:p>
        </w:tc>
        <w:tc>
          <w:tcPr>
            <w:tcW w:w="0" w:type="dxa"/>
            <w:vAlign w:val="bottom"/>
          </w:tcPr>
          <w:p>
            <w:pPr>
              <w:spacing w:after="0"/>
              <w:rPr>
                <w:sz w:val="1"/>
                <w:szCs w:val="1"/>
                <w:color w:val="auto"/>
              </w:rPr>
            </w:pPr>
          </w:p>
        </w:tc>
      </w:tr>
      <w:tr>
        <w:trPr>
          <w:trHeight w:val="132"/>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Distributions of return of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capital</w:t>
            </w:r>
            <w:r>
              <w:rPr>
                <w:rFonts w:ascii="Times New Roman" w:cs="Times New Roman" w:eastAsia="Times New Roman" w:hAnsi="Times New Roman"/>
                <w:sz w:val="11"/>
                <w:szCs w:val="11"/>
                <w:color w:val="auto"/>
                <w:vertAlign w:val="superscript"/>
              </w:rPr>
              <w:t>(3)</w:t>
            </w:r>
          </w:p>
        </w:tc>
        <w:tc>
          <w:tcPr>
            <w:tcW w:w="8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(0.42)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(0.63)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(0.28)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(0.25)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Distributions per share</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based on weighted</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average share</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impact</w:t>
            </w:r>
            <w:r>
              <w:rPr>
                <w:rFonts w:ascii="Times New Roman" w:cs="Times New Roman" w:eastAsia="Times New Roman" w:hAnsi="Times New Roman"/>
                <w:sz w:val="11"/>
                <w:szCs w:val="11"/>
                <w:color w:val="auto"/>
                <w:vertAlign w:val="superscript"/>
              </w:rPr>
              <w:t>(3)</w:t>
            </w:r>
          </w:p>
        </w:tc>
        <w:tc>
          <w:tcPr>
            <w:tcW w:w="8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gridSpan w:val="2"/>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(0.02)</w:t>
            </w:r>
          </w:p>
        </w:tc>
        <w:tc>
          <w:tcPr>
            <w:tcW w:w="2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(0.02)</w:t>
            </w:r>
          </w:p>
        </w:tc>
        <w:tc>
          <w:tcPr>
            <w:tcW w:w="4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(0.05)</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(0.09)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(0.06)</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(0.02)</w:t>
            </w:r>
          </w:p>
        </w:tc>
        <w:tc>
          <w:tcPr>
            <w:tcW w:w="0" w:type="dxa"/>
            <w:vAlign w:val="bottom"/>
          </w:tcPr>
          <w:p>
            <w:pPr>
              <w:spacing w:after="0"/>
              <w:rPr>
                <w:sz w:val="1"/>
                <w:szCs w:val="1"/>
                <w:color w:val="auto"/>
              </w:rPr>
            </w:pPr>
          </w:p>
        </w:tc>
      </w:tr>
      <w:tr>
        <w:trPr>
          <w:trHeight w:val="20"/>
        </w:trPr>
        <w:tc>
          <w:tcPr>
            <w:tcW w:w="114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color w:val="auto"/>
              </w:rPr>
              <w:t>Total distributions</w:t>
            </w:r>
            <w:r>
              <w:rPr>
                <w:rFonts w:ascii="Times New Roman" w:cs="Times New Roman" w:eastAsia="Times New Roman" w:hAnsi="Times New Roman"/>
                <w:sz w:val="11"/>
                <w:szCs w:val="11"/>
                <w:color w:val="auto"/>
                <w:vertAlign w:val="superscript"/>
              </w:rPr>
              <w:t>(3)</w:t>
            </w:r>
          </w:p>
        </w:tc>
        <w:tc>
          <w:tcPr>
            <w:tcW w:w="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40" w:type="dxa"/>
            <w:vAlign w:val="bottom"/>
            <w:gridSpan w:val="5"/>
            <w:vMerge w:val="continue"/>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(0.51)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(0.95)</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(0.90)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(0.83)</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(0.99)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(2.49)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(2.42)</w:t>
            </w:r>
          </w:p>
        </w:tc>
        <w:tc>
          <w:tcPr>
            <w:tcW w:w="0" w:type="dxa"/>
            <w:vAlign w:val="bottom"/>
          </w:tcPr>
          <w:p>
            <w:pPr>
              <w:spacing w:after="0"/>
              <w:rPr>
                <w:sz w:val="1"/>
                <w:szCs w:val="1"/>
                <w:color w:val="auto"/>
              </w:rPr>
            </w:pPr>
          </w:p>
        </w:tc>
      </w:tr>
      <w:tr>
        <w:trPr>
          <w:trHeight w:val="119"/>
        </w:trPr>
        <w:tc>
          <w:tcPr>
            <w:tcW w:w="1140" w:type="dxa"/>
            <w:vAlign w:val="bottom"/>
            <w:tcBorders>
              <w:top w:val="single" w:sz="8" w:color="CCEEFF"/>
            </w:tcBorders>
            <w:gridSpan w:val="5"/>
            <w:shd w:val="clear" w:color="auto" w:fill="CCEEFF"/>
          </w:tcPr>
          <w:p>
            <w:pPr>
              <w:spacing w:after="0" w:line="119" w:lineRule="exact"/>
              <w:rPr>
                <w:sz w:val="20"/>
                <w:szCs w:val="20"/>
                <w:color w:val="auto"/>
              </w:rPr>
            </w:pPr>
            <w:r>
              <w:rPr>
                <w:rFonts w:ascii="Times New Roman" w:cs="Times New Roman" w:eastAsia="Times New Roman" w:hAnsi="Times New Roman"/>
                <w:sz w:val="11"/>
                <w:szCs w:val="11"/>
                <w:color w:val="auto"/>
              </w:rPr>
              <w:t>Effect of shares</w:t>
            </w: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righ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issued/repurchased,</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of underwriting</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expense</w:t>
            </w: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0.40</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0.02</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Effect of offering</w:t>
            </w:r>
          </w:p>
        </w:tc>
        <w:tc>
          <w:tcPr>
            <w:tcW w:w="8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6"/>
                <w:szCs w:val="6"/>
                <w:color w:val="auto"/>
              </w:rPr>
              <w:t>(7)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6"/>
                <w:szCs w:val="6"/>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6"/>
                <w:szCs w:val="6"/>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6"/>
                <w:szCs w:val="6"/>
                <w:color w:val="auto"/>
              </w:rPr>
              <w:t>(7)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6"/>
                <w:szCs w:val="6"/>
                <w:color w:val="auto"/>
              </w:rPr>
              <w:t>(7)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(0.01)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(0.01)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(0.01)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(0.01)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(0.01)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31"/>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costs</w:t>
            </w:r>
          </w:p>
        </w:tc>
        <w:tc>
          <w:tcPr>
            <w:tcW w:w="80" w:type="dxa"/>
            <w:vAlign w:val="bottom"/>
          </w:tcPr>
          <w:p>
            <w:pPr>
              <w:spacing w:after="0"/>
              <w:rPr>
                <w:sz w:val="11"/>
                <w:szCs w:val="11"/>
                <w:color w:val="auto"/>
              </w:rPr>
            </w:pPr>
          </w:p>
        </w:tc>
        <w:tc>
          <w:tcPr>
            <w:tcW w:w="680" w:type="dxa"/>
            <w:vAlign w:val="bottom"/>
            <w:gridSpan w:val="3"/>
          </w:tcPr>
          <w:p>
            <w:pPr>
              <w:jc w:val="right"/>
              <w:ind w:right="20"/>
              <w:spacing w:after="0" w:line="132"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680" w:type="dxa"/>
            <w:vAlign w:val="bottom"/>
            <w:gridSpan w:val="3"/>
          </w:tcPr>
          <w:p>
            <w:pPr>
              <w:ind w:left="440"/>
              <w:spacing w:after="0" w:line="132"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5"/>
                <w:szCs w:val="15"/>
                <w:color w:val="auto"/>
              </w:rPr>
              <w:t>​</w:t>
            </w:r>
          </w:p>
        </w:tc>
        <w:tc>
          <w:tcPr>
            <w:tcW w:w="60" w:type="dxa"/>
            <w:vAlign w:val="bottom"/>
          </w:tcPr>
          <w:p>
            <w:pPr>
              <w:spacing w:after="0"/>
              <w:rPr>
                <w:sz w:val="11"/>
                <w:szCs w:val="11"/>
                <w:color w:val="auto"/>
              </w:rPr>
            </w:pPr>
          </w:p>
        </w:tc>
        <w:tc>
          <w:tcPr>
            <w:tcW w:w="700" w:type="dxa"/>
            <w:vAlign w:val="bottom"/>
            <w:gridSpan w:val="3"/>
          </w:tcPr>
          <w:p>
            <w:pPr>
              <w:jc w:val="right"/>
              <w:ind w:right="40"/>
              <w:spacing w:after="0" w:line="132"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5"/>
                <w:szCs w:val="15"/>
                <w:color w:val="auto"/>
              </w:rPr>
              <w:t>​</w:t>
            </w:r>
          </w:p>
        </w:tc>
        <w:tc>
          <w:tcPr>
            <w:tcW w:w="60" w:type="dxa"/>
            <w:vAlign w:val="bottom"/>
          </w:tcPr>
          <w:p>
            <w:pPr>
              <w:spacing w:after="0"/>
              <w:rPr>
                <w:sz w:val="11"/>
                <w:szCs w:val="11"/>
                <w:color w:val="auto"/>
              </w:rPr>
            </w:pPr>
          </w:p>
        </w:tc>
        <w:tc>
          <w:tcPr>
            <w:tcW w:w="680" w:type="dxa"/>
            <w:vAlign w:val="bottom"/>
            <w:gridSpan w:val="3"/>
          </w:tcPr>
          <w:p>
            <w:pPr>
              <w:jc w:val="right"/>
              <w:ind w:right="20"/>
              <w:spacing w:after="0" w:line="132"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5"/>
                <w:szCs w:val="15"/>
                <w:color w:val="auto"/>
              </w:rPr>
              <w:t>​</w:t>
            </w:r>
          </w:p>
        </w:tc>
        <w:tc>
          <w:tcPr>
            <w:tcW w:w="40" w:type="dxa"/>
            <w:vAlign w:val="bottom"/>
          </w:tcPr>
          <w:p>
            <w:pPr>
              <w:spacing w:after="0"/>
              <w:rPr>
                <w:sz w:val="11"/>
                <w:szCs w:val="11"/>
                <w:color w:val="auto"/>
              </w:rPr>
            </w:pPr>
          </w:p>
        </w:tc>
        <w:tc>
          <w:tcPr>
            <w:tcW w:w="680" w:type="dxa"/>
            <w:vAlign w:val="bottom"/>
            <w:gridSpan w:val="3"/>
          </w:tcPr>
          <w:p>
            <w:pPr>
              <w:ind w:left="440"/>
              <w:spacing w:after="0" w:line="132"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5"/>
                <w:szCs w:val="15"/>
                <w:color w:val="auto"/>
              </w:rPr>
              <w:t>​</w:t>
            </w: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140" w:type="dxa"/>
            <w:vAlign w:val="bottom"/>
            <w:tcBorders>
              <w:top w:val="single" w:sz="8" w:color="CCEEFF"/>
            </w:tcBorders>
            <w:gridSpan w:val="5"/>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Effect of shares</w:t>
            </w: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issued/repurchased,</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w:t>
            </w:r>
          </w:p>
        </w:tc>
        <w:tc>
          <w:tcPr>
            <w:tcW w:w="80" w:type="dxa"/>
            <w:vAlign w:val="bottom"/>
            <w:tcBorders>
              <w:right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0.09</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0.21</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0.39</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0.24</w:t>
            </w: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140" w:type="dxa"/>
            <w:vAlign w:val="bottom"/>
            <w:gridSpan w:val="5"/>
          </w:tcPr>
          <w:p>
            <w:pPr>
              <w:spacing w:after="0" w:line="111" w:lineRule="exact"/>
              <w:rPr>
                <w:sz w:val="20"/>
                <w:szCs w:val="20"/>
                <w:color w:val="auto"/>
              </w:rPr>
            </w:pPr>
            <w:r>
              <w:rPr>
                <w:rFonts w:ascii="Times New Roman" w:cs="Times New Roman" w:eastAsia="Times New Roman" w:hAnsi="Times New Roman"/>
                <w:sz w:val="11"/>
                <w:szCs w:val="11"/>
                <w:color w:val="auto"/>
              </w:rPr>
              <w:t>Net asset value at end of</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year/period</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10.08</w:t>
            </w:r>
          </w:p>
        </w:tc>
        <w:tc>
          <w:tcPr>
            <w:tcW w:w="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10.20</w:t>
            </w:r>
          </w:p>
        </w:tc>
        <w:tc>
          <w:tcPr>
            <w:tcW w:w="4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14.08</w:t>
            </w:r>
          </w:p>
        </w:tc>
        <w:tc>
          <w:tcPr>
            <w:tcW w:w="0" w:type="dxa"/>
            <w:vAlign w:val="bottom"/>
          </w:tcPr>
          <w:p>
            <w:pPr>
              <w:spacing w:after="0"/>
              <w:rPr>
                <w:sz w:val="1"/>
                <w:szCs w:val="1"/>
                <w:color w:val="auto"/>
              </w:rPr>
            </w:pPr>
          </w:p>
        </w:tc>
      </w:tr>
      <w:tr>
        <w:trPr>
          <w:trHeight w:val="85"/>
        </w:trPr>
        <w:tc>
          <w:tcPr>
            <w:tcW w:w="1140" w:type="dxa"/>
            <w:vAlign w:val="bottom"/>
            <w:tcBorders>
              <w:top w:val="single" w:sz="8" w:color="CCEEFF"/>
            </w:tcBorders>
            <w:gridSpan w:val="5"/>
            <w:shd w:val="clear" w:color="auto" w:fill="CCEEFF"/>
          </w:tcPr>
          <w:p>
            <w:pPr>
              <w:spacing w:after="0" w:line="85" w:lineRule="exact"/>
              <w:rPr>
                <w:sz w:val="20"/>
                <w:szCs w:val="20"/>
                <w:color w:val="auto"/>
              </w:rPr>
            </w:pPr>
            <w:r>
              <w:rPr>
                <w:rFonts w:ascii="Times New Roman" w:cs="Times New Roman" w:eastAsia="Times New Roman" w:hAnsi="Times New Roman"/>
                <w:sz w:val="9"/>
                <w:szCs w:val="9"/>
                <w:color w:val="auto"/>
              </w:rPr>
              <w:t>Per share market value at</w:t>
            </w: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right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beginning of</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period/year.</w:t>
            </w:r>
          </w:p>
        </w:tc>
        <w:tc>
          <w:tcPr>
            <w:tcW w:w="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7.24</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10.13</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11.13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14.82</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16.70</w:t>
            </w:r>
          </w:p>
        </w:tc>
        <w:tc>
          <w:tcPr>
            <w:tcW w:w="0" w:type="dxa"/>
            <w:vAlign w:val="bottom"/>
          </w:tcPr>
          <w:p>
            <w:pPr>
              <w:spacing w:after="0"/>
              <w:rPr>
                <w:sz w:val="1"/>
                <w:szCs w:val="1"/>
                <w:color w:val="auto"/>
              </w:rPr>
            </w:pPr>
          </w:p>
        </w:tc>
      </w:tr>
      <w:tr>
        <w:trPr>
          <w:trHeight w:val="131"/>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Per share market value at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end of period/year</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10.13</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11.13</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14.82</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2"/>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return based on</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market value</w:t>
            </w:r>
            <w:r>
              <w:rPr>
                <w:rFonts w:ascii="Times New Roman" w:cs="Times New Roman" w:eastAsia="Times New Roman" w:hAnsi="Times New Roman"/>
                <w:sz w:val="11"/>
                <w:szCs w:val="11"/>
                <w:color w:val="auto"/>
                <w:vertAlign w:val="superscript"/>
              </w:rPr>
              <w:t>(4)</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13.42%</w:t>
            </w: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17.06%</w:t>
            </w:r>
          </w:p>
        </w:tc>
        <w:tc>
          <w:tcPr>
            <w:tcW w:w="6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(15.53)%</w:t>
            </w: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28.56%</w:t>
            </w:r>
          </w:p>
        </w:tc>
        <w:tc>
          <w:tcPr>
            <w:tcW w:w="4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87.87%</w:t>
            </w:r>
          </w:p>
        </w:tc>
        <w:tc>
          <w:tcPr>
            <w:tcW w:w="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(48.71)%</w:t>
            </w: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13.47%</w:t>
            </w: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right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6.41%</w:t>
            </w:r>
          </w:p>
        </w:tc>
        <w:tc>
          <w:tcPr>
            <w:tcW w:w="6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66.38%</w:t>
            </w:r>
          </w:p>
        </w:tc>
        <w:tc>
          <w:tcPr>
            <w:tcW w:w="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(28.97)%</w:t>
            </w: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3.34%</w:t>
            </w:r>
          </w:p>
        </w:tc>
        <w:tc>
          <w:tcPr>
            <w:tcW w:w="0" w:type="dxa"/>
            <w:vAlign w:val="bottom"/>
          </w:tcPr>
          <w:p>
            <w:pPr>
              <w:spacing w:after="0"/>
              <w:rPr>
                <w:sz w:val="1"/>
                <w:szCs w:val="1"/>
                <w:color w:val="auto"/>
              </w:rPr>
            </w:pPr>
          </w:p>
        </w:tc>
      </w:tr>
      <w:tr>
        <w:trPr>
          <w:trHeight w:val="132"/>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Total return based on net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asset value</w:t>
            </w:r>
            <w:r>
              <w:rPr>
                <w:rFonts w:ascii="Times New Roman" w:cs="Times New Roman" w:eastAsia="Times New Roman" w:hAnsi="Times New Roman"/>
                <w:sz w:val="11"/>
                <w:szCs w:val="11"/>
                <w:color w:val="auto"/>
                <w:vertAlign w:val="superscript"/>
              </w:rPr>
              <w:t>(5)</w:t>
            </w:r>
          </w:p>
        </w:tc>
        <w:tc>
          <w:tcPr>
            <w:tcW w:w="8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7.55%</w:t>
            </w:r>
          </w:p>
        </w:tc>
        <w:tc>
          <w:tcPr>
            <w:tcW w:w="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26.79%</w:t>
            </w:r>
          </w:p>
        </w:tc>
        <w:tc>
          <w:tcPr>
            <w:tcW w:w="60" w:type="dxa"/>
            <w:vAlign w:val="bottom"/>
          </w:tcPr>
          <w:p>
            <w:pPr>
              <w:spacing w:after="0"/>
              <w:rPr>
                <w:sz w:val="13"/>
                <w:szCs w:val="13"/>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(16.01)%</w:t>
            </w:r>
          </w:p>
        </w:tc>
        <w:tc>
          <w:tcPr>
            <w:tcW w:w="6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24.45%</w:t>
            </w:r>
          </w:p>
        </w:tc>
        <w:tc>
          <w:tcPr>
            <w:tcW w:w="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94.20%</w:t>
            </w:r>
          </w:p>
        </w:tc>
        <w:tc>
          <w:tcPr>
            <w:tcW w:w="6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(37.50)%</w:t>
            </w:r>
          </w:p>
        </w:tc>
        <w:tc>
          <w:tcPr>
            <w:tcW w:w="80" w:type="dxa"/>
            <w:vAlign w:val="bottom"/>
          </w:tcPr>
          <w:p>
            <w:pPr>
              <w:spacing w:after="0"/>
              <w:rPr>
                <w:sz w:val="13"/>
                <w:szCs w:val="13"/>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(1.39)%</w:t>
            </w: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14.56%</w:t>
            </w:r>
          </w:p>
        </w:tc>
        <w:tc>
          <w:tcPr>
            <w:tcW w:w="6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78.98%</w:t>
            </w:r>
          </w:p>
        </w:tc>
        <w:tc>
          <w:tcPr>
            <w:tcW w:w="60" w:type="dxa"/>
            <w:vAlign w:val="bottom"/>
          </w:tcPr>
          <w:p>
            <w:pPr>
              <w:spacing w:after="0"/>
              <w:rPr>
                <w:sz w:val="13"/>
                <w:szCs w:val="13"/>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(32.95)%</w:t>
            </w: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0" w:type="dxa"/>
            <w:vAlign w:val="bottom"/>
          </w:tcPr>
          <w:p>
            <w:pPr>
              <w:spacing w:after="0"/>
              <w:rPr>
                <w:sz w:val="1"/>
                <w:szCs w:val="1"/>
                <w:color w:val="auto"/>
              </w:rPr>
            </w:pPr>
          </w:p>
        </w:tc>
      </w:tr>
      <w:tr>
        <w:trPr>
          <w:trHeight w:val="22"/>
        </w:trPr>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w w:val="99"/>
              </w:rPr>
              <w:t>Shares outstanding at end</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of</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period/year</w:t>
            </w: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337,257,565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239,127,996</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172,073,305</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4"/>
              </w:rPr>
              <w:t>144,478,402</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100,452,835</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75,183,153</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42,547,801</w:t>
            </w:r>
          </w:p>
        </w:tc>
        <w:tc>
          <w:tcPr>
            <w:tcW w:w="1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28,768,899</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22,751,432</w:t>
            </w: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18,751,696</w:t>
            </w:r>
          </w:p>
        </w:tc>
        <w:tc>
          <w:tcPr>
            <w:tcW w:w="1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2"/>
              </w:rPr>
              <w:t>15,972,381</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1140" w:type="dxa"/>
            <w:vAlign w:val="bottom"/>
            <w:gridSpan w:val="5"/>
            <w:shd w:val="clear" w:color="auto" w:fill="CCEEFF"/>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Ratios/Supplemental</w:t>
            </w:r>
          </w:p>
        </w:tc>
        <w:tc>
          <w:tcPr>
            <w:tcW w:w="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960" w:type="dxa"/>
            <w:vAlign w:val="bottom"/>
            <w:tcBorders>
              <w:top w:val="single" w:sz="8" w:color="auto"/>
            </w:tcBorders>
            <w:gridSpan w:val="4"/>
            <w:shd w:val="clear" w:color="auto" w:fill="CCEEFF"/>
          </w:tcPr>
          <w:p>
            <w:pPr>
              <w:ind w:left="160"/>
              <w:spacing w:after="0" w:line="112" w:lineRule="exact"/>
              <w:rPr>
                <w:sz w:val="20"/>
                <w:szCs w:val="20"/>
                <w:color w:val="auto"/>
              </w:rPr>
            </w:pPr>
            <w:r>
              <w:rPr>
                <w:rFonts w:ascii="Times New Roman" w:cs="Times New Roman" w:eastAsia="Times New Roman" w:hAnsi="Times New Roman"/>
                <w:sz w:val="11"/>
                <w:szCs w:val="11"/>
                <w:b w:val="1"/>
                <w:bCs w:val="1"/>
                <w:color w:val="auto"/>
              </w:rPr>
              <w:t>Data</w:t>
            </w:r>
          </w:p>
        </w:tc>
        <w:tc>
          <w:tcPr>
            <w:tcW w:w="1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right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Net assets at end of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period/year (000’s)</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1,605,642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1,171,086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793,151</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947,156</w:t>
            </w:r>
          </w:p>
        </w:tc>
        <w:tc>
          <w:tcPr>
            <w:tcW w:w="60" w:type="dxa"/>
            <w:vAlign w:val="bottom"/>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596,254</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268,788</w:t>
            </w:r>
          </w:p>
        </w:tc>
        <w:tc>
          <w:tcPr>
            <w:tcW w:w="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353,832</w:t>
            </w:r>
          </w:p>
        </w:tc>
        <w:tc>
          <w:tcPr>
            <w:tcW w:w="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289,930</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232,048</w:t>
            </w:r>
          </w:p>
        </w:tc>
        <w:tc>
          <w:tcPr>
            <w:tcW w:w="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131,950</w:t>
            </w:r>
          </w:p>
        </w:tc>
        <w:tc>
          <w:tcPr>
            <w:tcW w:w="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224,933</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Average net assets</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(000’s)</w:t>
            </w:r>
          </w:p>
        </w:tc>
        <w:tc>
          <w:tcPr>
            <w:tcW w:w="80" w:type="dxa"/>
            <w:vAlign w:val="bottom"/>
            <w:tcBorders>
              <w:bottom w:val="single" w:sz="8" w:color="CCEEFF"/>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1,403,658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944,942</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827,142</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738,960</w:t>
            </w:r>
          </w:p>
        </w:tc>
        <w:tc>
          <w:tcPr>
            <w:tcW w:w="6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419,391</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314,446</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315,037</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254,893</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173,005</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185,211</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239,703</w:t>
            </w:r>
          </w:p>
        </w:tc>
        <w:tc>
          <w:tcPr>
            <w:tcW w:w="0" w:type="dxa"/>
            <w:vAlign w:val="bottom"/>
          </w:tcPr>
          <w:p>
            <w:pPr>
              <w:spacing w:after="0"/>
              <w:rPr>
                <w:sz w:val="1"/>
                <w:szCs w:val="1"/>
                <w:color w:val="auto"/>
              </w:rPr>
            </w:pPr>
          </w:p>
        </w:tc>
      </w:tr>
      <w:tr>
        <w:trPr>
          <w:trHeight w:val="131"/>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Ratio of net investment</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income to average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daily net assets</w:t>
            </w:r>
          </w:p>
        </w:tc>
        <w:tc>
          <w:tcPr>
            <w:tcW w:w="80" w:type="dxa"/>
            <w:vAlign w:val="bottom"/>
          </w:tcPr>
          <w:p>
            <w:pPr>
              <w:spacing w:after="0"/>
              <w:rPr>
                <w:sz w:val="12"/>
                <w:szCs w:val="12"/>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17.55%</w:t>
            </w:r>
          </w:p>
        </w:tc>
        <w:tc>
          <w:tcPr>
            <w:tcW w:w="40" w:type="dxa"/>
            <w:vAlign w:val="bottom"/>
          </w:tcPr>
          <w:p>
            <w:pPr>
              <w:spacing w:after="0"/>
              <w:rPr>
                <w:sz w:val="12"/>
                <w:szCs w:val="1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19.74%</w:t>
            </w:r>
          </w:p>
        </w:tc>
        <w:tc>
          <w:tcPr>
            <w:tcW w:w="60" w:type="dxa"/>
            <w:vAlign w:val="bottom"/>
          </w:tcPr>
          <w:p>
            <w:pPr>
              <w:spacing w:after="0"/>
              <w:rPr>
                <w:sz w:val="12"/>
                <w:szCs w:val="1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18.56%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16.21%</w:t>
            </w:r>
          </w:p>
        </w:tc>
        <w:tc>
          <w:tcPr>
            <w:tcW w:w="40" w:type="dxa"/>
            <w:vAlign w:val="bottom"/>
          </w:tcPr>
          <w:p>
            <w:pPr>
              <w:spacing w:after="0"/>
              <w:rPr>
                <w:sz w:val="12"/>
                <w:szCs w:val="12"/>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18.22%</w:t>
            </w:r>
          </w:p>
        </w:tc>
        <w:tc>
          <w:tcPr>
            <w:tcW w:w="6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15.83%</w:t>
            </w:r>
          </w:p>
        </w:tc>
        <w:tc>
          <w:tcPr>
            <w:tcW w:w="60" w:type="dxa"/>
            <w:vAlign w:val="bottom"/>
          </w:tcPr>
          <w:p>
            <w:pPr>
              <w:spacing w:after="0"/>
              <w:rPr>
                <w:sz w:val="12"/>
                <w:szCs w:val="12"/>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17.78%</w:t>
            </w:r>
          </w:p>
        </w:tc>
        <w:tc>
          <w:tcPr>
            <w:tcW w:w="60" w:type="dxa"/>
            <w:vAlign w:val="bottom"/>
          </w:tcPr>
          <w:p>
            <w:pPr>
              <w:spacing w:after="0"/>
              <w:rPr>
                <w:sz w:val="12"/>
                <w:szCs w:val="1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15.57%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8.88%</w:t>
            </w:r>
          </w:p>
        </w:tc>
        <w:tc>
          <w:tcPr>
            <w:tcW w:w="0" w:type="dxa"/>
            <w:vAlign w:val="bottom"/>
          </w:tcPr>
          <w:p>
            <w:pPr>
              <w:spacing w:after="0"/>
              <w:rPr>
                <w:sz w:val="1"/>
                <w:szCs w:val="1"/>
                <w:color w:val="auto"/>
              </w:rPr>
            </w:pPr>
          </w:p>
        </w:tc>
      </w:tr>
      <w:tr>
        <w:trPr>
          <w:trHeight w:val="28"/>
        </w:trPr>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1"/>
                <w:szCs w:val="11"/>
                <w:color w:val="auto"/>
              </w:rPr>
              <w:t>Ratio of expenses to</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average daily net</w:t>
            </w:r>
          </w:p>
        </w:tc>
        <w:tc>
          <w:tcPr>
            <w:tcW w:w="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Borders>
              <w:bottom w:val="single" w:sz="8" w:color="CCEEFF"/>
            </w:tcBorders>
            <w:gridSpan w:val="5"/>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assets</w:t>
            </w: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10.22%</w:t>
            </w:r>
          </w:p>
        </w:tc>
        <w:tc>
          <w:tcPr>
            <w:tcW w:w="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12.73%</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13.14%</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10.76%</w:t>
            </w:r>
          </w:p>
        </w:tc>
        <w:tc>
          <w:tcPr>
            <w:tcW w:w="4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12.14%</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15.65%</w:t>
            </w: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12.80%</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right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13.52%</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15.71%</w:t>
            </w:r>
          </w:p>
        </w:tc>
        <w:tc>
          <w:tcPr>
            <w:tcW w:w="6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16.60%</w:t>
            </w: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w:t>
            </w:r>
          </w:p>
        </w:tc>
        <w:tc>
          <w:tcPr>
            <w:tcW w:w="0" w:type="dxa"/>
            <w:vAlign w:val="bottom"/>
          </w:tcPr>
          <w:p>
            <w:pPr>
              <w:spacing w:after="0"/>
              <w:rPr>
                <w:sz w:val="1"/>
                <w:szCs w:val="1"/>
                <w:color w:val="auto"/>
              </w:rPr>
            </w:pPr>
          </w:p>
        </w:tc>
      </w:tr>
      <w:tr>
        <w:trPr>
          <w:trHeight w:val="132"/>
        </w:trPr>
        <w:tc>
          <w:tcPr>
            <w:tcW w:w="1140" w:type="dxa"/>
            <w:vAlign w:val="bottom"/>
            <w:gridSpan w:val="5"/>
          </w:tcPr>
          <w:p>
            <w:pPr>
              <w:spacing w:after="0"/>
              <w:rPr>
                <w:sz w:val="20"/>
                <w:szCs w:val="20"/>
                <w:color w:val="auto"/>
              </w:rPr>
            </w:pPr>
            <w:r>
              <w:rPr>
                <w:rFonts w:ascii="Times New Roman" w:cs="Times New Roman" w:eastAsia="Times New Roman" w:hAnsi="Times New Roman"/>
                <w:sz w:val="11"/>
                <w:szCs w:val="11"/>
                <w:color w:val="auto"/>
              </w:rPr>
              <w:t>Portfolio turnover</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gridSpan w:val="5"/>
          </w:tcPr>
          <w:p>
            <w:pPr>
              <w:ind w:left="160"/>
              <w:spacing w:after="0"/>
              <w:rPr>
                <w:sz w:val="20"/>
                <w:szCs w:val="20"/>
                <w:color w:val="auto"/>
              </w:rPr>
            </w:pPr>
            <w:r>
              <w:rPr>
                <w:rFonts w:ascii="Times New Roman" w:cs="Times New Roman" w:eastAsia="Times New Roman" w:hAnsi="Times New Roman"/>
                <w:sz w:val="11"/>
                <w:szCs w:val="11"/>
                <w:color w:val="auto"/>
              </w:rPr>
              <w:t>rate</w:t>
            </w:r>
            <w:r>
              <w:rPr>
                <w:rFonts w:ascii="Times New Roman" w:cs="Times New Roman" w:eastAsia="Times New Roman" w:hAnsi="Times New Roman"/>
                <w:sz w:val="11"/>
                <w:szCs w:val="11"/>
                <w:color w:val="auto"/>
                <w:vertAlign w:val="superscript"/>
              </w:rPr>
              <w:t>(6)</w:t>
            </w:r>
          </w:p>
        </w:tc>
        <w:tc>
          <w:tcPr>
            <w:tcW w:w="8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14.77%</w:t>
            </w:r>
          </w:p>
        </w:tc>
        <w:tc>
          <w:tcPr>
            <w:tcW w:w="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9.40%</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16.51%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56.07%</w:t>
            </w:r>
          </w:p>
        </w:tc>
        <w:tc>
          <w:tcPr>
            <w:tcW w:w="40" w:type="dxa"/>
            <w:vAlign w:val="bottom"/>
          </w:tcPr>
          <w:p>
            <w:pPr>
              <w:spacing w:after="0"/>
              <w:rPr>
                <w:sz w:val="13"/>
                <w:szCs w:val="13"/>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44.15%</w:t>
            </w:r>
          </w:p>
        </w:tc>
        <w:tc>
          <w:tcPr>
            <w:tcW w:w="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17.56%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64.97%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53.42%</w:t>
            </w:r>
          </w:p>
        </w:tc>
        <w:tc>
          <w:tcPr>
            <w:tcW w:w="6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69.08%</w:t>
            </w:r>
          </w:p>
        </w:tc>
        <w:tc>
          <w:tcPr>
            <w:tcW w:w="6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32.02%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69.05%</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hanging="377"/>
        <w:spacing w:after="0"/>
        <w:tabs>
          <w:tab w:leader="none" w:pos="13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net investment income per share for the period, based upon weighted average shares outstanding.</w:t>
      </w:r>
    </w:p>
    <w:p>
      <w:pPr>
        <w:sectPr>
          <w:pgSz w:w="11900" w:h="16840" w:orient="portrait"/>
          <w:cols w:equalWidth="0" w:num="1">
            <w:col w:w="9880"/>
          </w:cols>
          <w:pgMar w:left="1440" w:top="556" w:right="580" w:bottom="1440" w:gutter="0" w:footer="0" w:header="0"/>
        </w:sectPr>
      </w:pPr>
    </w:p>
    <w:p>
      <w:pPr>
        <w:spacing w:after="0" w:line="16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880"/>
          </w:cols>
          <w:pgMar w:left="1440" w:top="556" w:right="580" w:bottom="1440" w:gutter="0" w:footer="0" w:header="0"/>
          <w:type w:val="continuous"/>
        </w:sectPr>
      </w:pPr>
    </w:p>
    <w:bookmarkStart w:id="55" w:name="page56"/>
    <w:bookmarkEnd w:id="5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13. FINANCIAL HIGHLIGHTS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1300" w:right="1480" w:hanging="377"/>
        <w:spacing w:after="0" w:line="261" w:lineRule="auto"/>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realized and unrealized capital gains and losses based upon weighted average shares outstanding include adjustments to reconcile change in NAV per share.</w:t>
      </w:r>
    </w:p>
    <w:p>
      <w:pPr>
        <w:ind w:left="1300" w:right="980" w:hanging="377"/>
        <w:spacing w:after="0" w:line="249" w:lineRule="auto"/>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monitors available taxable earnings, including net investment income and realized capital gains, to determine if a tax return of capital may occur for the period. To the extent the Fund’s taxable earnings fall below the total amount of the Fund’s distributions for that fiscal year, a portion of those distributions may be deemed a tax return of capital to the Fund’s stockholders. The ultimate tax character of the Fund’s earnings cannot be determined until tax returns are prepared after the end of the fiscal year. The information provided is based on estimates available at each respective fiscal year end, see “Note 7. Distributions”.</w:t>
      </w:r>
    </w:p>
    <w:p>
      <w:pPr>
        <w:spacing w:after="0" w:line="1" w:lineRule="exact"/>
        <w:rPr>
          <w:rFonts w:ascii="Times New Roman" w:cs="Times New Roman" w:eastAsia="Times New Roman" w:hAnsi="Times New Roman"/>
          <w:sz w:val="14"/>
          <w:szCs w:val="14"/>
          <w:color w:val="auto"/>
        </w:rPr>
      </w:pPr>
    </w:p>
    <w:p>
      <w:pPr>
        <w:ind w:left="1300" w:right="1000" w:hanging="377"/>
        <w:spacing w:after="0" w:line="249" w:lineRule="auto"/>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market value is calculated assuming that shares of the Fund’s common stock were purchased at the market price as of the beginning of the period, and that distribution, capital gains and other distributions were reinvested as provided for in the Fund’s distribution reinvestment plan, excluding any discounts, and that the total number of shares were sold at the closing market price per share on the last day of the period. The computation does not reflect any sales commission investors may incur in purchasing or selling shares of the Fund.</w:t>
      </w:r>
    </w:p>
    <w:p>
      <w:pPr>
        <w:spacing w:after="0" w:line="1" w:lineRule="exact"/>
        <w:rPr>
          <w:rFonts w:ascii="Times New Roman" w:cs="Times New Roman" w:eastAsia="Times New Roman" w:hAnsi="Times New Roman"/>
          <w:sz w:val="14"/>
          <w:szCs w:val="14"/>
          <w:color w:val="auto"/>
        </w:rPr>
      </w:pPr>
    </w:p>
    <w:p>
      <w:pPr>
        <w:ind w:left="1300" w:right="1000" w:hanging="377"/>
        <w:spacing w:after="0" w:line="249" w:lineRule="auto"/>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return based on NAV is the change in ending NAV per share plus distributions per share paid during the period divided by the beginning NAV per share.</w:t>
      </w:r>
    </w:p>
    <w:p>
      <w:pPr>
        <w:ind w:left="1300" w:right="1020" w:hanging="377"/>
        <w:spacing w:after="0" w:line="249" w:lineRule="auto"/>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Portfolio turnover rate is calculated using the lesser of the year -to-date purchases or sales and repayments of investments divided by the monthly average of the fair value of total investments. Excluded from both the numerator and denominator is the fair value of all investments whose maturity or expiration date at the time of acquisition was one year or less.</w:t>
      </w:r>
    </w:p>
    <w:p>
      <w:pPr>
        <w:spacing w:after="0" w:line="1"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less than $0.01 per share.</w:t>
      </w:r>
    </w:p>
    <w:p>
      <w:pPr>
        <w:spacing w:after="0" w:line="1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Senior Securities Table</w:t>
      </w:r>
    </w:p>
    <w:p>
      <w:pPr>
        <w:spacing w:after="0" w:line="117" w:lineRule="exact"/>
        <w:rPr>
          <w:sz w:val="20"/>
          <w:szCs w:val="20"/>
          <w:color w:val="auto"/>
        </w:rPr>
      </w:pPr>
    </w:p>
    <w:p>
      <w:pPr>
        <w:ind w:left="920" w:right="1020" w:firstLine="382"/>
        <w:spacing w:after="0" w:line="245" w:lineRule="auto"/>
        <w:rPr>
          <w:sz w:val="20"/>
          <w:szCs w:val="20"/>
          <w:color w:val="auto"/>
        </w:rPr>
      </w:pPr>
      <w:r>
        <w:rPr>
          <w:rFonts w:ascii="Times New Roman" w:cs="Times New Roman" w:eastAsia="Times New Roman" w:hAnsi="Times New Roman"/>
          <w:sz w:val="16"/>
          <w:szCs w:val="16"/>
          <w:color w:val="auto"/>
        </w:rPr>
        <w:t>Information about our senior securities is shown in the following tables as of the six months ended September 30, 2024 and fiscal years ended March 31, 2024, 2023, 2022, 2021, 2020, 2019, 2018, 2017, 2016, and 2015:</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Exclusive of</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79"/>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Ratio Per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Value Per</w:t>
            </w:r>
          </w:p>
        </w:tc>
      </w:tr>
      <w:tr>
        <w:trPr>
          <w:trHeight w:val="217"/>
        </w:trPr>
        <w:tc>
          <w:tcPr>
            <w:tcW w:w="27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w:t>
            </w:r>
            <w:r>
              <w:rPr>
                <w:rFonts w:ascii="Times New Roman" w:cs="Times New Roman" w:eastAsia="Times New Roman" w:hAnsi="Times New Roman"/>
                <w:sz w:val="16"/>
                <w:szCs w:val="16"/>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7"/>
              </w:rPr>
              <w:t>Per Unit</w:t>
            </w:r>
            <w:r>
              <w:rPr>
                <w:rFonts w:ascii="Times New Roman" w:cs="Times New Roman" w:eastAsia="Times New Roman" w:hAnsi="Times New Roman"/>
                <w:sz w:val="16"/>
                <w:szCs w:val="16"/>
                <w:b w:val="1"/>
                <w:bCs w:val="1"/>
                <w:color w:val="auto"/>
                <w:w w:val="97"/>
                <w:vertAlign w:val="superscript"/>
              </w:rPr>
              <w:t>(3)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(4)</w:t>
            </w:r>
          </w:p>
        </w:tc>
      </w:tr>
      <w:tr>
        <w:trPr>
          <w:trHeight w:val="235"/>
        </w:trPr>
        <w:tc>
          <w:tcPr>
            <w:tcW w:w="3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Year</w:t>
            </w: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167"/>
        </w:trPr>
        <w:tc>
          <w:tcPr>
            <w:tcW w:w="30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8.</w:t>
            </w:r>
            <w:r>
              <w:rPr>
                <w:rFonts w:ascii="Times New Roman" w:cs="Times New Roman" w:eastAsia="Times New Roman" w:hAnsi="Times New Roman"/>
                <w:sz w:val="16"/>
                <w:szCs w:val="16"/>
                <w:b w:val="1"/>
                <w:bCs w:val="1"/>
                <w:u w:val="single" w:color="auto"/>
                <w:color w:val="auto"/>
              </w:rPr>
              <w:t>50%</w:t>
            </w:r>
            <w:r>
              <w:rPr>
                <w:rFonts w:ascii="Times New Roman" w:cs="Times New Roman" w:eastAsia="Times New Roman" w:hAnsi="Times New Roman"/>
                <w:sz w:val="16"/>
                <w:szCs w:val="16"/>
                <w:b w:val="1"/>
                <w:bCs w:val="1"/>
                <w:color w:val="auto"/>
              </w:rPr>
              <w:t xml:space="preserve"> Series 2017 Term Preferred Shares</w:t>
            </w:r>
            <w:r>
              <w:rPr>
                <w:rFonts w:ascii="Times New Roman" w:cs="Times New Roman" w:eastAsia="Times New Roman" w:hAnsi="Times New Roman"/>
                <w:sz w:val="19"/>
                <w:szCs w:val="19"/>
                <w:color w:val="auto"/>
                <w:vertAlign w:val="superscript"/>
              </w:rPr>
              <w:t>(5)</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0"/>
        </w:trPr>
        <w:tc>
          <w:tcPr>
            <w:tcW w:w="2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15,811,250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63"/>
        </w:trPr>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07"/>
        </w:trPr>
        <w:tc>
          <w:tcPr>
            <w:tcW w:w="308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6"/>
                <w:szCs w:val="16"/>
                <w:b w:val="1"/>
                <w:bCs w:val="1"/>
                <w:color w:val="auto"/>
                <w:w w:val="94"/>
              </w:rPr>
              <w:t>7.</w:t>
            </w:r>
            <w:r>
              <w:rPr>
                <w:rFonts w:ascii="Times New Roman" w:cs="Times New Roman" w:eastAsia="Times New Roman" w:hAnsi="Times New Roman"/>
                <w:sz w:val="16"/>
                <w:szCs w:val="16"/>
                <w:b w:val="1"/>
                <w:bCs w:val="1"/>
                <w:u w:val="single" w:color="auto"/>
                <w:color w:val="auto"/>
                <w:w w:val="94"/>
              </w:rPr>
              <w:t>50%</w:t>
            </w:r>
            <w:r>
              <w:rPr>
                <w:rFonts w:ascii="Times New Roman" w:cs="Times New Roman" w:eastAsia="Times New Roman" w:hAnsi="Times New Roman"/>
                <w:sz w:val="16"/>
                <w:szCs w:val="16"/>
                <w:b w:val="1"/>
                <w:bCs w:val="1"/>
                <w:color w:val="auto"/>
                <w:w w:val="94"/>
              </w:rPr>
              <w:t xml:space="preserve"> Series 2023 Term Preferred Shares</w:t>
            </w:r>
            <w:r>
              <w:rPr>
                <w:rFonts w:ascii="Times New Roman" w:cs="Times New Roman" w:eastAsia="Times New Roman" w:hAnsi="Times New Roman"/>
                <w:sz w:val="19"/>
                <w:szCs w:val="19"/>
                <w:color w:val="auto"/>
                <w:w w:val="94"/>
                <w:vertAlign w:val="superscript"/>
              </w:rPr>
              <w:t>(8)(10)</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57,034,875</w:t>
            </w:r>
          </w:p>
        </w:tc>
        <w:tc>
          <w:tcPr>
            <w:tcW w:w="9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60,400,025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90,400,025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90,400,025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90,400,025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90,638,450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0.97</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73,869,250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0.98</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67"/>
        </w:trPr>
        <w:tc>
          <w:tcPr>
            <w:tcW w:w="30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b w:val="1"/>
                <w:bCs w:val="1"/>
                <w:color w:val="auto"/>
                <w:w w:val="98"/>
              </w:rPr>
              <w:t>8.</w:t>
            </w:r>
            <w:r>
              <w:rPr>
                <w:rFonts w:ascii="Times New Roman" w:cs="Times New Roman" w:eastAsia="Times New Roman" w:hAnsi="Times New Roman"/>
                <w:sz w:val="16"/>
                <w:szCs w:val="16"/>
                <w:b w:val="1"/>
                <w:bCs w:val="1"/>
                <w:u w:val="single" w:color="auto"/>
                <w:color w:val="auto"/>
                <w:w w:val="98"/>
              </w:rPr>
              <w:t>125%</w:t>
            </w:r>
            <w:r>
              <w:rPr>
                <w:rFonts w:ascii="Times New Roman" w:cs="Times New Roman" w:eastAsia="Times New Roman" w:hAnsi="Times New Roman"/>
                <w:sz w:val="16"/>
                <w:szCs w:val="16"/>
                <w:b w:val="1"/>
                <w:bCs w:val="1"/>
                <w:color w:val="auto"/>
                <w:w w:val="98"/>
              </w:rPr>
              <w:t xml:space="preserve"> Series 2024 Term Preferred Shares</w:t>
            </w:r>
            <w:r>
              <w:rPr>
                <w:rFonts w:ascii="Times New Roman" w:cs="Times New Roman" w:eastAsia="Times New Roman" w:hAnsi="Times New Roman"/>
                <w:sz w:val="19"/>
                <w:szCs w:val="19"/>
                <w:color w:val="auto"/>
                <w:w w:val="98"/>
                <w:vertAlign w:val="superscript"/>
              </w:rPr>
              <w:t>(7)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0"/>
        </w:trPr>
        <w:tc>
          <w:tcPr>
            <w:tcW w:w="2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50,504,475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50,539,775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60,687,500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598"/>
        </w:trPr>
        <w:tc>
          <w:tcPr>
            <w:tcW w:w="2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6" w:right="1440" w:bottom="1440" w:gutter="0" w:footer="0" w:header="0"/>
        </w:sectPr>
      </w:pPr>
    </w:p>
    <w:bookmarkStart w:id="56" w:name="page57"/>
    <w:bookmarkEnd w:id="5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13. FINANCIAL HIGHLIGHTS </w:t>
      </w:r>
      <w:r>
        <w:rPr>
          <w:rFonts w:ascii="Times New Roman" w:cs="Times New Roman" w:eastAsia="Times New Roman" w:hAnsi="Times New Roman"/>
          <w:sz w:val="16"/>
          <w:szCs w:val="16"/>
          <w:color w:val="auto"/>
        </w:rPr>
        <w:t>(cont.)</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7"/>
        </w:trPr>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Exclusive of</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79"/>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5"/>
                <w:szCs w:val="15"/>
                <w:color w:val="auto"/>
              </w:rPr>
            </w:pPr>
          </w:p>
        </w:tc>
        <w:tc>
          <w:tcPr>
            <w:tcW w:w="88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Ratio Per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Value Per</w:t>
            </w:r>
          </w:p>
        </w:tc>
      </w:tr>
      <w:tr>
        <w:trPr>
          <w:trHeight w:val="217"/>
        </w:trPr>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w:t>
            </w:r>
            <w:r>
              <w:rPr>
                <w:rFonts w:ascii="Times New Roman" w:cs="Times New Roman" w:eastAsia="Times New Roman" w:hAnsi="Times New Roman"/>
                <w:sz w:val="16"/>
                <w:szCs w:val="16"/>
                <w:b w:val="1"/>
                <w:bCs w:val="1"/>
                <w:color w:val="auto"/>
                <w:w w:val="98"/>
                <w:vertAlign w:val="superscript"/>
              </w:rPr>
              <w:t>(1)</w:t>
            </w: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Per Unit</w:t>
            </w:r>
            <w:r>
              <w:rPr>
                <w:rFonts w:ascii="Times New Roman" w:cs="Times New Roman" w:eastAsia="Times New Roman" w:hAnsi="Times New Roman"/>
                <w:sz w:val="16"/>
                <w:szCs w:val="16"/>
                <w:b w:val="1"/>
                <w:bCs w:val="1"/>
                <w:color w:val="auto"/>
                <w:w w:val="97"/>
                <w:vertAlign w:val="superscript"/>
              </w:rPr>
              <w:t>(3)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(4)</w:t>
            </w:r>
          </w:p>
        </w:tc>
      </w:tr>
      <w:tr>
        <w:trPr>
          <w:trHeight w:val="187"/>
        </w:trPr>
        <w:tc>
          <w:tcPr>
            <w:tcW w:w="3080" w:type="dxa"/>
            <w:vAlign w:val="bottom"/>
            <w:tcBorders>
              <w:top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6.</w:t>
            </w:r>
            <w:r>
              <w:rPr>
                <w:rFonts w:ascii="Times New Roman" w:cs="Times New Roman" w:eastAsia="Times New Roman" w:hAnsi="Times New Roman"/>
                <w:sz w:val="14"/>
                <w:szCs w:val="14"/>
                <w:b w:val="1"/>
                <w:bCs w:val="1"/>
                <w:u w:val="single" w:color="auto"/>
                <w:color w:val="auto"/>
              </w:rPr>
              <w:t>75%</w:t>
            </w:r>
            <w:r>
              <w:rPr>
                <w:rFonts w:ascii="Times New Roman" w:cs="Times New Roman" w:eastAsia="Times New Roman" w:hAnsi="Times New Roman"/>
                <w:sz w:val="14"/>
                <w:szCs w:val="14"/>
                <w:b w:val="1"/>
                <w:bCs w:val="1"/>
                <w:color w:val="auto"/>
              </w:rPr>
              <w:t xml:space="preserve"> Series 2024 Term Preferred Shares</w:t>
            </w:r>
            <w:r>
              <w:rPr>
                <w:rFonts w:ascii="Times New Roman" w:cs="Times New Roman" w:eastAsia="Times New Roman" w:hAnsi="Times New Roman"/>
                <w:sz w:val="17"/>
                <w:szCs w:val="17"/>
                <w:color w:val="auto"/>
                <w:vertAlign w:val="superscript"/>
              </w:rPr>
              <w:t>(6)(8)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r>
      <w:tr>
        <w:trPr>
          <w:trHeight w:val="237"/>
        </w:trPr>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68,125,375</w:t>
            </w:r>
          </w:p>
        </w:tc>
        <w:tc>
          <w:tcPr>
            <w:tcW w:w="9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CCEEFF"/>
            </w:tcBorders>
          </w:tcPr>
          <w:p>
            <w:pPr>
              <w:ind w:left="600"/>
              <w:spacing w:after="0"/>
              <w:rPr>
                <w:sz w:val="20"/>
                <w:szCs w:val="20"/>
                <w:color w:val="auto"/>
              </w:rPr>
            </w:pPr>
            <w:r>
              <w:rPr>
                <w:rFonts w:ascii="Times New Roman" w:cs="Times New Roman" w:eastAsia="Times New Roman" w:hAnsi="Times New Roman"/>
                <w:sz w:val="16"/>
                <w:szCs w:val="16"/>
                <w:color w:val="auto"/>
                <w:w w:val="92"/>
              </w:rPr>
              <w:t>0.99</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68,125,375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1.00</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68,125,375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1.01</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68,125,375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0.94</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68,235,375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1.01</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68,235,375</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1.02</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68,235,375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1.01</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67"/>
        </w:trPr>
        <w:tc>
          <w:tcPr>
            <w:tcW w:w="3080" w:type="dxa"/>
            <w:vAlign w:val="bottom"/>
            <w:gridSpan w:val="3"/>
          </w:tcPr>
          <w:p>
            <w:pPr>
              <w:spacing w:after="0" w:line="167" w:lineRule="exact"/>
              <w:rPr>
                <w:sz w:val="20"/>
                <w:szCs w:val="20"/>
                <w:color w:val="auto"/>
              </w:rPr>
            </w:pP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b w:val="1"/>
                <w:bCs w:val="1"/>
                <w:u w:val="single" w:color="auto"/>
                <w:color w:val="auto"/>
              </w:rPr>
              <w:t>25%</w:t>
            </w:r>
            <w:r>
              <w:rPr>
                <w:rFonts w:ascii="Times New Roman" w:cs="Times New Roman" w:eastAsia="Times New Roman" w:hAnsi="Times New Roman"/>
                <w:sz w:val="16"/>
                <w:szCs w:val="16"/>
                <w:b w:val="1"/>
                <w:bCs w:val="1"/>
                <w:color w:val="auto"/>
              </w:rPr>
              <w:t xml:space="preserve"> Series 2027 Term Preferred Shares</w:t>
            </w:r>
            <w:r>
              <w:rPr>
                <w:rFonts w:ascii="Times New Roman" w:cs="Times New Roman" w:eastAsia="Times New Roman" w:hAnsi="Times New Roman"/>
                <w:sz w:val="19"/>
                <w:szCs w:val="19"/>
                <w:color w:val="auto"/>
                <w:vertAlign w:val="superscript"/>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40"/>
        </w:trPr>
        <w:tc>
          <w:tcPr>
            <w:tcW w:w="2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3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0.94</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0.92</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0.93</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1.00</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88,120,150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0.89</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0.89</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55"/>
        </w:trPr>
        <w:tc>
          <w:tcPr>
            <w:tcW w:w="30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6.</w:t>
            </w:r>
            <w:r>
              <w:rPr>
                <w:rFonts w:ascii="Times New Roman" w:cs="Times New Roman" w:eastAsia="Times New Roman" w:hAnsi="Times New Roman"/>
                <w:sz w:val="16"/>
                <w:szCs w:val="16"/>
                <w:b w:val="1"/>
                <w:bCs w:val="1"/>
                <w:u w:val="single" w:color="auto"/>
                <w:color w:val="auto"/>
              </w:rPr>
              <w:t>00%</w:t>
            </w:r>
            <w:r>
              <w:rPr>
                <w:rFonts w:ascii="Times New Roman" w:cs="Times New Roman" w:eastAsia="Times New Roman" w:hAnsi="Times New Roman"/>
                <w:sz w:val="16"/>
                <w:szCs w:val="16"/>
                <w:b w:val="1"/>
                <w:bCs w:val="1"/>
                <w:color w:val="auto"/>
              </w:rPr>
              <w:t xml:space="preserve"> Series 2029 Term Preferred 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0"/>
        </w:trPr>
        <w:tc>
          <w:tcPr>
            <w:tcW w:w="2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3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67,172,500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0.90</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67,172,500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0.87</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67,172,500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0.90</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67,172,500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1.00</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155"/>
        </w:trPr>
        <w:tc>
          <w:tcPr>
            <w:tcW w:w="308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7.</w:t>
            </w:r>
            <w:r>
              <w:rPr>
                <w:rFonts w:ascii="Times New Roman" w:cs="Times New Roman" w:eastAsia="Times New Roman" w:hAnsi="Times New Roman"/>
                <w:sz w:val="16"/>
                <w:szCs w:val="16"/>
                <w:b w:val="1"/>
                <w:bCs w:val="1"/>
                <w:u w:val="single" w:color="auto"/>
                <w:color w:val="auto"/>
              </w:rPr>
              <w:t>125%</w:t>
            </w:r>
            <w:r>
              <w:rPr>
                <w:rFonts w:ascii="Times New Roman" w:cs="Times New Roman" w:eastAsia="Times New Roman" w:hAnsi="Times New Roman"/>
                <w:sz w:val="16"/>
                <w:szCs w:val="16"/>
                <w:b w:val="1"/>
                <w:bCs w:val="1"/>
                <w:color w:val="auto"/>
              </w:rPr>
              <w:t xml:space="preserve"> Series 2029 Term Preferred 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40"/>
        </w:trPr>
        <w:tc>
          <w:tcPr>
            <w:tcW w:w="278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3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0.96</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63,750,000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0.93</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63,750,000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0.93</w:t>
            </w:r>
          </w:p>
        </w:tc>
      </w:tr>
      <w:tr>
        <w:trPr>
          <w:trHeight w:val="263"/>
        </w:trPr>
        <w:tc>
          <w:tcPr>
            <w:tcW w:w="2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7"/>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Repurchase Agreement</w:t>
            </w:r>
            <w:r>
              <w:rPr>
                <w:rFonts w:ascii="Times New Roman" w:cs="Times New Roman" w:eastAsia="Times New Roman" w:hAnsi="Times New Roman"/>
                <w:sz w:val="19"/>
                <w:szCs w:val="19"/>
                <w:b w:val="1"/>
                <w:bCs w:val="1"/>
                <w:color w:val="auto"/>
                <w:vertAlign w:val="superscript"/>
              </w:rPr>
              <w:t>(9)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4"/>
              </w:rPr>
              <w:t>N/A</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42,493,500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4"/>
              </w:rPr>
              <w:t>N/A</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42,493,500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N/A</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4"/>
              </w:rPr>
              <w:t>N/A</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3"/>
        </w:trPr>
        <w:tc>
          <w:tcPr>
            <w:tcW w:w="2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10"/>
        </w:trPr>
        <w:tc>
          <w:tcPr>
            <w:tcW w:w="3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6.75% Unsecured Notes due 2031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3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0.96</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0.93</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0.96</w:t>
            </w:r>
          </w:p>
        </w:tc>
      </w:tr>
      <w:tr>
        <w:trPr>
          <w:trHeight w:val="237"/>
        </w:trPr>
        <w:tc>
          <w:tcPr>
            <w:tcW w:w="2780" w:type="dxa"/>
            <w:vAlign w:val="bottom"/>
          </w:tcPr>
          <w:p>
            <w:pPr>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2"/>
              </w:rPr>
              <w:t>1.04</w:t>
            </w:r>
          </w:p>
        </w:tc>
      </w:tr>
      <w:tr>
        <w:trPr>
          <w:trHeight w:val="26"/>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2"/>
              </w:rPr>
              <w:t>1.00</w:t>
            </w:r>
          </w:p>
        </w:tc>
      </w:tr>
      <w:tr>
        <w:trPr>
          <w:trHeight w:val="26"/>
        </w:trPr>
        <w:tc>
          <w:tcPr>
            <w:tcW w:w="2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40" w:orient="portrait"/>
          <w:cols w:equalWidth="0" w:num="1">
            <w:col w:w="9020"/>
          </w:cols>
          <w:pgMar w:left="1440" w:top="556" w:right="1440" w:bottom="1440" w:gutter="0" w:footer="0" w:header="0"/>
        </w:sect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type w:val="continuous"/>
        </w:sectPr>
      </w:pPr>
    </w:p>
    <w:bookmarkStart w:id="57" w:name="page58"/>
    <w:bookmarkEnd w:id="5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13. FINANCIAL HIGHLIGHTS </w:t>
      </w:r>
      <w:r>
        <w:rPr>
          <w:rFonts w:ascii="Times New Roman" w:cs="Times New Roman" w:eastAsia="Times New Roman" w:hAnsi="Times New Roman"/>
          <w:sz w:val="16"/>
          <w:szCs w:val="16"/>
          <w:color w:val="auto"/>
        </w:rPr>
        <w:t>(cont.)</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0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0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7"/>
        </w:trPr>
        <w:tc>
          <w:tcPr>
            <w:tcW w:w="30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Exclusive of</w:t>
            </w: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Coverage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Market</w:t>
            </w:r>
          </w:p>
        </w:tc>
      </w:tr>
      <w:tr>
        <w:trPr>
          <w:trHeight w:val="179"/>
        </w:trPr>
        <w:tc>
          <w:tcPr>
            <w:tcW w:w="30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5"/>
                <w:szCs w:val="15"/>
                <w:color w:val="auto"/>
              </w:rPr>
            </w:pP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Ratio Per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Value Per</w:t>
            </w:r>
          </w:p>
        </w:tc>
      </w:tr>
      <w:tr>
        <w:trPr>
          <w:trHeight w:val="217"/>
        </w:trPr>
        <w:tc>
          <w:tcPr>
            <w:tcW w:w="30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Securities</w:t>
            </w:r>
            <w:r>
              <w:rPr>
                <w:rFonts w:ascii="Times New Roman" w:cs="Times New Roman" w:eastAsia="Times New Roman" w:hAnsi="Times New Roman"/>
                <w:sz w:val="16"/>
                <w:szCs w:val="16"/>
                <w:b w:val="1"/>
                <w:bCs w:val="1"/>
                <w:color w:val="auto"/>
                <w:w w:val="98"/>
                <w:vertAlign w:val="superscript"/>
              </w:rPr>
              <w:t>(1)</w:t>
            </w: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Per Unit</w:t>
            </w:r>
            <w:r>
              <w:rPr>
                <w:rFonts w:ascii="Times New Roman" w:cs="Times New Roman" w:eastAsia="Times New Roman" w:hAnsi="Times New Roman"/>
                <w:sz w:val="16"/>
                <w:szCs w:val="16"/>
                <w:b w:val="1"/>
                <w:bCs w:val="1"/>
                <w:color w:val="auto"/>
                <w:w w:val="97"/>
                <w:vertAlign w:val="superscript"/>
              </w:rPr>
              <w:t>(3)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2"/>
              </w:rPr>
              <w:t>Unit</w:t>
            </w:r>
            <w:r>
              <w:rPr>
                <w:rFonts w:ascii="Times New Roman" w:cs="Times New Roman" w:eastAsia="Times New Roman" w:hAnsi="Times New Roman"/>
                <w:sz w:val="16"/>
                <w:szCs w:val="16"/>
                <w:b w:val="1"/>
                <w:bCs w:val="1"/>
                <w:color w:val="auto"/>
                <w:w w:val="92"/>
                <w:vertAlign w:val="superscript"/>
              </w:rPr>
              <w:t>(4)</w:t>
            </w:r>
          </w:p>
        </w:tc>
      </w:tr>
      <w:tr>
        <w:trPr>
          <w:trHeight w:val="19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5.00% Unsecured Notes due 2027</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$ 100,000,000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w:t>
            </w:r>
          </w:p>
        </w:tc>
      </w:tr>
      <w:tr>
        <w:trPr>
          <w:trHeight w:val="26"/>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$ 100,000,000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$ 100,000,000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0.92</w:t>
            </w:r>
          </w:p>
        </w:tc>
      </w:tr>
      <w:tr>
        <w:trPr>
          <w:trHeight w:val="26"/>
        </w:trPr>
        <w:tc>
          <w:tcPr>
            <w:tcW w:w="3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$ 100,000,000</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0.99</w:t>
            </w:r>
          </w:p>
        </w:tc>
      </w:tr>
      <w:tr>
        <w:trPr>
          <w:trHeight w:val="263"/>
        </w:trPr>
        <w:tc>
          <w:tcPr>
            <w:tcW w:w="3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5"/>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8.75% Unsecured Notes due 2030</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7"/>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2025 (as of September 30, 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$ 115,000,000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47"/>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65" w:lineRule="exact"/>
        <w:rPr>
          <w:sz w:val="20"/>
          <w:szCs w:val="20"/>
          <w:color w:val="auto"/>
        </w:rPr>
      </w:pPr>
    </w:p>
    <w:p>
      <w:pPr>
        <w:ind w:left="1300" w:hanging="377"/>
        <w:spacing w:after="0"/>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amount of each class of senior securities outstanding at the end of the period presented.</w:t>
      </w:r>
    </w:p>
    <w:p>
      <w:pPr>
        <w:spacing w:after="0" w:line="22" w:lineRule="exact"/>
        <w:rPr>
          <w:rFonts w:ascii="Times New Roman" w:cs="Times New Roman" w:eastAsia="Times New Roman" w:hAnsi="Times New Roman"/>
          <w:sz w:val="14"/>
          <w:szCs w:val="14"/>
          <w:color w:val="auto"/>
        </w:rPr>
      </w:pPr>
    </w:p>
    <w:p>
      <w:pPr>
        <w:ind w:left="1300" w:right="94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coverage per unit is the ratio of the carrying value of the Fund’s total assets, less all liabilities and indebtedness not represented by senior securities, to the aggregate amount of outstanding senior securities, as calculated separately for each of the Term Preferred Shares, the Notes and the previously terminated Master Repurchase Agreement (“MRA”) with Nomura Securities International, Inc. (“Nomura”) in accordance with section 18(h) of the 1940 Act. With respect to the Term Preferred Shares, the asset coverage per unit is expressed in terms of a ratio per share of outstanding Term Preferred Shares (when expressing in terms of dollar amounts per share, the asset coverage ratio per unit is multiplied by the involuntary liquidation preference per unit of $25). With respect to the MRA, the asset coverage ratio per unit is expressed in terms of a ratio per unit of outstanding (when expressing in terms of dollar amounts per share, the asset coverage per unit is multiplied by $1,000 per principal amount).</w:t>
      </w:r>
    </w:p>
    <w:p>
      <w:pPr>
        <w:spacing w:after="0" w:line="2" w:lineRule="exact"/>
        <w:rPr>
          <w:rFonts w:ascii="Times New Roman" w:cs="Times New Roman" w:eastAsia="Times New Roman" w:hAnsi="Times New Roman"/>
          <w:sz w:val="14"/>
          <w:szCs w:val="14"/>
          <w:color w:val="auto"/>
        </w:rPr>
      </w:pPr>
    </w:p>
    <w:p>
      <w:pPr>
        <w:ind w:left="1300" w:right="116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which such class of senior security would be entitled upon the voluntary liquidation of the issuer in preference to any security junior to it.</w:t>
      </w:r>
    </w:p>
    <w:p>
      <w:pPr>
        <w:ind w:left="1300" w:right="96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Term Preferred Shares and the Notes, the Average Market Value Per Unit is calculated by taking the daily average closing price of the security for the respective period and dividing it by $25 per share to determine a unit price per share consistent with Asset Coverage Per Unit. With respect to the MRA, the Average Market Value is not applicable as there are no senior securities thereunder which are registered for public trading.</w:t>
      </w:r>
    </w:p>
    <w:p>
      <w:pPr>
        <w:spacing w:after="0" w:line="1" w:lineRule="exact"/>
        <w:rPr>
          <w:rFonts w:ascii="Times New Roman" w:cs="Times New Roman" w:eastAsia="Times New Roman" w:hAnsi="Times New Roman"/>
          <w:sz w:val="14"/>
          <w:szCs w:val="14"/>
          <w:color w:val="auto"/>
        </w:rPr>
      </w:pPr>
    </w:p>
    <w:p>
      <w:pPr>
        <w:ind w:left="1300" w:right="124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24, 2015, the Fund redeemed all issued and outstanding 8.50% Series 2017 Term Preferred Shares at the term redemption price.</w:t>
      </w:r>
    </w:p>
    <w:p>
      <w:pPr>
        <w:ind w:left="1300" w:right="114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 2024, the Fund redeemed all issued and outstanding 6.75% Series 2024 Term Preferred Shares issued at the term redemption price.</w:t>
      </w:r>
    </w:p>
    <w:p>
      <w:pPr>
        <w:ind w:left="1300" w:right="118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14, 2017, the Fund redeemed all issued and outstanding 8.125% Series 2024 Term Preferred Shares at the term redemption price.</w:t>
      </w:r>
    </w:p>
    <w:p>
      <w:pPr>
        <w:ind w:left="1300" w:right="150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21, 2020, the Fund’s Board of Directors authorized a program for the purpose of repurchasing up to $40 million worth of the outstanding shares of the Fund’s 7.50% Series 2023 Term Preferred Stock, 6.75%</w:t>
      </w:r>
    </w:p>
    <w:p>
      <w:pPr>
        <w:ind w:left="1300" w:right="1000"/>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 2024 Term Preferred Stock and 6.25% Series 2027 Term Preferred Stock. For the year ended March 31, 2021, the Fund repurchased 134,606 shares of 7.50% Series 2023 Term Preferred Stock for a total of approximately</w:t>
      </w:r>
    </w:p>
    <w:p>
      <w:pPr>
        <w:ind w:left="1300" w:right="1060"/>
        <w:spacing w:after="0" w:line="24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million, 4,400 shares of 6.75% Series 2024 Term Preferred Stock for a total of approximately $0.1 million, and 139,194 shares of 6.25% Series 2027 Term Preferred Stock, for a total of approximately $3.1 million.</w:t>
      </w:r>
    </w:p>
    <w:p>
      <w:pPr>
        <w:ind w:left="1300" w:right="1020" w:hanging="377"/>
        <w:spacing w:after="0" w:line="249"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15, 2020, the Fund elected, at its option, to repay and terminate its $40.0 million repurchase agreement with Nomura. The Fund repurchased all of the previously sold CLO securities from Nomura at a repurchase price of $40.0 million plus accrued funding costs.</w:t>
      </w:r>
    </w:p>
    <w:p>
      <w:pPr>
        <w:ind w:left="1300" w:right="1080" w:hanging="377"/>
        <w:spacing w:after="0" w:line="262" w:lineRule="auto"/>
        <w:tabs>
          <w:tab w:leader="none" w:pos="13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15, 2021, the Fund redeemed all of the issued and outstanding 7.50% Series 2023 Term Preferred Stock at the term redemption price.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8" w:name="page59"/>
    <w:bookmarkEnd w:id="5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14. RISKS AND UNCERTAINTIES</w:t>
      </w:r>
    </w:p>
    <w:p>
      <w:pPr>
        <w:spacing w:after="0" w:line="117" w:lineRule="exact"/>
        <w:rPr>
          <w:sz w:val="20"/>
          <w:szCs w:val="20"/>
          <w:color w:val="auto"/>
        </w:rPr>
      </w:pPr>
    </w:p>
    <w:p>
      <w:pPr>
        <w:ind w:left="920" w:right="920" w:firstLine="382"/>
        <w:spacing w:after="0" w:line="235" w:lineRule="auto"/>
        <w:rPr>
          <w:sz w:val="20"/>
          <w:szCs w:val="20"/>
          <w:color w:val="auto"/>
        </w:rPr>
      </w:pPr>
      <w:r>
        <w:rPr>
          <w:rFonts w:ascii="Times New Roman" w:cs="Times New Roman" w:eastAsia="Times New Roman" w:hAnsi="Times New Roman"/>
          <w:sz w:val="16"/>
          <w:szCs w:val="16"/>
          <w:color w:val="auto"/>
        </w:rPr>
        <w:t>The Fund may be materially adversely affected by market conditions. The Fund is exposed to risks associated with changes in interest rates. Government spending, government policies, including recent changes in certain interest rates by the Federal Reserve and other global central banks, the failure of certain regional banks last year and the potential for disruptions in the availability of credit in the United States and elsewhere, in conjunction with other factors have led and could continue to lead to a continued inflationary economic environment that could affect the Fund’s financial condition and the Fund’s results of operations. The Fund has exposure to interest rate risks to the extent prevailing interest rates change and it could negatively affect the fair value of the Fund’s investments. Market volatility, dramatic change to interest rates and/or unfavorable economic conditions may lower performance or impair the Fund’s ability to achieve its investment objective. The occurrence of any of the above events could have a significant adverse impact on the value and risk profile of the Fund’s investments. Although it is difficult to predict the extent of the impact of economic disruptions on the underlying CLO vehicles the Fund invests in, the failure by a CLO vehicle to satisfy certain financial covenants, including with respect to adequate collateralization and/or interest coverage tests, could lead to a reduction in its payments to us. In the event that a CLO vehicle fails certain tests, holders of debt senior to us may be entitled to additional payments that would, in turn, reduce the payments we would otherwise be entitled to receive. Separately, the Fund may incur expenses to the extent necessary to seek recovery upon default or to negotiate new terms with a defaulting CLO vehicle or any other investment we may make. If any of these occur, it could materially and adversely affect the Fund’s operating results and cash flows.</w:t>
      </w:r>
    </w:p>
    <w:p>
      <w:pPr>
        <w:spacing w:after="0" w:line="103"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CLOs and other structured finance securities are generally backed by a pool of credit-related assets that serve as collateral. Accordingly, CLO and structured finance securities present risks similar to those of other types of credit investments, including default (credit), interest rate, prepayment, and liquidity risks. 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Fund’s investments in CLO debt and equity will likely be subordinate to other senior classes of CLO debt; and (iv) the CLO vehicle itself may experience an event of default, leading to acceleration of the CLO’s debt and liquidation of CLO Assets at undesirable prices. Since the Fund primarily invests in junior debt and equity tranches of a CLO, in the event of default, insolvency, liquidation, dissolution, reorganization or bankruptcy of a CLO issuer, holders of senior debt instruments would be entitled to receive payment in full before the Fund receives any distribution.</w:t>
      </w:r>
    </w:p>
    <w:p>
      <w:pPr>
        <w:spacing w:after="0" w:line="99" w:lineRule="exact"/>
        <w:rPr>
          <w:sz w:val="20"/>
          <w:szCs w:val="20"/>
          <w:color w:val="auto"/>
        </w:rPr>
      </w:pPr>
    </w:p>
    <w:p>
      <w:pPr>
        <w:jc w:val="both"/>
        <w:ind w:left="920" w:right="1140" w:firstLine="382"/>
        <w:spacing w:after="0" w:line="245" w:lineRule="auto"/>
        <w:rPr>
          <w:sz w:val="20"/>
          <w:szCs w:val="20"/>
          <w:color w:val="auto"/>
        </w:rPr>
      </w:pPr>
      <w:r>
        <w:rPr>
          <w:rFonts w:ascii="Times New Roman" w:cs="Times New Roman" w:eastAsia="Times New Roman" w:hAnsi="Times New Roman"/>
          <w:sz w:val="16"/>
          <w:szCs w:val="16"/>
          <w:color w:val="auto"/>
        </w:rPr>
        <w:t>The Fund’s portfolio of investments may lack diversification among CLO vehicles which may subject the Fund to a risk of significant loss if one or more of these CLO vehicles experiences a high level of defaults on its underlying CLO Assets.</w:t>
      </w:r>
    </w:p>
    <w:p>
      <w:pPr>
        <w:spacing w:after="0" w:line="94"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Various social and political circumstances in the United States and around the world (including wars and other forms of conflict and other uncertainties regarding actual and potential shifts in the U.S. and foreign, trade, economic and other policies with other countries, terrorist acts, security operations and catastrophic events such as fires, floods, earthquakes, tornadoes, hurricanes and global health epidemics), may also contribute to increased market volatility and economic uncertainties or deterioration in the U.S. and worldwide. The Israel-Hamas war and the conflict between Russia and Ukraine, and resulting market volatility, could also adversely affect the Fund’s business, operating results, and financial condition. The extent and duration or escalation of such conflicts, resulting sanctions and resulting future market disruptions are impossible to predict, but could be significant. Any disruptions resulting from such conflicts and any future conflict (including cyberattacks, espionage or the use or threatened use of nuclear weapons) or resulting from actual or threatened responses to such actions could cause disruptions to any of our portfolio companies located in Europe or the Middle East or that have substantial business relationships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59" w:name="page60"/>
    <w:bookmarkEnd w:id="5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14. RISKS AND UNCERTAINTIES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1000"/>
        <w:spacing w:after="0" w:line="238" w:lineRule="auto"/>
        <w:rPr>
          <w:sz w:val="20"/>
          <w:szCs w:val="20"/>
          <w:color w:val="auto"/>
        </w:rPr>
      </w:pPr>
      <w:r>
        <w:rPr>
          <w:rFonts w:ascii="Times New Roman" w:cs="Times New Roman" w:eastAsia="Times New Roman" w:hAnsi="Times New Roman"/>
          <w:sz w:val="16"/>
          <w:szCs w:val="16"/>
          <w:color w:val="auto"/>
        </w:rPr>
        <w:t>with companies in affected regions.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15. ISSUANCES OF COMMON STOCK</w:t>
      </w:r>
    </w:p>
    <w:p>
      <w:pPr>
        <w:spacing w:after="0" w:line="117" w:lineRule="exact"/>
        <w:rPr>
          <w:sz w:val="20"/>
          <w:szCs w:val="20"/>
          <w:color w:val="auto"/>
        </w:rPr>
      </w:pPr>
    </w:p>
    <w:p>
      <w:pPr>
        <w:ind w:left="920" w:right="1080" w:firstLine="382"/>
        <w:spacing w:after="0" w:line="241" w:lineRule="auto"/>
        <w:rPr>
          <w:sz w:val="20"/>
          <w:szCs w:val="20"/>
          <w:color w:val="auto"/>
        </w:rPr>
      </w:pPr>
      <w:r>
        <w:rPr>
          <w:rFonts w:ascii="Times New Roman" w:cs="Times New Roman" w:eastAsia="Times New Roman" w:hAnsi="Times New Roman"/>
          <w:sz w:val="16"/>
          <w:szCs w:val="16"/>
          <w:color w:val="auto"/>
        </w:rPr>
        <w:t>The Fund sold a total of 93,919,706 shares of common stock pursuant to an “at-the- market” offering during the six months ended September 30, 2024. The total amount of capital raised under these issuances was approximately $497.2 million and net proceeds were approximately $494.0 million after deducting the sales agent’s commissions and offering expenses.</w:t>
      </w:r>
    </w:p>
    <w:p>
      <w:pPr>
        <w:spacing w:after="0" w:line="97" w:lineRule="exact"/>
        <w:rPr>
          <w:sz w:val="20"/>
          <w:szCs w:val="20"/>
          <w:color w:val="auto"/>
        </w:rPr>
      </w:pPr>
    </w:p>
    <w:p>
      <w:pPr>
        <w:jc w:val="both"/>
        <w:ind w:left="920" w:right="1000" w:firstLine="382"/>
        <w:spacing w:after="0" w:line="241" w:lineRule="auto"/>
        <w:rPr>
          <w:sz w:val="20"/>
          <w:szCs w:val="20"/>
          <w:color w:val="auto"/>
        </w:rPr>
      </w:pPr>
      <w:r>
        <w:rPr>
          <w:rFonts w:ascii="Times New Roman" w:cs="Times New Roman" w:eastAsia="Times New Roman" w:hAnsi="Times New Roman"/>
          <w:sz w:val="16"/>
          <w:szCs w:val="16"/>
          <w:color w:val="auto"/>
        </w:rPr>
        <w:t>The Fund sold a total of 62,310,055 shares of common stock pursuant to an “at-the-market” offering during the fiscal year ended March 31, 2024. The total amount of capital raised under these issuances was approximately $315.2 million and net proceeds were approximately $311.8 million after deducting the sales agent’s commissions and offering expenses.</w:t>
      </w:r>
    </w:p>
    <w:p>
      <w:pPr>
        <w:spacing w:after="0" w:line="97" w:lineRule="exact"/>
        <w:rPr>
          <w:sz w:val="20"/>
          <w:szCs w:val="20"/>
          <w:color w:val="auto"/>
        </w:rPr>
      </w:pPr>
    </w:p>
    <w:p>
      <w:pPr>
        <w:ind w:left="920" w:right="1000" w:firstLine="382"/>
        <w:spacing w:after="0" w:line="245" w:lineRule="auto"/>
        <w:rPr>
          <w:sz w:val="20"/>
          <w:szCs w:val="20"/>
          <w:color w:val="auto"/>
        </w:rPr>
      </w:pPr>
      <w:r>
        <w:rPr>
          <w:rFonts w:ascii="Times New Roman" w:cs="Times New Roman" w:eastAsia="Times New Roman" w:hAnsi="Times New Roman"/>
          <w:sz w:val="16"/>
          <w:szCs w:val="16"/>
          <w:color w:val="auto"/>
        </w:rPr>
        <w:t>For the six months ended September 30, 2024, the Fund issued 4,209,863 shares of common stock in connection with the distribution reinvestment plan. For the year ended March 31, 2024, the Fund issued 4,744,636 shares of common stock in connection with the distribution reinvestment plan.</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NOTE 16. SUBSEQUENT EVENTS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Board of Directors declared monthly distributions $0.09 per share on its common stock,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88"/>
        </w:trPr>
        <w:tc>
          <w:tcPr>
            <w:tcW w:w="1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30"/>
        </w:trPr>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31, 2024</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July 25, 2024</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October 17, 2024</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31, 2024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November 30, 2024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15, 2024</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29, 2024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6"/>
        </w:trPr>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31, 2024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July 25, 2024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December 17, 2024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December 31, 2024</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January 31, 2025</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January 17, 2025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January 31, 2025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6"/>
        </w:trPr>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28, 2025</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February 14, 2025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February 28, 2025</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March 31, 2025</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March 17, 2025</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March 31, 2025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0.09</w:t>
            </w:r>
          </w:p>
        </w:tc>
      </w:tr>
      <w:tr>
        <w:trPr>
          <w:trHeight w:val="360"/>
        </w:trPr>
        <w:tc>
          <w:tcPr>
            <w:tcW w:w="1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883"/>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40" w:orient="portrait"/>
          <w:cols w:equalWidth="0" w:num="1">
            <w:col w:w="9020"/>
          </w:cols>
          <w:pgMar w:left="1440" w:top="556" w:right="1440" w:bottom="1440" w:gutter="0" w:footer="0" w:header="0"/>
        </w:sectPr>
      </w:pPr>
    </w:p>
    <w:bookmarkStart w:id="60" w:name="page61"/>
    <w:bookmarkEnd w:id="6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FINANCIAL STATEMENTS</w:t>
      </w:r>
    </w:p>
    <w:p>
      <w:pPr>
        <w:jc w:val="center"/>
        <w:spacing w:after="0" w:line="233" w:lineRule="auto"/>
        <w:rPr>
          <w:sz w:val="20"/>
          <w:szCs w:val="20"/>
          <w:color w:val="auto"/>
        </w:rPr>
      </w:pPr>
      <w:r>
        <w:rPr>
          <w:rFonts w:ascii="Times New Roman" w:cs="Times New Roman" w:eastAsia="Times New Roman" w:hAnsi="Times New Roman"/>
          <w:sz w:val="16"/>
          <w:szCs w:val="16"/>
          <w:b w:val="1"/>
          <w:bCs w:val="1"/>
          <w:color w:val="auto"/>
        </w:rPr>
        <w:t>SEPTEMBER 30, 2024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 xml:space="preserve">NOTE 16. SUBSEQUENT EVENTS </w:t>
      </w:r>
      <w:r>
        <w:rPr>
          <w:rFonts w:ascii="Times New Roman" w:cs="Times New Roman" w:eastAsia="Times New Roman" w:hAnsi="Times New Roman"/>
          <w:sz w:val="16"/>
          <w:szCs w:val="16"/>
          <w:color w:val="auto"/>
        </w:rPr>
        <w:t>(cont.)</w:t>
      </w:r>
    </w:p>
    <w:p>
      <w:pPr>
        <w:spacing w:after="0" w:line="153" w:lineRule="exact"/>
        <w:rPr>
          <w:sz w:val="20"/>
          <w:szCs w:val="20"/>
          <w:color w:val="auto"/>
        </w:rPr>
      </w:pPr>
    </w:p>
    <w:p>
      <w:pPr>
        <w:ind w:left="920" w:right="1040" w:firstLine="382"/>
        <w:spacing w:after="0" w:line="257" w:lineRule="auto"/>
        <w:rPr>
          <w:sz w:val="20"/>
          <w:szCs w:val="20"/>
          <w:color w:val="auto"/>
        </w:rPr>
      </w:pPr>
      <w:r>
        <w:rPr>
          <w:rFonts w:ascii="Times New Roman" w:cs="Times New Roman" w:eastAsia="Times New Roman" w:hAnsi="Times New Roman"/>
          <w:sz w:val="16"/>
          <w:szCs w:val="16"/>
          <w:color w:val="auto"/>
        </w:rPr>
        <w:t>The Board of Directors declared the required monthly dividends on 6.25% Series 2027, 6.00% Series 2029, and 7.125% Series 2029 Term Preferred Shares (each, a “Share”), as follows:</w:t>
      </w:r>
    </w:p>
    <w:p>
      <w:pPr>
        <w:spacing w:after="0" w:line="11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67"/>
        </w:trPr>
        <w:tc>
          <w:tcPr>
            <w:tcW w:w="1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88"/>
        </w:trPr>
        <w:tc>
          <w:tcPr>
            <w:tcW w:w="18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8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Dates</w:t>
            </w:r>
          </w:p>
        </w:tc>
        <w:tc>
          <w:tcPr>
            <w:tcW w:w="8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Payable Dates</w:t>
            </w:r>
          </w:p>
        </w:tc>
      </w:tr>
      <w:tr>
        <w:trPr>
          <w:trHeight w:val="30"/>
        </w:trPr>
        <w:tc>
          <w:tcPr>
            <w:tcW w:w="18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58"/>
        </w:trPr>
        <w:tc>
          <w:tcPr>
            <w:tcW w:w="18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6.25% Series 2027</w:t>
            </w:r>
          </w:p>
        </w:tc>
        <w:tc>
          <w:tcPr>
            <w:tcW w:w="11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6"/>
              </w:rPr>
              <w:t>July 25, 2024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ind w:left="80"/>
              <w:spacing w:after="0" w:line="158" w:lineRule="exact"/>
              <w:rPr>
                <w:sz w:val="20"/>
                <w:szCs w:val="20"/>
                <w:color w:val="auto"/>
              </w:rPr>
            </w:pPr>
            <w:r>
              <w:rPr>
                <w:rFonts w:ascii="Times New Roman" w:cs="Times New Roman" w:eastAsia="Times New Roman" w:hAnsi="Times New Roman"/>
                <w:sz w:val="16"/>
                <w:szCs w:val="16"/>
                <w:color w:val="auto"/>
                <w:w w:val="94"/>
              </w:rPr>
              <w:t>0.13020833</w:t>
            </w: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6"/>
              </w:rPr>
              <w:t>October 17, 2024,</w:t>
            </w: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6"/>
                <w:szCs w:val="16"/>
                <w:color w:val="auto"/>
                <w:w w:val="96"/>
              </w:rPr>
              <w:t>October 31, 2024,</w:t>
            </w:r>
          </w:p>
        </w:tc>
      </w:tr>
      <w:tr>
        <w:trPr>
          <w:trHeight w:val="208"/>
        </w:trPr>
        <w:tc>
          <w:tcPr>
            <w:tcW w:w="18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November 15, 2024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November 29, 2024</w:t>
            </w:r>
          </w:p>
        </w:tc>
      </w:tr>
      <w:tr>
        <w:trPr>
          <w:trHeight w:val="286"/>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6.00% Series 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July 25,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0.12500000</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17, 2024,</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31, 2024,</w:t>
            </w:r>
          </w:p>
        </w:tc>
      </w:tr>
      <w:tr>
        <w:trPr>
          <w:trHeight w:val="202"/>
        </w:trPr>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15, 2024</w:t>
            </w: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November 29, 2024</w:t>
            </w:r>
          </w:p>
        </w:tc>
      </w:tr>
      <w:tr>
        <w:trPr>
          <w:trHeight w:val="26"/>
        </w:trPr>
        <w:tc>
          <w:tcPr>
            <w:tcW w:w="1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7.125% Series 2029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July 25,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4"/>
              </w:rPr>
              <w:t>0.14843750</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17, 2024,</w:t>
            </w: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31, 2024,</w:t>
            </w:r>
          </w:p>
        </w:tc>
      </w:tr>
      <w:tr>
        <w:trPr>
          <w:trHeight w:val="208"/>
        </w:trPr>
        <w:tc>
          <w:tcPr>
            <w:tcW w:w="18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November 15, 2024</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November 29, 2024</w:t>
            </w:r>
          </w:p>
        </w:tc>
      </w:tr>
      <w:tr>
        <w:trPr>
          <w:trHeight w:val="286"/>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6.25% Series 2027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0.13020833</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December 17, 2024,</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December 31, 2024,</w:t>
            </w:r>
          </w:p>
        </w:tc>
      </w:tr>
      <w:tr>
        <w:trPr>
          <w:trHeight w:val="179"/>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17, 2025,</w:t>
            </w:r>
          </w:p>
        </w:tc>
        <w:tc>
          <w:tcPr>
            <w:tcW w:w="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31, 2025,</w:t>
            </w:r>
          </w:p>
        </w:tc>
      </w:tr>
      <w:tr>
        <w:trPr>
          <w:trHeight w:val="202"/>
        </w:trPr>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2025</w:t>
            </w: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28, 2025</w:t>
            </w:r>
          </w:p>
        </w:tc>
      </w:tr>
      <w:tr>
        <w:trPr>
          <w:trHeight w:val="26"/>
        </w:trPr>
        <w:tc>
          <w:tcPr>
            <w:tcW w:w="18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86"/>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6.00% Series 2029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4"/>
              </w:rPr>
              <w:t>0.12500000</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December 17, 2024,</w:t>
            </w: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December 31, 2024,</w:t>
            </w:r>
          </w:p>
        </w:tc>
      </w:tr>
      <w:tr>
        <w:trPr>
          <w:trHeight w:val="179"/>
        </w:trPr>
        <w:tc>
          <w:tcPr>
            <w:tcW w:w="18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17, 2025,</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31, 2025,</w:t>
            </w:r>
          </w:p>
        </w:tc>
      </w:tr>
      <w:tr>
        <w:trPr>
          <w:trHeight w:val="208"/>
        </w:trPr>
        <w:tc>
          <w:tcPr>
            <w:tcW w:w="18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February 14, 2025</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February 28, 2025</w:t>
            </w:r>
          </w:p>
        </w:tc>
      </w:tr>
      <w:tr>
        <w:trPr>
          <w:trHeight w:val="286"/>
        </w:trPr>
        <w:tc>
          <w:tcPr>
            <w:tcW w:w="1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7.125% Series 2029</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October 24, 2024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94"/>
              </w:rPr>
              <w:t>0.14843750</w:t>
            </w:r>
          </w:p>
        </w:tc>
        <w:tc>
          <w:tcPr>
            <w:tcW w:w="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December 17, 2024,</w:t>
            </w: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December 31, 2024,</w:t>
            </w:r>
          </w:p>
        </w:tc>
      </w:tr>
      <w:tr>
        <w:trPr>
          <w:trHeight w:val="179"/>
        </w:trPr>
        <w:tc>
          <w:tcPr>
            <w:tcW w:w="18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17, 2025,</w:t>
            </w:r>
          </w:p>
        </w:tc>
        <w:tc>
          <w:tcPr>
            <w:tcW w:w="80" w:type="dxa"/>
            <w:vAlign w:val="bottom"/>
          </w:tcPr>
          <w:p>
            <w:pPr>
              <w:spacing w:after="0"/>
              <w:rPr>
                <w:sz w:val="15"/>
                <w:szCs w:val="15"/>
                <w:color w:val="auto"/>
              </w:rPr>
            </w:pPr>
          </w:p>
        </w:tc>
        <w:tc>
          <w:tcPr>
            <w:tcW w:w="15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w w:val="96"/>
              </w:rPr>
              <w:t>January 31, 2025,</w:t>
            </w:r>
          </w:p>
        </w:tc>
      </w:tr>
      <w:tr>
        <w:trPr>
          <w:trHeight w:val="202"/>
        </w:trPr>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14, 2025</w:t>
            </w:r>
          </w:p>
        </w:tc>
        <w:tc>
          <w:tcPr>
            <w:tcW w:w="8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February 28, 2025</w:t>
            </w:r>
          </w:p>
        </w:tc>
      </w:tr>
    </w:tbl>
    <w:p>
      <w:pPr>
        <w:spacing w:after="0" w:line="168" w:lineRule="exact"/>
        <w:rPr>
          <w:sz w:val="20"/>
          <w:szCs w:val="20"/>
          <w:color w:val="auto"/>
        </w:rPr>
      </w:pPr>
    </w:p>
    <w:p>
      <w:pPr>
        <w:ind w:left="920" w:right="1380" w:firstLine="382"/>
        <w:spacing w:after="0" w:line="257" w:lineRule="auto"/>
        <w:rPr>
          <w:sz w:val="20"/>
          <w:szCs w:val="20"/>
          <w:color w:val="auto"/>
        </w:rPr>
      </w:pPr>
      <w:r>
        <w:rPr>
          <w:rFonts w:ascii="Times New Roman" w:cs="Times New Roman" w:eastAsia="Times New Roman" w:hAnsi="Times New Roman"/>
          <w:sz w:val="16"/>
          <w:szCs w:val="16"/>
          <w:color w:val="auto"/>
        </w:rPr>
        <w:t>The Fund has evaluated subsequent events through the date of issuance and noted no other events that necessitate adjustments to or disclosure in the financial statements.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1" w:name="page62"/>
    <w:bookmarkEnd w:id="6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p>
      <w:pPr>
        <w:spacing w:after="0" w:line="1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Price Range of Common Stock</w:t>
      </w:r>
    </w:p>
    <w:p>
      <w:pPr>
        <w:ind w:left="410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1020" w:firstLine="382"/>
        <w:spacing w:after="0" w:line="241" w:lineRule="auto"/>
        <w:rPr>
          <w:sz w:val="20"/>
          <w:szCs w:val="20"/>
          <w:color w:val="auto"/>
        </w:rPr>
      </w:pPr>
      <w:r>
        <w:rPr>
          <w:rFonts w:ascii="Times New Roman" w:cs="Times New Roman" w:eastAsia="Times New Roman" w:hAnsi="Times New Roman"/>
          <w:sz w:val="16"/>
          <w:szCs w:val="16"/>
          <w:color w:val="auto"/>
        </w:rPr>
        <w:t>Our common stock is traded on the NASDAQ Global Select Market under the symbol “OXLC.” The following table sets forth, for each fiscal quarter during the last two fiscal years and the current fiscal year to date, the NAV per share of our common stock, the high and low intraday sales prices for our common stock, such sales prices as a percentage of NAV per share and quarterly distributions per share.</w:t>
      </w:r>
    </w:p>
    <w:p>
      <w:pPr>
        <w:spacing w:after="0" w:line="133" w:lineRule="exact"/>
        <w:rPr>
          <w:sz w:val="20"/>
          <w:szCs w:val="20"/>
          <w:color w:val="auto"/>
        </w:rPr>
      </w:pPr>
    </w:p>
    <w:tbl>
      <w:tblPr>
        <w:tblLayout w:type="fixed"/>
        <w:tblInd w:w="920" w:type="dxa"/>
        <w:tblCellMar>
          <w:top w:w="0" w:type="dxa"/>
          <w:left w:w="0" w:type="dxa"/>
          <w:bottom w:w="0" w:type="dxa"/>
          <w:right w:w="0" w:type="dxa"/>
        </w:tblCellMar>
      </w:tblPr>
      <w:tr>
        <w:trPr>
          <w:trHeight w:val="155"/>
        </w:trPr>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Price Range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Premium/</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100" w:type="dxa"/>
            <w:vAlign w:val="bottom"/>
          </w:tcPr>
          <w:p>
            <w:pPr>
              <w:spacing w:after="0"/>
              <w:rPr>
                <w:sz w:val="7"/>
                <w:szCs w:val="7"/>
                <w:color w:val="auto"/>
              </w:rPr>
            </w:pPr>
          </w:p>
        </w:tc>
        <w:tc>
          <w:tcPr>
            <w:tcW w:w="92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(Discount)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1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of High</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of Low</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Sales Price</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Sales Price</w:t>
            </w:r>
          </w:p>
        </w:tc>
        <w:tc>
          <w:tcPr>
            <w:tcW w:w="8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rPr>
              <w:t>Distributions</w:t>
            </w:r>
          </w:p>
        </w:tc>
        <w:tc>
          <w:tcPr>
            <w:tcW w:w="0" w:type="dxa"/>
            <w:vAlign w:val="bottom"/>
          </w:tcPr>
          <w:p>
            <w:pPr>
              <w:spacing w:after="0"/>
              <w:rPr>
                <w:sz w:val="1"/>
                <w:szCs w:val="1"/>
                <w:color w:val="auto"/>
              </w:rPr>
            </w:pPr>
          </w:p>
        </w:tc>
      </w:tr>
      <w:tr>
        <w:trPr>
          <w:trHeight w:val="229"/>
        </w:trPr>
        <w:tc>
          <w:tcPr>
            <w:tcW w:w="1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line="228" w:lineRule="exact"/>
              <w:rPr>
                <w:sz w:val="20"/>
                <w:szCs w:val="20"/>
                <w:color w:val="auto"/>
              </w:rPr>
            </w:pPr>
            <w:r>
              <w:rPr>
                <w:rFonts w:ascii="Times New Roman" w:cs="Times New Roman" w:eastAsia="Times New Roman" w:hAnsi="Times New Roman"/>
                <w:sz w:val="26"/>
                <w:szCs w:val="26"/>
                <w:b w:val="1"/>
                <w:bCs w:val="1"/>
                <w:color w:val="auto"/>
                <w:w w:val="89"/>
                <w:vertAlign w:val="subscript"/>
              </w:rPr>
              <w:t>NAV</w:t>
            </w:r>
            <w:r>
              <w:rPr>
                <w:rFonts w:ascii="Times New Roman" w:cs="Times New Roman" w:eastAsia="Times New Roman" w:hAnsi="Times New Roman"/>
                <w:sz w:val="10"/>
                <w:szCs w:val="10"/>
                <w:b w:val="1"/>
                <w:bCs w:val="1"/>
                <w:color w:val="auto"/>
                <w:w w:val="89"/>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High</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Low</w:t>
            </w: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to NAV</w:t>
            </w:r>
            <w:r>
              <w:rPr>
                <w:rFonts w:ascii="Times New Roman" w:cs="Times New Roman" w:eastAsia="Times New Roman" w:hAnsi="Times New Roman"/>
                <w:sz w:val="19"/>
                <w:szCs w:val="19"/>
                <w:b w:val="1"/>
                <w:bCs w:val="1"/>
                <w:color w:val="auto"/>
                <w:vertAlign w:val="superscript"/>
              </w:rPr>
              <w:t>(2)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 NAV</w:t>
            </w:r>
            <w:r>
              <w:rPr>
                <w:rFonts w:ascii="Times New Roman" w:cs="Times New Roman" w:eastAsia="Times New Roman" w:hAnsi="Times New Roman"/>
                <w:sz w:val="19"/>
                <w:szCs w:val="19"/>
                <w:b w:val="1"/>
                <w:bCs w:val="1"/>
                <w:color w:val="auto"/>
                <w:vertAlign w:val="superscript"/>
              </w:rPr>
              <w:t>(2)</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4"/>
              </w:rPr>
              <w:t>Per Share</w:t>
            </w:r>
            <w:r>
              <w:rPr>
                <w:rFonts w:ascii="Times New Roman" w:cs="Times New Roman" w:eastAsia="Times New Roman" w:hAnsi="Times New Roman"/>
                <w:sz w:val="19"/>
                <w:szCs w:val="19"/>
                <w:b w:val="1"/>
                <w:bCs w:val="1"/>
                <w:color w:val="auto"/>
                <w:w w:val="94"/>
                <w:vertAlign w:val="superscript"/>
              </w:rPr>
              <w:t>(3)</w:t>
            </w:r>
          </w:p>
        </w:tc>
        <w:tc>
          <w:tcPr>
            <w:tcW w:w="0" w:type="dxa"/>
            <w:vAlign w:val="bottom"/>
          </w:tcPr>
          <w:p>
            <w:pPr>
              <w:spacing w:after="0"/>
              <w:rPr>
                <w:sz w:val="1"/>
                <w:szCs w:val="1"/>
                <w:color w:val="auto"/>
              </w:rPr>
            </w:pPr>
          </w:p>
        </w:tc>
      </w:tr>
      <w:tr>
        <w:trPr>
          <w:trHeight w:val="235"/>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Fiscal 2025</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Third Quarter (through</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October 30, 2024)</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0.270</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9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19.3%</w:t>
            </w:r>
          </w:p>
        </w:tc>
        <w:tc>
          <w:tcPr>
            <w:tcW w:w="10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0.270</w:t>
            </w: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17.7%</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0.8%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2024</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9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10.4%</w:t>
            </w:r>
          </w:p>
        </w:tc>
        <w:tc>
          <w:tcPr>
            <w:tcW w:w="10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0.4%</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6.6%</w:t>
            </w:r>
          </w:p>
        </w:tc>
        <w:tc>
          <w:tcPr>
            <w:tcW w:w="102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w:t>
            </w:r>
          </w:p>
        </w:tc>
        <w:tc>
          <w:tcPr>
            <w:tcW w:w="9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18.5%</w:t>
            </w:r>
          </w:p>
        </w:tc>
        <w:tc>
          <w:tcPr>
            <w:tcW w:w="10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(0.6)%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0.240</w:t>
            </w: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24.2%</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7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Fiscal 2023</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9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36.0%</w:t>
            </w:r>
          </w:p>
        </w:tc>
        <w:tc>
          <w:tcPr>
            <w:tcW w:w="102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23.5%</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4.8%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30"/>
        </w:trPr>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2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9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rPr>
              <w:t>37.7%</w:t>
            </w:r>
          </w:p>
        </w:tc>
        <w:tc>
          <w:tcPr>
            <w:tcW w:w="10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(2.0)%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23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2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94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color w:val="auto"/>
              </w:rPr>
              <w:t>44.4%</w:t>
            </w:r>
          </w:p>
        </w:tc>
        <w:tc>
          <w:tcPr>
            <w:tcW w:w="1020" w:type="dxa"/>
            <w:vAlign w:val="bottom"/>
            <w:gridSpan w:val="2"/>
          </w:tcPr>
          <w:p>
            <w:pPr>
              <w:jc w:val="right"/>
              <w:ind w:right="94"/>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0.225</w:t>
            </w:r>
          </w:p>
        </w:tc>
        <w:tc>
          <w:tcPr>
            <w:tcW w:w="0" w:type="dxa"/>
            <w:vAlign w:val="bottom"/>
          </w:tcPr>
          <w:p>
            <w:pPr>
              <w:spacing w:after="0"/>
              <w:rPr>
                <w:sz w:val="1"/>
                <w:szCs w:val="1"/>
                <w:color w:val="auto"/>
              </w:rPr>
            </w:pPr>
          </w:p>
        </w:tc>
      </w:tr>
      <w:tr>
        <w:trPr>
          <w:trHeight w:val="251"/>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300" w:right="940" w:hanging="377"/>
        <w:spacing w:after="0" w:line="257"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1300" w:hanging="377"/>
        <w:spacing w:after="0"/>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respective high or low intraday sales price divided by NAV and subtracting 1.</w:t>
      </w:r>
    </w:p>
    <w:p>
      <w:pPr>
        <w:spacing w:after="0" w:line="6" w:lineRule="exact"/>
        <w:rPr>
          <w:rFonts w:ascii="Times New Roman" w:cs="Times New Roman" w:eastAsia="Times New Roman" w:hAnsi="Times New Roman"/>
          <w:sz w:val="14"/>
          <w:szCs w:val="14"/>
          <w:color w:val="auto"/>
        </w:rPr>
      </w:pPr>
    </w:p>
    <w:p>
      <w:pPr>
        <w:ind w:left="1300" w:right="1140" w:hanging="377"/>
        <w:spacing w:after="0" w:line="249" w:lineRule="auto"/>
        <w:tabs>
          <w:tab w:leader="none" w:pos="13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cash distributions, including dividends, dividends reinvested and returns of capital, if any, per share that we have declared on our common stock in the specified quarter.</w:t>
      </w:r>
    </w:p>
    <w:p>
      <w:pPr>
        <w:spacing w:after="0" w:line="1" w:lineRule="exact"/>
        <w:rPr>
          <w:sz w:val="20"/>
          <w:szCs w:val="20"/>
          <w:color w:val="auto"/>
        </w:rPr>
      </w:pPr>
    </w:p>
    <w:p>
      <w:pPr>
        <w:ind w:left="1280" w:hanging="357"/>
        <w:spacing w:after="0"/>
        <w:tabs>
          <w:tab w:leader="none" w:pos="12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determinable at the time of filing.</w:t>
      </w:r>
    </w:p>
    <w:p>
      <w:pPr>
        <w:spacing w:after="0" w:line="109" w:lineRule="exact"/>
        <w:rPr>
          <w:sz w:val="20"/>
          <w:szCs w:val="20"/>
          <w:color w:val="auto"/>
        </w:rPr>
      </w:pPr>
    </w:p>
    <w:p>
      <w:pPr>
        <w:ind w:left="920" w:right="1040" w:firstLine="382"/>
        <w:spacing w:after="0" w:line="257" w:lineRule="auto"/>
        <w:rPr>
          <w:sz w:val="20"/>
          <w:szCs w:val="20"/>
          <w:color w:val="auto"/>
        </w:rPr>
      </w:pPr>
      <w:r>
        <w:rPr>
          <w:rFonts w:ascii="Times New Roman" w:cs="Times New Roman" w:eastAsia="Times New Roman" w:hAnsi="Times New Roman"/>
          <w:sz w:val="16"/>
          <w:szCs w:val="16"/>
          <w:color w:val="auto"/>
        </w:rPr>
        <w:t>On October 30, 2024, the last reported sales price of our common stock was $5.25 per share. As of October 30, 2024, we had 126 holders of record of our common stock.</w:t>
      </w:r>
    </w:p>
    <w:p>
      <w:pPr>
        <w:spacing w:after="0" w:line="84"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Shares of closed-end management investment companies may trade at a market price that is less than the value of the net assets attributable to those shares. The possibility that our shares of common stock will trade at a discount from net asset value or at premiums that are unsustainable over the long term are separate and distinct from the risk that our net asset value will decrease. Since our initial public offering, shares of our common stock have traded at a discount and at a premium to the net assets attributable to those shares. As of October 30, 2024, our shares of common stock traded at a premium equal to approximately 10.29% of our net asset value per share as of September 30, 2024. It is not possible to predict whether the shares offered hereby will trade at, above, or below net asset value.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2" w:name="page63"/>
    <w:bookmarkEnd w:id="6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DISTRIBUTIONS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1140" w:firstLine="382"/>
        <w:spacing w:after="0" w:line="287" w:lineRule="auto"/>
        <w:rPr>
          <w:sz w:val="20"/>
          <w:szCs w:val="20"/>
          <w:color w:val="auto"/>
        </w:rPr>
      </w:pPr>
      <w:r>
        <w:rPr>
          <w:rFonts w:ascii="Times New Roman" w:cs="Times New Roman" w:eastAsia="Times New Roman" w:hAnsi="Times New Roman"/>
          <w:sz w:val="14"/>
          <w:szCs w:val="14"/>
          <w:color w:val="auto"/>
        </w:rPr>
        <w:t>To the extent that we have income available, we intend to distribute monthly distributions to our common stockholders. The amount of our distributions, if any, will be determined by our Board of Directors. Any distributions to our stockholders will be declared out of assets legally available for distribution. The specific tax characteristics of our distributions will be reported to stockholders after the end of each calendar year.</w:t>
      </w:r>
    </w:p>
    <w:p>
      <w:pPr>
        <w:spacing w:after="0" w:line="13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Distribution Reinvestment Plan</w:t>
      </w:r>
    </w:p>
    <w:p>
      <w:pPr>
        <w:spacing w:after="0" w:line="117" w:lineRule="exact"/>
        <w:rPr>
          <w:sz w:val="20"/>
          <w:szCs w:val="20"/>
          <w:color w:val="auto"/>
        </w:rPr>
      </w:pPr>
    </w:p>
    <w:p>
      <w:pPr>
        <w:ind w:left="920" w:right="940" w:firstLine="382"/>
        <w:spacing w:after="0" w:line="239" w:lineRule="auto"/>
        <w:rPr>
          <w:sz w:val="20"/>
          <w:szCs w:val="20"/>
          <w:color w:val="auto"/>
        </w:rPr>
      </w:pPr>
      <w:r>
        <w:rPr>
          <w:rFonts w:ascii="Times New Roman" w:cs="Times New Roman" w:eastAsia="Times New Roman" w:hAnsi="Times New Roman"/>
          <w:sz w:val="16"/>
          <w:szCs w:val="16"/>
          <w:color w:val="auto"/>
        </w:rPr>
        <w:t>We have adopted a distribution reinvestment plan that provides for reinvestment of our distributions on behalf of our stockholders, unless a stockholder elects to receive cash as provided below. As a result, if our Board of Directors authorizes, and we declare, a cash distribution, our stockholders who have not opted out of our distribution reinvestment plan will have their cash distributions automatically reinvested in additional shares of our common stock, rather than receiving the cash distributions.</w:t>
      </w:r>
    </w:p>
    <w:p>
      <w:pPr>
        <w:spacing w:after="0" w:line="100" w:lineRule="exact"/>
        <w:rPr>
          <w:sz w:val="20"/>
          <w:szCs w:val="20"/>
          <w:color w:val="auto"/>
        </w:rPr>
      </w:pPr>
    </w:p>
    <w:p>
      <w:pPr>
        <w:ind w:left="920" w:right="1020" w:firstLine="382"/>
        <w:spacing w:after="0" w:line="236" w:lineRule="auto"/>
        <w:rPr>
          <w:sz w:val="20"/>
          <w:szCs w:val="20"/>
          <w:color w:val="auto"/>
        </w:rPr>
      </w:pPr>
      <w:r>
        <w:rPr>
          <w:rFonts w:ascii="Times New Roman" w:cs="Times New Roman" w:eastAsia="Times New Roman" w:hAnsi="Times New Roman"/>
          <w:sz w:val="16"/>
          <w:szCs w:val="16"/>
          <w:color w:val="auto"/>
        </w:rPr>
        <w:t>No action will be required on the part of a registered stockholder to have his cash distribution reinvested in shares of our common stock. A registered stockholder may elect to receive an entire distribution in cash by notifying Computershare Trust Company, N.A., the plan administrator and our transfer agent and registrar, by telephone, through the Internet or in writing so that such notice is received by the plan administrator no later than the record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by telephone, through the Internet or writing prior to the record date, the plan administrator will, instead of crediting shares to the participant’s account, issue a certificate registered in the participant’s name for the number of whole shares of our common stock and a check for any fractional share, less any applicable fees.</w:t>
      </w:r>
    </w:p>
    <w:p>
      <w:pPr>
        <w:spacing w:after="0" w:line="103" w:lineRule="exact"/>
        <w:rPr>
          <w:sz w:val="20"/>
          <w:szCs w:val="20"/>
          <w:color w:val="auto"/>
        </w:rPr>
      </w:pPr>
    </w:p>
    <w:p>
      <w:pPr>
        <w:ind w:left="920" w:right="1640" w:firstLine="382"/>
        <w:spacing w:after="0" w:line="328" w:lineRule="auto"/>
        <w:rPr>
          <w:sz w:val="20"/>
          <w:szCs w:val="20"/>
          <w:color w:val="auto"/>
        </w:rPr>
      </w:pPr>
      <w:r>
        <w:rPr>
          <w:rFonts w:ascii="Times New Roman" w:cs="Times New Roman" w:eastAsia="Times New Roman" w:hAnsi="Times New Roman"/>
          <w:sz w:val="14"/>
          <w:szCs w:val="14"/>
          <w:color w:val="auto"/>
        </w:rPr>
        <w:t>Those stockholders whose shares are held by a broker or other financial intermediary may receive distributions in cash by notifying their broker or other financial intermediary of their election.</w:t>
      </w:r>
    </w:p>
    <w:p>
      <w:pPr>
        <w:spacing w:after="0" w:line="38" w:lineRule="exact"/>
        <w:rPr>
          <w:sz w:val="20"/>
          <w:szCs w:val="20"/>
          <w:color w:val="auto"/>
        </w:rPr>
      </w:pPr>
    </w:p>
    <w:p>
      <w:pPr>
        <w:ind w:left="920" w:right="1000" w:firstLine="382"/>
        <w:spacing w:after="0" w:line="236" w:lineRule="auto"/>
        <w:rPr>
          <w:sz w:val="20"/>
          <w:szCs w:val="20"/>
          <w:color w:val="auto"/>
        </w:rPr>
      </w:pPr>
      <w:r>
        <w:rPr>
          <w:rFonts w:ascii="Times New Roman" w:cs="Times New Roman" w:eastAsia="Times New Roman" w:hAnsi="Times New Roman"/>
          <w:sz w:val="16"/>
          <w:szCs w:val="16"/>
          <w:color w:val="auto"/>
        </w:rPr>
        <w:t>We expect to use primarily newly-issued shares to implement the plan, whether our shares are trading at a premium or at a discount to net asset value. Under such circumstances, the number of shares to be issued to a stockholder is determined by dividing the total dollar amount of the distribution payable to such stockholder by an amount equal to ninety-five (95%) percent of the market price per share of our common stock at the close of regular trading on the Nasdaq Global Select Market on the valuation date fixed by our Board of Directors for such distribution. Market price per share on that date will be the closing price for such shares on the Nasdaq Global Select Market or, if no sale is reported for such day, at the average of their electronically reported bid and asked prices. We reserve the right to purchase shares in the open market in connection with our implementation of the plan.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01"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There is no charge to stockholders for receiving their distributions in the form of additional shares of our common stock. Any transaction fees, brokerage charges, plan administrator’s fees or any other charges for handling distributions in stock are paid by us. There are no brokerage charges with respect to shares we have issued directly as a result of distributions payable in stock. If a participant elects by telephonic, Internet or written notice to the plan administrator to have the plan administrator sell part or all of the shares held by the plan administrator in the participant’s account and remit the proceeds to the participant, the plan administrator is authorized to deduct a $2.50 transaction fee plus brokerage charges from the proceeds.</w:t>
      </w:r>
    </w:p>
    <w:p>
      <w:pPr>
        <w:spacing w:after="0" w:line="97" w:lineRule="exact"/>
        <w:rPr>
          <w:sz w:val="20"/>
          <w:szCs w:val="20"/>
          <w:color w:val="auto"/>
        </w:rPr>
      </w:pPr>
    </w:p>
    <w:p>
      <w:pPr>
        <w:ind w:left="920" w:right="920" w:firstLine="382"/>
        <w:spacing w:after="0" w:line="239" w:lineRule="auto"/>
        <w:rPr>
          <w:sz w:val="20"/>
          <w:szCs w:val="20"/>
          <w:color w:val="auto"/>
        </w:rPr>
      </w:pPr>
      <w:r>
        <w:rPr>
          <w:rFonts w:ascii="Times New Roman" w:cs="Times New Roman" w:eastAsia="Times New Roman" w:hAnsi="Times New Roman"/>
          <w:sz w:val="16"/>
          <w:szCs w:val="16"/>
          <w:color w:val="auto"/>
        </w:rPr>
        <w:t>Stockholders who receive distributions in the form of stock are subject to the same federal, state and local tax consequences as are stockholders who elect to receive their distributions in cash. The amount of the distribution for U.S. federal income tax purposes will be equal to the fair market value of the stock received. A stockholder’s basis for determining gain or loss upon the sale of stock received in a distribution from us will be equal to the amount treated as a distribution for U.S. federal income tax purposes.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3" w:name="page64"/>
    <w:bookmarkEnd w:id="6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40" w:firstLine="382"/>
        <w:spacing w:after="0" w:line="239" w:lineRule="auto"/>
        <w:rPr>
          <w:sz w:val="20"/>
          <w:szCs w:val="20"/>
          <w:color w:val="auto"/>
        </w:rPr>
      </w:pPr>
      <w:r>
        <w:rPr>
          <w:rFonts w:ascii="Times New Roman" w:cs="Times New Roman" w:eastAsia="Times New Roman" w:hAnsi="Times New Roman"/>
          <w:sz w:val="16"/>
          <w:szCs w:val="16"/>
          <w:color w:val="auto"/>
        </w:rPr>
        <w:t xml:space="preserve">The plan may be terminated by us upon notice in writing mailed to each participant at least 30 days prior to any record date for the payment of any dividend or distribution by us. All correspondence concerning the plan should be directed to the plan administrator as follows: through the Internet at </w:t>
      </w:r>
      <w:r>
        <w:rPr>
          <w:rFonts w:ascii="Times New Roman" w:cs="Times New Roman" w:eastAsia="Times New Roman" w:hAnsi="Times New Roman"/>
          <w:sz w:val="16"/>
          <w:szCs w:val="16"/>
          <w:i w:val="1"/>
          <w:iCs w:val="1"/>
          <w:color w:val="auto"/>
        </w:rPr>
        <w:t>www.computershare.com/investor</w:t>
      </w:r>
      <w:r>
        <w:rPr>
          <w:rFonts w:ascii="Times New Roman" w:cs="Times New Roman" w:eastAsia="Times New Roman" w:hAnsi="Times New Roman"/>
          <w:sz w:val="16"/>
          <w:szCs w:val="16"/>
          <w:color w:val="auto"/>
        </w:rPr>
        <w:t>, telephone number is 1-800 -426-5523 and written correspondence can be mailed to Computershare Trust Company, N.A., P.O. Box 43078, Providence, RI, 02940-3078.</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4" w:name="page65"/>
    <w:bookmarkEnd w:id="6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1280" w:firstLine="382"/>
        <w:spacing w:after="0" w:line="280" w:lineRule="auto"/>
        <w:rPr>
          <w:sz w:val="20"/>
          <w:szCs w:val="20"/>
          <w:color w:val="auto"/>
        </w:rPr>
      </w:pPr>
      <w:r>
        <w:rPr>
          <w:rFonts w:ascii="Times New Roman" w:cs="Times New Roman" w:eastAsia="Times New Roman" w:hAnsi="Times New Roman"/>
          <w:sz w:val="14"/>
          <w:szCs w:val="14"/>
          <w:color w:val="auto"/>
        </w:rPr>
        <w:t>Our Board of Directors oversees our management. The Board of Directors currently consists of five members, three of whom are not “interested persons” of Oxford Lane Capital Corp. as defined in Section 2(a)</w:t>
      </w:r>
    </w:p>
    <w:p>
      <w:pPr>
        <w:spacing w:after="0" w:line="1" w:lineRule="exact"/>
        <w:rPr>
          <w:sz w:val="20"/>
          <w:szCs w:val="20"/>
          <w:color w:val="auto"/>
        </w:rPr>
      </w:pPr>
    </w:p>
    <w:p>
      <w:pPr>
        <w:ind w:left="920" w:right="1000" w:firstLine="3"/>
        <w:spacing w:after="0" w:line="235" w:lineRule="auto"/>
        <w:tabs>
          <w:tab w:leader="none" w:pos="1218"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 the 1940 Act. We refer to these individuals as our independent directors. Our Board of Directors elects our officers, who serve at the discretion of the Board of Directors. The responsibilities of each director will include, among other things, the oversight of our investment activity, the quarterly valuation of our assets, and oversight of our financing arrangements. The Board of Directors has also established an Audit Committee and a Valuation Committee and may establish additional committees in the future.</w:t>
      </w:r>
    </w:p>
    <w:p>
      <w:pPr>
        <w:spacing w:after="0" w:line="97" w:lineRule="exact"/>
        <w:rPr>
          <w:sz w:val="20"/>
          <w:szCs w:val="20"/>
          <w:color w:val="auto"/>
        </w:rPr>
      </w:pPr>
    </w:p>
    <w:p>
      <w:pPr>
        <w:ind w:left="920" w:right="1040" w:firstLine="382"/>
        <w:spacing w:after="0" w:line="245" w:lineRule="auto"/>
        <w:rPr>
          <w:sz w:val="20"/>
          <w:szCs w:val="20"/>
          <w:color w:val="auto"/>
        </w:rPr>
      </w:pPr>
      <w:r>
        <w:rPr>
          <w:rFonts w:ascii="Times New Roman" w:cs="Times New Roman" w:eastAsia="Times New Roman" w:hAnsi="Times New Roman"/>
          <w:sz w:val="16"/>
          <w:szCs w:val="16"/>
          <w:color w:val="auto"/>
        </w:rPr>
        <w:t xml:space="preserve">Our directors and officers and their principal occupations during the past five years are set forth below. Our prospectus includes additional information about our directors and is available without charge, upon request by calling (203) 983-5275, or on the Commission’s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Board of Directors and Executive Officers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Directors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Information regarding the Board of Directors is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r>
      <w:tr>
        <w:trPr>
          <w:trHeight w:val="18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222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30"/>
        </w:trPr>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5"/>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Interested Directors</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166"/>
        </w:trPr>
        <w:tc>
          <w:tcPr>
            <w:tcW w:w="224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Jonathan H. Cohen</w:t>
            </w:r>
          </w:p>
        </w:tc>
        <w:tc>
          <w:tcPr>
            <w:tcW w:w="640" w:type="dxa"/>
            <w:vAlign w:val="bottom"/>
            <w:gridSpan w:val="2"/>
          </w:tcPr>
          <w:p>
            <w:pPr>
              <w:jc w:val="center"/>
              <w:ind w:left="22"/>
              <w:spacing w:after="0" w:line="166" w:lineRule="exact"/>
              <w:rPr>
                <w:sz w:val="20"/>
                <w:szCs w:val="20"/>
                <w:color w:val="auto"/>
              </w:rPr>
            </w:pPr>
            <w:r>
              <w:rPr>
                <w:rFonts w:ascii="Times New Roman" w:cs="Times New Roman" w:eastAsia="Times New Roman" w:hAnsi="Times New Roman"/>
                <w:sz w:val="16"/>
                <w:szCs w:val="16"/>
                <w:color w:val="auto"/>
                <w:w w:val="87"/>
              </w:rPr>
              <w:t>59</w:t>
            </w:r>
          </w:p>
        </w:tc>
        <w:tc>
          <w:tcPr>
            <w:tcW w:w="80" w:type="dxa"/>
            <w:vAlign w:val="bottom"/>
          </w:tcPr>
          <w:p>
            <w:pPr>
              <w:spacing w:after="0"/>
              <w:rPr>
                <w:sz w:val="14"/>
                <w:szCs w:val="14"/>
                <w:color w:val="auto"/>
              </w:rPr>
            </w:pPr>
          </w:p>
        </w:tc>
        <w:tc>
          <w:tcPr>
            <w:tcW w:w="22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Chief Executive Officer and</w:t>
            </w:r>
          </w:p>
        </w:tc>
        <w:tc>
          <w:tcPr>
            <w:tcW w:w="960" w:type="dxa"/>
            <w:vAlign w:val="bottom"/>
            <w:gridSpan w:val="2"/>
          </w:tcPr>
          <w:p>
            <w:pPr>
              <w:jc w:val="center"/>
              <w:ind w:left="22"/>
              <w:spacing w:after="0" w:line="166" w:lineRule="exact"/>
              <w:rPr>
                <w:sz w:val="20"/>
                <w:szCs w:val="20"/>
                <w:color w:val="auto"/>
              </w:rPr>
            </w:pPr>
            <w:r>
              <w:rPr>
                <w:rFonts w:ascii="Times New Roman" w:cs="Times New Roman" w:eastAsia="Times New Roman" w:hAnsi="Times New Roman"/>
                <w:sz w:val="16"/>
                <w:szCs w:val="16"/>
                <w:color w:val="auto"/>
                <w:w w:val="93"/>
              </w:rPr>
              <w:t>2010</w:t>
            </w:r>
          </w:p>
        </w:tc>
        <w:tc>
          <w:tcPr>
            <w:tcW w:w="1040" w:type="dxa"/>
            <w:vAlign w:val="bottom"/>
            <w:gridSpan w:val="2"/>
          </w:tcPr>
          <w:p>
            <w:pPr>
              <w:jc w:val="center"/>
              <w:ind w:left="2"/>
              <w:spacing w:after="0" w:line="166" w:lineRule="exact"/>
              <w:rPr>
                <w:sz w:val="20"/>
                <w:szCs w:val="20"/>
                <w:color w:val="auto"/>
              </w:rPr>
            </w:pPr>
            <w:r>
              <w:rPr>
                <w:rFonts w:ascii="Times New Roman" w:cs="Times New Roman" w:eastAsia="Times New Roman" w:hAnsi="Times New Roman"/>
                <w:sz w:val="16"/>
                <w:szCs w:val="16"/>
                <w:color w:val="auto"/>
                <w:w w:val="99"/>
              </w:rPr>
              <w:t>2025</w:t>
            </w:r>
          </w:p>
        </w:tc>
      </w:tr>
      <w:tr>
        <w:trPr>
          <w:trHeight w:val="202"/>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Saul B. Rosenthal</w:t>
            </w:r>
          </w:p>
        </w:tc>
        <w:tc>
          <w:tcPr>
            <w:tcW w:w="6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56</w:t>
            </w:r>
          </w:p>
        </w:tc>
        <w:tc>
          <w:tcPr>
            <w:tcW w:w="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President and Director</w:t>
            </w:r>
          </w:p>
        </w:tc>
        <w:tc>
          <w:tcPr>
            <w:tcW w:w="9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3"/>
              </w:rPr>
              <w:t>2010</w:t>
            </w:r>
          </w:p>
        </w:tc>
        <w:tc>
          <w:tcPr>
            <w:tcW w:w="10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2027</w:t>
            </w:r>
          </w:p>
        </w:tc>
      </w:tr>
      <w:tr>
        <w:trPr>
          <w:trHeight w:val="60"/>
        </w:trPr>
        <w:tc>
          <w:tcPr>
            <w:tcW w:w="2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37"/>
        </w:trPr>
        <w:tc>
          <w:tcPr>
            <w:tcW w:w="2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Independent Directors</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6"/>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0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 J. Ashenfelter</w:t>
            </w:r>
          </w:p>
        </w:tc>
        <w:tc>
          <w:tcPr>
            <w:tcW w:w="6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64</w:t>
            </w:r>
          </w:p>
        </w:tc>
        <w:tc>
          <w:tcPr>
            <w:tcW w:w="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6"/>
              </w:rPr>
              <w:t>Chairman of the Board of Directors</w:t>
            </w:r>
          </w:p>
        </w:tc>
        <w:tc>
          <w:tcPr>
            <w:tcW w:w="9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3"/>
              </w:rPr>
              <w:t>2010</w:t>
            </w:r>
          </w:p>
        </w:tc>
        <w:tc>
          <w:tcPr>
            <w:tcW w:w="10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2025</w:t>
            </w:r>
          </w:p>
        </w:tc>
      </w:tr>
      <w:tr>
        <w:trPr>
          <w:trHeight w:val="60"/>
        </w:trPr>
        <w:tc>
          <w:tcPr>
            <w:tcW w:w="2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John Reardon</w:t>
            </w:r>
          </w:p>
        </w:tc>
        <w:tc>
          <w:tcPr>
            <w:tcW w:w="64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87"/>
              </w:rPr>
              <w:t>58</w:t>
            </w:r>
          </w:p>
        </w:tc>
        <w:tc>
          <w:tcPr>
            <w:tcW w:w="8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Director</w:t>
            </w:r>
          </w:p>
        </w:tc>
        <w:tc>
          <w:tcPr>
            <w:tcW w:w="960" w:type="dxa"/>
            <w:vAlign w:val="bottom"/>
            <w:gridSpan w:val="2"/>
          </w:tcPr>
          <w:p>
            <w:pPr>
              <w:jc w:val="center"/>
              <w:ind w:left="22"/>
              <w:spacing w:after="0"/>
              <w:rPr>
                <w:sz w:val="20"/>
                <w:szCs w:val="20"/>
                <w:color w:val="auto"/>
              </w:rPr>
            </w:pPr>
            <w:r>
              <w:rPr>
                <w:rFonts w:ascii="Times New Roman" w:cs="Times New Roman" w:eastAsia="Times New Roman" w:hAnsi="Times New Roman"/>
                <w:sz w:val="16"/>
                <w:szCs w:val="16"/>
                <w:color w:val="auto"/>
                <w:w w:val="93"/>
              </w:rPr>
              <w:t>2010</w:t>
            </w:r>
          </w:p>
        </w:tc>
        <w:tc>
          <w:tcPr>
            <w:tcW w:w="104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2026</w:t>
            </w:r>
          </w:p>
        </w:tc>
      </w:tr>
      <w:tr>
        <w:trPr>
          <w:trHeight w:val="60"/>
        </w:trPr>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r>
      <w:tr>
        <w:trPr>
          <w:trHeight w:val="202"/>
        </w:trPr>
        <w:tc>
          <w:tcPr>
            <w:tcW w:w="2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S. Shin</w:t>
            </w:r>
          </w:p>
        </w:tc>
        <w:tc>
          <w:tcPr>
            <w:tcW w:w="64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56</w:t>
            </w:r>
          </w:p>
        </w:tc>
        <w:tc>
          <w:tcPr>
            <w:tcW w:w="8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w:t>
            </w:r>
          </w:p>
        </w:tc>
        <w:tc>
          <w:tcPr>
            <w:tcW w:w="960" w:type="dxa"/>
            <w:vAlign w:val="bottom"/>
            <w:gridSpan w:val="2"/>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3"/>
              </w:rPr>
              <w:t>2010</w:t>
            </w:r>
          </w:p>
        </w:tc>
        <w:tc>
          <w:tcPr>
            <w:tcW w:w="1040" w:type="dxa"/>
            <w:vAlign w:val="bottom"/>
            <w:gridSpan w:val="2"/>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9"/>
              </w:rPr>
              <w:t>2027</w:t>
            </w:r>
          </w:p>
        </w:tc>
      </w:tr>
      <w:tr>
        <w:trPr>
          <w:trHeight w:val="60"/>
        </w:trPr>
        <w:tc>
          <w:tcPr>
            <w:tcW w:w="2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pacing w:after="0" w:line="142" w:lineRule="exact"/>
        <w:rPr>
          <w:sz w:val="20"/>
          <w:szCs w:val="20"/>
          <w:color w:val="auto"/>
        </w:rPr>
      </w:pPr>
    </w:p>
    <w:p>
      <w:pPr>
        <w:ind w:left="920" w:right="1260" w:firstLine="382"/>
        <w:spacing w:after="0" w:line="257" w:lineRule="auto"/>
        <w:rPr>
          <w:sz w:val="20"/>
          <w:szCs w:val="20"/>
          <w:color w:val="auto"/>
        </w:rPr>
      </w:pPr>
      <w:r>
        <w:rPr>
          <w:rFonts w:ascii="Times New Roman" w:cs="Times New Roman" w:eastAsia="Times New Roman" w:hAnsi="Times New Roman"/>
          <w:sz w:val="16"/>
          <w:szCs w:val="16"/>
          <w:color w:val="auto"/>
        </w:rPr>
        <w:t>The address for each of our directors is c/o Oxford Lane Capital Corp., 8 Sound Shore Drive, Suite 255, Greenwich, CT 06830.</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 Who Are Not Directors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6"/>
                <w:szCs w:val="16"/>
                <w:color w:val="auto"/>
              </w:rPr>
            </w:pPr>
          </w:p>
        </w:tc>
        <w:tc>
          <w:tcPr>
            <w:tcW w:w="426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30"/>
        </w:trPr>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3"/>
        </w:trPr>
        <w:tc>
          <w:tcPr>
            <w:tcW w:w="2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Bruce L. Rubin</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8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Chief Financial Officer, Treasurer and Corporate Secretary</w:t>
            </w:r>
          </w:p>
        </w:tc>
      </w:tr>
      <w:tr>
        <w:trPr>
          <w:trHeight w:val="202"/>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Gerald Cummins</w:t>
            </w:r>
          </w:p>
        </w:tc>
        <w:tc>
          <w:tcPr>
            <w:tcW w:w="60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color w:val="auto"/>
                <w:w w:val="99"/>
              </w:rPr>
              <w:t>69</w:t>
            </w:r>
          </w:p>
        </w:tc>
        <w:tc>
          <w:tcPr>
            <w:tcW w:w="8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Chief Compliance Officer</w:t>
            </w:r>
          </w:p>
        </w:tc>
      </w:tr>
    </w:tbl>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Biographical Information</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Directors</w:t>
      </w:r>
    </w:p>
    <w:p>
      <w:pPr>
        <w:spacing w:after="0" w:line="117" w:lineRule="exact"/>
        <w:rPr>
          <w:sz w:val="20"/>
          <w:szCs w:val="20"/>
          <w:color w:val="auto"/>
        </w:rPr>
      </w:pPr>
    </w:p>
    <w:p>
      <w:pPr>
        <w:ind w:left="920" w:right="1380" w:firstLine="382"/>
        <w:spacing w:after="0" w:line="257" w:lineRule="auto"/>
        <w:rPr>
          <w:sz w:val="20"/>
          <w:szCs w:val="20"/>
          <w:color w:val="auto"/>
        </w:rPr>
      </w:pPr>
      <w:r>
        <w:rPr>
          <w:rFonts w:ascii="Times New Roman" w:cs="Times New Roman" w:eastAsia="Times New Roman" w:hAnsi="Times New Roman"/>
          <w:sz w:val="16"/>
          <w:szCs w:val="16"/>
          <w:color w:val="auto"/>
        </w:rPr>
        <w:t>Our directors have been divided into two groups — interested directors and independent directors. An interested director is an “interested person” as defined in Section 2(a)(19) of the 1940 Act.</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Interested Directors</w:t>
      </w:r>
    </w:p>
    <w:p>
      <w:pPr>
        <w:spacing w:after="0" w:line="115" w:lineRule="exact"/>
        <w:rPr>
          <w:sz w:val="20"/>
          <w:szCs w:val="20"/>
          <w:color w:val="auto"/>
        </w:rPr>
      </w:pPr>
    </w:p>
    <w:p>
      <w:pPr>
        <w:ind w:left="920" w:right="1120" w:firstLine="382"/>
        <w:spacing w:after="0" w:line="242" w:lineRule="auto"/>
        <w:rPr>
          <w:sz w:val="20"/>
          <w:szCs w:val="20"/>
          <w:color w:val="auto"/>
        </w:rPr>
      </w:pPr>
      <w:r>
        <w:rPr>
          <w:rFonts w:ascii="Times New Roman" w:cs="Times New Roman" w:eastAsia="Times New Roman" w:hAnsi="Times New Roman"/>
          <w:sz w:val="16"/>
          <w:szCs w:val="16"/>
          <w:i w:val="1"/>
          <w:iCs w:val="1"/>
          <w:color w:val="auto"/>
        </w:rPr>
        <w:t>Messrs. Cohen and Rosenthal are “interested persons” of Oxford Lane Capital as defined in the 1940 Act due to their positions as Chief Executive Officer and President, respectively, of the Fund and Oxford Lane Management, and as the managing member and non-managing member, respectively, of Oxford Funds, the administrator for Oxford Lane Capital.</w:t>
      </w:r>
    </w:p>
    <w:p>
      <w:pPr>
        <w:spacing w:after="0" w:line="94" w:lineRule="exact"/>
        <w:rPr>
          <w:sz w:val="20"/>
          <w:szCs w:val="20"/>
          <w:color w:val="auto"/>
        </w:rPr>
      </w:pPr>
    </w:p>
    <w:p>
      <w:pPr>
        <w:jc w:val="both"/>
        <w:ind w:left="920" w:right="1060" w:firstLine="382"/>
        <w:spacing w:after="0" w:line="299"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Jonathan H. Cohen </w:t>
      </w:r>
      <w:r>
        <w:rPr>
          <w:rFonts w:ascii="Times New Roman" w:cs="Times New Roman" w:eastAsia="Times New Roman" w:hAnsi="Times New Roman"/>
          <w:sz w:val="14"/>
          <w:szCs w:val="14"/>
          <w:color w:val="auto"/>
        </w:rPr>
        <w:t>has served as Chief Executive Officer of both Oxford Lane Capital Corp. and Oxford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Lane Management since 2010. Since 2003, Mr. Cohen has also served as Chief Executive Officer of both Oxford Square Capital Corp. (NasdaqGS: OXSQ), a publicly traded business development company, and Oxford Square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5" w:name="page66"/>
    <w:bookmarkEnd w:id="6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80"/>
        <w:spacing w:after="0" w:line="239" w:lineRule="auto"/>
        <w:rPr>
          <w:sz w:val="20"/>
          <w:szCs w:val="20"/>
          <w:color w:val="auto"/>
        </w:rPr>
      </w:pPr>
      <w:r>
        <w:rPr>
          <w:rFonts w:ascii="Times New Roman" w:cs="Times New Roman" w:eastAsia="Times New Roman" w:hAnsi="Times New Roman"/>
          <w:sz w:val="16"/>
          <w:szCs w:val="16"/>
          <w:color w:val="auto"/>
        </w:rPr>
        <w:t>Management, LLC, Oxford Square Capital Corp.’s investment adviser, and as the managing member of Oxford Funds. Since 2023, Mr. Cohen has also served as Chief Executive Officer of Oxford Park Income Fund, Inc., a non-traded registered closed-end fund, and Oxford Park Management, LLC, Oxford Park Income Fund, Inc.’s investment adviser. Mr. Cohen also serves on our Board of Directors, as well as the Oxford Square Capital Corp. and Oxford Park Income Fund, Inc. boards of directors.</w:t>
      </w:r>
    </w:p>
    <w:p>
      <w:pPr>
        <w:spacing w:after="0" w:line="100"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Since 2018, Mr. Cohen has also served as the Chief Executive Officer of Oxford Gate Management, LLC, the investment adviser to Oxford Gate Master Fund, LLC, Oxford Gate, LLC and Oxford Gate (Bermuda), LLC (collectively, the “Oxford Gate Funds”) and Oxford Bridge II, LLC. Oxford Bridge II, LLC and the Oxford Gate Funds are private investment funds. Previously, Mr. Cohen managed technology equity research groups at Wit Capital, Merrill Lynch, UBS and Smith Barney. Mr. Cohen received a B.A. in Economics from Connecticut College and an M.B.A. from Columbia University. Mr. Cohen’s depth of experience in managerial positions in investment management, securities research and financial services, as well as his intimate knowledge of our business and operations, gives our Board of Directors valuable industry-specific knowledge and expertise on these and other matters.</w:t>
      </w:r>
    </w:p>
    <w:p>
      <w:pPr>
        <w:spacing w:after="0" w:line="96" w:lineRule="exact"/>
        <w:rPr>
          <w:sz w:val="20"/>
          <w:szCs w:val="20"/>
          <w:color w:val="auto"/>
        </w:rPr>
      </w:pPr>
    </w:p>
    <w:p>
      <w:pPr>
        <w:ind w:left="920" w:right="920" w:firstLine="382"/>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Saul B. Rosenthal </w:t>
      </w:r>
      <w:r>
        <w:rPr>
          <w:rFonts w:ascii="Times New Roman" w:cs="Times New Roman" w:eastAsia="Times New Roman" w:hAnsi="Times New Roman"/>
          <w:sz w:val="14"/>
          <w:szCs w:val="14"/>
          <w:color w:val="auto"/>
        </w:rPr>
        <w:t>has served as President of both Oxford Lane Capital Corp. and Oxford Lane Management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since 2010. Mr. Rosenthal has also served as President since 2004 of both Oxford Square Capital Corp. (NasdaqGS: OXSQ), a publicly traded business development company, and Oxford Square Management, LLC, Oxford Square Capital Corp.’s investment adviser and a member of Oxford Funds. Since 2023, Mr. Rosenthal has served as President of Oxford Park Income Fund, Inc., a registered closed- end fund, and Oxford Park Management, LLC, Oxford Park Income Fund, Inc.’s investment adviser. Mr. Rosenthal also serves on our Board of Directors, as well as the Oxford Park Income Fund, Inc.’s Board of Directors. Mr. Rosenthal has also served as President of Oxford Gate Management, LLC, the investment adviser to the Oxford Gate Funds and Oxford Bridge II, LLC, since 2018. Mr. Rosenthal was previously an attorney at the law firm of Shearman &amp; Sterling LLP. Mr. Rosenthal serves on the board of the National Museum of Mathematics. Mr. Rosenthal received a B.S., magna cum laude, from the Wharton School of the University of Pennsylvania, a J.D. from Columbia University Law School, where he was a Harlan Fiske Stone Scholar, and a LL.M. (Taxation) from New York University School of Law.</w:t>
      </w:r>
    </w:p>
    <w:p>
      <w:pPr>
        <w:spacing w:after="0" w:line="164" w:lineRule="exact"/>
        <w:rPr>
          <w:sz w:val="20"/>
          <w:szCs w:val="20"/>
          <w:color w:val="auto"/>
        </w:rPr>
      </w:pPr>
    </w:p>
    <w:p>
      <w:pPr>
        <w:ind w:left="920" w:right="1180"/>
        <w:spacing w:after="0" w:line="236" w:lineRule="auto"/>
        <w:rPr>
          <w:sz w:val="20"/>
          <w:szCs w:val="20"/>
          <w:color w:val="auto"/>
        </w:rPr>
      </w:pPr>
      <w:r>
        <w:rPr>
          <w:rFonts w:ascii="Times New Roman" w:cs="Times New Roman" w:eastAsia="Times New Roman" w:hAnsi="Times New Roman"/>
          <w:sz w:val="16"/>
          <w:szCs w:val="16"/>
          <w:color w:val="auto"/>
        </w:rPr>
        <w:t>Mr. Rosenthal’s depth of experience in managerial positions in investment management, as well as his intimate knowledge of our business and operations, gives the Board of Directors the valuable perspective of a knowledgeable corporate leader.</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Independent Directors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i w:val="1"/>
          <w:iCs w:val="1"/>
          <w:color w:val="auto"/>
        </w:rPr>
        <w:t>The following directors are not “interested persons” of Oxford Lane Capital, as defined in the 1940 Act.</w:t>
      </w:r>
    </w:p>
    <w:p>
      <w:pPr>
        <w:spacing w:after="0" w:line="115" w:lineRule="exact"/>
        <w:rPr>
          <w:sz w:val="20"/>
          <w:szCs w:val="20"/>
          <w:color w:val="auto"/>
        </w:rPr>
      </w:pPr>
    </w:p>
    <w:p>
      <w:pPr>
        <w:ind w:left="920" w:right="920" w:firstLine="382"/>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Mark J. Ashenfelter </w:t>
      </w:r>
      <w:r>
        <w:rPr>
          <w:rFonts w:ascii="Times New Roman" w:cs="Times New Roman" w:eastAsia="Times New Roman" w:hAnsi="Times New Roman"/>
          <w:sz w:val="16"/>
          <w:szCs w:val="16"/>
          <w:color w:val="auto"/>
        </w:rPr>
        <w:t>presently serves as a Senior Vice President and the General Counsel of Haebler Capital,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private investment company located in Greenwich, CT. Prior to joining Haebler Capital in 1994, Mr. Ashenfelter was an associate at Cravath, Swaine &amp; Moore from 1985 to 1992 and Cadwalader, Wickersham &amp; Taft from 1992 to 1994. Mr. Ashenfelter also serves on the Board of Directors of Oxford Park Income Fund, Inc. Mr. Ashenfelter received a B.A., cum laude, from Harvard University, a J.D., magna cum laude, from New York Law School, where he was Managing Editor of the Law Review, and a LL.M. (Taxation) from New York University School of Law. Mr. Ashenfelter’s extensive corporate legal experience, particularly in connection with investment companies, provides our Board of Directors with valuable insight and perspective.</w:t>
      </w:r>
    </w:p>
    <w:p>
      <w:pPr>
        <w:spacing w:after="0" w:line="100" w:lineRule="exact"/>
        <w:rPr>
          <w:sz w:val="20"/>
          <w:szCs w:val="20"/>
          <w:color w:val="auto"/>
        </w:rPr>
      </w:pPr>
    </w:p>
    <w:p>
      <w:pPr>
        <w:ind w:left="920" w:right="960" w:firstLine="382"/>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John Reardon </w:t>
      </w:r>
      <w:r>
        <w:rPr>
          <w:rFonts w:ascii="Times New Roman" w:cs="Times New Roman" w:eastAsia="Times New Roman" w:hAnsi="Times New Roman"/>
          <w:sz w:val="14"/>
          <w:szCs w:val="14"/>
          <w:color w:val="auto"/>
        </w:rPr>
        <w:t>is the President and CEO of Schurz Communications, Inc., a leading broadband and managed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cloud services provider. Mr. Reardon also serves as a Board Member and Audit Committee Member for Schurz Communications, Inc. Mr. Reardon also serves on the Board of Directors of Oxford Park Income Fund, Inc. In 2023, Mr. Reardon was elected to the board of ACA Connects (America’s Communications Association) which represents the leading broadband companies in the United States. Previously, Mr. Reardon was Of Counsel with Kutak Rock, LLP, where he advised broadband and software companies on corporate and regulatory matters. Mr. Reardon served from 2019 until 2021 as the Director of Business Strategy, Smart Cities, for American</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Infrastructure Partners, LP, an infrastructure fund based in Foster City, California. Mr. Reardon was previously the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Managing Director of Choctaw Telecom LLC. In addition, Mr. Reardon served as Chief Executive Officer,</w:t>
      </w:r>
    </w:p>
    <w:p>
      <w:pPr>
        <w:ind w:left="920"/>
        <w:spacing w:after="0"/>
        <w:rPr>
          <w:sz w:val="20"/>
          <w:szCs w:val="20"/>
          <w:color w:val="auto"/>
        </w:rPr>
      </w:pPr>
      <w:r>
        <w:rPr>
          <w:rFonts w:ascii="Times New Roman" w:cs="Times New Roman" w:eastAsia="Times New Roman" w:hAnsi="Times New Roman"/>
          <w:sz w:val="14"/>
          <w:szCs w:val="14"/>
          <w:color w:val="auto"/>
        </w:rPr>
        <w:t>General Counsel, and a member of the Board of Directors of Mobex Communications, Inc. from 1997 until 2005.</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Mr. Reardon began his career in telecom law at the boutique Washington, DC firm of Keller and Heckman,</w:t>
      </w:r>
    </w:p>
    <w:p>
      <w:pPr>
        <w:ind w:left="920"/>
        <w:spacing w:after="0"/>
        <w:rPr>
          <w:sz w:val="20"/>
          <w:szCs w:val="20"/>
          <w:color w:val="auto"/>
        </w:rPr>
      </w:pPr>
      <w:r>
        <w:rPr>
          <w:rFonts w:ascii="Times New Roman" w:cs="Times New Roman" w:eastAsia="Times New Roman" w:hAnsi="Times New Roman"/>
          <w:sz w:val="14"/>
          <w:szCs w:val="14"/>
          <w:color w:val="auto"/>
        </w:rPr>
        <w:t>LLP. Mr. Reardon received a Bachelor of Arts degree, summa cum laude, from Boston University, and earned his</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J.D. from Columbia Law School. Mr. Reardon’s extensive experience as a senior corporate executive provides our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Board of Directors the perspective of a knowledgeable corporate leader.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6" w:name="page67"/>
    <w:bookmarkEnd w:id="6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3" w:lineRule="exact"/>
        <w:rPr>
          <w:sz w:val="20"/>
          <w:szCs w:val="20"/>
          <w:color w:val="auto"/>
        </w:rPr>
      </w:pPr>
    </w:p>
    <w:p>
      <w:pPr>
        <w:ind w:left="920" w:right="900" w:firstLine="382"/>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David S. Shin </w:t>
      </w:r>
      <w:r>
        <w:rPr>
          <w:rFonts w:ascii="Times New Roman" w:cs="Times New Roman" w:eastAsia="Times New Roman" w:hAnsi="Times New Roman"/>
          <w:sz w:val="14"/>
          <w:szCs w:val="14"/>
          <w:color w:val="auto"/>
        </w:rPr>
        <w:t>is the Head of Capital Markets for Amergin Asset Management, an asset manager specializing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transportation assets. Mr. Shin also serves on the Board of Directors of Oxford Park Income Fund, Inc. From April 2021 to July 2022, Mr. Shin was an external consultant to Apollo Investment Consulting where he was senior advisor to the board of a portfolio company. Prior to this, Mr. Shin served as the Head of Business Development for the Infinity Transportation division of Global Atlantic Financial Group from 2016 to March 2021 and, from January 2016 to November 2016, he was an asset management consultant to Innovatus Capital Partners, the manager of certain assets of Perella Weinberg Partners, a financial services firm. From 2011 to 2016, Mr. Shin was an asset management professional at Perella Weinberg Partners. From 2010 to 2011, Mr. Shin served as a Managing Director at Bentley Associates, an investment banking firm. Prior to joining Bentley Associates,</w:t>
      </w:r>
    </w:p>
    <w:p>
      <w:pPr>
        <w:spacing w:after="0" w:line="3" w:lineRule="exact"/>
        <w:rPr>
          <w:sz w:val="20"/>
          <w:szCs w:val="20"/>
          <w:color w:val="auto"/>
        </w:rPr>
      </w:pPr>
    </w:p>
    <w:p>
      <w:pPr>
        <w:ind w:left="920" w:right="960"/>
        <w:spacing w:after="0" w:line="234" w:lineRule="auto"/>
        <w:rPr>
          <w:sz w:val="20"/>
          <w:szCs w:val="20"/>
          <w:color w:val="auto"/>
        </w:rPr>
      </w:pPr>
      <w:r>
        <w:rPr>
          <w:rFonts w:ascii="Times New Roman" w:cs="Times New Roman" w:eastAsia="Times New Roman" w:hAnsi="Times New Roman"/>
          <w:sz w:val="16"/>
          <w:szCs w:val="16"/>
          <w:color w:val="auto"/>
        </w:rPr>
        <w:t>Mr. Shin worked in the Global Real Estate Investment Banking Group at Deutsche Bank Securities from 2005 to 2008, and in the Real Estate &amp; Lodging Group of Citigroup Global Markets from 2004 to 2005. Prior to that, Mr. Shin worked for William Street Advisors, LLC, a boutique financial advisory firm affiliated with Saratoga Management Company, from 2002 to 2004. After receiving his J.D. in 1995, Mr. Shin was a member of the Healthcare Group of Dean Witter Reynolds from 1995 to 1996, and was subsequently a member of the Mergers &amp; Acquisitions Group of Merrill Lynch &amp; Co. from 1996 to 2002. Mr. Shin started his career as a CPA in the Corporate Tax Department of KPMG Peat Marwick’s Financial Institutions Group, where he worked from 1990 to 1992, before attending law school. Mr. Shin received a B.S., magna cum laude, from The Wharton School at the University of Pennsylvania and a J.D. from Columbia Law School. Mr. Shin’s extensive experience in investment banking provides the Board of Directors with valuable insights of an experienced and diligent financial professional, as well as a diverse perspective.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Executive Officers Who Are Not Directors</w:t>
      </w:r>
    </w:p>
    <w:p>
      <w:pPr>
        <w:spacing w:after="0" w:line="115" w:lineRule="exact"/>
        <w:rPr>
          <w:sz w:val="20"/>
          <w:szCs w:val="20"/>
          <w:color w:val="auto"/>
        </w:rPr>
      </w:pPr>
    </w:p>
    <w:p>
      <w:pPr>
        <w:ind w:left="920" w:right="920" w:firstLine="382"/>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Bruce L. Rubin </w:t>
      </w:r>
      <w:r>
        <w:rPr>
          <w:rFonts w:ascii="Times New Roman" w:cs="Times New Roman" w:eastAsia="Times New Roman" w:hAnsi="Times New Roman"/>
          <w:sz w:val="14"/>
          <w:szCs w:val="14"/>
          <w:color w:val="auto"/>
        </w:rPr>
        <w:t>has served as our Chief Financial Officer, Chief Accounting Officer, and Corporate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Secretary since 2015. Mr. Rubin has also served as our Controller since our initial public offering in 2011 to 2015 and as our Treasurer since 2011. Mr. Rubin has served as Oxford Square Capital Corp.’s Chief Financial Officer, Chief Accounting Officer, and Corporate Secretary since August 2015. Mr. Rubin has served as Oxford Square Capital Corp.’s Controller from 2005 to 2015 and as its Treasurer since 2009. Since 2023, Mr. Rubin has also served as Chief Financial Officer, Corporate Secretary and Treasurer of Oxford Park Income Fund, Inc., a non-traded registered closed-end fund. Mr. Rubin also currently serves as the Chief Financial Officer and Secretary of Oxford Lane Management, LLC, Oxford Square Management, LLC, Oxford Park Management, LLC, Oxford Gate Management, LLC and Oxford Funds. From 1995 to 2003, Mr. Rubin was the Assistant Treasurer &amp; Director of Financial Planning of the New York Mercantile Exchange, Inc., the largest physical commodities futures exchange in the world and has extensive experience with the Sarbanes-Oxley Act of 2002 (“Sarbanes-Oxley”), treasury operations and SEC reporting requirements. From 1989 to 1995, Mr. Rubin was a manager in financial operations for the American Stock Exchange, where he was primarily responsible for budgeting matters. Mr. Rubin began his career in commercial banking as an auditor primarily of the commercial lending and municipal bond dealer areas. Mr. Rubin received his BBA in Accounting from Hofstra University where he also obtained his M.B.A. in Finance.</w:t>
      </w:r>
    </w:p>
    <w:p>
      <w:pPr>
        <w:spacing w:after="0" w:line="254" w:lineRule="exact"/>
        <w:rPr>
          <w:sz w:val="20"/>
          <w:szCs w:val="20"/>
          <w:color w:val="auto"/>
        </w:rPr>
      </w:pPr>
    </w:p>
    <w:p>
      <w:pPr>
        <w:ind w:left="920" w:right="960" w:firstLine="382"/>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Gerald Cummins </w:t>
      </w:r>
      <w:r>
        <w:rPr>
          <w:rFonts w:ascii="Times New Roman" w:cs="Times New Roman" w:eastAsia="Times New Roman" w:hAnsi="Times New Roman"/>
          <w:sz w:val="14"/>
          <w:szCs w:val="14"/>
          <w:color w:val="auto"/>
        </w:rPr>
        <w:t>has served as our Chief Compliance Officer since June 2015 pursuant to an agreement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between the Company and ACA Group a compliance consulting firm. Mr. Cummins also currently serves as the Chief Compliance Officer of Oxford Lane Management, Oxford Square Capital Corp., Oxford Square Management, LLC, Oxford Funds LLC, and since 2018, Oxford Gate Management, LLC. Mr. Cummins has served as the Chief Compliance Officer of Oxford Park Income Fund, Inc. and Oxford Park Management, LLC, since 2023. Mr. Cummins has been a director of ACA Group since June 2014 and in that capacity he also serves as the Chief Compliance Officer to one unaffiliated BDC. Prior to joining ACA Group, Mr. Cummins was a consultant for Barclays Capital Inc. from 2012 to 2013, where he participated in numerous compliance projects on pricing and valuation, compliance assessments, and compliance policy and procedure development. Prior to his consulting work at Barclays, Mr. Cummins was from 2010 to 2011 the Chief Operating Officer and the Chief Compliance Officer for BroadArch Capital and from 2009 to 2011 the Chief Financial Officer and Chief Compliance Officer to its predecessor New Castle Funds, a long-short equity asset manager. Prior to that,</w:t>
      </w:r>
    </w:p>
    <w:p>
      <w:pPr>
        <w:spacing w:after="0" w:line="164" w:lineRule="exact"/>
        <w:rPr>
          <w:sz w:val="20"/>
          <w:szCs w:val="20"/>
          <w:color w:val="auto"/>
        </w:rPr>
      </w:pPr>
    </w:p>
    <w:p>
      <w:pPr>
        <w:ind w:left="920" w:right="980"/>
        <w:spacing w:after="0" w:line="236" w:lineRule="auto"/>
        <w:rPr>
          <w:sz w:val="20"/>
          <w:szCs w:val="20"/>
          <w:color w:val="auto"/>
        </w:rPr>
      </w:pPr>
      <w:r>
        <w:rPr>
          <w:rFonts w:ascii="Times New Roman" w:cs="Times New Roman" w:eastAsia="Times New Roman" w:hAnsi="Times New Roman"/>
          <w:sz w:val="16"/>
          <w:szCs w:val="16"/>
          <w:color w:val="auto"/>
        </w:rPr>
        <w:t>Mr. Cummins spent 25 years at Bear Stearns Asset Management (BSAM), where he was a Managing Director and held senior compliance, controllers and operations risk positions. Mr. Cummins graduated with a B.A. in Mathematics from Fordham University.</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7" w:name="page68"/>
    <w:bookmarkEnd w:id="6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Compensation of Directors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following table sets forth compensation of our directors for the six months ended September 30, 2024:</w:t>
      </w:r>
    </w:p>
    <w:p>
      <w:pPr>
        <w:spacing w:after="0" w:line="172"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9"/>
        </w:trPr>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Fees</w:t>
            </w:r>
          </w:p>
        </w:tc>
        <w:tc>
          <w:tcPr>
            <w:tcW w:w="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from</w:t>
            </w:r>
          </w:p>
        </w:tc>
      </w:tr>
      <w:tr>
        <w:trPr>
          <w:trHeight w:val="217"/>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Earned</w:t>
            </w:r>
            <w:r>
              <w:rPr>
                <w:rFonts w:ascii="Times New Roman" w:cs="Times New Roman" w:eastAsia="Times New Roman" w:hAnsi="Times New Roman"/>
                <w:sz w:val="16"/>
                <w:szCs w:val="16"/>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16"/>
                <w:szCs w:val="16"/>
                <w:b w:val="1"/>
                <w:bCs w:val="1"/>
                <w:color w:val="auto"/>
                <w:w w:val="97"/>
                <w:vertAlign w:val="superscript"/>
              </w:rPr>
              <w:t>(2)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Fund Complex</w:t>
            </w:r>
            <w:r>
              <w:rPr>
                <w:rFonts w:ascii="Times New Roman" w:cs="Times New Roman" w:eastAsia="Times New Roman" w:hAnsi="Times New Roman"/>
                <w:sz w:val="16"/>
                <w:szCs w:val="16"/>
                <w:b w:val="1"/>
                <w:bCs w:val="1"/>
                <w:color w:val="auto"/>
                <w:vertAlign w:val="superscript"/>
              </w:rPr>
              <w:t>(3)</w:t>
            </w:r>
          </w:p>
        </w:tc>
      </w:tr>
      <w:tr>
        <w:trPr>
          <w:trHeight w:val="235"/>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Interested Directors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Jonathan H. Cohen</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Saul B. Rosenthal</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Independent Directors</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Mark J. Ashenfelter</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80" w:type="dxa"/>
            <w:vAlign w:val="bottom"/>
          </w:tcPr>
          <w:p>
            <w:pPr>
              <w:spacing w:after="0"/>
              <w:rPr>
                <w:sz w:val="20"/>
                <w:szCs w:val="20"/>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61,500</w:t>
            </w:r>
          </w:p>
        </w:tc>
      </w:tr>
      <w:tr>
        <w:trPr>
          <w:trHeight w:val="26"/>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John Reardon</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59,000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61,500</w:t>
            </w:r>
          </w:p>
        </w:tc>
      </w:tr>
      <w:tr>
        <w:trPr>
          <w:trHeight w:val="237"/>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David S. Shin</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64,000</w:t>
            </w:r>
          </w:p>
        </w:tc>
        <w:tc>
          <w:tcPr>
            <w:tcW w:w="80" w:type="dxa"/>
            <w:vAlign w:val="bottom"/>
          </w:tcPr>
          <w:p>
            <w:pPr>
              <w:spacing w:after="0"/>
              <w:rPr>
                <w:sz w:val="20"/>
                <w:szCs w:val="20"/>
                <w:color w:val="auto"/>
              </w:rPr>
            </w:pPr>
          </w:p>
        </w:tc>
        <w:tc>
          <w:tcPr>
            <w:tcW w:w="1000" w:type="dxa"/>
            <w:vAlign w:val="bottom"/>
          </w:tcPr>
          <w:p>
            <w:pPr>
              <w:ind w:left="84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66,500</w:t>
            </w:r>
          </w:p>
        </w:tc>
      </w:tr>
      <w:tr>
        <w:trPr>
          <w:trHeight w:val="247"/>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r>
    </w:tbl>
    <w:p>
      <w:pPr>
        <w:spacing w:after="0" w:line="65" w:lineRule="exact"/>
        <w:rPr>
          <w:sz w:val="20"/>
          <w:szCs w:val="20"/>
          <w:color w:val="auto"/>
        </w:rPr>
      </w:pPr>
    </w:p>
    <w:p>
      <w:pPr>
        <w:ind w:left="1300" w:hanging="377"/>
        <w:spacing w:after="0"/>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independent directors’ compensation, see below.</w:t>
      </w:r>
    </w:p>
    <w:p>
      <w:pPr>
        <w:spacing w:after="0" w:line="22"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do not maintain a stock option plan, non-equity incentive plan or pension plan for our directors.</w:t>
      </w:r>
    </w:p>
    <w:p>
      <w:pPr>
        <w:spacing w:after="0" w:line="6"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“Fund Complex” includes Oxford Park Income Fund, Inc.</w:t>
      </w:r>
    </w:p>
    <w:p>
      <w:pPr>
        <w:spacing w:after="0" w:line="1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independent directors receive an annual fee of $90,000. In addition, the independent directors receive</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$4,000 plus reimbursement of reasonable out-of-pocket expenses incurred in connection with attending each Board</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of Directors meeting, and relevant committee members receive $1,500 plus reimbursement of reasonable out-of-</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pocket expenses incurred in connection with attending each Valuation Committee meeting and $1,500 plus</w:t>
      </w:r>
    </w:p>
    <w:p>
      <w:pPr>
        <w:ind w:left="920"/>
        <w:spacing w:after="0"/>
        <w:rPr>
          <w:sz w:val="20"/>
          <w:szCs w:val="20"/>
          <w:color w:val="auto"/>
        </w:rPr>
      </w:pPr>
      <w:r>
        <w:rPr>
          <w:rFonts w:ascii="Times New Roman" w:cs="Times New Roman" w:eastAsia="Times New Roman" w:hAnsi="Times New Roman"/>
          <w:sz w:val="14"/>
          <w:szCs w:val="14"/>
          <w:color w:val="auto"/>
        </w:rPr>
        <w:t>reimbursement of reasonable out-of-pocket expenses incurred in connection with attending each Audit Committee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meeting. The Chairman of the Audit Committee continues to receive an additional annual fee of $10,000. No</w:t>
      </w:r>
    </w:p>
    <w:p>
      <w:pPr>
        <w:ind w:left="920"/>
        <w:spacing w:after="0"/>
        <w:rPr>
          <w:sz w:val="20"/>
          <w:szCs w:val="20"/>
          <w:color w:val="auto"/>
        </w:rPr>
      </w:pPr>
      <w:r>
        <w:rPr>
          <w:rFonts w:ascii="Times New Roman" w:cs="Times New Roman" w:eastAsia="Times New Roman" w:hAnsi="Times New Roman"/>
          <w:sz w:val="14"/>
          <w:szCs w:val="14"/>
          <w:color w:val="auto"/>
        </w:rPr>
        <w:t>compensation is paid to directors who are interested persons of the Fund as defined in Section 2(a)(19) of the 1940</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Act.</w:t>
      </w:r>
    </w:p>
    <w:p>
      <w:pPr>
        <w:spacing w:after="0" w:line="16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Compensation of Chief Executive Officer and Other Executive Officers</w:t>
      </w:r>
    </w:p>
    <w:p>
      <w:pPr>
        <w:spacing w:after="0" w:line="117"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We do not have a compensation committee because our executive officers do not receive any direct compensation from the Fund. Mr. Cohen, our Chief Executive Officer, and Mr. Rosenthal, our President, through their ownership interest in Oxford Funds, the managing member of Oxford Lane Management, are entitled to a portion of any profits earned by Oxford Lane Management, which includes any fees payable to Oxford Lane Management under the terms of the Investment Advisory Agreement, less expenses incurred by Oxford Lane Management in performing its services under the Investment Advisory Agreement. Messrs. Cohen and Rosenthal do not receive any additional compensation from Oxford Lane Management in connection with the management of our portfolio.</w:t>
      </w:r>
    </w:p>
    <w:p>
      <w:pPr>
        <w:spacing w:after="0" w:line="100" w:lineRule="exact"/>
        <w:rPr>
          <w:sz w:val="20"/>
          <w:szCs w:val="20"/>
          <w:color w:val="auto"/>
        </w:rPr>
      </w:pPr>
    </w:p>
    <w:p>
      <w:pPr>
        <w:jc w:val="both"/>
        <w:ind w:left="920" w:right="1000" w:firstLine="382"/>
        <w:spacing w:after="0" w:line="245" w:lineRule="auto"/>
        <w:rPr>
          <w:sz w:val="20"/>
          <w:szCs w:val="20"/>
          <w:color w:val="auto"/>
        </w:rPr>
      </w:pPr>
      <w:r>
        <w:rPr>
          <w:rFonts w:ascii="Times New Roman" w:cs="Times New Roman" w:eastAsia="Times New Roman" w:hAnsi="Times New Roman"/>
          <w:sz w:val="16"/>
          <w:szCs w:val="16"/>
          <w:color w:val="auto"/>
        </w:rPr>
        <w:t>The compensation of Mr. Rubin, our Chief Financial Officer, Treasurer and Corporate Secretary, is paid by our administrator, Oxford Funds, subject to reimbursement by us of an allocable portion of such compensation for services rendered by Mr. Rubin to the Fund.</w:t>
      </w:r>
    </w:p>
    <w:p>
      <w:pPr>
        <w:spacing w:after="0" w:line="94" w:lineRule="exact"/>
        <w:rPr>
          <w:sz w:val="20"/>
          <w:szCs w:val="20"/>
          <w:color w:val="auto"/>
        </w:rPr>
      </w:pPr>
    </w:p>
    <w:p>
      <w:pPr>
        <w:ind w:left="920" w:right="1040" w:firstLine="382"/>
        <w:spacing w:after="0" w:line="257" w:lineRule="auto"/>
        <w:rPr>
          <w:sz w:val="20"/>
          <w:szCs w:val="20"/>
          <w:color w:val="auto"/>
        </w:rPr>
      </w:pPr>
      <w:r>
        <w:rPr>
          <w:rFonts w:ascii="Times New Roman" w:cs="Times New Roman" w:eastAsia="Times New Roman" w:hAnsi="Times New Roman"/>
          <w:sz w:val="16"/>
          <w:szCs w:val="16"/>
          <w:color w:val="auto"/>
        </w:rPr>
        <w:t>Mr. Cummins, our Chief Compliance Officer, is a director of ACA Group, LLC and performs his functions under the terms of an agreement between us and ACA Group, LLC.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8" w:name="page69"/>
    <w:bookmarkEnd w:id="6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BOARD APPROVAL OF THE INVESTMENT ADVISORY AGREEMENT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960" w:firstLine="382"/>
        <w:spacing w:after="0" w:line="239" w:lineRule="auto"/>
        <w:rPr>
          <w:sz w:val="20"/>
          <w:szCs w:val="20"/>
          <w:color w:val="auto"/>
        </w:rPr>
      </w:pPr>
      <w:r>
        <w:rPr>
          <w:rFonts w:ascii="Times New Roman" w:cs="Times New Roman" w:eastAsia="Times New Roman" w:hAnsi="Times New Roman"/>
          <w:sz w:val="16"/>
          <w:szCs w:val="16"/>
          <w:color w:val="auto"/>
        </w:rPr>
        <w:t>At an in-person meeting of our Board of Directors held on July 25, 2024, our Board of Directors unanimously voted to re-approve the Investment Advisory Agreement. In reaching a decision to approve the Investment Advisory Agreement, the independent directors reviewed a significant amount of information provided by Oxford Lane Management in response to questionnaires provided by counsel to the independent directors on behalf of the independent directors and considered and concluded, among other things:</w:t>
      </w:r>
    </w:p>
    <w:p>
      <w:pPr>
        <w:spacing w:after="0" w:line="100" w:lineRule="exact"/>
        <w:rPr>
          <w:sz w:val="20"/>
          <w:szCs w:val="20"/>
          <w:color w:val="auto"/>
        </w:rPr>
      </w:pPr>
    </w:p>
    <w:p>
      <w:pPr>
        <w:ind w:left="1680" w:right="960" w:hanging="375"/>
        <w:spacing w:after="0" w:line="238"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nature, quality and extent of the advisory and other services to be provided to us by Oxford Lane Management, including with respect to the investment criteria and parameters used by Oxford Lane Management in identifying potential investment opportunities and Oxford Lane Management’s policies and guidelines currently in place to monitor and manage the risk and volatility associated with the Fund’s portfolio, and the qualifications and abilities of the professional personnel of Oxford Lane Management and the compensation structure for such personnel, and concluded that such services are satisfactory;</w:t>
      </w:r>
    </w:p>
    <w:p>
      <w:pPr>
        <w:spacing w:after="0" w:line="97" w:lineRule="exact"/>
        <w:rPr>
          <w:rFonts w:ascii="Times New Roman" w:cs="Times New Roman" w:eastAsia="Times New Roman" w:hAnsi="Times New Roman"/>
          <w:sz w:val="16"/>
          <w:szCs w:val="16"/>
          <w:color w:val="auto"/>
        </w:rPr>
      </w:pPr>
    </w:p>
    <w:p>
      <w:pPr>
        <w:ind w:left="1680" w:right="96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performance of the Fund and Oxford Lane Management including a comparison to the performance of the Fund’s peer group, and concluded that the Fund’s performance is reasonable in comparison to its peers;</w:t>
      </w:r>
    </w:p>
    <w:p>
      <w:pPr>
        <w:spacing w:after="0" w:line="93" w:lineRule="exact"/>
        <w:rPr>
          <w:rFonts w:ascii="Times New Roman" w:cs="Times New Roman" w:eastAsia="Times New Roman" w:hAnsi="Times New Roman"/>
          <w:sz w:val="16"/>
          <w:szCs w:val="16"/>
          <w:color w:val="auto"/>
        </w:rPr>
      </w:pPr>
    </w:p>
    <w:p>
      <w:pPr>
        <w:ind w:left="1680" w:right="114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Comparative data with respect to advisory fees or similar expenses paid by other closed-end management investment companies with similar investment objectives, and concluded that the total advisory fees paid by the Fund to Oxford Lane Management were not unreasonable;</w:t>
      </w:r>
    </w:p>
    <w:p>
      <w:pPr>
        <w:spacing w:after="0" w:line="93" w:lineRule="exact"/>
        <w:rPr>
          <w:rFonts w:ascii="Times New Roman" w:cs="Times New Roman" w:eastAsia="Times New Roman" w:hAnsi="Times New Roman"/>
          <w:sz w:val="16"/>
          <w:szCs w:val="16"/>
          <w:color w:val="auto"/>
        </w:rPr>
      </w:pPr>
    </w:p>
    <w:p>
      <w:pPr>
        <w:ind w:left="1680" w:right="144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and projected operating expenses and expense ratio compared to closed-end management investment companies with similar investment objectives, and concluded that our operating expenses were reasonable;</w:t>
      </w:r>
    </w:p>
    <w:p>
      <w:pPr>
        <w:spacing w:after="0" w:line="93" w:lineRule="exact"/>
        <w:rPr>
          <w:rFonts w:ascii="Times New Roman" w:cs="Times New Roman" w:eastAsia="Times New Roman" w:hAnsi="Times New Roman"/>
          <w:sz w:val="16"/>
          <w:szCs w:val="16"/>
          <w:color w:val="auto"/>
        </w:rPr>
      </w:pPr>
    </w:p>
    <w:p>
      <w:pPr>
        <w:ind w:left="1680" w:right="108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and indirect costs that might be incurred by Oxford Lane Management and its affiliates in performing services for the Fund and the basis of determining and allocating these costs, including through the Investment Advisory Agreement and Administration Agreement;</w:t>
      </w:r>
    </w:p>
    <w:p>
      <w:pPr>
        <w:spacing w:after="0" w:line="9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possible economies of scale arising from the Fund’s size and/or anticipated growth;</w:t>
      </w:r>
    </w:p>
    <w:p>
      <w:pPr>
        <w:spacing w:after="0" w:line="114" w:lineRule="exact"/>
        <w:rPr>
          <w:rFonts w:ascii="Times New Roman" w:cs="Times New Roman" w:eastAsia="Times New Roman" w:hAnsi="Times New Roman"/>
          <w:sz w:val="16"/>
          <w:szCs w:val="16"/>
          <w:color w:val="auto"/>
        </w:rPr>
      </w:pPr>
    </w:p>
    <w:p>
      <w:pPr>
        <w:ind w:left="1680" w:right="110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services to be performed and the personnel performing such services under the Investment Advisory Agreement, and concluded that the services to be performed and the personnel performing such services were satisfactory;</w:t>
      </w:r>
    </w:p>
    <w:p>
      <w:pPr>
        <w:spacing w:after="0" w:line="93" w:lineRule="exact"/>
        <w:rPr>
          <w:rFonts w:ascii="Times New Roman" w:cs="Times New Roman" w:eastAsia="Times New Roman" w:hAnsi="Times New Roman"/>
          <w:sz w:val="16"/>
          <w:szCs w:val="16"/>
          <w:color w:val="auto"/>
        </w:rPr>
      </w:pPr>
    </w:p>
    <w:p>
      <w:pPr>
        <w:ind w:left="1680" w:right="1060" w:hanging="375"/>
        <w:spacing w:after="0" w:line="257"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possible benefits to the Adviser and its affiliates arising from their relationships with the Fund; and</w:t>
      </w:r>
    </w:p>
    <w:p>
      <w:pPr>
        <w:spacing w:after="0" w:line="83" w:lineRule="exact"/>
        <w:rPr>
          <w:rFonts w:ascii="Times New Roman" w:cs="Times New Roman" w:eastAsia="Times New Roman" w:hAnsi="Times New Roman"/>
          <w:sz w:val="16"/>
          <w:szCs w:val="16"/>
          <w:color w:val="auto"/>
        </w:rPr>
      </w:pPr>
    </w:p>
    <w:p>
      <w:pPr>
        <w:ind w:left="1680" w:right="940" w:hanging="375"/>
        <w:spacing w:after="0" w:line="245" w:lineRule="auto"/>
        <w:tabs>
          <w:tab w:leader="none" w:pos="1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possibility of obtaining similar services from other third-party service providers or through an internally managed structure, and concluded that our current externally managed structure with Oxford Lane Management as our investment advisor was satisfactory.</w:t>
      </w:r>
    </w:p>
    <w:p>
      <w:pPr>
        <w:spacing w:after="0" w:line="94"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Based on the information reviewed and the discussions detailed above, the Board of Directors, including all of the directors who are not “interested persons” as defined in the 1940 Act, and assisted by independent counsel, concluded that the fees payable to Oxford Lane Management pursuant to the Investment Advisory Agreement were not unreasonable, and comparable to the fees paid by other management investment companies with similar investment objectives, in relation to the services to be provided. The Board of Directors did not assign relative weights to the above factors or the other factors considered by it. Individual members of the Board of Directors may have given different weights to different factors.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69" w:name="page70"/>
    <w:bookmarkEnd w:id="6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SUBMISSION OF MATTERS TO A VOTE OF STOCKHOLDERS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960" w:firstLine="382"/>
        <w:spacing w:after="0" w:line="245" w:lineRule="auto"/>
        <w:rPr>
          <w:sz w:val="20"/>
          <w:szCs w:val="20"/>
          <w:color w:val="auto"/>
        </w:rPr>
      </w:pPr>
      <w:r>
        <w:rPr>
          <w:rFonts w:ascii="Times New Roman" w:cs="Times New Roman" w:eastAsia="Times New Roman" w:hAnsi="Times New Roman"/>
          <w:sz w:val="16"/>
          <w:szCs w:val="16"/>
          <w:color w:val="auto"/>
        </w:rPr>
        <w:t>The Fund held its Annual Meeting of Stockholders (the ‘‘Meeting’’) on October 22, 2024 and submitted two matters to the vote of the stockholders. At the Meeting, stockholders elected nominees for director, to serve for a three-year term to expire at the 2027 Annual Meeting of Stockholders based on the following votes: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88"/>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1120" w:type="dxa"/>
            <w:vAlign w:val="bottom"/>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0" w:type="dxa"/>
            <w:vAlign w:val="bottom"/>
          </w:tcPr>
          <w:p>
            <w:pPr>
              <w:spacing w:after="0"/>
              <w:rPr>
                <w:sz w:val="16"/>
                <w:szCs w:val="16"/>
                <w:color w:val="auto"/>
              </w:rPr>
            </w:pPr>
          </w:p>
        </w:tc>
        <w:tc>
          <w:tcPr>
            <w:tcW w:w="126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Votes Withheld</w:t>
            </w:r>
          </w:p>
        </w:tc>
      </w:tr>
      <w:tr>
        <w:trPr>
          <w:trHeight w:val="30"/>
        </w:trPr>
        <w:tc>
          <w:tcPr>
            <w:tcW w:w="4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Saul B. Rosenthal</w:t>
            </w:r>
            <w:r>
              <w:rPr>
                <w:rFonts w:ascii="Times New Roman" w:cs="Times New Roman" w:eastAsia="Times New Roman" w:hAnsi="Times New Roman"/>
                <w:sz w:val="19"/>
                <w:szCs w:val="19"/>
                <w:color w:val="auto"/>
                <w:vertAlign w:val="superscript"/>
              </w:rPr>
              <w:t>(1)</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175,834,837</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23,813,481</w:t>
            </w:r>
          </w:p>
        </w:tc>
      </w:tr>
      <w:tr>
        <w:trPr>
          <w:trHeight w:val="251"/>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David S. Shin</w:t>
            </w:r>
            <w:r>
              <w:rPr>
                <w:rFonts w:ascii="Times New Roman" w:cs="Times New Roman" w:eastAsia="Times New Roman" w:hAnsi="Times New Roman"/>
                <w:sz w:val="19"/>
                <w:szCs w:val="19"/>
                <w:color w:val="auto"/>
                <w:vertAlign w:val="superscript"/>
              </w:rPr>
              <w:t>(2)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4,056,442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2,340,956</w:t>
            </w:r>
          </w:p>
        </w:tc>
      </w:tr>
    </w:tbl>
    <w:p>
      <w:pPr>
        <w:spacing w:after="0" w:line="4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90" w:lineRule="exact"/>
        <w:rPr>
          <w:sz w:val="20"/>
          <w:szCs w:val="20"/>
          <w:color w:val="auto"/>
        </w:rPr>
      </w:pPr>
    </w:p>
    <w:p>
      <w:pPr>
        <w:ind w:left="1300" w:hanging="377"/>
        <w:spacing w:after="0"/>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Rosenthal was elected by the holders of our common stock and preferred stock, voting together as a single class.</w:t>
      </w:r>
    </w:p>
    <w:p>
      <w:pPr>
        <w:spacing w:after="0" w:line="22" w:lineRule="exact"/>
        <w:rPr>
          <w:rFonts w:ascii="Times New Roman" w:cs="Times New Roman" w:eastAsia="Times New Roman" w:hAnsi="Times New Roman"/>
          <w:sz w:val="14"/>
          <w:szCs w:val="14"/>
          <w:color w:val="auto"/>
        </w:rPr>
      </w:pPr>
    </w:p>
    <w:p>
      <w:pPr>
        <w:ind w:left="1300" w:hanging="377"/>
        <w:spacing w:after="0"/>
        <w:tabs>
          <w:tab w:leader="none" w:pos="1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Shin was elected by the holders of our outstanding Preferred Stock, voting as a single class.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0" w:name="page71"/>
    <w:bookmarkEnd w:id="7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CHANGES OCCURING DURING THE REPORTING PERIOD</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7" w:lineRule="exact"/>
        <w:rPr>
          <w:sz w:val="20"/>
          <w:szCs w:val="20"/>
          <w:color w:val="auto"/>
        </w:rPr>
      </w:pPr>
    </w:p>
    <w:p>
      <w:pPr>
        <w:ind w:left="920" w:right="980" w:firstLine="382"/>
        <w:spacing w:after="0" w:line="245" w:lineRule="auto"/>
        <w:rPr>
          <w:sz w:val="20"/>
          <w:szCs w:val="20"/>
          <w:color w:val="auto"/>
        </w:rPr>
      </w:pPr>
      <w:r>
        <w:rPr>
          <w:rFonts w:ascii="Times New Roman" w:cs="Times New Roman" w:eastAsia="Times New Roman" w:hAnsi="Times New Roman"/>
          <w:sz w:val="16"/>
          <w:szCs w:val="16"/>
          <w:color w:val="auto"/>
        </w:rPr>
        <w:t>The following information in this semi-annual report is a summary of certain changes during the most recent six months. This information may not reflect all of the changes that have occurred since you purchased securities of the Fund.</w:t>
      </w:r>
    </w:p>
    <w:p>
      <w:pPr>
        <w:spacing w:after="0" w:line="94" w:lineRule="exact"/>
        <w:rPr>
          <w:sz w:val="20"/>
          <w:szCs w:val="20"/>
          <w:color w:val="auto"/>
        </w:rPr>
      </w:pPr>
    </w:p>
    <w:p>
      <w:pPr>
        <w:jc w:val="both"/>
        <w:ind w:left="920" w:right="1060" w:firstLine="382"/>
        <w:spacing w:after="0" w:line="276" w:lineRule="auto"/>
        <w:rPr>
          <w:sz w:val="20"/>
          <w:szCs w:val="20"/>
          <w:color w:val="auto"/>
        </w:rPr>
      </w:pPr>
      <w:r>
        <w:rPr>
          <w:rFonts w:ascii="Times New Roman" w:cs="Times New Roman" w:eastAsia="Times New Roman" w:hAnsi="Times New Roman"/>
          <w:sz w:val="14"/>
          <w:szCs w:val="14"/>
          <w:color w:val="auto"/>
        </w:rPr>
        <w:t>During the applicable period, except as noted below, there have been: (i) no material changes to the Fund’s investment objectives and policies that constitute its principal portfolio emphasis that have not been approved by stockholders; (ii) no changes to the persons primarily responsible for day-to-day management of the Fund; and</w:t>
      </w:r>
    </w:p>
    <w:p>
      <w:pPr>
        <w:ind w:left="4420" w:right="2100" w:hanging="3497"/>
        <w:spacing w:after="0" w:line="437" w:lineRule="auto"/>
        <w:tabs>
          <w:tab w:leader="none" w:pos="1184"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changes to the Fund’s charter or by-laws that would delay or prevent a change of control.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-101600</wp:posOffset>
            </wp:positionV>
            <wp:extent cx="455295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1" w:name="page72"/>
    <w:bookmarkEnd w:id="7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117" w:lineRule="exact"/>
        <w:rPr>
          <w:sz w:val="20"/>
          <w:szCs w:val="20"/>
          <w:color w:val="auto"/>
        </w:rPr>
      </w:pPr>
    </w:p>
    <w:p>
      <w:pPr>
        <w:jc w:val="both"/>
        <w:ind w:left="920" w:right="1000" w:firstLine="382"/>
        <w:spacing w:after="0" w:line="245" w:lineRule="auto"/>
        <w:rPr>
          <w:sz w:val="20"/>
          <w:szCs w:val="20"/>
          <w:color w:val="auto"/>
        </w:rPr>
      </w:pPr>
      <w:r>
        <w:rPr>
          <w:rFonts w:ascii="Times New Roman" w:cs="Times New Roman" w:eastAsia="Times New Roman" w:hAnsi="Times New Roman"/>
          <w:sz w:val="16"/>
          <w:szCs w:val="16"/>
          <w:color w:val="auto"/>
        </w:rPr>
        <w:t>The value of our assets, as well as the market price of our securities, will fluctuate. Our investments may be risky, and you may lose all or part of your investment in us. Investing in Oxford Lane Capital involves other risks, including the following:</w:t>
      </w:r>
    </w:p>
    <w:p>
      <w:pPr>
        <w:spacing w:after="0" w:line="14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Structure</w:t>
      </w:r>
    </w:p>
    <w:p>
      <w:pPr>
        <w:spacing w:after="0" w:line="105" w:lineRule="exact"/>
        <w:rPr>
          <w:sz w:val="20"/>
          <w:szCs w:val="20"/>
          <w:color w:val="auto"/>
        </w:rPr>
      </w:pPr>
    </w:p>
    <w:p>
      <w:pPr>
        <w:ind w:left="1680" w:right="1000" w:hanging="375"/>
        <w:spacing w:after="0" w:line="245"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spacing w:after="0" w:line="81" w:lineRule="exact"/>
        <w:rPr>
          <w:rFonts w:ascii="Times New Roman" w:cs="Times New Roman" w:eastAsia="Times New Roman" w:hAnsi="Times New Roman"/>
          <w:sz w:val="16"/>
          <w:szCs w:val="16"/>
          <w:color w:val="auto"/>
        </w:rPr>
      </w:pPr>
    </w:p>
    <w:p>
      <w:pPr>
        <w:ind w:left="1680" w:right="1220" w:hanging="375"/>
        <w:spacing w:after="0" w:line="257"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financial condition and results of operations will depend on our ability to manage our existing portfolio and future growth effectively.</w:t>
      </w:r>
    </w:p>
    <w:p>
      <w:pPr>
        <w:spacing w:after="0" w:line="72" w:lineRule="exact"/>
        <w:rPr>
          <w:rFonts w:ascii="Times New Roman" w:cs="Times New Roman" w:eastAsia="Times New Roman" w:hAnsi="Times New Roman"/>
          <w:sz w:val="16"/>
          <w:szCs w:val="16"/>
          <w:color w:val="auto"/>
        </w:rPr>
      </w:pPr>
    </w:p>
    <w:p>
      <w:pPr>
        <w:ind w:left="1680" w:right="1460" w:hanging="375"/>
        <w:spacing w:after="0" w:line="257"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dependent upon Oxford Lane Management’s key management personnel for our future success, particularly Jonathan H. Cohen and Saul B. Rosenthal.</w:t>
      </w:r>
    </w:p>
    <w:p>
      <w:pPr>
        <w:spacing w:after="0" w:line="72"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operate in a highly competitive market for investment opportunities.</w:t>
      </w:r>
    </w:p>
    <w:p>
      <w:pPr>
        <w:spacing w:after="0" w:line="102" w:lineRule="exact"/>
        <w:rPr>
          <w:rFonts w:ascii="Times New Roman" w:cs="Times New Roman" w:eastAsia="Times New Roman" w:hAnsi="Times New Roman"/>
          <w:sz w:val="16"/>
          <w:szCs w:val="16"/>
          <w:color w:val="auto"/>
        </w:rPr>
      </w:pPr>
    </w:p>
    <w:p>
      <w:pPr>
        <w:ind w:left="1680" w:right="900" w:hanging="375"/>
        <w:spacing w:after="0" w:line="241"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spacing w:after="0" w:line="85" w:lineRule="exact"/>
        <w:rPr>
          <w:rFonts w:ascii="Times New Roman" w:cs="Times New Roman" w:eastAsia="Times New Roman" w:hAnsi="Times New Roman"/>
          <w:sz w:val="16"/>
          <w:szCs w:val="16"/>
          <w:color w:val="auto"/>
        </w:rPr>
      </w:pPr>
    </w:p>
    <w:p>
      <w:pPr>
        <w:ind w:left="1680" w:right="940" w:hanging="375"/>
        <w:spacing w:after="0" w:line="257"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permitted to borrow money, which magnifies the potential for gain or loss on amounts invested and may increase the risk of investing in us.</w:t>
      </w:r>
    </w:p>
    <w:p>
      <w:pPr>
        <w:spacing w:after="0" w:line="72" w:lineRule="exact"/>
        <w:rPr>
          <w:rFonts w:ascii="Times New Roman" w:cs="Times New Roman" w:eastAsia="Times New Roman" w:hAnsi="Times New Roman"/>
          <w:sz w:val="16"/>
          <w:szCs w:val="16"/>
          <w:color w:val="auto"/>
        </w:rPr>
      </w:pPr>
    </w:p>
    <w:p>
      <w:pPr>
        <w:ind w:left="1680" w:right="1480" w:hanging="375"/>
        <w:spacing w:after="0" w:line="257" w:lineRule="auto"/>
        <w:tabs>
          <w:tab w:leader="none" w:pos="16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are significant potential conflicts of interest between Oxford Lane Management and our management team.</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U.S. Federal Tax Regulation</w:t>
      </w:r>
    </w:p>
    <w:p>
      <w:pPr>
        <w:spacing w:after="0" w:line="117" w:lineRule="exact"/>
        <w:rPr>
          <w:sz w:val="20"/>
          <w:szCs w:val="20"/>
          <w:color w:val="auto"/>
        </w:rPr>
      </w:pPr>
    </w:p>
    <w:p>
      <w:pPr>
        <w:ind w:left="1680" w:right="1240" w:hanging="375"/>
        <w:spacing w:after="0" w:line="257" w:lineRule="auto"/>
        <w:tabs>
          <w:tab w:leader="none" w:pos="16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subject to U.S. federal income tax at corporate rates, if we are unable to qualify for tax treatment as a RIC for U.S. federal income tax purposes.</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Relating to Our Investments</w:t>
      </w:r>
    </w:p>
    <w:p>
      <w:pPr>
        <w:spacing w:after="0" w:line="117" w:lineRule="exact"/>
        <w:rPr>
          <w:sz w:val="20"/>
          <w:szCs w:val="20"/>
          <w:color w:val="auto"/>
        </w:rPr>
      </w:pPr>
    </w:p>
    <w:p>
      <w:pPr>
        <w:ind w:left="1680" w:right="960" w:hanging="375"/>
        <w:spacing w:after="0" w:line="257"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investments in CLO vehicles are riskier and less transparent to us and our stockholders than direct investments in the underlying Senior Loans or CLO Assets.</w:t>
      </w:r>
    </w:p>
    <w:p>
      <w:pPr>
        <w:spacing w:after="0" w:line="8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CLO securities and their investments are often illiquid.</w:t>
      </w:r>
    </w:p>
    <w:p>
      <w:pPr>
        <w:spacing w:after="0" w:line="114" w:lineRule="exact"/>
        <w:rPr>
          <w:rFonts w:ascii="Times New Roman" w:cs="Times New Roman" w:eastAsia="Times New Roman" w:hAnsi="Times New Roman"/>
          <w:sz w:val="16"/>
          <w:szCs w:val="16"/>
          <w:color w:val="auto"/>
        </w:rPr>
      </w:pPr>
    </w:p>
    <w:p>
      <w:pPr>
        <w:jc w:val="both"/>
        <w:ind w:left="1680" w:right="1020" w:hanging="375"/>
        <w:spacing w:after="0" w:line="245"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portfolio of investments may lack diversification among CLO vehicles which may subject us to a risk of significant loss if one or more of these CLO vehicles experience a high level of defaults on its underlying Senior Loans or CLO Assets.</w:t>
      </w:r>
    </w:p>
    <w:p>
      <w:pPr>
        <w:spacing w:after="0" w:line="93" w:lineRule="exact"/>
        <w:rPr>
          <w:rFonts w:ascii="Times New Roman" w:cs="Times New Roman" w:eastAsia="Times New Roman" w:hAnsi="Times New Roman"/>
          <w:sz w:val="16"/>
          <w:szCs w:val="16"/>
          <w:color w:val="auto"/>
        </w:rPr>
      </w:pPr>
    </w:p>
    <w:p>
      <w:pPr>
        <w:ind w:left="1680" w:right="1140" w:hanging="375"/>
        <w:spacing w:after="0" w:line="257"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Investing in CLO vehicles, Senior Loans and other high-yield corporate credits involves a variety of risks, any of which may adversely impact our performance.</w:t>
      </w:r>
    </w:p>
    <w:p>
      <w:pPr>
        <w:spacing w:after="0" w:line="83" w:lineRule="exact"/>
        <w:rPr>
          <w:rFonts w:ascii="Times New Roman" w:cs="Times New Roman" w:eastAsia="Times New Roman" w:hAnsi="Times New Roman"/>
          <w:sz w:val="16"/>
          <w:szCs w:val="16"/>
          <w:color w:val="auto"/>
        </w:rPr>
      </w:pPr>
    </w:p>
    <w:p>
      <w:pPr>
        <w:ind w:left="1680" w:right="1200" w:hanging="375"/>
        <w:spacing w:after="0" w:line="257" w:lineRule="auto"/>
        <w:tabs>
          <w:tab w:leader="none" w:pos="16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may adversely affect our and our portfolio companies’ business, results of operations and financial condition.</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Relating to an Investment in Our Securities</w:t>
      </w:r>
    </w:p>
    <w:p>
      <w:pPr>
        <w:spacing w:after="0" w:line="117" w:lineRule="exact"/>
        <w:rPr>
          <w:sz w:val="20"/>
          <w:szCs w:val="20"/>
          <w:color w:val="auto"/>
        </w:rPr>
      </w:pPr>
    </w:p>
    <w:p>
      <w:pPr>
        <w:ind w:left="1680" w:right="1060" w:hanging="375"/>
        <w:spacing w:after="0" w:line="298" w:lineRule="auto"/>
        <w:tabs>
          <w:tab w:leader="none" w:pos="16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of closed-end management investment companies, including Oxford Lane Capital, have in the past frequently traded at discounts to their net asset values, and we cannot assure you that the market price of shares of our common stock will not decline below our net asset value per share.</w:t>
      </w:r>
    </w:p>
    <w:p>
      <w:pPr>
        <w:spacing w:after="0" w:line="57" w:lineRule="exact"/>
        <w:rPr>
          <w:rFonts w:ascii="Times New Roman" w:cs="Times New Roman" w:eastAsia="Times New Roman" w:hAnsi="Times New Roman"/>
          <w:sz w:val="14"/>
          <w:szCs w:val="14"/>
          <w:color w:val="auto"/>
        </w:rPr>
      </w:pPr>
    </w:p>
    <w:p>
      <w:pPr>
        <w:ind w:left="1680" w:hanging="375"/>
        <w:spacing w:after="0"/>
        <w:tabs>
          <w:tab w:leader="none" w:pos="16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common stock price may be volatile and may decrease substantially.</w:t>
      </w:r>
    </w:p>
    <w:p>
      <w:pPr>
        <w:spacing w:after="0" w:line="115" w:lineRule="exact"/>
        <w:rPr>
          <w:sz w:val="20"/>
          <w:szCs w:val="20"/>
          <w:color w:val="auto"/>
        </w:rPr>
      </w:pPr>
    </w:p>
    <w:p>
      <w:pPr>
        <w:ind w:left="920" w:right="1020" w:firstLine="382"/>
        <w:spacing w:after="0" w:line="257" w:lineRule="auto"/>
        <w:rPr>
          <w:sz w:val="20"/>
          <w:szCs w:val="20"/>
          <w:color w:val="auto"/>
        </w:rPr>
      </w:pPr>
      <w:r>
        <w:rPr>
          <w:rFonts w:ascii="Times New Roman" w:cs="Times New Roman" w:eastAsia="Times New Roman" w:hAnsi="Times New Roman"/>
          <w:sz w:val="16"/>
          <w:szCs w:val="16"/>
          <w:color w:val="auto"/>
        </w:rPr>
        <w:t>See “PRINCIPAL RISKS” below, as well as our prospectus, for additional discussion of factors you should carefully consider before investing in the Fund’s securities.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2" w:name="page73"/>
    <w:bookmarkEnd w:id="7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PRINCIPAL RISKS</w:t>
      </w:r>
    </w:p>
    <w:p>
      <w:pPr>
        <w:spacing w:after="0" w:line="115" w:lineRule="exact"/>
        <w:rPr>
          <w:sz w:val="20"/>
          <w:szCs w:val="20"/>
          <w:color w:val="auto"/>
        </w:rPr>
      </w:pPr>
    </w:p>
    <w:p>
      <w:pPr>
        <w:ind w:left="920" w:right="1040" w:firstLine="382"/>
        <w:spacing w:after="0"/>
        <w:rPr>
          <w:sz w:val="20"/>
          <w:szCs w:val="20"/>
          <w:color w:val="auto"/>
        </w:rPr>
      </w:pPr>
      <w:r>
        <w:rPr>
          <w:rFonts w:ascii="Times New Roman" w:cs="Times New Roman" w:eastAsia="Times New Roman" w:hAnsi="Times New Roman"/>
          <w:sz w:val="16"/>
          <w:szCs w:val="16"/>
          <w:i w:val="1"/>
          <w:iCs w:val="1"/>
          <w:color w:val="auto"/>
        </w:rPr>
        <w:t>Investing in our securities involves a number of significant risks. In addition to the other information contained elsewhere in this semi-annual report, you should consider carefully the following information before making an investment in our securities. If any of the following events occur, our business, financial condition and results of operations could be materially and adversely affected. In such case, the net asset value of our common stock could decline, and you may lose all or part of your investment.</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Relating to Our Business and Structure</w:t>
      </w:r>
    </w:p>
    <w:p>
      <w:pPr>
        <w:spacing w:after="0" w:line="186" w:lineRule="exact"/>
        <w:rPr>
          <w:sz w:val="20"/>
          <w:szCs w:val="20"/>
          <w:color w:val="auto"/>
        </w:rPr>
      </w:pPr>
    </w:p>
    <w:p>
      <w:pPr>
        <w:ind w:left="920" w:right="11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depend on Oxford Lane Management’s ability to effectively manage and deploy capital.</w:t>
      </w:r>
    </w:p>
    <w:p>
      <w:pPr>
        <w:spacing w:after="0" w:line="81" w:lineRule="exact"/>
        <w:rPr>
          <w:sz w:val="20"/>
          <w:szCs w:val="20"/>
          <w:color w:val="auto"/>
        </w:rPr>
      </w:pPr>
    </w:p>
    <w:p>
      <w:pPr>
        <w:ind w:left="920" w:right="1100" w:firstLine="382"/>
        <w:spacing w:after="0" w:line="245"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ability to effectively manage and deploy capital, which depends, in turn, on Oxford Lane Management’s ability to identify, evaluate and monitor, and our ability to acquire, investments that meet our investment criteria.</w:t>
      </w:r>
    </w:p>
    <w:p>
      <w:pPr>
        <w:spacing w:after="0" w:line="94"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Accomplishing our investment objective on a cost-effective basis is largely a function of Oxford Lane Management’s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distributions.</w:t>
      </w:r>
    </w:p>
    <w:p>
      <w:pPr>
        <w:spacing w:after="0" w:line="167" w:lineRule="exact"/>
        <w:rPr>
          <w:sz w:val="20"/>
          <w:szCs w:val="20"/>
          <w:color w:val="auto"/>
        </w:rPr>
      </w:pPr>
    </w:p>
    <w:p>
      <w:pPr>
        <w:ind w:left="920" w:right="11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success will depend on the ability of Oxford Lane Management and certain of its affiliates to attract and retain qualified personnel in a competitive environment.</w:t>
      </w:r>
    </w:p>
    <w:p>
      <w:pPr>
        <w:spacing w:after="0" w:line="81" w:lineRule="exact"/>
        <w:rPr>
          <w:sz w:val="20"/>
          <w:szCs w:val="20"/>
          <w:color w:val="auto"/>
        </w:rPr>
      </w:pPr>
    </w:p>
    <w:p>
      <w:pPr>
        <w:ind w:left="920" w:right="980" w:firstLine="382"/>
        <w:spacing w:after="0" w:line="235" w:lineRule="auto"/>
        <w:rPr>
          <w:sz w:val="20"/>
          <w:szCs w:val="20"/>
          <w:color w:val="auto"/>
        </w:rPr>
      </w:pPr>
      <w:r>
        <w:rPr>
          <w:rFonts w:ascii="Times New Roman" w:cs="Times New Roman" w:eastAsia="Times New Roman" w:hAnsi="Times New Roman"/>
          <w:sz w:val="16"/>
          <w:szCs w:val="16"/>
          <w:color w:val="auto"/>
        </w:rPr>
        <w:t>Our success also requires that Oxford Lane Management retain investment and administrative personnel in a competitive market. Its ability to attract and retain personnel with the requisite credentials, experience and skills depends on several factors including, but not limited to, its ability to offer competitive wages, benefits and professional growth opportunities. Many of the entities, including investment funds (such as private equity funds, mezzanine funds and business development companies) and traditional financial services companies, with which we compete for experienced personnel have greater resources than we have. Oxford Lane Management has the right, under the Investment Advisory Agreement, to resign at any time upon 60 days’ written notice, whether we have found a replacement or not. If Oxford Lane Management resigns, we may not be able to find a new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shares may decline. In addition, the coordination of our internal management and investment activities is likely to suffer if we are unable to identify and reach an agreement with a single institution or group of executives having the expertise possessed by Oxford Lane Management and its affiliates. Even if we are able to retain comparable management, whether internal or external, the integration of such management and their lack of familiarity with our investment objective may result in additional costs and time delays that may adversely affect our financial condition, business and results of operations.</w:t>
      </w:r>
    </w:p>
    <w:p>
      <w:pPr>
        <w:spacing w:after="0" w:line="173" w:lineRule="exact"/>
        <w:rPr>
          <w:sz w:val="20"/>
          <w:szCs w:val="20"/>
          <w:color w:val="auto"/>
        </w:rPr>
      </w:pPr>
    </w:p>
    <w:p>
      <w:pPr>
        <w:ind w:left="920" w:right="14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are dependent upon Oxford Lane Management’s key management personnel for our future success, particularly Jonathan H. Cohen and Saul B. Rosenthal.</w:t>
      </w:r>
    </w:p>
    <w:p>
      <w:pPr>
        <w:spacing w:after="0" w:line="81"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We depend on the diligence, skill and network of business contacts of the senior management of Oxford Lane Management. The senior management, together with other investment professionals, will evaluate, negotiate, structure, close, monitor and service our investments. Our future success will depend to a significant extent on the continued service and coordination of the senior management team, particularly Jonathan H. Cohen, the Chief Executive Officer of Oxford Lane Management, and Saul B. Rosenthal, the President of Oxford Lane Management. Neither Mr. Cohen nor Mr. Rosenthal will devote all of their business time to our operations, and both will have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3" w:name="page74"/>
    <w:bookmarkEnd w:id="7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40"/>
        <w:spacing w:after="0" w:line="239" w:lineRule="auto"/>
        <w:rPr>
          <w:sz w:val="20"/>
          <w:szCs w:val="20"/>
          <w:color w:val="auto"/>
        </w:rPr>
      </w:pPr>
      <w:r>
        <w:rPr>
          <w:rFonts w:ascii="Times New Roman" w:cs="Times New Roman" w:eastAsia="Times New Roman" w:hAnsi="Times New Roman"/>
          <w:sz w:val="16"/>
          <w:szCs w:val="16"/>
          <w:color w:val="auto"/>
        </w:rPr>
        <w:t>other demands on their time as a result of their other activities. Neither Mr. Cohen nor Mr. Rosenthal is subject to an employment contract. The departure of either of these individuals could have a material adverse effect on our ability to achieve our investment objective. In addition, due to Oxford Lane Management’s relatively small staff size, the departure of any of Oxford Lane Management’s personnel, including investment, accounting and compliance professionals, could have a material adverse effect on us.</w:t>
      </w:r>
    </w:p>
    <w:p>
      <w:pPr>
        <w:spacing w:after="0" w:line="100" w:lineRule="exact"/>
        <w:rPr>
          <w:sz w:val="20"/>
          <w:szCs w:val="20"/>
          <w:color w:val="auto"/>
        </w:rPr>
      </w:pPr>
    </w:p>
    <w:p>
      <w:pPr>
        <w:ind w:left="920" w:right="1020" w:firstLine="382"/>
        <w:spacing w:after="0" w:line="237" w:lineRule="auto"/>
        <w:rPr>
          <w:sz w:val="20"/>
          <w:szCs w:val="20"/>
          <w:color w:val="auto"/>
        </w:rPr>
      </w:pPr>
      <w:r>
        <w:rPr>
          <w:rFonts w:ascii="Times New Roman" w:cs="Times New Roman" w:eastAsia="Times New Roman" w:hAnsi="Times New Roman"/>
          <w:sz w:val="16"/>
          <w:szCs w:val="16"/>
          <w:color w:val="auto"/>
        </w:rPr>
        <w:t>Although Messrs. Cohen and Rosenthal have experience managing other investment portfolios, including those of Oxford Square Capital Corp., a publicly traded business development company that invests principally in the debt of U.S.-based companies, Oxford Park Income Fund, Inc., a non-traded registered closed-end fund that invests principally in CLO debt and equity securities, and the Oxford Gate Funds and Oxford Bridge II, LLC, private investment funds that invest principally in the equity of CLOs, their track record and prior achievements are not necessarily indicative of future results that will be achieved by Oxford Lane Management. We cannot assure you that we will be able to achieve the results realized by other vehicles managed by Messrs. Cohen and Rosenthal.</w:t>
      </w:r>
    </w:p>
    <w:p>
      <w:pPr>
        <w:spacing w:after="0" w:line="170" w:lineRule="exact"/>
        <w:rPr>
          <w:sz w:val="20"/>
          <w:szCs w:val="20"/>
          <w:color w:val="auto"/>
        </w:rPr>
      </w:pPr>
    </w:p>
    <w:p>
      <w:pPr>
        <w:ind w:left="920" w:right="98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Our incentive fee structure and the formula for calculating the fee payable to Oxford Lane Management may incentivize Oxford Lane Management to pursue speculative investments, use leverage when it may be unwise to do so, or refrain from de-levering when it would otherwise be appropriate to do so.</w:t>
      </w:r>
    </w:p>
    <w:p>
      <w:pPr>
        <w:spacing w:after="0" w:line="91" w:lineRule="exact"/>
        <w:rPr>
          <w:sz w:val="20"/>
          <w:szCs w:val="20"/>
          <w:color w:val="auto"/>
        </w:rPr>
      </w:pPr>
    </w:p>
    <w:p>
      <w:pPr>
        <w:ind w:left="920" w:right="980" w:firstLine="382"/>
        <w:spacing w:after="0" w:line="273" w:lineRule="auto"/>
        <w:rPr>
          <w:sz w:val="20"/>
          <w:szCs w:val="20"/>
          <w:color w:val="auto"/>
        </w:rPr>
      </w:pPr>
      <w:r>
        <w:rPr>
          <w:rFonts w:ascii="Times New Roman" w:cs="Times New Roman" w:eastAsia="Times New Roman" w:hAnsi="Times New Roman"/>
          <w:sz w:val="14"/>
          <w:szCs w:val="14"/>
          <w:color w:val="auto"/>
        </w:rPr>
        <w:t>The incentive fee payable by us to Oxford Lane Management may create an incentive for Oxford Lane Management to pursue investments on our behalf that are riskier or more speculative than would be the case in the absence of such compensation arrangement. Such a practice could result in our investing in more speculative securities than would otherwise be the case, which could result in higher investment losses, particularly during economic downturns. The incentive fee payable to Oxford Lane Management is based on our pre-incentive net investment income, as calculated in accordance with our Investment Advisory Agreement. In addition, our base management fee is calculated on the basis of our gross assets, including assets acquired through the use of leverage. This may encourage Oxford Lane Management to use leverage to increase the aggregate amount of and the return on our investments, even when it may not be appropriate to do so, and to refrain from de-levering when it would otherwise be appropriate to do so. Under certain circumstances, the use of leverage may increase the likelihood of default, which would impair the value of our securities.</w:t>
      </w:r>
    </w:p>
    <w:p>
      <w:pPr>
        <w:spacing w:after="0" w:line="260"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We may invest, to the extent permitted by law, in the securities and other instruments of other investment companies, including private funds, and, to the extent we so invest, will bear our ratable share of any such investment company’s expenses, including management and performance fees. We will also remain obligated to pay management and incentive fees to Oxford Lane Management with respect to the assets invested in the securities and other instruments of other investment companies. With respect to each of these investments, each of our stockholders will bear his or her share of the management and incentive fee of Oxford Lane Management as well as indirectly bearing the management and performance fees and other expenses of any investment companies in which we invest.</w:t>
      </w:r>
    </w:p>
    <w:p>
      <w:pPr>
        <w:spacing w:after="0" w:line="100"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In the course of our investing activities, we will pay management and incentive fees to Oxford Lane Management and reimburse Oxford Lane Management for certain expenses it incurs. As a result, investors in our common stock will invest on a “gross” basis and receive distributions on a “net” basis after expenses, resulting in a lower rate of return than an investor might achieve through direct investments.</w:t>
      </w:r>
    </w:p>
    <w:p>
      <w:pPr>
        <w:spacing w:after="0" w:line="167" w:lineRule="exact"/>
        <w:rPr>
          <w:sz w:val="20"/>
          <w:szCs w:val="20"/>
          <w:color w:val="auto"/>
        </w:rPr>
      </w:pPr>
    </w:p>
    <w:p>
      <w:pPr>
        <w:ind w:left="920" w:right="12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 general increase in interest rates may have the effect of making it easier for Oxford Lane Management to receive incentive fees, without necessarily resulting in an increase in our net earnings.</w:t>
      </w:r>
    </w:p>
    <w:p>
      <w:pPr>
        <w:spacing w:after="0" w:line="81" w:lineRule="exact"/>
        <w:rPr>
          <w:sz w:val="20"/>
          <w:szCs w:val="20"/>
          <w:color w:val="auto"/>
        </w:rPr>
      </w:pPr>
    </w:p>
    <w:p>
      <w:pPr>
        <w:ind w:left="920" w:right="960" w:firstLine="382"/>
        <w:spacing w:after="0" w:line="237" w:lineRule="auto"/>
        <w:rPr>
          <w:sz w:val="20"/>
          <w:szCs w:val="20"/>
          <w:color w:val="auto"/>
        </w:rPr>
      </w:pPr>
      <w:r>
        <w:rPr>
          <w:rFonts w:ascii="Times New Roman" w:cs="Times New Roman" w:eastAsia="Times New Roman" w:hAnsi="Times New Roman"/>
          <w:sz w:val="16"/>
          <w:szCs w:val="16"/>
          <w:color w:val="auto"/>
        </w:rPr>
        <w:t>Given the structure of our Investment Advisory Agreement with Oxford Lane Management, any general increase in interest rates will likely have the effect of making it easier for Oxford Lane Management to meet the quarterly hurdle rate for payment of income incentive fees under the Investment Advisory Agreement without any additional increase in relative performance on the part of Oxford Lane Management. In addition, in view of the catch-up provision applicable to income incentive fees under the Investment Advisory Agreement, Oxford Lane Management could potentially receive a significant portion of the increase in our investment income attributable to such a general increase in interest rates. If that were to occur, our increase in net earnings, if any, would likely be significantly smaller than the relative increase in Oxford Lane Management’s income incentive fee resulting from such a general increase in interest rates.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4" w:name="page75"/>
    <w:bookmarkEnd w:id="7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15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may borrow money and/or issue preferred stock to leverage our portfolio, which would magnify the potential for gain or loss on amounts invested and will increase the risk of investing in us.</w:t>
      </w:r>
    </w:p>
    <w:p>
      <w:pPr>
        <w:spacing w:after="0" w:line="69" w:lineRule="exact"/>
        <w:rPr>
          <w:sz w:val="20"/>
          <w:szCs w:val="20"/>
          <w:color w:val="auto"/>
        </w:rPr>
      </w:pPr>
    </w:p>
    <w:p>
      <w:pPr>
        <w:jc w:val="both"/>
        <w:ind w:left="920" w:right="960" w:firstLine="382"/>
        <w:spacing w:after="0" w:line="273" w:lineRule="auto"/>
        <w:rPr>
          <w:sz w:val="20"/>
          <w:szCs w:val="20"/>
          <w:color w:val="auto"/>
        </w:rPr>
      </w:pPr>
      <w:r>
        <w:rPr>
          <w:rFonts w:ascii="Times New Roman" w:cs="Times New Roman" w:eastAsia="Times New Roman" w:hAnsi="Times New Roman"/>
          <w:sz w:val="14"/>
          <w:szCs w:val="14"/>
          <w:color w:val="auto"/>
        </w:rPr>
        <w:t>The use of leverage magnifies the potential for gain or loss on amounts invested and, therefore, increases the risks associated with investing in our securities. As of September 30, 2024, we have an aggregate of $88.1 million of preferred stock with a preferred rate of 6.25% per annum, an aggregate of $67.2 million of preferred stock with a preferred rate of 6.00% per annum, an aggregate of $63.8 million of preferred stock with a preferred rate of</w:t>
      </w:r>
    </w:p>
    <w:p>
      <w:pPr>
        <w:spacing w:after="0" w:line="3" w:lineRule="exact"/>
        <w:rPr>
          <w:sz w:val="20"/>
          <w:szCs w:val="20"/>
          <w:color w:val="auto"/>
        </w:rPr>
      </w:pPr>
    </w:p>
    <w:p>
      <w:pPr>
        <w:ind w:left="920" w:right="940"/>
        <w:spacing w:after="0" w:line="269" w:lineRule="auto"/>
        <w:rPr>
          <w:sz w:val="20"/>
          <w:szCs w:val="20"/>
          <w:color w:val="auto"/>
        </w:rPr>
      </w:pPr>
      <w:r>
        <w:rPr>
          <w:rFonts w:ascii="Times New Roman" w:cs="Times New Roman" w:eastAsia="Times New Roman" w:hAnsi="Times New Roman"/>
          <w:sz w:val="14"/>
          <w:szCs w:val="14"/>
          <w:color w:val="auto"/>
        </w:rPr>
        <w:t>7.125% per annum, $100.0 million of 5.00% Unsecured Notes due 2027, $100.0 million of 6.75% Unsecured Notes due 2031 and $115.0 million of 8.75% Unsecured Notes due 2030. Although we have no current intention to do so, we may borrow from and issue senior securities, including additional shares of preferred stock, to banks, insurance companies and other lenders in the future. Holders of these senior securities will have fixed dollar claims on our assets that are superior to the claims of our common stockholders, and we would expect such lenders to seek recovery against our assets in the event of a default.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also negatively affect our ability to make dividend payments on our common stock. Leverage is generally considered a speculative investment technique. Our ability to service any debt that we incur will depend largely on our financial performance and will be subject to prevailing economic conditions and competitive pressures. Moreover, as the management fee payable to Oxford Lane Management will be payable based on our gross assets, including those assets acquired through the use of leverage, Oxford Lane Management will have a financial incentive to incur leverage which may not be consistent with our stockholders’ interests. In addition, our common stockholders will bear the burden of any increase in our expenses as a result of leverage, including any increase in the management fee payable to Oxford Lane Management.</w:t>
      </w:r>
    </w:p>
    <w:p>
      <w:pPr>
        <w:spacing w:after="0" w:line="251" w:lineRule="exact"/>
        <w:rPr>
          <w:sz w:val="20"/>
          <w:szCs w:val="20"/>
          <w:color w:val="auto"/>
        </w:rPr>
      </w:pPr>
    </w:p>
    <w:p>
      <w:pPr>
        <w:ind w:left="920" w:right="940" w:firstLine="382"/>
        <w:spacing w:after="0" w:line="271"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will generally be required to meet an asset coverage ratio with respect to our outstanding senior securities representing indebtedness, defined under the 1940 Act as the ratio of our gross assets (less all liabilities and indebtedness not represented by senior securities) to our outstanding senior securities representing indebtedness, of at least 300% after each issuance of senior securities representing indebtedness. In addition, we will generally be required to meet an asset coverage ratio with respect to our outstanding preferred stock, as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of at least 200% immediately after each issuance of such preferred stock. If this ratio declines, we may not be able to incur additional debt or issue additional shares of preferred stock and could be required by law to sell a portion of our investments to repay some debt or redeem some preferred stock when it is disadvantageous to do so, which could have a material adverse effect on our operations, and we may not be able to make distributions or repurchases of stock. The amount of leverage that we employ will depend on Oxford Lane Management’s and our Board of Directors’ assessment of market and other factors at the time of any proposed borrowing. We cannot assure you that we will be able to obtain credit at all or on terms acceptable to us.</w:t>
      </w:r>
    </w:p>
    <w:p>
      <w:pPr>
        <w:spacing w:after="0" w:line="251" w:lineRule="exact"/>
        <w:rPr>
          <w:sz w:val="20"/>
          <w:szCs w:val="20"/>
          <w:color w:val="auto"/>
        </w:rPr>
      </w:pPr>
    </w:p>
    <w:p>
      <w:pPr>
        <w:jc w:val="both"/>
        <w:ind w:left="920" w:right="900" w:firstLine="382"/>
        <w:spacing w:after="0" w:line="298" w:lineRule="auto"/>
        <w:rPr>
          <w:sz w:val="20"/>
          <w:szCs w:val="20"/>
          <w:color w:val="auto"/>
        </w:rPr>
      </w:pPr>
      <w:r>
        <w:rPr>
          <w:rFonts w:ascii="Times New Roman" w:cs="Times New Roman" w:eastAsia="Times New Roman" w:hAnsi="Times New Roman"/>
          <w:sz w:val="14"/>
          <w:szCs w:val="14"/>
          <w:color w:val="auto"/>
        </w:rPr>
        <w:t>In addition, any debt facility into which we may enter would likely impose financial and operating covenants that restrict our business activities, including limitations that could hinder our ability to finance additional loans and investments or to make the distributions required to maintain our status as a RIC under Subchapter M of the Code.</w:t>
      </w:r>
    </w:p>
    <w:p>
      <w:pPr>
        <w:spacing w:after="0" w:line="44" w:lineRule="exact"/>
        <w:rPr>
          <w:sz w:val="20"/>
          <w:szCs w:val="20"/>
          <w:color w:val="auto"/>
        </w:rPr>
      </w:pPr>
    </w:p>
    <w:p>
      <w:pPr>
        <w:ind w:left="920" w:right="1260" w:firstLine="382"/>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 xml:space="preserve">Illustration. </w:t>
      </w:r>
      <w:r>
        <w:rPr>
          <w:rFonts w:ascii="Times New Roman" w:cs="Times New Roman" w:eastAsia="Times New Roman" w:hAnsi="Times New Roman"/>
          <w:sz w:val="16"/>
          <w:szCs w:val="16"/>
          <w:color w:val="auto"/>
        </w:rPr>
        <w:t>The following table illustrates the effect of leverage on returns from an investment in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common stock assuming various annual returns, net of expenses. The calculations in the table below are hypothetical and actual returns may be higher or lower than those appearing below.</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Assumed Return on Our Portfolio</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4"/>
                <w:szCs w:val="14"/>
                <w:b w:val="1"/>
                <w:bCs w:val="1"/>
                <w:color w:val="auto"/>
              </w:rPr>
              <w:t xml:space="preserve"> (net of</w:t>
            </w:r>
          </w:p>
        </w:tc>
        <w:tc>
          <w:tcPr>
            <w:tcW w:w="10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8"/>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-10.0%</w:t>
            </w: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-5.0%</w:t>
            </w:r>
          </w:p>
        </w:tc>
        <w:tc>
          <w:tcPr>
            <w:tcW w:w="7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0.0%</w:t>
            </w:r>
          </w:p>
        </w:tc>
        <w:tc>
          <w:tcPr>
            <w:tcW w:w="7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5.0%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w:t>
            </w:r>
          </w:p>
        </w:tc>
      </w:tr>
    </w:tbl>
    <w:p>
      <w:pPr>
        <w:spacing w:after="0" w:line="3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3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3"/>
        </w:trPr>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Corresponding net return to common stockholder</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(15.4)%</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(8.7)%</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r>
      <w:tr>
        <w:trPr>
          <w:trHeight w:val="221"/>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65" w:lineRule="exact"/>
        <w:rPr>
          <w:sz w:val="20"/>
          <w:szCs w:val="20"/>
          <w:color w:val="auto"/>
        </w:rPr>
      </w:pPr>
    </w:p>
    <w:p>
      <w:pPr>
        <w:ind w:left="1300" w:right="940" w:hanging="377"/>
        <w:spacing w:after="0" w:line="256" w:lineRule="auto"/>
        <w:tabs>
          <w:tab w:leader="none" w:pos="1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(i) $2,429.1 million in pro forma total assets as of September 30, 2024; (ii) $1,805.6 million in pro forma net assets as of September 30, 2024 (adjusted to reflect the issuances noted in the Fees and Expenses section above); and (iii) an annualized average interest rate on our indebtedness and preferred equity, as of September 30, 2024 (adjusted to reflect the issuances described above), of 6.72%. Based on our assumed leverage described above, our investment portfolio would have been required to experience an annual return of at least 1.5% to cover annual interest and dividend payments on our outstanding indebtedness and preferred equity.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5" w:name="page76"/>
    <w:bookmarkEnd w:id="7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116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Our investment portfolio is recorded at fair value, with our Board of Directors having final responsibility for overseeing, reviewing and approving, in good faith, its estimate of fair value and, as a result, there will be uncertainty as to the value of our portfolio investments.</w:t>
      </w:r>
    </w:p>
    <w:p>
      <w:pPr>
        <w:spacing w:after="0" w:line="91"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Under the 1940 Act, we are required to carry our portfolio investments at market value or, if there is no readily available market value, at fair value as determined by us in accordance with our written valuation policy with our Board of Directors having final responsibility for overseeing, reviewing and approving, in good faith, its estimate of fair value. Typically, there will not be a public market for the type of investments we target. As a result, the Board will determine the fair value of these securities quarterly based on relevant information compiled by our Adviser, third-party pricing services (when available) and our Valuation Committee.</w:t>
      </w:r>
    </w:p>
    <w:p>
      <w:pPr>
        <w:spacing w:after="0" w:line="100" w:lineRule="exact"/>
        <w:rPr>
          <w:sz w:val="20"/>
          <w:szCs w:val="20"/>
          <w:color w:val="auto"/>
        </w:rPr>
      </w:pPr>
    </w:p>
    <w:p>
      <w:pPr>
        <w:ind w:left="920" w:right="920" w:firstLine="382"/>
        <w:spacing w:after="0" w:line="235" w:lineRule="auto"/>
        <w:rPr>
          <w:sz w:val="20"/>
          <w:szCs w:val="20"/>
          <w:color w:val="auto"/>
        </w:rPr>
      </w:pPr>
      <w:r>
        <w:rPr>
          <w:rFonts w:ascii="Times New Roman" w:cs="Times New Roman" w:eastAsia="Times New Roman" w:hAnsi="Times New Roman"/>
          <w:sz w:val="16"/>
          <w:szCs w:val="16"/>
          <w:color w:val="auto"/>
        </w:rPr>
        <w:t>The determination of fair value and, consequently, the amount of unrealized gains and losses in our portfolio, are to a certain degree subjective and dependent on a valuation process approved by our Board of Directors. Certain factors that may be considered in determining the fair value of our investments include available indicative bids or quotations, as well as external events, such as private mergers, sales and acquisitions involving comparable companies. Because such valuations, and particularly valuations of private securities, are inherently uncertain, they may fluctuate over short periods of time and may be based on estimates. The fair value of our investments may differ materially from the values that would have been used if an active public market for these securities existed. The fair value of our investments has a material impact on our net earnings through the recording of unrealized appreciation or depreciation of investments and may cause our net asset value on a given date to materially understate or overstate the value that we may ultimately realize on one or more of our investments. Investors purchasing our securities based on an overstated net asset value may pay a higher price than the value of our investments might warrant. Conversely, investors selling shares during a period in which the net asset value understates the value of our investments may receive a lower price for their shares than the value of our investments might warrant.</w:t>
      </w:r>
    </w:p>
    <w:p>
      <w:pPr>
        <w:spacing w:after="0" w:line="1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for investment opportunities.</w:t>
      </w:r>
    </w:p>
    <w:p>
      <w:pPr>
        <w:spacing w:after="0" w:line="117" w:lineRule="exact"/>
        <w:rPr>
          <w:sz w:val="20"/>
          <w:szCs w:val="20"/>
          <w:color w:val="auto"/>
        </w:rPr>
      </w:pPr>
    </w:p>
    <w:p>
      <w:pPr>
        <w:ind w:left="920" w:right="980" w:firstLine="382"/>
        <w:spacing w:after="0" w:line="298" w:lineRule="auto"/>
        <w:rPr>
          <w:sz w:val="20"/>
          <w:szCs w:val="20"/>
          <w:color w:val="auto"/>
        </w:rPr>
      </w:pPr>
      <w:r>
        <w:rPr>
          <w:rFonts w:ascii="Times New Roman" w:cs="Times New Roman" w:eastAsia="Times New Roman" w:hAnsi="Times New Roman"/>
          <w:sz w:val="14"/>
          <w:szCs w:val="14"/>
          <w:color w:val="auto"/>
        </w:rPr>
        <w:t>We may compete for investments with other investment funds (potentially including private equity funds, mezzanine funds and business development companies), as well as traditional financial services companies, which could include commercial banks, investment banks, finance companies and other sources of funding.</w:t>
      </w:r>
    </w:p>
    <w:p>
      <w:pPr>
        <w:spacing w:after="0" w:line="58" w:lineRule="exact"/>
        <w:rPr>
          <w:sz w:val="20"/>
          <w:szCs w:val="20"/>
          <w:color w:val="auto"/>
        </w:rPr>
      </w:pPr>
    </w:p>
    <w:p>
      <w:pPr>
        <w:ind w:left="920" w:right="940" w:firstLine="382"/>
        <w:spacing w:after="0" w:line="273" w:lineRule="auto"/>
        <w:rPr>
          <w:sz w:val="20"/>
          <w:szCs w:val="20"/>
          <w:color w:val="auto"/>
        </w:rPr>
      </w:pPr>
      <w:r>
        <w:rPr>
          <w:rFonts w:ascii="Times New Roman" w:cs="Times New Roman" w:eastAsia="Times New Roman" w:hAnsi="Times New Roman"/>
          <w:sz w:val="14"/>
          <w:szCs w:val="14"/>
          <w:color w:val="auto"/>
        </w:rPr>
        <w:t>Many of our competitors are substantially larger and have considerably greater financial, technical and marketing resources than us. For example, some competitors may have a lower cost of capital and access to funding sources that may not be available to us. In addition, some of our competitors may have higher risk tolerances or different risk assessments than we have. These characteristics could allow our competitors to consider a wider variety of investments, establish more relationships and offer higher pricing than we are willing to offer to potential sellers. We may lose investment opportunities if our competitors are willing to pay more for the types of investments that we intend to target. If we are forced to pay more for our investments, we may not be able to achieve acceptable returns on our investments or may bear substantial risk of capital loss. An increase in the number and/or the size of our competitors in our target markets could force us to accept less attractive investments. Furthermore, many of our competitors have greater experience operating under, or are not be subject to, the regulatory restrictions that the 1940 Act imposes on us as a closed-end management investment company.</w:t>
      </w:r>
    </w:p>
    <w:p>
      <w:pPr>
        <w:spacing w:after="0" w:line="3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There are significant potential conflicts of interest which could impact our investment returns.</w:t>
      </w:r>
    </w:p>
    <w:p>
      <w:pPr>
        <w:spacing w:after="0" w:line="117" w:lineRule="exact"/>
        <w:rPr>
          <w:sz w:val="20"/>
          <w:szCs w:val="20"/>
          <w:color w:val="auto"/>
        </w:rPr>
      </w:pPr>
    </w:p>
    <w:p>
      <w:pPr>
        <w:ind w:left="920" w:right="980" w:firstLine="382"/>
        <w:spacing w:after="0" w:line="236" w:lineRule="auto"/>
        <w:rPr>
          <w:sz w:val="20"/>
          <w:szCs w:val="20"/>
          <w:color w:val="auto"/>
        </w:rPr>
      </w:pPr>
      <w:r>
        <w:rPr>
          <w:rFonts w:ascii="Times New Roman" w:cs="Times New Roman" w:eastAsia="Times New Roman" w:hAnsi="Times New Roman"/>
          <w:sz w:val="16"/>
          <w:szCs w:val="16"/>
          <w:color w:val="auto"/>
        </w:rPr>
        <w:t>Oxford Lane Management’s investment team presently manages the portfolios of Oxford Square Capital Corp., a publicly-traded business development company that invests principally in the debt of U.S-.based companies, and Oxford Park Income Fund, Inc., a non-traded registered closed-end fund that invests principally in CLO debt and equity securities. Additionally, Oxford Lane Management’s investment team also manages the Oxford Gate Funds and Oxford Bridge II, LLC, managed by Oxford Gate Management, LLC. Oxford Bridge II, LLC and the Oxford Gate Funds are private investment funds. In addition, our executive officers and directors, as well as the current and future members of Oxford Lane Management, may serve as officers, directors or principals of other entities that operate in the same or a related line of business as we do. Accordingly, they may have obligations to investors in those entities, the fulfillment of which obligations may not be in the best interests of us or our stockholders. Each of Oxford Square Capital Corp., Oxford Park Income Fund, Inc., Oxford Bridge II, LLC and the Oxford Gate Funds, as well as any affiliated investment vehicle formed in the future and managed by Oxford Lane Management or its affiliates may, notwithstanding different stated investment objectives, have overlapping investment objectives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6" w:name="page77"/>
    <w:bookmarkEnd w:id="7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spacing w:after="0" w:line="273" w:lineRule="auto"/>
        <w:rPr>
          <w:sz w:val="20"/>
          <w:szCs w:val="20"/>
          <w:color w:val="auto"/>
        </w:rPr>
      </w:pPr>
      <w:r>
        <w:rPr>
          <w:rFonts w:ascii="Times New Roman" w:cs="Times New Roman" w:eastAsia="Times New Roman" w:hAnsi="Times New Roman"/>
          <w:sz w:val="14"/>
          <w:szCs w:val="14"/>
          <w:color w:val="auto"/>
        </w:rPr>
        <w:t>with our own and, accordingly, may invest in asset classes similar to those targeted by us. As a result, Oxford Lane Management’s investment team may face conflicts in allocating investment opportunities between us and such other entities. Although Oxford Lane Management’s investment team will endeavor to allocate investment opportunities in a fair and equitable manner, it is possible that, in the future, we may not be given the opportunity to participate in investments made by investment funds, including Oxford Square Capital Corp., Oxford Park Income Fund, Inc., Oxford Bridge II, LLC and the Oxford Gate Funds, managed by Oxford Lane Management or an investment adviser affiliated with Oxford Lane Management. In any such case, when Oxford Lane Management’s investment team identifies an investment, it will be required to choose which investment fund should make the investment, although the Fund, Oxford Square Capital Corp., Oxford Park Income Fund, Inc., Oxford Bridge II, LLC and the Oxford Gate Funds are subject to an allocation policy to ensure the equitable distribution of such investment opportunities, consistent with the requirements of the 1940 Act.</w:t>
      </w:r>
    </w:p>
    <w:p>
      <w:pPr>
        <w:spacing w:after="0" w:line="260" w:lineRule="exact"/>
        <w:rPr>
          <w:sz w:val="20"/>
          <w:szCs w:val="20"/>
          <w:color w:val="auto"/>
        </w:rPr>
      </w:pPr>
    </w:p>
    <w:p>
      <w:pPr>
        <w:ind w:left="920" w:right="960" w:firstLine="382"/>
        <w:spacing w:after="0" w:line="236" w:lineRule="auto"/>
        <w:rPr>
          <w:sz w:val="20"/>
          <w:szCs w:val="20"/>
          <w:color w:val="auto"/>
        </w:rPr>
      </w:pPr>
      <w:r>
        <w:rPr>
          <w:rFonts w:ascii="Times New Roman" w:cs="Times New Roman" w:eastAsia="Times New Roman" w:hAnsi="Times New Roman"/>
          <w:sz w:val="16"/>
          <w:szCs w:val="16"/>
          <w:color w:val="auto"/>
        </w:rPr>
        <w:t>As a registered closed- end fund, we are limited in our ability to co-invest in privately negotiated transactions with certain funds or entities managed by Oxford Lane Management or its affiliates without an exemptive order from the SEC. On June 14, 2017, the SEC issued the Exemptive Order, which permits us to co- invest in portfolio companies with certain funds or entities managed by Oxford Lane Management or its affiliates in certain negotiated transactions where co-investing would otherwise be prohibited under the 1940 Act, subject to the conditions of the Exemptive Order. Pursuant to the Exemptive Order, we are permitted to co-invest with our affiliates if a “required majority” (as defined in Section 57(o) of the 1940 Act) of our “independent directors” (as defined in Section 2(a)(19) of the 1940 Act)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98" w:lineRule="exact"/>
        <w:rPr>
          <w:sz w:val="20"/>
          <w:szCs w:val="20"/>
          <w:color w:val="auto"/>
        </w:rPr>
      </w:pPr>
    </w:p>
    <w:p>
      <w:pPr>
        <w:ind w:left="920" w:right="960" w:firstLine="382"/>
        <w:spacing w:after="0" w:line="237" w:lineRule="auto"/>
        <w:rPr>
          <w:sz w:val="20"/>
          <w:szCs w:val="20"/>
          <w:color w:val="auto"/>
        </w:rPr>
      </w:pPr>
      <w:r>
        <w:rPr>
          <w:rFonts w:ascii="Times New Roman" w:cs="Times New Roman" w:eastAsia="Times New Roman" w:hAnsi="Times New Roman"/>
          <w:sz w:val="16"/>
          <w:szCs w:val="16"/>
          <w:color w:val="auto"/>
        </w:rPr>
        <w:t>We will reimburse Oxford Funds, as our administrator, our allocable portion of overhead and other expenses incurred by Oxford Funds in performing its obligations under the Administration Agreement, including rent, the fees and expenses associated with performing administrative functions, and our allocable portion of the compensation of our Chief Financial Officer and any administrative support staff, including accounting personnel. We will also reimburse Oxford Funds for the costs associated with the functions performed by our Chief Compliance Officer that Oxford Funds pays on the Company’s behalf pursuant to the terms of an agreement between us and ACA Group. These arrangements may create conflicts of interest that our Board of Directors must monitor. Oxford Lane Management will not be reimbursed for any performance-related compensation of its employees.</w:t>
      </w:r>
    </w:p>
    <w:p>
      <w:pPr>
        <w:spacing w:after="0" w:line="167" w:lineRule="exact"/>
        <w:rPr>
          <w:sz w:val="20"/>
          <w:szCs w:val="20"/>
          <w:color w:val="auto"/>
        </w:rPr>
      </w:pPr>
    </w:p>
    <w:p>
      <w:pPr>
        <w:ind w:left="920" w:right="102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Regulations governing our operation as a registered closed-end management investment company, including the asset coverage ratio requirements under the 1940 Act, affect our ability to raise additional capital and the way in which we do so. The raising of debt capital may expose us to risks, including the typical risks associated with leverage.</w:t>
      </w:r>
    </w:p>
    <w:p>
      <w:pPr>
        <w:spacing w:after="0" w:line="96" w:lineRule="exact"/>
        <w:rPr>
          <w:sz w:val="20"/>
          <w:szCs w:val="20"/>
          <w:color w:val="auto"/>
        </w:rPr>
      </w:pPr>
    </w:p>
    <w:p>
      <w:pPr>
        <w:ind w:left="920" w:right="920" w:firstLine="382"/>
        <w:spacing w:after="0" w:line="235" w:lineRule="auto"/>
        <w:rPr>
          <w:sz w:val="20"/>
          <w:szCs w:val="20"/>
          <w:color w:val="auto"/>
        </w:rPr>
      </w:pPr>
      <w:r>
        <w:rPr>
          <w:rFonts w:ascii="Times New Roman" w:cs="Times New Roman" w:eastAsia="Times New Roman" w:hAnsi="Times New Roman"/>
          <w:sz w:val="16"/>
          <w:szCs w:val="16"/>
          <w:color w:val="auto"/>
        </w:rPr>
        <w:t>Although we have no current intention to do so, we may in the future issue debt securities or additional shares of preferred stock and/or borrow money from banks or other financial institutions, which we refer to collectively as “senior securities,” up to the maximum amount permitted by the 1940 Act. Under the provisions of the 1940 Act, we will be permitted, as a registered closed-end management investment company, to issue senior securities representing indebtedness so long as our asset coverage ratio with respect thereto, defined under the 1940 Act as the ratio of our gross assets (less all liabilities and indebtedness not represented by senior securities) to our outstanding senior securities representing indebtedness, is at least 300% after each issuance of such senior securities. In addition, we will be permitted to issue additional shares of preferred stock so long as our asset coverage ratio with respect thereto, defined under the 1940 Act as the ratio of our gross assets (less all liabilities and indebtedness not represented by senior securities) to our outstanding senior securities representing indebtedness, plus the aggregate involuntary liquidation preference of our outstanding preferred stock, is at least 200% after each issuance of such preferred stock. If the value of our assets declines, we may be unable to satisfy this test. If that happens, we may be required to sell a portion of our investments and, depending on the nature of our leverage, repay a portion of our indebtedness or redeem outstanding shares of preferred stock or debt, in each case at a time when doing so may be disadvantageous. Also, any amounts that we use to service our indebtedness or preferred dividends would not be available for distributions to our common stockholders. Furthermore, as a result of issuing senior securities, we would also be exposed to typical risks associated with leverage, including an increased risk of loss. If we issue additional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7" w:name="page78"/>
    <w:bookmarkEnd w:id="7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200"/>
        <w:spacing w:after="0" w:line="238" w:lineRule="auto"/>
        <w:rPr>
          <w:sz w:val="20"/>
          <w:szCs w:val="20"/>
          <w:color w:val="auto"/>
        </w:rPr>
      </w:pPr>
      <w:r>
        <w:rPr>
          <w:rFonts w:ascii="Times New Roman" w:cs="Times New Roman" w:eastAsia="Times New Roman" w:hAnsi="Times New Roman"/>
          <w:sz w:val="16"/>
          <w:szCs w:val="16"/>
          <w:color w:val="auto"/>
        </w:rPr>
        <w:t>preferred stock, the preferred stock would continue to rank “senior” to common stock in our capital structure, preferred stockholders would continue to have separate voting rights on certain matters and might have other rights, preferences, or privileges more favorable than those of our common stockholders, and the issuance of additional shares of preferred stock could have the effect of delaying, deferring or preventing a transaction or a change of control that might involve a premium price for holders of our common stock or otherwise be in your best interest.</w:t>
      </w:r>
    </w:p>
    <w:p>
      <w:pPr>
        <w:spacing w:after="0" w:line="100" w:lineRule="exact"/>
        <w:rPr>
          <w:sz w:val="20"/>
          <w:szCs w:val="20"/>
          <w:color w:val="auto"/>
        </w:rPr>
      </w:pPr>
    </w:p>
    <w:p>
      <w:pPr>
        <w:ind w:left="920" w:right="920" w:firstLine="382"/>
        <w:spacing w:after="0" w:line="276" w:lineRule="auto"/>
        <w:rPr>
          <w:sz w:val="20"/>
          <w:szCs w:val="20"/>
          <w:color w:val="auto"/>
        </w:rPr>
      </w:pPr>
      <w:r>
        <w:rPr>
          <w:rFonts w:ascii="Times New Roman" w:cs="Times New Roman" w:eastAsia="Times New Roman" w:hAnsi="Times New Roman"/>
          <w:sz w:val="14"/>
          <w:szCs w:val="14"/>
          <w:color w:val="auto"/>
        </w:rPr>
        <w:t>We are not generally able to issue and sell our common stock at a price below net asset value per share, other than in connection with a rights offering to our existing stockholders. We may, however, sell our common stock at a price below the then -current net asset value per share of our common stock if our Board of Directors determines that such sale is in the best interests of the Company and our stockholders, and our stockholders approve such sale. In any such case, the price at which our securities are to be issued and sold may not be less than a price that, in the determination of our Board of Directors, closely approximates the market value of such securities (less any distributing commission or discount). If we raise additional funds by issuing more common stock, then the percentage ownership of our stockholders at that time will decrease, and you may experience dilution.</w:t>
      </w:r>
    </w:p>
    <w:p>
      <w:pPr>
        <w:spacing w:after="0" w:line="142" w:lineRule="exact"/>
        <w:rPr>
          <w:sz w:val="20"/>
          <w:szCs w:val="20"/>
          <w:color w:val="auto"/>
        </w:rPr>
      </w:pPr>
    </w:p>
    <w:p>
      <w:pPr>
        <w:ind w:left="920" w:right="14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financial condition and results of operations depend on our ability to effectively manage and deploy capital.</w:t>
      </w:r>
    </w:p>
    <w:p>
      <w:pPr>
        <w:spacing w:after="0" w:line="81" w:lineRule="exact"/>
        <w:rPr>
          <w:sz w:val="20"/>
          <w:szCs w:val="20"/>
          <w:color w:val="auto"/>
        </w:rPr>
      </w:pPr>
    </w:p>
    <w:p>
      <w:pPr>
        <w:ind w:left="920" w:right="1100" w:firstLine="382"/>
        <w:spacing w:after="0" w:line="245" w:lineRule="auto"/>
        <w:rPr>
          <w:sz w:val="20"/>
          <w:szCs w:val="20"/>
          <w:color w:val="auto"/>
        </w:rPr>
      </w:pPr>
      <w:r>
        <w:rPr>
          <w:rFonts w:ascii="Times New Roman" w:cs="Times New Roman" w:eastAsia="Times New Roman" w:hAnsi="Times New Roman"/>
          <w:sz w:val="16"/>
          <w:szCs w:val="16"/>
          <w:color w:val="auto"/>
        </w:rPr>
        <w:t>Our ability to achieve our investment objective depends on our ability to effectively manage and deploy capital, which depends, in turn, on Oxford Lane Management’s ability to identify, evaluate and monitor, and our ability to acquire, investments that meet our investment criteria.</w:t>
      </w:r>
    </w:p>
    <w:p>
      <w:pPr>
        <w:spacing w:after="0" w:line="94"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Accomplishing our investment objective on a cost-effective basis is largely a function of Oxford Lane Management’s handling of the investment process, its ability to provide competent, attentive and efficient services and our access to investments offering acceptable terms, either in the primary or secondary markets. Even if we are able to grow and build upon our investment operations, any failure to manage our growth effectively could have a material adverse effect on our business, financial condition, results of operations and prospects. The results of our operations will depend on many factors, including the availability of opportunities for investment, readily accessible short and long-term funding alternatives in the financial markets and economic conditions. Furthermore, if we cannot successfully operate our business or implement our investment policies and strategies as described herein, it could negatively impact our ability to pay distributions.</w:t>
      </w:r>
    </w:p>
    <w:p>
      <w:pPr>
        <w:spacing w:after="0" w:line="167" w:lineRule="exact"/>
        <w:rPr>
          <w:sz w:val="20"/>
          <w:szCs w:val="20"/>
          <w:color w:val="auto"/>
        </w:rPr>
      </w:pPr>
    </w:p>
    <w:p>
      <w:pPr>
        <w:ind w:left="920" w:right="13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is authorized to reclassify any unissued shares of common stock into one or more classes of preferred stock, which could convey special rights and privileges to its owners.</w:t>
      </w:r>
    </w:p>
    <w:p>
      <w:pPr>
        <w:spacing w:after="0" w:line="81" w:lineRule="exact"/>
        <w:rPr>
          <w:sz w:val="20"/>
          <w:szCs w:val="20"/>
          <w:color w:val="auto"/>
        </w:rPr>
      </w:pPr>
    </w:p>
    <w:p>
      <w:pPr>
        <w:ind w:left="920" w:right="940" w:firstLine="382"/>
        <w:spacing w:after="0" w:line="271" w:lineRule="auto"/>
        <w:rPr>
          <w:sz w:val="20"/>
          <w:szCs w:val="20"/>
          <w:color w:val="auto"/>
        </w:rPr>
      </w:pPr>
      <w:r>
        <w:rPr>
          <w:rFonts w:ascii="Times New Roman" w:cs="Times New Roman" w:eastAsia="Times New Roman" w:hAnsi="Times New Roman"/>
          <w:sz w:val="14"/>
          <w:szCs w:val="14"/>
          <w:color w:val="auto"/>
        </w:rPr>
        <w:t>Under Maryland General Corporation Law and our charter, or “Charter,” our Board of Directors is authorized to classify and reclassify any authorized but unissued shares of stock into one or more classes of stock, including preferred stock. Prior to issuance of shares of each class or series, the Board of Directors will be required by Maryland law and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The cost of any such reclassification would be borne by our common stockholders. Certain matters under the 1940 Act require the separate vote of the holders of any issued and outstanding preferred stock. For example, holders of preferred stock would vote separately from the holders of common stock on a proposal to cease operations as a registered closed-end management investment company. In addition, the 1940 Act provides that holders of preferred stock are entitled to vote separately from holders of common stock to elect two preferred stock directors. We have issued preferred stock and may issue additional shares of preferred stock in the future. These effects, among others, could have an adverse effect on your investment in our common stock.</w:t>
      </w:r>
    </w:p>
    <w:p>
      <w:pPr>
        <w:spacing w:after="0" w:line="333" w:lineRule="exact"/>
        <w:rPr>
          <w:sz w:val="20"/>
          <w:szCs w:val="20"/>
          <w:color w:val="auto"/>
        </w:rPr>
      </w:pPr>
    </w:p>
    <w:p>
      <w:pPr>
        <w:ind w:left="920" w:right="11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Board of Directors may change our operating policies and strategies without prior notice or stockholder approval, the effects of which may be adverse.</w:t>
      </w:r>
    </w:p>
    <w:p>
      <w:pPr>
        <w:spacing w:after="0" w:line="81" w:lineRule="exact"/>
        <w:rPr>
          <w:sz w:val="20"/>
          <w:szCs w:val="20"/>
          <w:color w:val="auto"/>
        </w:rPr>
      </w:pPr>
    </w:p>
    <w:p>
      <w:pPr>
        <w:ind w:left="920" w:right="980" w:firstLine="382"/>
        <w:spacing w:after="0" w:line="241" w:lineRule="auto"/>
        <w:rPr>
          <w:sz w:val="20"/>
          <w:szCs w:val="20"/>
          <w:color w:val="auto"/>
        </w:rPr>
      </w:pPr>
      <w:r>
        <w:rPr>
          <w:rFonts w:ascii="Times New Roman" w:cs="Times New Roman" w:eastAsia="Times New Roman" w:hAnsi="Times New Roman"/>
          <w:sz w:val="16"/>
          <w:szCs w:val="16"/>
          <w:color w:val="auto"/>
        </w:rPr>
        <w:t>Our Board of Directors will have the authority to modify or waive our current operating policies, investment criteria and strategies, other than those that we have deemed to be fundamental, without prior notice and without stockholder approval. We cannot predict the effect any changes to our current operating policies, investment criteria</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8" w:name="page79"/>
    <w:bookmarkEnd w:id="7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jc w:val="both"/>
        <w:ind w:left="920" w:right="1020"/>
        <w:spacing w:after="0" w:line="245" w:lineRule="auto"/>
        <w:rPr>
          <w:sz w:val="20"/>
          <w:szCs w:val="20"/>
          <w:color w:val="auto"/>
        </w:rPr>
      </w:pPr>
      <w:r>
        <w:rPr>
          <w:rFonts w:ascii="Times New Roman" w:cs="Times New Roman" w:eastAsia="Times New Roman" w:hAnsi="Times New Roman"/>
          <w:sz w:val="16"/>
          <w:szCs w:val="16"/>
          <w:color w:val="auto"/>
        </w:rPr>
        <w:t>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163" w:lineRule="exact"/>
        <w:rPr>
          <w:sz w:val="20"/>
          <w:szCs w:val="20"/>
          <w:color w:val="auto"/>
        </w:rPr>
      </w:pPr>
    </w:p>
    <w:p>
      <w:pPr>
        <w:ind w:left="920" w:right="120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Our business and operation could be negatively affected if we become subject to any securities litigation or shareholder activism, which could cause us to incur significant expense, hinder execution of our investment strategy and impact our stock price.</w:t>
      </w:r>
    </w:p>
    <w:p>
      <w:pPr>
        <w:spacing w:after="0" w:line="91" w:lineRule="exact"/>
        <w:rPr>
          <w:sz w:val="20"/>
          <w:szCs w:val="20"/>
          <w:color w:val="auto"/>
        </w:rPr>
      </w:pPr>
    </w:p>
    <w:p>
      <w:pPr>
        <w:ind w:left="920" w:right="900" w:firstLine="382"/>
        <w:spacing w:after="0" w:line="237"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While we are currently not subject to any securities litigation, due to the volatility of our stock price and for a variety of other reasons, we may in the future become the target of securities litigation and the subject of shareholder activism. If at any time our current Investment Advisory Agreement is terminated, we may not be able to find a new investment adviser or hire internal management with similar expertise and ability to provide the same or equivalent services on acceptable terms. If we are unable to do so quickly, our operations are likely to experience a disruption, our financial condition, business and results of operations as well as our ability to pay distributions are likely to be adversely affected and the market price of our shares may decline.</w:t>
      </w:r>
    </w:p>
    <w:p>
      <w:pPr>
        <w:spacing w:after="0" w:line="98" w:lineRule="exact"/>
        <w:rPr>
          <w:sz w:val="20"/>
          <w:szCs w:val="20"/>
          <w:color w:val="auto"/>
        </w:rPr>
      </w:pPr>
    </w:p>
    <w:p>
      <w:pPr>
        <w:ind w:left="920" w:right="980" w:firstLine="382"/>
        <w:spacing w:after="0" w:line="237" w:lineRule="auto"/>
        <w:rPr>
          <w:sz w:val="20"/>
          <w:szCs w:val="20"/>
          <w:color w:val="auto"/>
        </w:rPr>
      </w:pPr>
      <w:r>
        <w:rPr>
          <w:rFonts w:ascii="Times New Roman" w:cs="Times New Roman" w:eastAsia="Times New Roman" w:hAnsi="Times New Roman"/>
          <w:sz w:val="16"/>
          <w:szCs w:val="16"/>
          <w:color w:val="auto"/>
        </w:rPr>
        <w:t>Securities litigation and shareholder activism, including potential proxy contests, could result in substantial costs and divert management’s and our Board of Director’s attention and resources from our business. Additionally, such securities litigation and shareholder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shareholder matters. Further, our stock price could be subject to significant fluctuation or otherwise be adversely affected by the events, risks and uncertainties of any securities litigation and shareholder activism.</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incur significant costs as a result of being a publicly traded company.</w:t>
      </w:r>
    </w:p>
    <w:p>
      <w:pPr>
        <w:spacing w:after="0" w:line="117" w:lineRule="exact"/>
        <w:rPr>
          <w:sz w:val="20"/>
          <w:szCs w:val="20"/>
          <w:color w:val="auto"/>
        </w:rPr>
      </w:pPr>
    </w:p>
    <w:p>
      <w:pPr>
        <w:ind w:left="920" w:right="1000" w:firstLine="382"/>
        <w:spacing w:after="0" w:line="245" w:lineRule="auto"/>
        <w:rPr>
          <w:sz w:val="20"/>
          <w:szCs w:val="20"/>
          <w:color w:val="auto"/>
        </w:rPr>
      </w:pPr>
      <w:r>
        <w:rPr>
          <w:rFonts w:ascii="Times New Roman" w:cs="Times New Roman" w:eastAsia="Times New Roman" w:hAnsi="Times New Roman"/>
          <w:sz w:val="16"/>
          <w:szCs w:val="16"/>
          <w:color w:val="auto"/>
        </w:rPr>
        <w:t>As a publicly traded company, we incur legal, accounting and other expenses, including the costs associated with periodic reporting requirements, as well as additional corporate governance requirements and other rules implemented by the SEC.</w:t>
      </w:r>
    </w:p>
    <w:p>
      <w:pPr>
        <w:spacing w:after="0" w:line="163" w:lineRule="exact"/>
        <w:rPr>
          <w:sz w:val="20"/>
          <w:szCs w:val="20"/>
          <w:color w:val="auto"/>
        </w:rPr>
      </w:pPr>
    </w:p>
    <w:p>
      <w:pPr>
        <w:ind w:left="920" w:right="14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increasingly complex corporate governance, public disclosure and accounting requirements that could adversely affect our business and financial results.</w:t>
      </w:r>
    </w:p>
    <w:p>
      <w:pPr>
        <w:spacing w:after="0" w:line="81"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We are subject to changing rules and regulations of federal and state government as well as the stock exchange on which our common stock is listed. These entities, including the Public Company Accounting Oversight Board, the SEC and the NASDAQ Stock Market, have issued a significant number of new and increasingly complex requirements and regulations over the course of the last several years and continue to develop additional regulations and requirements in response to laws enacted by Congress. Our efforts to comply with these requirements have resulted in, and are likely to continue to result in, an increase in expenses and a diversion of management’s time from other business activities.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U.S. Federal Income Tax</w:t>
      </w:r>
    </w:p>
    <w:p>
      <w:pPr>
        <w:spacing w:after="0" w:line="186" w:lineRule="exact"/>
        <w:rPr>
          <w:sz w:val="20"/>
          <w:szCs w:val="20"/>
          <w:color w:val="auto"/>
        </w:rPr>
      </w:pPr>
    </w:p>
    <w:p>
      <w:pPr>
        <w:ind w:left="920" w:right="10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will be subject to corporate-level U.S. federal income tax if we are unable to maintain our RIC status under Subchapter M of the Code.</w:t>
      </w:r>
    </w:p>
    <w:p>
      <w:pPr>
        <w:spacing w:after="0" w:line="81" w:lineRule="exact"/>
        <w:rPr>
          <w:sz w:val="20"/>
          <w:szCs w:val="20"/>
          <w:color w:val="auto"/>
        </w:rPr>
      </w:pPr>
    </w:p>
    <w:p>
      <w:pPr>
        <w:ind w:left="920" w:right="920" w:firstLine="382"/>
        <w:spacing w:after="0" w:line="277" w:lineRule="auto"/>
        <w:rPr>
          <w:sz w:val="20"/>
          <w:szCs w:val="20"/>
          <w:color w:val="auto"/>
        </w:rPr>
      </w:pPr>
      <w:r>
        <w:rPr>
          <w:rFonts w:ascii="Times New Roman" w:cs="Times New Roman" w:eastAsia="Times New Roman" w:hAnsi="Times New Roman"/>
          <w:sz w:val="14"/>
          <w:szCs w:val="14"/>
          <w:color w:val="auto"/>
        </w:rPr>
        <w:t>Although we have elected to be treated as a RIC under Subchapter M of the Code, no assurance can be given that we will be able to continue to qualify for and maintain RIC status. If we qualify as a RIC under the Code, we generally will not be subject to corporate-level federal income taxes on our income and capital gains that are timely distributed (or deemed distributed) as dividends for U.S. federal income tax purposes to our stockholders. To qualify as a RIC under the Code and to be relieved of federal taxes on income and gains distributed as dividends for U.S. federal income tax purposes to our stockholders, we must, among other things, meet certain source-of - income, asset diversification and distribution requirements. The distribution requirement for a RIC is satisfied if we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79" w:name="page80"/>
    <w:bookmarkEnd w:id="7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spacing w:after="0" w:line="245" w:lineRule="auto"/>
        <w:rPr>
          <w:sz w:val="20"/>
          <w:szCs w:val="20"/>
          <w:color w:val="auto"/>
        </w:rPr>
      </w:pPr>
      <w:r>
        <w:rPr>
          <w:rFonts w:ascii="Times New Roman" w:cs="Times New Roman" w:eastAsia="Times New Roman" w:hAnsi="Times New Roman"/>
          <w:sz w:val="16"/>
          <w:szCs w:val="16"/>
          <w:color w:val="auto"/>
        </w:rPr>
        <w:t>distribute dividends each tax year for U.S. federal income tax purposes of an amount generally at least equal to 90% of the sum of its net ordinary income and net short-term capital gains in excess of net long-term capital losses, if any, to our stockholders.</w:t>
      </w:r>
    </w:p>
    <w:p>
      <w:pPr>
        <w:spacing w:after="0" w:line="163" w:lineRule="exact"/>
        <w:rPr>
          <w:sz w:val="20"/>
          <w:szCs w:val="20"/>
          <w:color w:val="auto"/>
        </w:rPr>
      </w:pPr>
    </w:p>
    <w:p>
      <w:pPr>
        <w:ind w:left="920" w:right="10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cannot predict how tax reform legislation will affect us, our investments, or our stockholders, and any such legislation could adversely affect our business.</w:t>
      </w:r>
    </w:p>
    <w:p>
      <w:pPr>
        <w:spacing w:after="0" w:line="81" w:lineRule="exact"/>
        <w:rPr>
          <w:sz w:val="20"/>
          <w:szCs w:val="20"/>
          <w:color w:val="auto"/>
        </w:rPr>
      </w:pPr>
    </w:p>
    <w:p>
      <w:pPr>
        <w:ind w:left="920" w:right="920" w:firstLine="382"/>
        <w:spacing w:after="0" w:line="241" w:lineRule="auto"/>
        <w:rPr>
          <w:sz w:val="20"/>
          <w:szCs w:val="20"/>
          <w:color w:val="auto"/>
        </w:rPr>
      </w:pPr>
      <w:r>
        <w:rPr>
          <w:rFonts w:ascii="Times New Roman" w:cs="Times New Roman" w:eastAsia="Times New Roman" w:hAnsi="Times New Roman"/>
          <w:sz w:val="16"/>
          <w:szCs w:val="16"/>
          <w:color w:val="auto"/>
        </w:rPr>
        <w:t>Changes in tax laws, regulations or administrative interpretations or any amendments thereto could adversely affect us, the entities in which we invest, or our stockholders. You are urged to consult with your tax advisor with respect to the impact of any such legislation or other regulatory or administrative developments and proposals and their potential effect on your investment in us.</w:t>
      </w:r>
    </w:p>
    <w:p>
      <w:pPr>
        <w:spacing w:after="0" w:line="167" w:lineRule="exact"/>
        <w:rPr>
          <w:sz w:val="20"/>
          <w:szCs w:val="20"/>
          <w:color w:val="auto"/>
        </w:rPr>
      </w:pPr>
    </w:p>
    <w:p>
      <w:pPr>
        <w:jc w:val="both"/>
        <w:ind w:left="920" w:right="116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The amount of any distributions we may make on our common stock is uncertain. We may not be able to pay you distributions or be able to sustain distributions at any particular level, and our distributions per share, if any, may not grow over time, and our distributions per share may be reduced.</w:t>
      </w:r>
    </w:p>
    <w:p>
      <w:pPr>
        <w:spacing w:after="0" w:line="91" w:lineRule="exact"/>
        <w:rPr>
          <w:sz w:val="20"/>
          <w:szCs w:val="20"/>
          <w:color w:val="auto"/>
        </w:rPr>
      </w:pPr>
    </w:p>
    <w:p>
      <w:pPr>
        <w:ind w:left="920" w:right="1220" w:firstLine="382"/>
        <w:spacing w:after="0" w:line="239" w:lineRule="auto"/>
        <w:rPr>
          <w:sz w:val="20"/>
          <w:szCs w:val="20"/>
          <w:color w:val="auto"/>
        </w:rPr>
      </w:pPr>
      <w:r>
        <w:rPr>
          <w:rFonts w:ascii="Times New Roman" w:cs="Times New Roman" w:eastAsia="Times New Roman" w:hAnsi="Times New Roman"/>
          <w:sz w:val="16"/>
          <w:szCs w:val="16"/>
          <w:color w:val="auto"/>
        </w:rPr>
        <w:t>We cannot assure investors that we will achieve investment results that will allow us to make a specified level of cash distributions or year-to-year increases in cash distributions. All distributions will be paid at the discretion of the Board of Directors and may depend on our net investment income, financial condition, maintenance of our RIC status, compliance with applicable regulations and such other factors as the Board of Directors may deem relevant from time to time.</w:t>
      </w:r>
    </w:p>
    <w:p>
      <w:pPr>
        <w:spacing w:after="0" w:line="100" w:lineRule="exact"/>
        <w:rPr>
          <w:sz w:val="20"/>
          <w:szCs w:val="20"/>
          <w:color w:val="auto"/>
        </w:rPr>
      </w:pPr>
    </w:p>
    <w:p>
      <w:pPr>
        <w:ind w:left="920" w:right="900" w:firstLine="382"/>
        <w:spacing w:after="0" w:line="277" w:lineRule="auto"/>
        <w:rPr>
          <w:sz w:val="20"/>
          <w:szCs w:val="20"/>
          <w:color w:val="auto"/>
        </w:rPr>
      </w:pPr>
      <w:r>
        <w:rPr>
          <w:rFonts w:ascii="Times New Roman" w:cs="Times New Roman" w:eastAsia="Times New Roman" w:hAnsi="Times New Roman"/>
          <w:sz w:val="14"/>
          <w:szCs w:val="14"/>
          <w:color w:val="auto"/>
        </w:rPr>
        <w:t>In the event that we encounter delays in locating suitable investment opportunities, all or a substantial portion of our distributions may constitute a return of capital to stockholders. To the extent that we pay distributions that constitute a return of capital for U.S. federal income tax purposes, it will lower an investor’s tax basis in his or her shares. A return of capital generally is a return of an investor’s investment, rather than a return of earnings or gains derived from our investment activities, and generally results in a reduction of the tax basis in the shares. As a result from such reduction in tax basis, stockholders may be subject to tax in connection with the sale of their shares, even if such shares are sold at a loss relative to the stockholder’s original investment.</w:t>
      </w:r>
    </w:p>
    <w:p>
      <w:pPr>
        <w:spacing w:after="0" w:line="143" w:lineRule="exact"/>
        <w:rPr>
          <w:sz w:val="20"/>
          <w:szCs w:val="20"/>
          <w:color w:val="auto"/>
        </w:rPr>
      </w:pPr>
    </w:p>
    <w:p>
      <w:pPr>
        <w:ind w:left="920" w:right="12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may have difficulty paying our required distributions if we recognize income before or without receiving cash representing such income.</w:t>
      </w:r>
    </w:p>
    <w:p>
      <w:pPr>
        <w:spacing w:after="0" w:line="81" w:lineRule="exact"/>
        <w:rPr>
          <w:sz w:val="20"/>
          <w:szCs w:val="20"/>
          <w:color w:val="auto"/>
        </w:rPr>
      </w:pPr>
    </w:p>
    <w:p>
      <w:pPr>
        <w:ind w:left="920" w:right="920" w:firstLine="382"/>
        <w:spacing w:after="0" w:line="279" w:lineRule="auto"/>
        <w:rPr>
          <w:sz w:val="20"/>
          <w:szCs w:val="20"/>
          <w:color w:val="auto"/>
        </w:rPr>
      </w:pPr>
      <w:r>
        <w:rPr>
          <w:rFonts w:ascii="Times New Roman" w:cs="Times New Roman" w:eastAsia="Times New Roman" w:hAnsi="Times New Roman"/>
          <w:sz w:val="14"/>
          <w:szCs w:val="14"/>
          <w:color w:val="auto"/>
        </w:rPr>
        <w:t>For U.S. federal income tax purposes, we will include in income certain amounts that we have not yet received in cash, such as OID, which may arise if we receive warrants in connection with the making of a loan or possibly in other circumstances, or PIK interest, which represents contractual interest added to the loan balance and due at the end of the loan term. In addition, we may be required to accrue for U.S. federal income tax purposes amounts attributable to our investment in CLOs that may differ from the distributions received in respect of such investments. We also may be required to include in income certain other amounts that we will not receive in cash.</w:t>
      </w:r>
    </w:p>
    <w:p>
      <w:pPr>
        <w:spacing w:after="0" w:line="72" w:lineRule="exact"/>
        <w:rPr>
          <w:sz w:val="20"/>
          <w:szCs w:val="20"/>
          <w:color w:val="auto"/>
        </w:rPr>
      </w:pPr>
    </w:p>
    <w:p>
      <w:pPr>
        <w:ind w:left="920" w:right="960" w:firstLine="382"/>
        <w:spacing w:after="0" w:line="279" w:lineRule="auto"/>
        <w:rPr>
          <w:sz w:val="20"/>
          <w:szCs w:val="20"/>
          <w:color w:val="auto"/>
        </w:rPr>
      </w:pPr>
      <w:r>
        <w:rPr>
          <w:rFonts w:ascii="Times New Roman" w:cs="Times New Roman" w:eastAsia="Times New Roman" w:hAnsi="Times New Roman"/>
          <w:sz w:val="14"/>
          <w:szCs w:val="14"/>
          <w:color w:val="auto"/>
        </w:rPr>
        <w:t>Because in certain cases we may recognize income before or without receiving cash representing such income, we may have difficulty satisfying the annual distribution requirement applicable to RICs under the Code. Accordingly, we may have to sell some of our investments at times we would not consider advantageous, raise additional debt or equity capital, reduce new investments or make taxable distributions of our stock or debt securities to meet that distribution requirement. If we are not able to obtain cash from other sources, we may fail to qualify for RIC tax treatment and thus be subject to U.S. federal income tax at corporate rates.</w:t>
      </w:r>
    </w:p>
    <w:p>
      <w:pPr>
        <w:spacing w:after="0" w:line="72" w:lineRule="exact"/>
        <w:rPr>
          <w:sz w:val="20"/>
          <w:szCs w:val="20"/>
          <w:color w:val="auto"/>
        </w:rPr>
      </w:pPr>
    </w:p>
    <w:p>
      <w:pPr>
        <w:ind w:left="920" w:right="1300" w:firstLine="382"/>
        <w:spacing w:after="0" w:line="257" w:lineRule="auto"/>
        <w:rPr>
          <w:sz w:val="20"/>
          <w:szCs w:val="20"/>
          <w:color w:val="auto"/>
        </w:rPr>
      </w:pPr>
      <w:r>
        <w:rPr>
          <w:rFonts w:ascii="Times New Roman" w:cs="Times New Roman" w:eastAsia="Times New Roman" w:hAnsi="Times New Roman"/>
          <w:sz w:val="16"/>
          <w:szCs w:val="16"/>
          <w:color w:val="auto"/>
        </w:rPr>
        <w:t>In addition, OID income for certain portfolio investments may or may not be included as a factor in the determination of the fair value of such investments.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0" w:name="page81"/>
    <w:bookmarkEnd w:id="8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Related to Our Investments</w:t>
      </w:r>
    </w:p>
    <w:p>
      <w:pPr>
        <w:spacing w:after="0" w:line="186" w:lineRule="exact"/>
        <w:rPr>
          <w:sz w:val="20"/>
          <w:szCs w:val="20"/>
          <w:color w:val="auto"/>
        </w:rPr>
      </w:pPr>
    </w:p>
    <w:p>
      <w:pPr>
        <w:ind w:left="920" w:right="15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CLO vehicles are riskier and less transparent to us and our stockholders than direct investments in the underlying Senior Loans or CLO Assets.</w:t>
      </w:r>
    </w:p>
    <w:p>
      <w:pPr>
        <w:spacing w:after="0" w:line="81" w:lineRule="exact"/>
        <w:rPr>
          <w:sz w:val="20"/>
          <w:szCs w:val="20"/>
          <w:color w:val="auto"/>
        </w:rPr>
      </w:pPr>
    </w:p>
    <w:p>
      <w:pPr>
        <w:ind w:left="920" w:right="1020" w:firstLine="382"/>
        <w:spacing w:after="0" w:line="276" w:lineRule="auto"/>
        <w:rPr>
          <w:sz w:val="20"/>
          <w:szCs w:val="20"/>
          <w:color w:val="auto"/>
        </w:rPr>
      </w:pPr>
      <w:r>
        <w:rPr>
          <w:rFonts w:ascii="Times New Roman" w:cs="Times New Roman" w:eastAsia="Times New Roman" w:hAnsi="Times New Roman"/>
          <w:sz w:val="14"/>
          <w:szCs w:val="14"/>
          <w:color w:val="auto"/>
        </w:rPr>
        <w:t>We have initially invested principally in equity and junior debt tranches issued by CLO vehicles. Generally, there may be less information available to us regarding the underlying debt investments held by such CLO vehicles than if we had invested directly in the debt of the underlying companies. As a result, our stockholders may not know the details of the underlying debt investments of the CLO vehicles in which we invest. Our CLO investments will also be subject to the risk of leverage associated with the debt issued by such CLOs and the repayment priority of senior debt holders in such CLO vehicles. Additionally, CLOs in which we invest are often governed by a complex series of legal documents and contracts. As a result, the risk of dispute over interpretation or enforceability of the documentation may be higher relative to other types of investments.</w:t>
      </w:r>
    </w:p>
    <w:p>
      <w:pPr>
        <w:spacing w:after="0" w:line="72" w:lineRule="exact"/>
        <w:rPr>
          <w:sz w:val="20"/>
          <w:szCs w:val="20"/>
          <w:color w:val="auto"/>
        </w:rPr>
      </w:pPr>
    </w:p>
    <w:p>
      <w:pPr>
        <w:ind w:left="920" w:right="1020" w:firstLine="382"/>
        <w:spacing w:after="0" w:line="272" w:lineRule="auto"/>
        <w:rPr>
          <w:sz w:val="20"/>
          <w:szCs w:val="20"/>
          <w:color w:val="auto"/>
        </w:rPr>
      </w:pPr>
      <w:r>
        <w:rPr>
          <w:rFonts w:ascii="Times New Roman" w:cs="Times New Roman" w:eastAsia="Times New Roman" w:hAnsi="Times New Roman"/>
          <w:sz w:val="14"/>
          <w:szCs w:val="14"/>
          <w:color w:val="auto"/>
        </w:rPr>
        <w:t>In addition to the general risks associated with investing in debt securities, CLO vehicles carry additional risks, including, but not limited to: (i) the possibility that distributions from collateral securities will not be adequate to make interest or other payments; (ii) the credit quality of the CLO Assets that serve as collateral may decline or the CLO Asset may default; (iii) the CLO may experience losses associated with selling CLO Assets at a loss; (iv) our investments in CLO debt and equity will likely be subordinate to other senior classes of CLO debt;</w:t>
      </w:r>
    </w:p>
    <w:p>
      <w:pPr>
        <w:spacing w:after="0" w:line="2" w:lineRule="exact"/>
        <w:rPr>
          <w:sz w:val="20"/>
          <w:szCs w:val="20"/>
          <w:color w:val="auto"/>
        </w:rPr>
      </w:pPr>
    </w:p>
    <w:p>
      <w:pPr>
        <w:ind w:left="920" w:right="900" w:firstLine="3"/>
        <w:spacing w:after="0" w:line="235" w:lineRule="auto"/>
        <w:tabs>
          <w:tab w:leader="none" w:pos="114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CLO vehicle itself may experience an event of default, leading to acceleration of the CLO’s debt and liquidation of CLO Assets at undesirable prices and (vi) the complex structure of the security may not be fully understood at the time of investment and may produce disputes among participants of the CLO transaction or unexpected investment results. Our net asset value may also decline over time if our principal recovery with respect to CLO equity investments is less than the price we paid for those investments.</w:t>
      </w:r>
    </w:p>
    <w:p>
      <w:pPr>
        <w:spacing w:after="0" w:line="97" w:lineRule="exact"/>
        <w:rPr>
          <w:sz w:val="20"/>
          <w:szCs w:val="20"/>
          <w:color w:val="auto"/>
        </w:rPr>
      </w:pPr>
    </w:p>
    <w:p>
      <w:pPr>
        <w:ind w:left="920" w:right="940" w:firstLine="382"/>
        <w:spacing w:after="0" w:line="273" w:lineRule="auto"/>
        <w:rPr>
          <w:sz w:val="20"/>
          <w:szCs w:val="20"/>
          <w:color w:val="auto"/>
        </w:rPr>
      </w:pPr>
      <w:r>
        <w:rPr>
          <w:rFonts w:ascii="Times New Roman" w:cs="Times New Roman" w:eastAsia="Times New Roman" w:hAnsi="Times New Roman"/>
          <w:sz w:val="14"/>
          <w:szCs w:val="14"/>
          <w:color w:val="auto"/>
        </w:rPr>
        <w:t>The CLO vehicles in which we invest will issue and sell or have already issued and sold debt tranches that will rank senior to the debt and equity tranches in which we invest. By their terms, such tranches entitle the holders to receive payment of interest or principal on or before the dates on which we are entitled to receive payments with respect to the tranches in which we invest. Also, in the event of default, insolvency, liquidation, dissolution, reorganization or bankruptcy of a CLO vehicle, holders of senior debt instruments would be entitled to receive payment in full before we receive any distribution. After repaying such senior creditors, such CLO vehicle may not have any remaining assets to use for repaying its obligation to us. In the case of tranches ranking equally with the tranches in which we invest, we would have to share on an equal basis any distributions with other investors holding such securities in the event of a default, insolvency, liquidation, dissolution, reorganization or bankruptcy of the relevant CLO vehicle. Therefore, we may not receive back the full amount of our investment (or any of our investment) in a CLO vehicle or may not receive our anticipated yield.</w:t>
      </w:r>
    </w:p>
    <w:p>
      <w:pPr>
        <w:spacing w:after="0" w:line="260" w:lineRule="exact"/>
        <w:rPr>
          <w:sz w:val="20"/>
          <w:szCs w:val="20"/>
          <w:color w:val="auto"/>
        </w:rPr>
      </w:pPr>
    </w:p>
    <w:p>
      <w:pPr>
        <w:ind w:left="920" w:right="920" w:firstLine="382"/>
        <w:spacing w:after="0" w:line="236" w:lineRule="auto"/>
        <w:rPr>
          <w:sz w:val="20"/>
          <w:szCs w:val="20"/>
          <w:color w:val="auto"/>
        </w:rPr>
      </w:pPr>
      <w:r>
        <w:rPr>
          <w:rFonts w:ascii="Times New Roman" w:cs="Times New Roman" w:eastAsia="Times New Roman" w:hAnsi="Times New Roman"/>
          <w:sz w:val="16"/>
          <w:szCs w:val="16"/>
          <w:color w:val="auto"/>
        </w:rPr>
        <w:t>The CLO equity market has experienced significant downturns from time to time. Due to the continued uncertainty in the CLO equity market, we cannot assure you that we will achieve our expected investment results and/or maintain our current level of cash distributions. Our future distributions are dependent upon the investment income we receive on our portfolio investments, including our CLO equity investments. To the extent such CLO investments are terminated prior to the specified maturity date, such proceeds derived from a termination may be less than originally contemplated at that time of such investment. This may result in proceeds which may not be of a sufficient amount to invest in future CLO investments in order to generate cash returns that will enable us to maintain the same level of distributions. This may result in a meaningful reduction in, or complete cessation of, our distributions going forward. In addition, due to the asset coverage test applicable to us as a registered closed-end management investment company, a reduction in the fair value of our investments may limit our ability to make distributions.</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CLO investments involve complex accounting and tax considerations.</w:t>
      </w:r>
    </w:p>
    <w:p>
      <w:pPr>
        <w:spacing w:after="0" w:line="117"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The accounting and tax implications of such investments are complicated. In particular, reported earnings from the equity tranche investments of these CLO vehicles are recorded under GAAP based upon an effective yield calculation. Current taxable earnings on these investments, however, will generally not be determinable until after the end of the fiscal year of each individual CLO vehicle that ends within our fiscal year, even though the investments are generating cash flow. In general, the tax treatment of these investments may result in higher distributable earnings in the early years and a capital loss at maturity, while for reporting purposes the totality of cash flows are reflected in a constant yield to maturity.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1" w:name="page82"/>
    <w:bookmarkEnd w:id="8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11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CLO securities may be less transparent to us and our stockholders than direct investments in the collateral.</w:t>
      </w:r>
    </w:p>
    <w:p>
      <w:pPr>
        <w:spacing w:after="0" w:line="81" w:lineRule="exact"/>
        <w:rPr>
          <w:sz w:val="20"/>
          <w:szCs w:val="20"/>
          <w:color w:val="auto"/>
        </w:rPr>
      </w:pPr>
    </w:p>
    <w:p>
      <w:pPr>
        <w:ind w:left="920" w:right="1080" w:firstLine="382"/>
        <w:spacing w:after="0" w:line="239" w:lineRule="auto"/>
        <w:rPr>
          <w:sz w:val="20"/>
          <w:szCs w:val="20"/>
          <w:color w:val="auto"/>
        </w:rPr>
      </w:pPr>
      <w:r>
        <w:rPr>
          <w:rFonts w:ascii="Times New Roman" w:cs="Times New Roman" w:eastAsia="Times New Roman" w:hAnsi="Times New Roman"/>
          <w:sz w:val="16"/>
          <w:szCs w:val="16"/>
          <w:color w:val="auto"/>
        </w:rPr>
        <w:t>None of the information contained in a CLO’s monthly reports, other trustee reports or any other financial information furnished to us as an investor in a CLO is audited and reported upon, nor is an opinion expressed, by an independent public accountant. We will not be required to share any trustee reports or other reports received from any CLO with our stockholders. Thus, you will have limited information on the assets held by, and the performance of, the CLOs in which we invest.</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CLO securities and their investments are often illiquid.</w:t>
      </w:r>
    </w:p>
    <w:p>
      <w:pPr>
        <w:spacing w:after="0" w:line="117" w:lineRule="exact"/>
        <w:rPr>
          <w:sz w:val="20"/>
          <w:szCs w:val="20"/>
          <w:color w:val="auto"/>
        </w:rPr>
      </w:pPr>
    </w:p>
    <w:p>
      <w:pPr>
        <w:ind w:left="920" w:right="1020" w:firstLine="382"/>
        <w:spacing w:after="0" w:line="238" w:lineRule="auto"/>
        <w:rPr>
          <w:sz w:val="20"/>
          <w:szCs w:val="20"/>
          <w:color w:val="auto"/>
        </w:rPr>
      </w:pPr>
      <w:r>
        <w:rPr>
          <w:rFonts w:ascii="Times New Roman" w:cs="Times New Roman" w:eastAsia="Times New Roman" w:hAnsi="Times New Roman"/>
          <w:sz w:val="16"/>
          <w:szCs w:val="16"/>
          <w:color w:val="auto"/>
        </w:rPr>
        <w:t>Some instruments issued by CLO vehicles may not be readily marketable and may be subject to restrictions on resale. Securities issued by CLO vehicles are generally not listed on any U.S. national securities exchange and no active trading market may exist for the securities of CLO vehicles in which we may invest. Although a secondary market may exist for our investments in CLO vehicles, the market for our investments in CLO vehicles may be subject to irregular trading activity, wide bid/ask spreads and extended trade settlement periods. As a result, these types of investments may be more difficult to value.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Failure by a CLO in which we are invested to satisfy certain tests will harm our operating results.</w:t>
      </w:r>
    </w:p>
    <w:p>
      <w:pPr>
        <w:spacing w:after="0" w:line="117" w:lineRule="exact"/>
        <w:rPr>
          <w:sz w:val="20"/>
          <w:szCs w:val="20"/>
          <w:color w:val="auto"/>
        </w:rPr>
      </w:pPr>
    </w:p>
    <w:p>
      <w:pPr>
        <w:ind w:left="920" w:right="1040" w:firstLine="382"/>
        <w:spacing w:after="0" w:line="241" w:lineRule="auto"/>
        <w:rPr>
          <w:sz w:val="20"/>
          <w:szCs w:val="20"/>
          <w:color w:val="auto"/>
        </w:rPr>
      </w:pPr>
      <w:r>
        <w:rPr>
          <w:rFonts w:ascii="Times New Roman" w:cs="Times New Roman" w:eastAsia="Times New Roman" w:hAnsi="Times New Roman"/>
          <w:sz w:val="16"/>
          <w:szCs w:val="16"/>
          <w:color w:val="auto"/>
        </w:rPr>
        <w:t>CLO vehicles in which we invest may fail to satisfy certain financial covenants, specifically those with respect to adequate collateralization and/or interest coverage tests. Such failure could lead to a reduction in such CLO’s payments to us because senior debt holders generally would be entitled to additional payments that would, in turn, reduce the payments we would otherwise be entitled to receive.</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may be highly subordinated and subject to leveraged securities risk.</w:t>
      </w:r>
    </w:p>
    <w:p>
      <w:pPr>
        <w:spacing w:after="0" w:line="117" w:lineRule="exact"/>
        <w:rPr>
          <w:sz w:val="20"/>
          <w:szCs w:val="20"/>
          <w:color w:val="auto"/>
        </w:rPr>
      </w:pPr>
    </w:p>
    <w:p>
      <w:pPr>
        <w:ind w:left="920" w:right="980" w:firstLine="382"/>
        <w:spacing w:after="0" w:line="273" w:lineRule="auto"/>
        <w:rPr>
          <w:sz w:val="20"/>
          <w:szCs w:val="20"/>
          <w:color w:val="auto"/>
        </w:rPr>
      </w:pPr>
      <w:r>
        <w:rPr>
          <w:rFonts w:ascii="Times New Roman" w:cs="Times New Roman" w:eastAsia="Times New Roman" w:hAnsi="Times New Roman"/>
          <w:sz w:val="14"/>
          <w:szCs w:val="14"/>
          <w:color w:val="auto"/>
        </w:rPr>
        <w:t>Our portfolio will include equity and junior debt investments in CLOs, which involve a number of significant risks. CLOs are typically very highly levered (with CLO equity securities typically being leveraged between nine and 13 times), and therefore the junior equity and debt tranches in which we invest will be subject to a higher degree of risk of total loss. In particular, investors in CLO securities indirectly bear risks of the collateral held by such CLOs. We generally have the right to receive payments only from the CLOs, and generally do not have direct rights against the underlying borrowers or the entity that sponsored the CLO transaction. In addition, we may have the option in certain CLOs to contribute additional amounts to the CLO issuer for purposes of acquiring additional assets or curing coverage tests, thereby increasing our overall exposure and capital at risk to such CLO. Although it is difficult to predict whether the prices of assets underlying CLOs will rise or fall, these prices (and, therefore, the prices of the CLOs’ securities) are influenced by the same types of political and economic events that affect issuers of securities and capital markets generally.</w:t>
      </w:r>
    </w:p>
    <w:p>
      <w:pPr>
        <w:spacing w:after="0" w:line="3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Investors will bear indirectly the fees and expenses of the CLO equity securities in which we invest.</w:t>
      </w:r>
    </w:p>
    <w:p>
      <w:pPr>
        <w:spacing w:after="0" w:line="117" w:lineRule="exact"/>
        <w:rPr>
          <w:sz w:val="20"/>
          <w:szCs w:val="20"/>
          <w:color w:val="auto"/>
        </w:rPr>
      </w:pPr>
    </w:p>
    <w:p>
      <w:pPr>
        <w:ind w:left="920" w:right="940" w:firstLine="382"/>
        <w:spacing w:after="0" w:line="235" w:lineRule="auto"/>
        <w:rPr>
          <w:sz w:val="20"/>
          <w:szCs w:val="20"/>
          <w:color w:val="auto"/>
        </w:rPr>
      </w:pPr>
      <w:r>
        <w:rPr>
          <w:rFonts w:ascii="Times New Roman" w:cs="Times New Roman" w:eastAsia="Times New Roman" w:hAnsi="Times New Roman"/>
          <w:sz w:val="16"/>
          <w:szCs w:val="16"/>
          <w:color w:val="auto"/>
        </w:rPr>
        <w:t>While the CLO vehicles we target generally enable the investor to acquire interests in a pool of CLO Assets without the expenses associated with directly holding the same investments, the CLO vehicle itself will incur management fees (including incentive fees) and other expenses. CLO collateral manager fees are charged on the total assets of a CLO but are assumed to be paid from the residual cash flows after interest payments to the CLO senior debt tranches. Therefore, these CLO collateral manager fees are effectively much higher when allocated only to the CLO equity tranche. These fees incurred at the CLO level are in addition to the fees charged by the Adviser at the Company level. Additionally, CLOs could also be liable to the collateral manager, trustee and other parties for indemnity payments. We, as a CLO equity investor, will generally bear a share of the CLO vehicles’ administrative and other expenses that is proportionate with other CLO equity investors; however, CLO equity investors often negotiate fee rebates through side letters and other arrangements, and there can be no assurance that we will be able to negotiate fee rebates for any CLO in which we invest, or that any fee rebates we do negotiate will be as favorable as fee rebates other CLO equity investors may negotiate. Separately, we may incur expenses to the extent necessary to seek recovery upon default or to negotiate new terms with a defaulting CLO vehicle or any other investment we may make. If any of these occur, it could materially and adversely affect our operating results and cash flows.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2" w:name="page83"/>
    <w:bookmarkEnd w:id="8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122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Our portfolio of investments may lack diversification among CLO vehicles which may subject us to a risk of significant loss if one or more of these CLO vehicles experience a high level of defaults on its underlying Senior Loans or CLO Assets.</w:t>
      </w:r>
    </w:p>
    <w:p>
      <w:pPr>
        <w:spacing w:after="0" w:line="91" w:lineRule="exact"/>
        <w:rPr>
          <w:sz w:val="20"/>
          <w:szCs w:val="20"/>
          <w:color w:val="auto"/>
        </w:rPr>
      </w:pPr>
    </w:p>
    <w:p>
      <w:pPr>
        <w:ind w:left="920" w:right="980" w:firstLine="382"/>
        <w:spacing w:after="0" w:line="237" w:lineRule="auto"/>
        <w:rPr>
          <w:sz w:val="20"/>
          <w:szCs w:val="20"/>
          <w:color w:val="auto"/>
        </w:rPr>
      </w:pPr>
      <w:r>
        <w:rPr>
          <w:rFonts w:ascii="Times New Roman" w:cs="Times New Roman" w:eastAsia="Times New Roman" w:hAnsi="Times New Roman"/>
          <w:sz w:val="16"/>
          <w:szCs w:val="16"/>
          <w:color w:val="auto"/>
        </w:rPr>
        <w:t>Our portfolio may hold investments in a limited number of CLO vehicles. Beyond the asset diversification requirements associated with our qualification as a RIC under the Code, we will not have fixed guidelines for diversification, we will not have any limitations on the ability to invest in any one CLO vehicle, and our investments may be concentrated in relatively few CLO vehicles. As our portfolio is less diversified than the portfolios of some larger funds, we are more susceptible to failure if one or more of the CLO vehicles in which we are invested experiences a high level of defaults on its underlying Senior Loans and other CLO Assets. Similarly, the aggregate returns we realize may be significantly adversely affected if a small number of investments perform poorly or if we need to write down the value of any one investment.</w:t>
      </w:r>
    </w:p>
    <w:p>
      <w:pPr>
        <w:spacing w:after="0" w:line="100" w:lineRule="exact"/>
        <w:rPr>
          <w:sz w:val="20"/>
          <w:szCs w:val="20"/>
          <w:color w:val="auto"/>
        </w:rPr>
      </w:pPr>
    </w:p>
    <w:p>
      <w:pPr>
        <w:ind w:left="920" w:right="940" w:firstLine="382"/>
        <w:spacing w:after="0" w:line="279" w:lineRule="auto"/>
        <w:rPr>
          <w:sz w:val="20"/>
          <w:szCs w:val="20"/>
          <w:color w:val="auto"/>
        </w:rPr>
      </w:pPr>
      <w:r>
        <w:rPr>
          <w:rFonts w:ascii="Times New Roman" w:cs="Times New Roman" w:eastAsia="Times New Roman" w:hAnsi="Times New Roman"/>
          <w:sz w:val="14"/>
          <w:szCs w:val="14"/>
          <w:color w:val="auto"/>
        </w:rPr>
        <w:t>Additionally, the CLO vehicles in which we invest may have CLO Asset portfolios that are concentrated in a limited number of industries or borrowers. A downturn in any particular industry or borrower in which a CLO vehicle is heavily invested may subject that vehicle, and in turn us, to a risk of significant loss and could significantly impact the aggregate returns we realize. If an industry in which a CLO vehicle is heavily invested suffers from adverse business or economic conditions, a material portion of our investment in that CLO vehicle could be affected adversely, which, in turn, could adversely affect our financial position and results of operations.</w:t>
      </w:r>
    </w:p>
    <w:p>
      <w:pPr>
        <w:spacing w:after="0" w:line="72" w:lineRule="exact"/>
        <w:rPr>
          <w:sz w:val="20"/>
          <w:szCs w:val="20"/>
          <w:color w:val="auto"/>
        </w:rPr>
      </w:pPr>
    </w:p>
    <w:p>
      <w:pPr>
        <w:jc w:val="both"/>
        <w:ind w:left="920" w:right="980" w:firstLine="382"/>
        <w:spacing w:after="0" w:line="245" w:lineRule="auto"/>
        <w:rPr>
          <w:sz w:val="20"/>
          <w:szCs w:val="20"/>
          <w:color w:val="auto"/>
        </w:rPr>
      </w:pPr>
      <w:r>
        <w:rPr>
          <w:rFonts w:ascii="Times New Roman" w:cs="Times New Roman" w:eastAsia="Times New Roman" w:hAnsi="Times New Roman"/>
          <w:sz w:val="16"/>
          <w:szCs w:val="16"/>
          <w:color w:val="auto"/>
        </w:rPr>
        <w:t>We may also invest in multiple CLOs managed by the same CLO collateral manager, thereby increasing our risk of loss in the event the CLO collateral manager were to fail, experience the loss of key portfolio management employees or sell its business.</w:t>
      </w:r>
    </w:p>
    <w:p>
      <w:pPr>
        <w:spacing w:after="0" w:line="163" w:lineRule="exact"/>
        <w:rPr>
          <w:sz w:val="20"/>
          <w:szCs w:val="20"/>
          <w:color w:val="auto"/>
        </w:rPr>
      </w:pPr>
    </w:p>
    <w:p>
      <w:pPr>
        <w:ind w:left="920" w:right="10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Failure to maintain adequate diversification of underlying obligors across the CLOs in which we invest would make us more vulnerable to defaults.</w:t>
      </w:r>
    </w:p>
    <w:p>
      <w:pPr>
        <w:spacing w:after="0" w:line="81"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Even if we maintain adequate diversification across different CLO issuers, we may still be subject to concentration risk since CLO portfolios tend to have a certain amount of overlap across underlying obligors. This trend is generally exacerbated when demand for bank loans by CLO issuers outpaces supply. Market analysts have noted that the overlap of obligor names among CLO issuers has increased recently, and is particularly evident across CLOs of the same year of origination, as well as with CLOs managed by the same asset manager. To the extent we invest in CLOs which have a high percentage of overlap, this may increase the likelihood of defaults on our CLO investments occurring together.</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and our investments are subject to reinvestment risk.</w:t>
      </w:r>
    </w:p>
    <w:p>
      <w:pPr>
        <w:spacing w:after="0" w:line="117" w:lineRule="exact"/>
        <w:rPr>
          <w:sz w:val="20"/>
          <w:szCs w:val="20"/>
          <w:color w:val="auto"/>
        </w:rPr>
      </w:pPr>
    </w:p>
    <w:p>
      <w:pPr>
        <w:ind w:left="920" w:right="940" w:firstLine="382"/>
        <w:spacing w:after="0" w:line="235" w:lineRule="auto"/>
        <w:rPr>
          <w:sz w:val="20"/>
          <w:szCs w:val="20"/>
          <w:color w:val="auto"/>
        </w:rPr>
      </w:pPr>
      <w:r>
        <w:rPr>
          <w:rFonts w:ascii="Times New Roman" w:cs="Times New Roman" w:eastAsia="Times New Roman" w:hAnsi="Times New Roman"/>
          <w:sz w:val="16"/>
          <w:szCs w:val="16"/>
          <w:color w:val="auto"/>
        </w:rPr>
        <w:t>As part of the ordinary management of its portfolio, a CLO will typically generate cash from asset repayments and sales and reinvest those proceeds in substitute assets, subject to compliance with its investment tests and certain other conditions. The earnings with respect to such substitute assets will depend on the quality of reinvestment opportunities available at the time. If the CLO collateral manager causes the CLO to purchase substitute assets at a lower yield than those initially acquired (for example, during periods of loan compression or in response to the need to satisfy the CLO’s covenants) or sale proceeds are maintained temporarily in cash, it would reduce the excess interest- related cash flow that the CLO collateral manager is able to achieve. The investment tests may incentivize a CLO collateral manager to cause the CLO to buy riskier assets than it otherwise would, which could result in additional losses. These factors could reduce our return on investment and may have a negative effect on the fair value of our assets and the market value of our securities. In addition, the reinvestment period for a CLO may terminate early, which would cause the holders of the CLO’s securities to receive principal payments earlier than anticipated. In addition, in CLO transactions in which we own a minority of the equity tranche, the holders of a majority of the equity tranche direct a call or refinancing of a CLO, thus causing such CLO’s outstanding CLO debt securities to be repaid at par earlier than expected. There can be no assurance that we will be able to reinvest such amounts in an alternative investment that provides a comparable return relative to the credit risk assumed.</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3" w:name="page84"/>
    <w:bookmarkEnd w:id="8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9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are dependent on the collateral managers of the CLOs in which we invest, and those CLOs are generally not registered under the 1940 Act.</w:t>
      </w:r>
    </w:p>
    <w:p>
      <w:pPr>
        <w:spacing w:after="0" w:line="81" w:lineRule="exact"/>
        <w:rPr>
          <w:sz w:val="20"/>
          <w:szCs w:val="20"/>
          <w:color w:val="auto"/>
        </w:rPr>
      </w:pPr>
    </w:p>
    <w:p>
      <w:pPr>
        <w:ind w:left="920" w:right="920" w:firstLine="382"/>
        <w:spacing w:after="0" w:line="271" w:lineRule="auto"/>
        <w:rPr>
          <w:sz w:val="20"/>
          <w:szCs w:val="20"/>
          <w:color w:val="auto"/>
        </w:rPr>
      </w:pPr>
      <w:r>
        <w:rPr>
          <w:rFonts w:ascii="Times New Roman" w:cs="Times New Roman" w:eastAsia="Times New Roman" w:hAnsi="Times New Roman"/>
          <w:sz w:val="14"/>
          <w:szCs w:val="14"/>
          <w:color w:val="auto"/>
        </w:rPr>
        <w:t>We rely on CLO collateral managers to administer and review the portfolios of collateral of the CLOs in which they invest. The actions of the CLO collateral managers may significantly affect the return on our investments; however, we, as an investor of the CLO, typically do not have any direct contractual relationship with the collateral managers of the CLOs in which we invest. The ability of each CLO collateral manager to identify and report on issues affecting its securitization portfolio on a timely basis could also affect the return on our investments, as we may not be provided with information on a timely basis in order to take appropriate measures to manage our risks. We will also rely on CLO collateral managers to act in the best interests of a CLO it manages; however, such CLO collateral managers are subject to fiduciary duties owed to other classes of debt besides those in which we invest; therefore, there can be no assurance that the collateral managers will always act in the best interest of the CLO securities in which we are invested. If any CLO collateral manager were to act in a manner that was not in the best interest of the CLOs, this could adversely impact the overall performance of our investments. Furthermore, since the underlying CLO issuer often provides an indemnity to its CLO collateral manager, we may not be incentivized to pursue actions against the collateral manager since any such action, if successful, may ultimately be borne by the underlying CLO issuer and payable from its assets, which could create losses to us as an investor in the CLO. In addition, liabilities incurred by the CLO manger to third parties may be borne by us as an investor in the CLO to the extent such CLO is required to indemnify its collateral manager for such liabilities.</w:t>
      </w:r>
    </w:p>
    <w:p>
      <w:pPr>
        <w:spacing w:after="0" w:line="261" w:lineRule="exact"/>
        <w:rPr>
          <w:sz w:val="20"/>
          <w:szCs w:val="20"/>
          <w:color w:val="auto"/>
        </w:rPr>
      </w:pPr>
    </w:p>
    <w:p>
      <w:pPr>
        <w:ind w:left="920" w:right="1040" w:firstLine="382"/>
        <w:spacing w:after="0" w:line="238" w:lineRule="auto"/>
        <w:rPr>
          <w:sz w:val="20"/>
          <w:szCs w:val="20"/>
          <w:color w:val="auto"/>
        </w:rPr>
      </w:pPr>
      <w:r>
        <w:rPr>
          <w:rFonts w:ascii="Times New Roman" w:cs="Times New Roman" w:eastAsia="Times New Roman" w:hAnsi="Times New Roman"/>
          <w:sz w:val="16"/>
          <w:szCs w:val="16"/>
          <w:color w:val="auto"/>
        </w:rPr>
        <w:t>Additionally, there is no guarantee that, for any CLO we invest in, the collateral manager in place when we invest in such CLO securities will continue to manage such CLO through the life of our investment. Collateral managers are subject to removal or replacement by other holders of CLO securities without our consent, and may also voluntarily resign as collateral manager or assign their role as collateral manager to another entity. There can be no assurance that any removal, replacement, resignation or assignment of any particular CLO manager’s role will not adversely affect the returns on the CLO securities in which we invest.</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Our CLO investments are subject to risks related to leverage of underlying obligors.</w:t>
      </w:r>
    </w:p>
    <w:p>
      <w:pPr>
        <w:spacing w:after="0" w:line="117" w:lineRule="exact"/>
        <w:rPr>
          <w:sz w:val="20"/>
          <w:szCs w:val="20"/>
          <w:color w:val="auto"/>
        </w:rPr>
      </w:pPr>
    </w:p>
    <w:p>
      <w:pPr>
        <w:ind w:left="920" w:right="920" w:firstLine="382"/>
        <w:spacing w:after="0" w:line="235" w:lineRule="auto"/>
        <w:rPr>
          <w:sz w:val="20"/>
          <w:szCs w:val="20"/>
          <w:color w:val="auto"/>
        </w:rPr>
      </w:pPr>
      <w:r>
        <w:rPr>
          <w:rFonts w:ascii="Times New Roman" w:cs="Times New Roman" w:eastAsia="Times New Roman" w:hAnsi="Times New Roman"/>
          <w:sz w:val="16"/>
          <w:szCs w:val="16"/>
          <w:color w:val="auto"/>
        </w:rPr>
        <w:t>Underlying obligors of the CLO Assets are typically highly leveraged, and there may not be significant restrictions on the amount of debt an obligor can incur. Substantial indebtedness adds additional risk with respect to an obligor and could (i) limit its ability to borrow money for its working capital, capital expenditures, debt service requirements, strategic initiatives or other purposes; (ii) require it to dedicate a substantial portion of its cash flow from operations to the repayment of its indebtedness, thereby reducing funds available to it for other purposes; (iii) make it more highly leveraged than some of its competitors, which may place it at a competitive disadvantage; and/or (iv) subject it to restrictive financial and operating covenants, which may preclude it from favorable business activities or the financing of future operations or other capital needs. In some cases, proceeds of debt incurred by an obligor could be paid as a dividend to stockholders rather than retained by the obligor for its working capital. Leveraged companies are often more sensitive to declines in revenues, increases in expenses, and adverse business, political, or financial developments or economic factors such as a significant rise in interest rates, a severe downturn in the economy or deterioration in the condition of such companies or their industries. A leveraged company’s income and net assets will tend to increase or decrease at a greater rate than if borrowed money were not used.</w:t>
      </w:r>
    </w:p>
    <w:p>
      <w:pPr>
        <w:spacing w:after="0" w:line="107"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If an obligor is unable to generate sufficient cash flow to meet principal and/or interest payments on its indebtedness, it may be forced to take other actions to satisfy its obligations under its indebtedness. These alternative measures may include reducing or delaying capital expenditures, selling assets, seeking additional capital, or restructuring or refinancing indebtedness. Any of these actions could significantly reduce the value of the CLO Assets and thus the CLO securities in which we invest. If such strategies are not successful and do not permit the obligor to meet its scheduled debt service obligations, the obligor may also be forced into liquidation, dissolution or insolvency, and the value of the CLO’s investment in such obligor could be significantly reduced or even eliminated.</w:t>
      </w:r>
    </w:p>
    <w:p>
      <w:pPr>
        <w:spacing w:after="0" w:line="170" w:lineRule="exact"/>
        <w:rPr>
          <w:sz w:val="20"/>
          <w:szCs w:val="20"/>
          <w:color w:val="auto"/>
        </w:rPr>
      </w:pPr>
    </w:p>
    <w:p>
      <w:pPr>
        <w:ind w:left="920" w:right="10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the bankruptcy or insolvency of an issuer or borrower of a loan that we hold or of an underlying asset held by a CLO in which we invest.</w:t>
      </w:r>
    </w:p>
    <w:p>
      <w:pPr>
        <w:spacing w:after="0" w:line="81" w:lineRule="exact"/>
        <w:rPr>
          <w:sz w:val="20"/>
          <w:szCs w:val="20"/>
          <w:color w:val="auto"/>
        </w:rPr>
      </w:pPr>
    </w:p>
    <w:p>
      <w:pPr>
        <w:ind w:left="920" w:right="920" w:firstLine="382"/>
        <w:spacing w:after="0" w:line="245" w:lineRule="auto"/>
        <w:rPr>
          <w:sz w:val="20"/>
          <w:szCs w:val="20"/>
          <w:color w:val="auto"/>
        </w:rPr>
      </w:pPr>
      <w:r>
        <w:rPr>
          <w:rFonts w:ascii="Times New Roman" w:cs="Times New Roman" w:eastAsia="Times New Roman" w:hAnsi="Times New Roman"/>
          <w:sz w:val="16"/>
          <w:szCs w:val="16"/>
          <w:color w:val="auto"/>
        </w:rPr>
        <w:t>In the event of a bankruptcy or insolvency of an issuer or borrower of a CLO Asset, a court or other governmental entity may determine that the claims of the relevant CLO are not valid or not entitled to the treatment the CLO expected when making its initial investment decision.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4" w:name="page85"/>
    <w:bookmarkEnd w:id="8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00" w:firstLine="382"/>
        <w:spacing w:after="0" w:line="238" w:lineRule="auto"/>
        <w:rPr>
          <w:sz w:val="20"/>
          <w:szCs w:val="20"/>
          <w:color w:val="auto"/>
        </w:rPr>
      </w:pPr>
      <w:r>
        <w:rPr>
          <w:rFonts w:ascii="Times New Roman" w:cs="Times New Roman" w:eastAsia="Times New Roman" w:hAnsi="Times New Roman"/>
          <w:sz w:val="16"/>
          <w:szCs w:val="16"/>
          <w:color w:val="auto"/>
        </w:rPr>
        <w:t>Various laws enacted for the protection of debtors may apply to the CLO Assets held by the CLOs in which we invest. The information in this and the following paragraph represents a brief summary of certain points only, is not intended to be an extensive summary of the relevant issues and is applicable with respect to U.S. issuers and borrowers only. The following is not intended to be a summary of all relevant risks. Similar avoidance provisions to those described below are sometimes available with respect to non-U.S. issuers or borrowers, and there is no assurance that this will be the case which may result in a much greater risk of partial or total loss of value in that underlying CLO Asset.</w:t>
      </w:r>
    </w:p>
    <w:p>
      <w:pPr>
        <w:spacing w:after="0" w:line="97" w:lineRule="exact"/>
        <w:rPr>
          <w:sz w:val="20"/>
          <w:szCs w:val="20"/>
          <w:color w:val="auto"/>
        </w:rPr>
      </w:pPr>
    </w:p>
    <w:p>
      <w:pPr>
        <w:ind w:left="920" w:right="980" w:firstLine="382"/>
        <w:spacing w:after="0" w:line="273" w:lineRule="auto"/>
        <w:rPr>
          <w:sz w:val="20"/>
          <w:szCs w:val="20"/>
          <w:color w:val="auto"/>
        </w:rPr>
      </w:pPr>
      <w:r>
        <w:rPr>
          <w:rFonts w:ascii="Times New Roman" w:cs="Times New Roman" w:eastAsia="Times New Roman" w:hAnsi="Times New Roman"/>
          <w:sz w:val="14"/>
          <w:szCs w:val="14"/>
          <w:color w:val="auto"/>
        </w:rPr>
        <w:t>If a court in a lawsuit brought by an unpaid creditor or representative of creditors of an issuer or borrower of a CLO Asset, such as a trustee in bankruptcy, were to find that such issuer or borrower did not receive fair consideration or reasonably equivalent value for incurring the indebtedness constituting such CLO Asset and, after giving effect to such indebtedness, the issuer or borrower (1) was insolvent; (2) was engaged in a business for which the remaining assets of such issuer or borrower constituted unreasonably small capital; or (3) intended to incur, or believed that it would incur, debts beyond its ability to pay such debts as they mature, such court could decide to invalidate, in whole or in part, the indebtedness constituting the CLO Assets as a fraudulent conveyance, to subordinate such indebtedness to existing or future creditors of the issuer or borrower or to recover amounts previously paid by the issuer or borrower in satisfaction of such indebtedness. In addition, in the event of the insolvency of an issuer or borrower of a CLO Asset, payments made on such CLO Asset could be subject to avoidance as a “preference” if made within a certain period of time (which may be as long as one year under U.S. Federal bankruptcy law or even longer under state laws) before insolvency.</w:t>
      </w:r>
    </w:p>
    <w:p>
      <w:pPr>
        <w:spacing w:after="0" w:line="256" w:lineRule="exact"/>
        <w:rPr>
          <w:sz w:val="20"/>
          <w:szCs w:val="20"/>
          <w:color w:val="auto"/>
        </w:rPr>
      </w:pPr>
    </w:p>
    <w:p>
      <w:pPr>
        <w:ind w:left="920" w:right="940" w:firstLine="382"/>
        <w:spacing w:after="0" w:line="238" w:lineRule="auto"/>
        <w:rPr>
          <w:sz w:val="20"/>
          <w:szCs w:val="20"/>
          <w:color w:val="auto"/>
        </w:rPr>
      </w:pPr>
      <w:r>
        <w:rPr>
          <w:rFonts w:ascii="Times New Roman" w:cs="Times New Roman" w:eastAsia="Times New Roman" w:hAnsi="Times New Roman"/>
          <w:sz w:val="16"/>
          <w:szCs w:val="16"/>
          <w:color w:val="auto"/>
        </w:rPr>
        <w:t>The CLO Assets of the CLOs in which we invest may be subject to various laws for the protection of debtors in other jurisdictions, including the jurisdiction of incorporation of the issuer or borrower of such CLO Assets and, if different, the jurisdiction from which it conducts business and in which it holds assets, any of which may adversely affect such issuer’s or borrower’s ability to make, or a creditor’s ability to enforce, payment in full, on a timely basis or at all. These insolvency considerations will differ depending on the jurisdiction in which an issuer or borrower or the related CLO Assets are located and may differ depending on the legal status of the issuer or borrower.</w:t>
      </w:r>
    </w:p>
    <w:p>
      <w:pPr>
        <w:spacing w:after="0" w:line="167" w:lineRule="exact"/>
        <w:rPr>
          <w:sz w:val="20"/>
          <w:szCs w:val="20"/>
          <w:color w:val="auto"/>
        </w:rPr>
      </w:pPr>
    </w:p>
    <w:p>
      <w:pPr>
        <w:ind w:left="920" w:right="13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application of risk retention rules to CLOs may have broader effects on the CLO and loan markets in general, potentially resulting in fewer or less desirable investment opportunities for us.</w:t>
      </w:r>
    </w:p>
    <w:p>
      <w:pPr>
        <w:spacing w:after="0" w:line="81" w:lineRule="exact"/>
        <w:rPr>
          <w:sz w:val="20"/>
          <w:szCs w:val="20"/>
          <w:color w:val="auto"/>
        </w:rPr>
      </w:pPr>
    </w:p>
    <w:p>
      <w:pPr>
        <w:ind w:left="920" w:right="980" w:firstLine="382"/>
        <w:spacing w:after="0" w:line="237" w:lineRule="auto"/>
        <w:rPr>
          <w:sz w:val="20"/>
          <w:szCs w:val="20"/>
          <w:color w:val="auto"/>
        </w:rPr>
      </w:pPr>
      <w:r>
        <w:rPr>
          <w:rFonts w:ascii="Times New Roman" w:cs="Times New Roman" w:eastAsia="Times New Roman" w:hAnsi="Times New Roman"/>
          <w:sz w:val="16"/>
          <w:szCs w:val="16"/>
          <w:color w:val="auto"/>
        </w:rPr>
        <w:t>In October 2014, six federal agencies (the Federal Deposit Insurance Corporation, or the “FDIC,” the Comptroller of the Currency, the Federal Reserve Board, the SEC, the Department of Housing and Urban Development and the Federal Housing Finance Agency) adopted joint final rules implementing certain credit risk retention requirements contemplated in Section 941 of the Dodd-Frank Act, or the “Final U.S. Risk Retention Rules.” These rules were published in the Federal Register on December 24, 2014. With respect to the regulation of CLOs, the Final U.S. Risk Retention Rules require that the “sponsor” or a “majority owned affiliate” thereof (in each case as defined in the rules), will retain an “eligible vertical interest” or an “eligible horizontal interest” (in each case as defined therein) or any combination thereof in the CLO in the manner required by the Final U.S. Risk Retention Rules.</w:t>
      </w:r>
    </w:p>
    <w:p>
      <w:pPr>
        <w:spacing w:after="0" w:line="98" w:lineRule="exact"/>
        <w:rPr>
          <w:sz w:val="20"/>
          <w:szCs w:val="20"/>
          <w:color w:val="auto"/>
        </w:rPr>
      </w:pPr>
    </w:p>
    <w:p>
      <w:pPr>
        <w:ind w:left="920" w:right="940" w:firstLine="382"/>
        <w:spacing w:after="0" w:line="270" w:lineRule="auto"/>
        <w:rPr>
          <w:sz w:val="20"/>
          <w:szCs w:val="20"/>
          <w:color w:val="auto"/>
        </w:rPr>
      </w:pPr>
      <w:r>
        <w:rPr>
          <w:rFonts w:ascii="Times New Roman" w:cs="Times New Roman" w:eastAsia="Times New Roman" w:hAnsi="Times New Roman"/>
          <w:sz w:val="14"/>
          <w:szCs w:val="14"/>
          <w:color w:val="auto"/>
        </w:rPr>
        <w:t>The Final U.S. Risk Retention Rules became fully effective on December 24, 2016, and to the extent applicable to CLOs in which we invest, the Final U.S. Risk Retention Rules contain provisions that may adversely affect the return of our investments. On February 9, 2018, a three-judge panel of the United States Court of Appeals for the District of Columbia Circuit, or the “DC Circuit Court,” rendered a decision in The Loan Syndications and Trading Association v. Securities and Exchange Commission and Board of Governors of the Federal Reserve System, No. 1:16-cv-0065, in which the DC Circuit Court held that open market CLO collateral managers are not “securitizers” subject to the requirements of the Final U.S. Risk Retention Rules (the “DC Circuit Ruling”). Thus, collateral managers of open market CLOs are no longer required to comply with the Final</w:t>
      </w:r>
    </w:p>
    <w:p>
      <w:pPr>
        <w:spacing w:after="0" w:line="3" w:lineRule="exact"/>
        <w:rPr>
          <w:sz w:val="20"/>
          <w:szCs w:val="20"/>
          <w:color w:val="auto"/>
        </w:rPr>
      </w:pPr>
    </w:p>
    <w:p>
      <w:pPr>
        <w:ind w:left="920" w:right="960"/>
        <w:spacing w:after="0" w:line="234" w:lineRule="auto"/>
        <w:rPr>
          <w:sz w:val="20"/>
          <w:szCs w:val="20"/>
          <w:color w:val="auto"/>
        </w:rPr>
      </w:pPr>
      <w:r>
        <w:rPr>
          <w:rFonts w:ascii="Times New Roman" w:cs="Times New Roman" w:eastAsia="Times New Roman" w:hAnsi="Times New Roman"/>
          <w:sz w:val="16"/>
          <w:szCs w:val="16"/>
          <w:color w:val="auto"/>
        </w:rPr>
        <w:t>U.S. Risk Retention Rules at this time. As such, it is possible that some collateral managers of open market CLOs will decide to dispose of the securities (or cause their majority owned affiliates to dispose of the securities) constituting the “eligible vertical interest” or “eligible horizontal interest” they were previously required to retain or take other actions with respect to such securities that is not otherwise prohibited by the Final U.S. Risk Retention Rules. To the extent either the underlying collateral manager or its majority-owned affiliate divests itself of such securities, or to the extent none of the underlying collateral manager or its affiliates holds any CLO securities in any event, this will reduce the degree to which the relevant collateral manager’s incentives are aligned with those of the holders of the CLO debt or equity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5" w:name="page86"/>
    <w:bookmarkEnd w:id="8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60"/>
        <w:spacing w:after="0" w:line="245" w:lineRule="auto"/>
        <w:rPr>
          <w:sz w:val="20"/>
          <w:szCs w:val="20"/>
          <w:color w:val="auto"/>
        </w:rPr>
      </w:pPr>
      <w:r>
        <w:rPr>
          <w:rFonts w:ascii="Times New Roman" w:cs="Times New Roman" w:eastAsia="Times New Roman" w:hAnsi="Times New Roman"/>
          <w:sz w:val="16"/>
          <w:szCs w:val="16"/>
          <w:color w:val="auto"/>
        </w:rPr>
        <w:t>(which may include us as a CLO investor). This could influence the way in which the relevant collateral manager manages the CLO assets and/or makes other decisions under the transaction documents related to the CLO in a manner that is adverse to us.</w:t>
      </w:r>
    </w:p>
    <w:p>
      <w:pPr>
        <w:spacing w:after="0" w:line="94" w:lineRule="exact"/>
        <w:rPr>
          <w:sz w:val="20"/>
          <w:szCs w:val="20"/>
          <w:color w:val="auto"/>
        </w:rPr>
      </w:pPr>
    </w:p>
    <w:p>
      <w:pPr>
        <w:ind w:left="920" w:right="960" w:firstLine="382"/>
        <w:spacing w:after="0" w:line="237" w:lineRule="auto"/>
        <w:rPr>
          <w:sz w:val="20"/>
          <w:szCs w:val="20"/>
          <w:color w:val="auto"/>
        </w:rPr>
      </w:pPr>
      <w:r>
        <w:rPr>
          <w:rFonts w:ascii="Times New Roman" w:cs="Times New Roman" w:eastAsia="Times New Roman" w:hAnsi="Times New Roman"/>
          <w:sz w:val="16"/>
          <w:szCs w:val="16"/>
          <w:color w:val="auto"/>
        </w:rPr>
        <w:t>There can be no assurance or representation that any of the transactions, structures or arrangements currently under consideration by or currently used by CLO market participants will comply with the Final U.S. Risk Retention Rules to the extent such rules are reinstated or otherwise become applicable to open market CLOs. The ultimate impact of the Final U.S. Risk Retention Rules on the loan securitization market and the leveraged loan market generally remains uncertain, and any negative impact on secondary market liquidity for securities comprising a CLO may be experienced due to the effects of the Final U.S. Risk Retention Rules on market expectations or uncertainty, the relative appeal of other investments not impacted by the Final U.S. Risk Retention Rules and other factors.</w:t>
      </w:r>
    </w:p>
    <w:p>
      <w:pPr>
        <w:spacing w:after="0" w:line="98"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i w:val="1"/>
          <w:iCs w:val="1"/>
          <w:color w:val="auto"/>
        </w:rPr>
        <w:t xml:space="preserve">EU/UK Risk Retention. </w:t>
      </w:r>
      <w:r>
        <w:rPr>
          <w:rFonts w:ascii="Times New Roman" w:cs="Times New Roman" w:eastAsia="Times New Roman" w:hAnsi="Times New Roman"/>
          <w:sz w:val="16"/>
          <w:szCs w:val="16"/>
          <w:color w:val="auto"/>
        </w:rPr>
        <w:t>The securitization industry in both European Union (“EU”) and the United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Kingdom (“UK”) has also undergone a number of significant changes in the past few years. Regulation (EU) 2017/2402 relating to a European framework for simple, transparent and standardized securitization (as amended by Regulation (EU) 2021/557 and as further amended from time to time, the “EU Securitization Regulation”) applies to certain specified EU investors, and Regulation (EU) 2017/2402 relating to a European framework for simple, transparent and standardized securitization in the form in effect on 31 December 2020 (which forms part of UK domestic law by virtue of the European Union (Withdrawal) Act 2018 (as amended, the “EUWA”)) (as amended by the Securitization (Amendment) (EU Exit) Regulations 2019 and as further amended from time to time, the “UK Securitization Regulation” and, together with the EU Securitization Regulation, the “Securitization Regulations”) applies to certain specified UK investors, in each case, who are investing in a “securitization” (as such term is defined under each Securitization Regulation).</w:t>
      </w:r>
    </w:p>
    <w:p>
      <w:pPr>
        <w:spacing w:after="0" w:line="103" w:lineRule="exact"/>
        <w:rPr>
          <w:sz w:val="20"/>
          <w:szCs w:val="20"/>
          <w:color w:val="auto"/>
        </w:rPr>
      </w:pPr>
    </w:p>
    <w:p>
      <w:pPr>
        <w:ind w:left="920" w:right="920" w:firstLine="382"/>
        <w:spacing w:after="0" w:line="270" w:lineRule="auto"/>
        <w:rPr>
          <w:sz w:val="20"/>
          <w:szCs w:val="20"/>
          <w:color w:val="auto"/>
        </w:rPr>
      </w:pPr>
      <w:r>
        <w:rPr>
          <w:rFonts w:ascii="Times New Roman" w:cs="Times New Roman" w:eastAsia="Times New Roman" w:hAnsi="Times New Roman"/>
          <w:sz w:val="14"/>
          <w:szCs w:val="14"/>
          <w:color w:val="auto"/>
        </w:rPr>
        <w:t>The due diligence requirements of Article 5 of the EU Securitization Regulation (the “EU Due Diligence Requirements”) apply to each investor that is an “institutional investor” (as such term is defined in the EU Securitization Regulation), being an investor which is one of the following: (a) an insurance undertaking as defined in Directive 2009/138/EC of the European Parliament and of the Council of 25 November 2009 on the taking-up and pursuit of the business of Insurance and Reinsurance (Solvency II) (recast) (“Solvency II”); (b) a reinsurance undertaking as defined in Solvency II; (c) subject to certain conditions and exceptions, an institution for occupational retirement provision falling within the scope of Directive (EU) 2016/2341 of the European Parliament and of the Council of 14 December 2016 on the activities and supervision of institutions for occupational retirement provision (IORPs) (the “IORP Directive”), or an investment manager or an authorized entity appointed by an institution for occupational retirement provision pursuant to the IORP Directive; (d) an alternative investment fund manager (“AIFM”) as defined in Directive 2011/61/EU of the European Parliament and of the Council of 8 June 2011 on Alternative Investment Fund Managers that manages and/or markets alternative investment funds in the EU; (e) an undertaking for the collective investment in transferable securities (“UCITS”) management company, as defined in Directive 2009/65/EC of the European Parliament and of the Council of 13 July 2009 on the coordination of laws, regulations and administrative provisions relating to undertakings for collective investment in transferable securities (UCITS) (the “UCITS Directive”); (f) an internally managed UCITS, which is an investment company authorized in accordance with the UCITS Directive and which has not designated a management company authorized under the UCITS Directive for its management; or (g) a credit institution as defined in Regulation (EU) No 575/2013 of the European Parliament and of the Council of 26</w:t>
      </w:r>
    </w:p>
    <w:p>
      <w:pPr>
        <w:spacing w:after="0" w:line="345" w:lineRule="exact"/>
        <w:rPr>
          <w:sz w:val="20"/>
          <w:szCs w:val="20"/>
          <w:color w:val="auto"/>
        </w:rPr>
      </w:pPr>
    </w:p>
    <w:p>
      <w:pPr>
        <w:jc w:val="both"/>
        <w:ind w:left="920" w:right="1040"/>
        <w:spacing w:after="0" w:line="302" w:lineRule="auto"/>
        <w:rPr>
          <w:sz w:val="20"/>
          <w:szCs w:val="20"/>
          <w:color w:val="auto"/>
        </w:rPr>
      </w:pPr>
      <w:r>
        <w:rPr>
          <w:rFonts w:ascii="Times New Roman" w:cs="Times New Roman" w:eastAsia="Times New Roman" w:hAnsi="Times New Roman"/>
          <w:sz w:val="14"/>
          <w:szCs w:val="14"/>
          <w:color w:val="auto"/>
        </w:rPr>
        <w:t>June 2013 on prudential requirements for credit institutions and investment firms (the “CRR”) for the purposes of the CRR, or an investment firm as defined in the CRR, in each case, such investor an “EU Institutional Investor”.</w:t>
      </w:r>
    </w:p>
    <w:p>
      <w:pPr>
        <w:spacing w:after="0" w:line="55" w:lineRule="exact"/>
        <w:rPr>
          <w:sz w:val="20"/>
          <w:szCs w:val="20"/>
          <w:color w:val="auto"/>
        </w:rPr>
      </w:pPr>
    </w:p>
    <w:p>
      <w:pPr>
        <w:ind w:left="920" w:right="960" w:firstLine="382"/>
        <w:spacing w:after="0" w:line="236" w:lineRule="auto"/>
        <w:rPr>
          <w:sz w:val="20"/>
          <w:szCs w:val="20"/>
          <w:color w:val="auto"/>
        </w:rPr>
      </w:pPr>
      <w:r>
        <w:rPr>
          <w:rFonts w:ascii="Times New Roman" w:cs="Times New Roman" w:eastAsia="Times New Roman" w:hAnsi="Times New Roman"/>
          <w:sz w:val="16"/>
          <w:szCs w:val="16"/>
          <w:color w:val="auto"/>
        </w:rPr>
        <w:t>The due diligence requirements of Article 5 of the UK Securitization Regulation (the “UK Due Diligence Requirements” and, together with the EU Due Diligence Requirements, the “Due Diligence Requirements”) apply to each investor that is an “institutional investor” (as such term is defined in the UK Securitization Regulation), being an investor which is one of the following: (a) an insurance undertaking as defined in the Financial Services and Markets Act 2000 (as amended, the “FSMA”); (b) a reinsurance undertaking as defined in the FSMA; (c) an occupational pension scheme as defined in the Pension Schemes Act 1993 that has its main administration in the UK, or a fund manager of such a scheme appointed under the Pensions Act 1995 that, in respect of activity undertaken pursuant to that appointment, is authorized under the FSMA; (d) an AIFM (as defined in the Alternative Investment Fund Managers Regulations 2013 (the “AIFM Regulations”)) which markets or manages AIFs (as defined in the AIFM Regulations) in the UK; (e) a management company as defined in the FSMA; (f) a UCITS as defined by the FSMA, which is an authorized open ended investment company as defined in the FSMA; (g) a FCA</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6" w:name="page87"/>
    <w:bookmarkEnd w:id="8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jc w:val="both"/>
        <w:ind w:left="920" w:right="1000"/>
        <w:spacing w:after="0" w:line="245" w:lineRule="auto"/>
        <w:rPr>
          <w:sz w:val="20"/>
          <w:szCs w:val="20"/>
          <w:color w:val="auto"/>
        </w:rPr>
      </w:pPr>
      <w:r>
        <w:rPr>
          <w:rFonts w:ascii="Times New Roman" w:cs="Times New Roman" w:eastAsia="Times New Roman" w:hAnsi="Times New Roman"/>
          <w:sz w:val="16"/>
          <w:szCs w:val="16"/>
          <w:color w:val="auto"/>
        </w:rPr>
        <w:t>investment firm as defined by the CRR as it forms part of UK domestic law by virtue of EUWA (the “UK CRR”); or (h) a CRR investment firm as defined in the UK CRR, in each case, such investor a “UK Institutional Investor” and, such investors together with EU Institutional Investors, “Institutional Investors”.</w:t>
      </w:r>
    </w:p>
    <w:p>
      <w:pPr>
        <w:spacing w:after="0" w:line="94" w:lineRule="exact"/>
        <w:rPr>
          <w:sz w:val="20"/>
          <w:szCs w:val="20"/>
          <w:color w:val="auto"/>
        </w:rPr>
      </w:pPr>
    </w:p>
    <w:p>
      <w:pPr>
        <w:ind w:left="920" w:right="1240" w:firstLine="382"/>
        <w:spacing w:after="0" w:line="245" w:lineRule="auto"/>
        <w:rPr>
          <w:sz w:val="20"/>
          <w:szCs w:val="20"/>
          <w:color w:val="auto"/>
        </w:rPr>
      </w:pPr>
      <w:r>
        <w:rPr>
          <w:rFonts w:ascii="Times New Roman" w:cs="Times New Roman" w:eastAsia="Times New Roman" w:hAnsi="Times New Roman"/>
          <w:sz w:val="16"/>
          <w:szCs w:val="16"/>
          <w:color w:val="auto"/>
        </w:rPr>
        <w:t>Among other things, the applicable Due Diligence Requirements require that prior to holding a “securitization position” (as defined in each Securitization Regulation) an Institutional Investor (other than the originator, sponsor or original lender) has verified that:</w:t>
      </w:r>
    </w:p>
    <w:p>
      <w:pPr>
        <w:spacing w:after="0" w:line="94" w:lineRule="exact"/>
        <w:rPr>
          <w:sz w:val="20"/>
          <w:szCs w:val="20"/>
          <w:color w:val="auto"/>
        </w:rPr>
      </w:pPr>
    </w:p>
    <w:p>
      <w:pPr>
        <w:ind w:left="1680" w:right="1200" w:hanging="375"/>
        <w:spacing w:after="0" w:line="241" w:lineRule="auto"/>
        <w:tabs>
          <w:tab w:leader="none" w:pos="16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originator, sponsor or original lender will retain on an ongoing basis a material net economic interest which, in any event, shall be not less than five per cent. in the securitization, determined in accordance with Article 6 of the applicable Securitization Regulation, and has disclosed the risk retention to such Institutional Investor;</w:t>
      </w:r>
    </w:p>
    <w:p>
      <w:pPr>
        <w:spacing w:after="0" w:line="97" w:lineRule="exact"/>
        <w:rPr>
          <w:rFonts w:ascii="Times New Roman" w:cs="Times New Roman" w:eastAsia="Times New Roman" w:hAnsi="Times New Roman"/>
          <w:sz w:val="16"/>
          <w:szCs w:val="16"/>
          <w:color w:val="auto"/>
        </w:rPr>
      </w:pPr>
    </w:p>
    <w:p>
      <w:pPr>
        <w:ind w:left="1680" w:right="1080" w:hanging="375"/>
        <w:spacing w:after="0" w:line="241" w:lineRule="auto"/>
        <w:tabs>
          <w:tab w:leader="none" w:pos="16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EU Institutional Investor only) the originator, sponsor or securitization special purpose entity (“SSPE”) has, where applicable, made available the information required by Article 7 of the EU Securitization Regulation in accordance with the frequency and modalities provided for thereunder;</w:t>
      </w:r>
    </w:p>
    <w:p>
      <w:pPr>
        <w:spacing w:after="0" w:line="97" w:lineRule="exact"/>
        <w:rPr>
          <w:rFonts w:ascii="Times New Roman" w:cs="Times New Roman" w:eastAsia="Times New Roman" w:hAnsi="Times New Roman"/>
          <w:sz w:val="16"/>
          <w:szCs w:val="16"/>
          <w:color w:val="auto"/>
        </w:rPr>
      </w:pPr>
    </w:p>
    <w:p>
      <w:pPr>
        <w:ind w:left="1640" w:hanging="335"/>
        <w:spacing w:after="0"/>
        <w:tabs>
          <w:tab w:leader="none" w:pos="164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UK Institutional Investor only) the originator, sponsor or SSPE:</w:t>
      </w:r>
    </w:p>
    <w:p>
      <w:pPr>
        <w:spacing w:after="0" w:line="114" w:lineRule="exact"/>
        <w:rPr>
          <w:rFonts w:ascii="Times New Roman" w:cs="Times New Roman" w:eastAsia="Times New Roman" w:hAnsi="Times New Roman"/>
          <w:sz w:val="16"/>
          <w:szCs w:val="16"/>
          <w:color w:val="auto"/>
        </w:rPr>
      </w:pPr>
    </w:p>
    <w:p>
      <w:pPr>
        <w:ind w:left="2060" w:right="1360" w:hanging="373"/>
        <w:spacing w:after="0" w:line="298" w:lineRule="auto"/>
        <w:tabs>
          <w:tab w:leader="none" w:pos="2024"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established in the UK has, where applicable, made available the information required by Article 7 of the UK Securitization Regulation (the “UK Transparency Requirements”) in accordance with the frequency and modalities provided for thereunder; or</w:t>
      </w:r>
    </w:p>
    <w:p>
      <w:pPr>
        <w:spacing w:after="0" w:line="57" w:lineRule="exact"/>
        <w:rPr>
          <w:rFonts w:ascii="Times New Roman" w:cs="Times New Roman" w:eastAsia="Times New Roman" w:hAnsi="Times New Roman"/>
          <w:sz w:val="14"/>
          <w:szCs w:val="14"/>
          <w:color w:val="auto"/>
        </w:rPr>
      </w:pPr>
    </w:p>
    <w:p>
      <w:pPr>
        <w:ind w:left="2060" w:right="980" w:hanging="373"/>
        <w:spacing w:after="0" w:line="238" w:lineRule="auto"/>
        <w:tabs>
          <w:tab w:leader="none" w:pos="2024" w:val="left"/>
        </w:tabs>
        <w:numPr>
          <w:ilvl w:val="1"/>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established in a country other than the UK, where applicable, made available information which is substantially the same as that which it would have made available under the UK Transparency Requirements if it had been established in the UK, and has done so with such frequency and modalities as are substantially the same as those with which it would have made information available under the UK Transparency Requirements if it had been established in the UK; and</w:t>
      </w:r>
    </w:p>
    <w:p>
      <w:pPr>
        <w:spacing w:after="0" w:line="100" w:lineRule="exact"/>
        <w:rPr>
          <w:rFonts w:ascii="Times New Roman" w:cs="Times New Roman" w:eastAsia="Times New Roman" w:hAnsi="Times New Roman"/>
          <w:sz w:val="16"/>
          <w:szCs w:val="16"/>
          <w:color w:val="auto"/>
        </w:rPr>
      </w:pPr>
    </w:p>
    <w:p>
      <w:pPr>
        <w:ind w:left="1680" w:right="960" w:hanging="375"/>
        <w:spacing w:after="0" w:line="237" w:lineRule="auto"/>
        <w:tabs>
          <w:tab w:leader="none" w:pos="163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each Institutional Investor, where the originator or original lender either (i) is not a credit institution or an investment firm (each as defined in the applicable Securitization Regulation) or (ii) is established in a third country (being (x) in respect of the EU Securitization Regulation, a country other than an EU member state, or (y) in respect of the UK Securitization Regulation, a country other than the UK), the originator or original lender grants all the credits giving rise to the underlying exposures on the basis of sound and well-defined criteria and clearly established processes for approving, amending, renewing and financing those credits and has effective systems in place to apply those criteria and processes in order to ensure that credit-granting is based on a thorough assessment of the obligor’s creditworthiness.</w:t>
      </w:r>
    </w:p>
    <w:p>
      <w:pPr>
        <w:spacing w:after="0" w:line="98"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The Due Diligence Requirements further require that prior to holding a securitization position, an Institutional Investor, other than the originator, sponsor or original lender, carry out a due diligence assessment which enables it to assess the risks involved, including but not limited to (a) the risk characteristics of the individual securitization position and the underlying exposures; and (b) all the structural features of the securitization that can materially impact the performance of the securitization position, including the contractual priorities of payment and priority of payment-related triggers, credit enhancements, liquidity enhancements, market value triggers, and transaction-specific definitions of default.</w:t>
      </w:r>
    </w:p>
    <w:p>
      <w:pPr>
        <w:spacing w:after="0" w:line="97"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Any Institutional Investor that fails to comply with the applicable Due Diligence Requirements in respect of a securitization position which it holds may become subject to a range of regulatory sanctions including, in the case of a credit institution, investment firm, insurer or reinsurer, a punitive regulatory capital charge with respect to such securitization position, or, in certain other cases, a requirement to take corrective action.</w:t>
      </w:r>
    </w:p>
    <w:p>
      <w:pPr>
        <w:spacing w:after="0" w:line="97"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To the extent a CLO is structured in compliance with the Securitization Regulations, our ability to invest in the CLO equity of such CLOs could be limited, or we could be required to hold our investment for the life of the CLO. If a CLO has not been structured to comply with the Securitization Regulations, it will limit the ability of Institutional Investors to purchase CLO securities, which may adversely affect the price and liquidity of the securities (including the CLO equity) in the secondary market. Additionally, the Securitization Regulations and any regulatory uncertainty in relation thereto may reduce the issuance of new CLOs and reduce the liquidity provided by CLOs to the leveraged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7" w:name="page88"/>
    <w:bookmarkEnd w:id="8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1060"/>
        <w:spacing w:after="0" w:line="238" w:lineRule="auto"/>
        <w:rPr>
          <w:sz w:val="20"/>
          <w:szCs w:val="20"/>
          <w:color w:val="auto"/>
        </w:rPr>
      </w:pPr>
      <w:r>
        <w:rPr>
          <w:rFonts w:ascii="Times New Roman" w:cs="Times New Roman" w:eastAsia="Times New Roman" w:hAnsi="Times New Roman"/>
          <w:sz w:val="16"/>
          <w:szCs w:val="16"/>
          <w:color w:val="auto"/>
        </w:rPr>
        <w:t>loan market generally. Reduced liquidity in the loan market could reduce investment opportunities for collateral managers, which could negatively affect the return of our investments. Any reduction in the volume and liquidity provided by CLOs to the leveraged loan market could also reduce opportunities to redeem or refinance the securities comprising a CLO in an optional redemption or refinancing and could negatively affect the ability of obligors to refinance of their collateral obligations, either of which developments could increase defaulted obligations above historic levels.</w:t>
      </w:r>
    </w:p>
    <w:p>
      <w:pPr>
        <w:spacing w:after="0" w:line="98" w:lineRule="exact"/>
        <w:rPr>
          <w:sz w:val="20"/>
          <w:szCs w:val="20"/>
          <w:color w:val="auto"/>
        </w:rPr>
      </w:pPr>
    </w:p>
    <w:p>
      <w:pPr>
        <w:ind w:left="920" w:right="920" w:firstLine="382"/>
        <w:spacing w:after="0" w:line="236" w:lineRule="auto"/>
        <w:rPr>
          <w:sz w:val="20"/>
          <w:szCs w:val="20"/>
          <w:color w:val="auto"/>
        </w:rPr>
      </w:pPr>
      <w:r>
        <w:rPr>
          <w:rFonts w:ascii="Times New Roman" w:cs="Times New Roman" w:eastAsia="Times New Roman" w:hAnsi="Times New Roman"/>
          <w:sz w:val="16"/>
          <w:szCs w:val="16"/>
          <w:i w:val="1"/>
          <w:iCs w:val="1"/>
          <w:color w:val="auto"/>
        </w:rPr>
        <w:t xml:space="preserve">Japanese Risk Retention. </w:t>
      </w:r>
      <w:r>
        <w:rPr>
          <w:rFonts w:ascii="Times New Roman" w:cs="Times New Roman" w:eastAsia="Times New Roman" w:hAnsi="Times New Roman"/>
          <w:sz w:val="16"/>
          <w:szCs w:val="16"/>
          <w:color w:val="auto"/>
        </w:rPr>
        <w:t>The Japanese Financial Services Agency (the “JFSA”) published a risk retention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rule as part of the regulatory capital regulation of certain categories of Japanese investors seeking to invest in securitization transactions (the “JRR Rule”) . The JRR Rule mandates an “indirect” compliance requirement, meaning that certain categories of Japanese investors will be required to apply higher risk weighting to securitization exposures they hold unless the relevant originator commits to hold a retention interest equal to at least 5% of the exposure of the total underlying assets in the transaction (the “Japanese Retention Requirement”) or such investors determine that the underlying assets were not “inappropriately originated.” The Japanese investors to which the JRR Rule applies include banks, bank holding companies, credit unions (shinyo kinko), credit cooperatives (shinyo kumiai), labor credit unions (rodo kinko), agricultural credit cooperatives (nogyo kyodo kumiai), ultimate parent companies of large securities companies and certain other financial institutions regulated in Japan (such investors, “Japanese Affected Investors”). Such Japanese Affected Investors may be subject to punitive capital requirements and/or other regulatory penalties with respect to investments in securitizations that fail to comply with the Japanese Retention Requirement.</w:t>
      </w:r>
    </w:p>
    <w:p>
      <w:pPr>
        <w:spacing w:after="0" w:line="100"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The JRR Rule became effective on March 31, 2019. At this time, there are a number of unresolved questions and no established line of authority, precedent or market practice that provides definitive guidance with respect to the JRR Rule, and no assurances can be made as to the content, impact or interpretation of the JRR Rule. In particular, the basis for the determination of whether an asset is “inappropriately originated” remains unclear and, therefore, unless the JFSA provides further specific clarification, it is possible that CLO securities we purchase may contain assets deemed to be “inappropriately originated” and, as a result, may not be exempt from the Japanese Retention Requirement. The JRR Rule or other similar requirements may deter Japanese Affected Investors from purchasing CLO securities, which may limit the liquidity of CLO securities and, in turn, adversely affect the price of such CLO securities in the secondary market. Whether and to what extent the JFSA may provide further clarification or interpretation as to the JRR Rule is unknown.</w:t>
      </w:r>
    </w:p>
    <w:p>
      <w:pPr>
        <w:spacing w:after="0" w:line="173" w:lineRule="exact"/>
        <w:rPr>
          <w:sz w:val="20"/>
          <w:szCs w:val="20"/>
          <w:color w:val="auto"/>
        </w:rPr>
      </w:pPr>
    </w:p>
    <w:p>
      <w:pPr>
        <w:ind w:left="920" w:right="9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Investing in CLO vehicles, Senior Loans and other high-yield corporate credits involves a variety of risks, any of which may adversely impact our performance.</w:t>
      </w:r>
    </w:p>
    <w:p>
      <w:pPr>
        <w:spacing w:after="0" w:line="79" w:lineRule="exact"/>
        <w:rPr>
          <w:sz w:val="20"/>
          <w:szCs w:val="20"/>
          <w:color w:val="auto"/>
        </w:rPr>
      </w:pPr>
    </w:p>
    <w:p>
      <w:pPr>
        <w:ind w:left="920" w:right="940" w:firstLine="382"/>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Investment Risk. </w:t>
      </w:r>
      <w:r>
        <w:rPr>
          <w:rFonts w:ascii="Times New Roman" w:cs="Times New Roman" w:eastAsia="Times New Roman" w:hAnsi="Times New Roman"/>
          <w:sz w:val="16"/>
          <w:szCs w:val="16"/>
          <w:color w:val="auto"/>
        </w:rPr>
        <w:t>An investment in our securities is subject to investment risk, including the possible loss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your entire investment. An investment in our securities represents an indirect investment in the portfolio of equity and junior tranches issued by CLO vehicles and other securities owned by us, and the value of these securities may fluctuate, sometimes rapidly and unpredictably. At any point in time an investment in our securities may be worth less than the original amount invested, even after taking into account distributions paid by us and the ability of stockholders to reinvest dividends.</w:t>
      </w:r>
    </w:p>
    <w:p>
      <w:pPr>
        <w:spacing w:after="0" w:line="96" w:lineRule="exact"/>
        <w:rPr>
          <w:sz w:val="20"/>
          <w:szCs w:val="20"/>
          <w:color w:val="auto"/>
        </w:rPr>
      </w:pPr>
    </w:p>
    <w:p>
      <w:pPr>
        <w:ind w:left="920" w:right="960" w:firstLine="382"/>
        <w:spacing w:after="0" w:line="276"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Market Risk. </w:t>
      </w:r>
      <w:r>
        <w:rPr>
          <w:rFonts w:ascii="Times New Roman" w:cs="Times New Roman" w:eastAsia="Times New Roman" w:hAnsi="Times New Roman"/>
          <w:sz w:val="14"/>
          <w:szCs w:val="14"/>
          <w:color w:val="auto"/>
        </w:rPr>
        <w:t>Market risk is the risk that the fair value or future cash flows of a financial instrument will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fluctuate because of changes in market prices and includes interest rate risk, foreign currency risk and “other price risks”, such as index price risk. We may use derivative instruments to hedge the investment portfolio against currency risks. Our investments in CLO vehicles and other types of corporate credits typically have no significant assets other than the collateral. Accordingly, payments on the equity and junior debt instruments we initially target are payable solely from the cash flows from the collateral, net of all management fees and other expenses. Quarterly distributions or interest payments to us as a holder of equity or junior debt instruments, respectively, will only be made after payments due on any outstanding senior debt tranches have been made in full for such quarter.</w:t>
      </w:r>
    </w:p>
    <w:p>
      <w:pPr>
        <w:spacing w:after="0" w:line="72" w:lineRule="exact"/>
        <w:rPr>
          <w:sz w:val="20"/>
          <w:szCs w:val="20"/>
          <w:color w:val="auto"/>
        </w:rPr>
      </w:pPr>
    </w:p>
    <w:p>
      <w:pPr>
        <w:ind w:left="920" w:right="920" w:firstLine="382"/>
        <w:spacing w:after="0" w:line="239" w:lineRule="auto"/>
        <w:rPr>
          <w:sz w:val="20"/>
          <w:szCs w:val="20"/>
          <w:color w:val="auto"/>
        </w:rPr>
      </w:pPr>
      <w:r>
        <w:rPr>
          <w:rFonts w:ascii="Times New Roman" w:cs="Times New Roman" w:eastAsia="Times New Roman" w:hAnsi="Times New Roman"/>
          <w:sz w:val="16"/>
          <w:szCs w:val="16"/>
          <w:b w:val="1"/>
          <w:bCs w:val="1"/>
          <w:i w:val="1"/>
          <w:iCs w:val="1"/>
          <w:color w:val="auto"/>
        </w:rPr>
        <w:t xml:space="preserve">Rating Risk. </w:t>
      </w:r>
      <w:r>
        <w:rPr>
          <w:rFonts w:ascii="Times New Roman" w:cs="Times New Roman" w:eastAsia="Times New Roman" w:hAnsi="Times New Roman"/>
          <w:sz w:val="16"/>
          <w:szCs w:val="16"/>
          <w:color w:val="auto"/>
        </w:rPr>
        <w:t>Certain of the major rating agencies (including Moody’s, Standard and Poor’s and Fitch)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downgraded, and may continue to downgrade, the tranches of CLO vehicles that we are targeting and, therefore, these investments may be seen as riskier than they were previously thought to be. We cannot assure you that the rated CLO securities in which it invests will not experience downgrades. To the extent our portfolio experiences such to liquidate such investments, would likely be impaired. A significant impairment of any of our investments may have a material adverse effect on our financial results and operations.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8" w:name="page89"/>
    <w:bookmarkEnd w:id="8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In addition, the ratings assigned to the CLO Assets in which the CLOs invest are subject to change at any time, including for reasons unrelated to performance, such as changes in rating agency methodology, changes in economic conditions, changes in the loan markets, changes in the creditworthiness of the underlying obligors and a variety of other factors. If downgrade actions a rating agency result in an increase in the number of CLO Assets with ratings of “Caa1” or “CCC+” or lower, then even if such CLO Asset do not suffer defaults or delinquencies or otherwise deteriorate in performance, the CLO vehicle could fail to satisfy certain tests, which could lead to the early amortization of some or all of the CLO debt. As a result, payments that would have otherwise been made to the CLO equity or CLO debt securities that we hold would instead be diverted to buy additional loans within a given CLO or paid to senior CLO debt holders as an early amortization payment.</w:t>
      </w:r>
    </w:p>
    <w:p>
      <w:pPr>
        <w:spacing w:after="0" w:line="96" w:lineRule="exact"/>
        <w:rPr>
          <w:sz w:val="20"/>
          <w:szCs w:val="20"/>
          <w:color w:val="auto"/>
        </w:rPr>
      </w:pPr>
    </w:p>
    <w:p>
      <w:pPr>
        <w:ind w:left="920" w:right="940" w:firstLine="382"/>
        <w:spacing w:after="0" w:line="23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Interest Rate Risk. </w:t>
      </w:r>
      <w:r>
        <w:rPr>
          <w:rFonts w:ascii="Times New Roman" w:cs="Times New Roman" w:eastAsia="Times New Roman" w:hAnsi="Times New Roman"/>
          <w:sz w:val="16"/>
          <w:szCs w:val="16"/>
          <w:color w:val="auto"/>
        </w:rPr>
        <w:t>Our investments have initially been focused on investments in equity and floating rate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junior debt tranches issued by CLO vehicles, and to a lesser extent warehouse facilities and corporate credits, each of which are exposed to interest rate risk. Since a CLO’s asset portfolio is typically comprised principally of floating rate loans and the CLO’s liabilities are also generally floating rate instruments, we expect CLO equity and junior debt tranches to provide potential protection against rising interest rates when the benchmark is above the average benchmark floor on a CLO’s assets. However, our investments in CLO Assets through investments in junior equity and debt tranches of CLOs are nonetheless sensitive to interest rate levels and volatility. For example, because CLO debt securities are floating rate securities, a reduction in interest rates would generally result in a reduction in the coupon payment and cash flow we receive on the junior debt securities and CLO equity in which we invest. Furthermore, because floating or variable rates only reset periodically, changes in prevailing interest rates can be expected to cause some fluctuations in our net asset value. Similarly, a sudden and significant increase in market interest rates may cause a decline in our net asset value. In addition, many underlying corporate borrowers can elect to pay interest based on a 1-month, 3-month and/or other term base rates in respect of the loans held by CLOs in which we invest, in each case plus an applicable spread, whereas floating rate CLO securities generally pay interest based on a 3-month term plus a spread. The 3-month term rate may fluctuate in excess of other potential term rates, which may result in many underlying corporate borrowers electing to pay interest based on a shorter or lower, but in any event lower, base rate. This mismatch in the rate at which CLOs earn interest and the rate at which they pay interest on their debt tranches negatively impacts the cash flows on a CLO’s equity tranche, which may in turn adversely affect our cash flows, results of operations or net asset value, which may impact our ability to maintain required levels of asset coverage. Unless spreads are adjusted to account for such increases, these negative impacts may worsen as the amount by which the 3-month term base rate exceeds the 1-month term base rate increases.</w:t>
      </w:r>
    </w:p>
    <w:p>
      <w:pPr>
        <w:spacing w:after="0" w:line="102" w:lineRule="exact"/>
        <w:rPr>
          <w:sz w:val="20"/>
          <w:szCs w:val="20"/>
          <w:color w:val="auto"/>
        </w:rPr>
      </w:pPr>
    </w:p>
    <w:p>
      <w:pPr>
        <w:ind w:left="920" w:right="1000" w:firstLine="382"/>
        <w:spacing w:after="0" w:line="239" w:lineRule="auto"/>
        <w:rPr>
          <w:sz w:val="20"/>
          <w:szCs w:val="20"/>
          <w:color w:val="auto"/>
        </w:rPr>
      </w:pPr>
      <w:r>
        <w:rPr>
          <w:rFonts w:ascii="Times New Roman" w:cs="Times New Roman" w:eastAsia="Times New Roman" w:hAnsi="Times New Roman"/>
          <w:sz w:val="16"/>
          <w:szCs w:val="16"/>
          <w:color w:val="auto"/>
        </w:rPr>
        <w:t>In addition, CLOs may not be able to enter into hedge agreements, even if it may otherwise be in the best interests of the CLO to hedge such interest rate risk. Furthermore, in the event of a significant rising interest rate environment and/or economic downturn, underlying obligors may be unable to pay their debt liabilities or refinance, and loan defaults may increase, thus resulting in credit losses that would adversely affect our cash flow, fair value of our assets and operating results.</w:t>
      </w:r>
    </w:p>
    <w:p>
      <w:pPr>
        <w:spacing w:after="0" w:line="98"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Benchmark Floor Risk. </w:t>
      </w:r>
      <w:r>
        <w:rPr>
          <w:rFonts w:ascii="Times New Roman" w:cs="Times New Roman" w:eastAsia="Times New Roman" w:hAnsi="Times New Roman"/>
          <w:sz w:val="16"/>
          <w:szCs w:val="16"/>
          <w:color w:val="auto"/>
        </w:rPr>
        <w:t>Because CLOs issue debt primarily on a floating rate basis, an increase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relevant benchmark will increase the financing costs of CLOs. Many of the senior secured loans held by these CLOs have benchmark floors such that, when the relevant benchmark is below the stated benchmark floor, the stated benchmark floor (rather than the benchmark itself) is used to determine the interest payable under the loans. Therefore, if the relevant benchmark increases but stays below the average benchmark floor rate of the senior secured loans held by a CLO, there would not be a corresponding increase in the investment income of such CLOs. The combination of increased financing costs without a corresponding increase in investment income in such a scenario could result in the CLO not having adequate cash to make interest or other payments on the securities which we hold.</w:t>
      </w:r>
    </w:p>
    <w:p>
      <w:pPr>
        <w:spacing w:after="0" w:line="98"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b w:val="1"/>
          <w:bCs w:val="1"/>
          <w:i w:val="1"/>
          <w:iCs w:val="1"/>
          <w:color w:val="auto"/>
        </w:rPr>
        <w:t xml:space="preserve">Credit Risk. </w:t>
      </w:r>
      <w:r>
        <w:rPr>
          <w:rFonts w:ascii="Times New Roman" w:cs="Times New Roman" w:eastAsia="Times New Roman" w:hAnsi="Times New Roman"/>
          <w:sz w:val="16"/>
          <w:szCs w:val="16"/>
          <w:color w:val="auto"/>
        </w:rPr>
        <w:t>Credit risk is the risk that one or more investments in a portfolio will decline in price or fail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pay interest or principal when due because the issuer of the security experiences a decline in its financial condition. If a CLO in which we invest, an underlying asset of any such CLO or any other type of credit investment in our portfolio declines in price or fails to pay interest or principal when due because the issuer or debtor, as the case may be, experiences a decline in its financial status either or both our income and net asset value may be adversely impacted. Non-payment would result in a reduction of our income, a reduction in the value of the applicable CLO security or other credit investment experiencing non-payment and, potentially, a decrease in our net asset value. With respect to our investments in CLO securities and credit investments that are secured, there can be no assurance that liquidation of collateral would satisfy the issuer’s obligation in the event of non-payment of scheduled dividend,</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89" w:name="page90"/>
    <w:bookmarkEnd w:id="8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60"/>
        <w:spacing w:after="0" w:line="271" w:lineRule="auto"/>
        <w:rPr>
          <w:sz w:val="20"/>
          <w:szCs w:val="20"/>
          <w:color w:val="auto"/>
        </w:rPr>
      </w:pPr>
      <w:r>
        <w:rPr>
          <w:rFonts w:ascii="Times New Roman" w:cs="Times New Roman" w:eastAsia="Times New Roman" w:hAnsi="Times New Roman"/>
          <w:sz w:val="14"/>
          <w:szCs w:val="14"/>
          <w:color w:val="auto"/>
        </w:rPr>
        <w:t>interest or principal or that such collateral could be readily liquidated. In the event of bankruptcy of an issuer, we could experience delays or limitations with respect to our ability to realize the benefits of any collateral securing a CLO security or credit investment. While a senior position in the capital structure of a corporate borrower may provide some protection to the CLO vehicles or other credit investments in which we invest, losses or other reductions in collateral may still occur in the portfolios of such CLO vehicles or corporate credits because the market value of such loans is affected by the creditworthiness of borrowers and by general economic and specific industry conditions. CLOs may also invest in second lien loans, first lien last out loans and unsecured loans and bonds, all of which have a heightened level of risk in the event of a decline in the financial condition of the underlying obligor. As we invest primarily in equity and junior debt tranches of CLO vehicles, we are exposed to a greater amount of credit risk than a fund which invests in senior debt or investment grade securities. The prices of primarily non-investment grade securities are more sensitive to negative developments, such as a decline in a CLO vehicle’s collateral or cash flows or a general economic downturn, than are the prices of more senior debt securities. Our CLO Assets of below investment grade quality, which are often referred to as “junk,” are predominantly speculative with respect to the obligor’s capacity to pay interest and repay principal when due and therefore involve a greater risk of default. We will typically be in a first loss or subordinated position with respect to realized losses on the collateral of each investment we make in a CLO vehicle. The leveraged nature of the CLO vehicle, in particular, magnifies the adverse impact of collateral defaults.</w:t>
      </w:r>
    </w:p>
    <w:p>
      <w:pPr>
        <w:spacing w:after="0" w:line="200" w:lineRule="exact"/>
        <w:rPr>
          <w:sz w:val="20"/>
          <w:szCs w:val="20"/>
          <w:color w:val="auto"/>
        </w:rPr>
      </w:pPr>
    </w:p>
    <w:p>
      <w:pPr>
        <w:spacing w:after="0" w:line="238" w:lineRule="exact"/>
        <w:rPr>
          <w:sz w:val="20"/>
          <w:szCs w:val="20"/>
          <w:color w:val="auto"/>
        </w:rPr>
      </w:pPr>
    </w:p>
    <w:p>
      <w:pPr>
        <w:ind w:left="920" w:right="960" w:firstLine="382"/>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 xml:space="preserve">Participation Risk. </w:t>
      </w:r>
      <w:r>
        <w:rPr>
          <w:rFonts w:ascii="Times New Roman" w:cs="Times New Roman" w:eastAsia="Times New Roman" w:hAnsi="Times New Roman"/>
          <w:sz w:val="14"/>
          <w:szCs w:val="14"/>
          <w:color w:val="auto"/>
        </w:rPr>
        <w:t>The CLOs in which we invest may acquire interests in loans either directly (by way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assignment, or “Assignments”) or indirectly (by way of participation, or “Participations”) . The purchaser by an Assignment of a loan obligation typically succeeds to all the rights and obligations of the selling institution and becomes a lender under the loan or credit agreement with respect to the debt obligation. In contrast, when a CLO acquires a Participation, the selling institution retains title to the loan and grants the CLO rights to the cash flow and other rights related to such loan (or portion thereof). Thus, in a participation, the contractual relationship is with the lender selling the participation, but not with the borrower. In purchasing a Participation, the CLOs in which we invest generally will have no right to enforce compliance by the obligor with the terms of the loan or credit agreement or other instrument evidencing such debt obligation, nor any rights of setoff against the obligor, and the CLOs in which we invest may not directly benefit from the collateral supporting the debt obligation in which it has purchased the Participation. Furthermore, a participant assumes the credit risk of the lender selling the participation in addition to the credit risk of the borrower. In the event of the insolvency of the lender selling the participation, a participant may be treated as a general creditor of the lender and may not have a senior claim to the lender’s interest in the CLO Asset. Additionally, the holder of a Participation in a debt obligation may not have the right to vote on certain matters presented to the lenders under the relevant CLO Asset.</w:t>
      </w:r>
    </w:p>
    <w:p>
      <w:pPr>
        <w:spacing w:after="0" w:line="254" w:lineRule="exact"/>
        <w:rPr>
          <w:sz w:val="20"/>
          <w:szCs w:val="20"/>
          <w:color w:val="auto"/>
        </w:rPr>
      </w:pPr>
    </w:p>
    <w:p>
      <w:pPr>
        <w:ind w:left="920" w:right="940" w:firstLine="382"/>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Liquidity Risk. </w:t>
      </w:r>
      <w:r>
        <w:rPr>
          <w:rFonts w:ascii="Times New Roman" w:cs="Times New Roman" w:eastAsia="Times New Roman" w:hAnsi="Times New Roman"/>
          <w:sz w:val="14"/>
          <w:szCs w:val="14"/>
          <w:color w:val="auto"/>
        </w:rPr>
        <w:t>Liquidity risk is defined as the risk that we may not be able to settle or meet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obligations on time or at a reasonable price. We may invest up to 100% of our portfolio in securities that are considered illiquid. “Illiquid securities” are securities which cannot be sold within seven days in the ordinary course of business at approximately the value used by us in determining our net asset value. We may not be able to readily dispose of such securities at prices that approximate those at which we could sell such securities if they were more widely-traded and, as a result of such illiquidity, we may have to sell other investments or engage in borrowing transactions to raise cash to meet our obligations. Some instruments issued by CLO vehicles may not be readily marketable and may be subject to restrictions on resale. Securities issued by CLO vehicles are generally not listed on any U.S. national securities exchange and no active trading market may exist for the securities in which we invest. Although a secondary market may exist for our investments, the market for our investments may be subject to irregular trading activity, wide bid/ask spreads and extended trade settlement periods. As a result, these types of investments may be more difficult to value. In addition, we believe that ownership of CLO equity and junior debt instruments has generally been distributed across a wide range of holders, some of whom we believe may continue to face near- to intermediate-term liquidity issues, which may result in such holders attempting to liquidate CLO securities, which can cause a decline in market value of such CLO securities. Further, we believe that larger institutional investors with sufficient resources to source, analyze and negotiate the purchase of these assets may refrain from purchases of the size that we are targeting, thereby reducing the prospective investor population, which would limit our ability to sell our position in a CLO vehicle if we choose to or need to do so. None of us or any CLO in which we invest has any limitation on the amount of assets which may be invested in assets that are not readily marketable or are subject to restrictions on resale. Further, the CLO securities in which we invest and the CLO Assets in which CLOs invest are typically not listed on any national securities exchange or automated quotation system, and no active trading market exists for many CLO securities or CLO Assets. As a result, many CLO securities and CLO Assets are illiquid,</w:t>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0" w:name="page91"/>
    <w:bookmarkEnd w:id="9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jc w:val="both"/>
        <w:ind w:left="920" w:right="1140"/>
        <w:spacing w:after="0" w:line="245" w:lineRule="auto"/>
        <w:rPr>
          <w:sz w:val="20"/>
          <w:szCs w:val="20"/>
          <w:color w:val="auto"/>
        </w:rPr>
      </w:pPr>
      <w:r>
        <w:rPr>
          <w:rFonts w:ascii="Times New Roman" w:cs="Times New Roman" w:eastAsia="Times New Roman" w:hAnsi="Times New Roman"/>
          <w:sz w:val="16"/>
          <w:szCs w:val="16"/>
          <w:color w:val="auto"/>
        </w:rPr>
        <w:t>meaning that we may not be able to sell CLO securities quickly at a fair price, and the CLOs in which we invest may not be able to sell underlying CLO Assets quickly at a fair price. The market for illiquid securities is more volatile than the market for liquid securities.</w:t>
      </w:r>
    </w:p>
    <w:p>
      <w:pPr>
        <w:spacing w:after="0" w:line="163" w:lineRule="exact"/>
        <w:rPr>
          <w:sz w:val="20"/>
          <w:szCs w:val="20"/>
          <w:color w:val="auto"/>
        </w:rPr>
      </w:pPr>
    </w:p>
    <w:p>
      <w:pPr>
        <w:ind w:left="920" w:right="19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Investments in foreign securities may involve significant risks in addition to the risks inherent in U.S. investments.</w:t>
      </w:r>
    </w:p>
    <w:p>
      <w:pPr>
        <w:spacing w:after="0" w:line="81" w:lineRule="exact"/>
        <w:rPr>
          <w:sz w:val="20"/>
          <w:szCs w:val="20"/>
          <w:color w:val="auto"/>
        </w:rPr>
      </w:pPr>
    </w:p>
    <w:p>
      <w:pPr>
        <w:ind w:left="920" w:right="980" w:firstLine="382"/>
        <w:spacing w:after="0" w:line="275" w:lineRule="auto"/>
        <w:rPr>
          <w:sz w:val="20"/>
          <w:szCs w:val="20"/>
          <w:color w:val="auto"/>
        </w:rPr>
      </w:pPr>
      <w:r>
        <w:rPr>
          <w:rFonts w:ascii="Times New Roman" w:cs="Times New Roman" w:eastAsia="Times New Roman" w:hAnsi="Times New Roman"/>
          <w:sz w:val="14"/>
          <w:szCs w:val="14"/>
          <w:color w:val="auto"/>
        </w:rPr>
        <w:t>While we invest primarily in CLOs that hold underlying U.S. assets, these CLOs may be organized outside the United States and we may also invest in CLOs that hold collateral that are non-U.S. assets. Investing in foreign entities may expose us and the CLOs in which we invest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and the CLO vehicles in which it invests, may have difficulty enforcing creditor’s rights in foreign jurisdictions.</w:t>
      </w:r>
    </w:p>
    <w:p>
      <w:pPr>
        <w:spacing w:after="0" w:line="257" w:lineRule="exact"/>
        <w:rPr>
          <w:sz w:val="20"/>
          <w:szCs w:val="20"/>
          <w:color w:val="auto"/>
        </w:rPr>
      </w:pPr>
    </w:p>
    <w:p>
      <w:pPr>
        <w:ind w:left="920" w:right="940" w:firstLine="382"/>
        <w:spacing w:after="0" w:line="239" w:lineRule="auto"/>
        <w:rPr>
          <w:sz w:val="20"/>
          <w:szCs w:val="20"/>
          <w:color w:val="auto"/>
        </w:rPr>
      </w:pPr>
      <w:r>
        <w:rPr>
          <w:rFonts w:ascii="Times New Roman" w:cs="Times New Roman" w:eastAsia="Times New Roman" w:hAnsi="Times New Roman"/>
          <w:sz w:val="16"/>
          <w:szCs w:val="16"/>
          <w:color w:val="auto"/>
        </w:rPr>
        <w:t>In addition, international trade tensions may arise from time to time which could result in trade tariffs, embargoes or other restrictions or limitations on trade. The imposition of any actions on trade could trigger a significant reduction in international trade, supply chain disruptions, an oversupply of certain manufactured goods, substantial price reductions of goods and possible failure of individual companies or industries, which could have a negative impact on the value of the CLO securities that we hold.</w:t>
      </w:r>
    </w:p>
    <w:p>
      <w:pPr>
        <w:spacing w:after="0" w:line="100" w:lineRule="exact"/>
        <w:rPr>
          <w:sz w:val="20"/>
          <w:szCs w:val="20"/>
          <w:color w:val="auto"/>
        </w:rPr>
      </w:pPr>
    </w:p>
    <w:p>
      <w:pPr>
        <w:ind w:left="920" w:right="940" w:firstLine="382"/>
        <w:spacing w:after="0" w:line="270" w:lineRule="auto"/>
        <w:rPr>
          <w:sz w:val="20"/>
          <w:szCs w:val="20"/>
          <w:color w:val="auto"/>
        </w:rPr>
      </w:pPr>
      <w:r>
        <w:rPr>
          <w:rFonts w:ascii="Times New Roman" w:cs="Times New Roman" w:eastAsia="Times New Roman" w:hAnsi="Times New Roman"/>
          <w:sz w:val="14"/>
          <w:szCs w:val="14"/>
          <w:color w:val="auto"/>
        </w:rPr>
        <w:t>Foreign markets also have different clearance and settlement procedures, and in certain markets there have been times when settlements have failed to keep pace with the volume of securities transactions, making it difficult to conduct such transactions. Delays in settlement could result in periods when our assets are uninvested. Our inability to make intended investments due to settlement problems or the risk of intermediary counterparty failures could cause it to miss investment opportunities. The inability to dispose of an investment due to settlement problems could result either in losses to the funds due to subsequent declines in the value of such investment or, if we have entered into a contract to sell the security, could result in possible liability to the purchaser. Transaction costs of buying and selling foreign securities also are generally higher than those involved in domestic transactions. Furthermore, foreign financial markets have, for the most part, substantially less volume than</w:t>
      </w:r>
    </w:p>
    <w:p>
      <w:pPr>
        <w:spacing w:after="0" w:line="1" w:lineRule="exact"/>
        <w:rPr>
          <w:sz w:val="20"/>
          <w:szCs w:val="20"/>
          <w:color w:val="auto"/>
        </w:rPr>
      </w:pPr>
    </w:p>
    <w:p>
      <w:pPr>
        <w:ind w:left="920" w:right="940"/>
        <w:spacing w:after="0" w:line="237" w:lineRule="auto"/>
        <w:rPr>
          <w:sz w:val="20"/>
          <w:szCs w:val="20"/>
          <w:color w:val="auto"/>
        </w:rPr>
      </w:pPr>
      <w:r>
        <w:rPr>
          <w:rFonts w:ascii="Times New Roman" w:cs="Times New Roman" w:eastAsia="Times New Roman" w:hAnsi="Times New Roman"/>
          <w:sz w:val="16"/>
          <w:szCs w:val="16"/>
          <w:color w:val="auto"/>
        </w:rPr>
        <w:t>U.S. markets, and securities of many foreign companies are less liquid and their prices more volatile than securities of comparable domestic companies.</w:t>
      </w:r>
    </w:p>
    <w:p>
      <w:pPr>
        <w:spacing w:after="0" w:line="97" w:lineRule="exact"/>
        <w:rPr>
          <w:sz w:val="20"/>
          <w:szCs w:val="20"/>
          <w:color w:val="auto"/>
        </w:rPr>
      </w:pPr>
    </w:p>
    <w:p>
      <w:pPr>
        <w:ind w:left="920" w:right="1180" w:firstLine="382"/>
        <w:spacing w:after="0" w:line="298" w:lineRule="auto"/>
        <w:rPr>
          <w:sz w:val="20"/>
          <w:szCs w:val="20"/>
          <w:color w:val="auto"/>
        </w:rPr>
      </w:pPr>
      <w:r>
        <w:rPr>
          <w:rFonts w:ascii="Times New Roman" w:cs="Times New Roman" w:eastAsia="Times New Roman" w:hAnsi="Times New Roman"/>
          <w:sz w:val="14"/>
          <w:szCs w:val="14"/>
          <w:color w:val="auto"/>
        </w:rPr>
        <w:t>The economies of individual non-U.S. countries may also differ favorably or unfavorably from the U.S. economy in such respects as growth of gross domestic product, rate of inflation, volatility of currency exchange rates, depreciation, capital reinvestment, resources self-sufficiency and balance of payments position.</w:t>
      </w:r>
    </w:p>
    <w:p>
      <w:pPr>
        <w:spacing w:after="0" w:line="58" w:lineRule="exact"/>
        <w:rPr>
          <w:sz w:val="20"/>
          <w:szCs w:val="20"/>
          <w:color w:val="auto"/>
        </w:rPr>
      </w:pPr>
    </w:p>
    <w:p>
      <w:pPr>
        <w:ind w:left="920" w:right="980" w:firstLine="382"/>
        <w:spacing w:after="0" w:line="237" w:lineRule="auto"/>
        <w:rPr>
          <w:sz w:val="20"/>
          <w:szCs w:val="20"/>
          <w:color w:val="auto"/>
        </w:rPr>
      </w:pPr>
      <w:r>
        <w:rPr>
          <w:rFonts w:ascii="Times New Roman" w:cs="Times New Roman" w:eastAsia="Times New Roman" w:hAnsi="Times New Roman"/>
          <w:sz w:val="16"/>
          <w:szCs w:val="16"/>
          <w:color w:val="auto"/>
        </w:rPr>
        <w:t>Although we expect that most of our investments will be U.S. dollar-denominated and that most of the CLOs in which we invest will hold CLO Assets which are primarily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 -term interest rates, differences in relative values of similar assets in different currencies, long-term opportunities for investment and capital appreciation, and political developments. We may employ hedging techniques to minimize these risks, but we can offer no assurance that it will, in fact, hedge currency risk, or that if we do, such strategies will be effective.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Inflation may adversely affect our and our CLO Assets.</w:t>
      </w:r>
    </w:p>
    <w:p>
      <w:pPr>
        <w:spacing w:after="0" w:line="117" w:lineRule="exact"/>
        <w:rPr>
          <w:sz w:val="20"/>
          <w:szCs w:val="20"/>
          <w:color w:val="auto"/>
        </w:rPr>
      </w:pPr>
    </w:p>
    <w:p>
      <w:pPr>
        <w:ind w:left="920" w:right="980" w:firstLine="382"/>
        <w:spacing w:after="0" w:line="236" w:lineRule="auto"/>
        <w:rPr>
          <w:sz w:val="20"/>
          <w:szCs w:val="20"/>
          <w:color w:val="auto"/>
        </w:rPr>
      </w:pPr>
      <w:r>
        <w:rPr>
          <w:rFonts w:ascii="Times New Roman" w:cs="Times New Roman" w:eastAsia="Times New Roman" w:hAnsi="Times New Roman"/>
          <w:sz w:val="16"/>
          <w:szCs w:val="16"/>
          <w:color w:val="auto"/>
        </w:rPr>
        <w:t>Inflation risk is the risk that the value of certain assets or income from our investments will be worth less in the future as inflation decreases the value of money. The U.S. and other developed economies have recently begun to experience higher-than normal inflation rates. It remains uncertain whether substantial inflation in the U.S. and other developed economies will be sustained over an extended period of time or have a significant effect on the U.S. or other economies. Inflation and rapid fluctuations in inflation rates have had in the past, and may in the future have, negative effects on economies and financial markets, particularly in emerging economies. For example, if an obligor of a CLO Asset in which we invest is unable to increase its revenue in times of higher inflation, its profitability may be adversely affected. As inflation rises, an underlying obligor may earn more revenue but may incur higher expenses, as wages and prices of inputs increase during periods of inflation. Thus, heightened inflationary pressures</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1" w:name="page92"/>
    <w:bookmarkEnd w:id="9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spacing w:after="0" w:line="238" w:lineRule="auto"/>
        <w:rPr>
          <w:sz w:val="20"/>
          <w:szCs w:val="20"/>
          <w:color w:val="auto"/>
        </w:rPr>
      </w:pPr>
      <w:r>
        <w:rPr>
          <w:rFonts w:ascii="Times New Roman" w:cs="Times New Roman" w:eastAsia="Times New Roman" w:hAnsi="Times New Roman"/>
          <w:sz w:val="16"/>
          <w:szCs w:val="16"/>
          <w:color w:val="auto"/>
        </w:rPr>
        <w:t>could increase the risk of default by the CLO’s underlying obligors. In addition, during any periods of rising inflation, the real value of investments and distributions to us would decline, and the dividend rates or borrowing costs associated with our use of leverage would likely increase, all of which would tend to further reduce returns to stockholders. Conversely, as inflation declines, the Company, any CLO in which we invest and any underlying obligor of the CLO Assets may not be able to reduce expenses commensurate with any resulting reduction in revenue.</w:t>
      </w:r>
    </w:p>
    <w:p>
      <w:pPr>
        <w:spacing w:after="0" w:line="100"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In an attempt to stabilize inflation, countries may impose wage and price controls, tighten the monetary supply, or otherwise intervene in the economy. Governmental efforts to curb inflation often have negative effects on the level of economic activity. There can be no assurance that inflation will not become a serious problem in the future and have an adverse impact on our returns.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may expose ourselves to risks if we engage in hedging transactions.</w:t>
      </w:r>
    </w:p>
    <w:p>
      <w:pPr>
        <w:spacing w:after="0" w:line="117" w:lineRule="exact"/>
        <w:rPr>
          <w:sz w:val="20"/>
          <w:szCs w:val="20"/>
          <w:color w:val="auto"/>
        </w:rPr>
      </w:pPr>
    </w:p>
    <w:p>
      <w:pPr>
        <w:ind w:left="920" w:right="920" w:firstLine="382"/>
        <w:spacing w:after="0" w:line="271" w:lineRule="auto"/>
        <w:rPr>
          <w:sz w:val="20"/>
          <w:szCs w:val="20"/>
          <w:color w:val="auto"/>
        </w:rPr>
      </w:pPr>
      <w:r>
        <w:rPr>
          <w:rFonts w:ascii="Times New Roman" w:cs="Times New Roman" w:eastAsia="Times New Roman" w:hAnsi="Times New Roman"/>
          <w:sz w:val="14"/>
          <w:szCs w:val="14"/>
          <w:color w:val="auto"/>
        </w:rPr>
        <w:t>While we do not currently intend to engage in hedging transactions, if we engage in hedging transactions, we may expose ourself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333" w:lineRule="exact"/>
        <w:rPr>
          <w:sz w:val="20"/>
          <w:szCs w:val="20"/>
          <w:color w:val="auto"/>
        </w:rPr>
      </w:pPr>
    </w:p>
    <w:p>
      <w:pPr>
        <w:ind w:left="920" w:right="13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ability to enter into transactions involving derivatives and financial commitment transactions may be limited.</w:t>
      </w:r>
    </w:p>
    <w:p>
      <w:pPr>
        <w:spacing w:after="0" w:line="81" w:lineRule="exact"/>
        <w:rPr>
          <w:sz w:val="20"/>
          <w:szCs w:val="20"/>
          <w:color w:val="auto"/>
        </w:rPr>
      </w:pPr>
    </w:p>
    <w:p>
      <w:pPr>
        <w:ind w:left="920" w:right="920" w:firstLine="382"/>
        <w:spacing w:after="0" w:line="237" w:lineRule="auto"/>
        <w:rPr>
          <w:sz w:val="20"/>
          <w:szCs w:val="20"/>
          <w:color w:val="auto"/>
        </w:rPr>
      </w:pPr>
      <w:r>
        <w:rPr>
          <w:rFonts w:ascii="Times New Roman" w:cs="Times New Roman" w:eastAsia="Times New Roman" w:hAnsi="Times New Roman"/>
          <w:sz w:val="16"/>
          <w:szCs w:val="16"/>
          <w:color w:val="auto"/>
        </w:rPr>
        <w:t>Subject to certain exceptions, we are required to trade derivatives and other transactions that create future payment or delivery obligations (except reverse repurchase agreements and similar financing transactions if we have elected to treat them as borrowings) subject to a limit on notional derivatives exposure as a limited derivatives user or subject to a value -at-risk (“VaR”) leverage limit and certain derivatives risk management program and testing requirements and requirements related to board reporting. These requirements may limit our ability to invest in derivatives, short sales and similar financing transactions, limit our ability to employ certain strategies that use these instruments and/or adversely affect our performance, efficiency in implementing our strategy, liquidity and/or ability to pursue our investment objectives and may increase the cost of our investments and cost of doing business, which could adversely affect investors.</w:t>
      </w:r>
    </w:p>
    <w:p>
      <w:pPr>
        <w:spacing w:after="0" w:line="167" w:lineRule="exact"/>
        <w:rPr>
          <w:sz w:val="20"/>
          <w:szCs w:val="20"/>
          <w:color w:val="auto"/>
        </w:rPr>
      </w:pPr>
    </w:p>
    <w:p>
      <w:pPr>
        <w:ind w:left="920" w:right="10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Any unrealized losses we experience on our portfolio may be an indication of future realized losses, and could reduce our income available for distribution.</w:t>
      </w:r>
    </w:p>
    <w:p>
      <w:pPr>
        <w:spacing w:after="0" w:line="81" w:lineRule="exact"/>
        <w:rPr>
          <w:sz w:val="20"/>
          <w:szCs w:val="20"/>
          <w:color w:val="auto"/>
        </w:rPr>
      </w:pPr>
    </w:p>
    <w:p>
      <w:pPr>
        <w:ind w:left="920" w:right="1020" w:firstLine="382"/>
        <w:spacing w:after="0" w:line="279" w:lineRule="auto"/>
        <w:rPr>
          <w:sz w:val="20"/>
          <w:szCs w:val="20"/>
          <w:color w:val="auto"/>
        </w:rPr>
      </w:pPr>
      <w:r>
        <w:rPr>
          <w:rFonts w:ascii="Times New Roman" w:cs="Times New Roman" w:eastAsia="Times New Roman" w:hAnsi="Times New Roman"/>
          <w:sz w:val="14"/>
          <w:szCs w:val="14"/>
          <w:color w:val="auto"/>
        </w:rPr>
        <w:t>As a registered closed-end management investment company, we are required to carry our investments at market value or, if no market value is ascertainable, at the fair value as determined in good faith by our Board of Directors. Decreases in the market values or fair values of our investments will be recorded as unrealized depreciation. Any unrealized losses in our portfolio could be an indication of an issuer’s inability to meet its repayment obligations or distribution expectations to us with respect to the affected investments. This could result in realized losses in the future and also in reductions of our income available for distribution in future periods.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Investing in senior secured loans indirectly through CLO securities involves particular risks.</w:t>
      </w:r>
    </w:p>
    <w:p>
      <w:pPr>
        <w:spacing w:after="0" w:line="117" w:lineRule="exact"/>
        <w:rPr>
          <w:sz w:val="20"/>
          <w:szCs w:val="20"/>
          <w:color w:val="auto"/>
        </w:rPr>
      </w:pPr>
    </w:p>
    <w:p>
      <w:pPr>
        <w:ind w:left="920" w:right="980" w:firstLine="382"/>
        <w:spacing w:after="0" w:line="287" w:lineRule="auto"/>
        <w:rPr>
          <w:sz w:val="20"/>
          <w:szCs w:val="20"/>
          <w:color w:val="auto"/>
        </w:rPr>
      </w:pPr>
      <w:r>
        <w:rPr>
          <w:rFonts w:ascii="Times New Roman" w:cs="Times New Roman" w:eastAsia="Times New Roman" w:hAnsi="Times New Roman"/>
          <w:sz w:val="14"/>
          <w:szCs w:val="14"/>
          <w:color w:val="auto"/>
        </w:rPr>
        <w:t>We obtain exposure to underlying senior secured loans and other CLO Assets through our investments in CLOs, but may obtain such exposure directly or indirectly through other means from time to time. Such loans may become nonperforming or impaired for a variety of reasons. Nonperforming or impaired loans may require substantial workout negotiations or restructuring that may entail a substantial reduction in the interest rate and/or</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2" w:name="page93"/>
    <w:bookmarkEnd w:id="9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80"/>
        <w:spacing w:after="0" w:line="238" w:lineRule="auto"/>
        <w:rPr>
          <w:sz w:val="20"/>
          <w:szCs w:val="20"/>
          <w:color w:val="auto"/>
        </w:rPr>
      </w:pPr>
      <w:r>
        <w:rPr>
          <w:rFonts w:ascii="Times New Roman" w:cs="Times New Roman" w:eastAsia="Times New Roman" w:hAnsi="Times New Roman"/>
          <w:sz w:val="16"/>
          <w:szCs w:val="16"/>
          <w:color w:val="auto"/>
        </w:rPr>
        <w:t>a substantial write-down of the principal of the loan. In addition, because of the unique and customized nature of a loan agreement and the private syndication of a loan, certain loans may not be purchased or sold as easily as publicly traded securities, and, historically, the trading volume in the loan market has been small relative to other markets. Loans may encounter trading delays due to their unique and customized nature, and transfers may require the consent of an agent bank and/or borrower. Risks associated with senior secured loans include the fact that prepayments generally may occur at any time without premium or penalty.</w:t>
      </w:r>
    </w:p>
    <w:p>
      <w:pPr>
        <w:spacing w:after="0" w:line="100" w:lineRule="exact"/>
        <w:rPr>
          <w:sz w:val="20"/>
          <w:szCs w:val="20"/>
          <w:color w:val="auto"/>
        </w:rPr>
      </w:pPr>
    </w:p>
    <w:p>
      <w:pPr>
        <w:ind w:left="920" w:right="960" w:firstLine="382"/>
        <w:spacing w:after="0" w:line="235" w:lineRule="auto"/>
        <w:rPr>
          <w:sz w:val="20"/>
          <w:szCs w:val="20"/>
          <w:color w:val="auto"/>
        </w:rPr>
      </w:pPr>
      <w:r>
        <w:rPr>
          <w:rFonts w:ascii="Times New Roman" w:cs="Times New Roman" w:eastAsia="Times New Roman" w:hAnsi="Times New Roman"/>
          <w:sz w:val="16"/>
          <w:szCs w:val="16"/>
          <w:color w:val="auto"/>
        </w:rPr>
        <w:t>In addition, the portfolios of certain CLOs in which we invest may contain middle market loans. Loans to middle market companies may carry more inherent risks than loans to larger, publicly traded entities. These companies generally have more limited access to capital and higher funding costs, may be in a weaker financial position, may need more capital to expand or compete, and may be unable to obtain financing from public capital markets or from traditional sources, such as commercial banks. Middle market companies typically have narrower product lines and smaller market shares than large companies. Therefore, they tend to be more vulnerable to competitors’ actions and market conditions, as well as general economic downturns. These companies may also experience substantial variations in operating results. The success of a middle market business may also depend on the management talents and efforts of one or two persons or a small group of persons. The death, disability or resignation of one or more of these persons could have a material adverse impact on the obligor. Accordingly, loans made to middle market companies may involve higher risks than loans made to companies that have greater financial resources or are otherwise able to access traditional credit sources. Middle market loans are less liquid and have a smaller trading market than the market for broadly syndicated loans and may have default rates or recovery rates that differ (and may be better or worse) than has been the case for broadly syndicated loans or investment grade securities. There can be no assurance as to the levels of defaults and/or recoveries that may be experienced with respect to middle market loans in any CLO in which we may invest. As a consequence of the forgoing factors, the securities issued by CLOs that primarily invest in middle market loans (or hold significant portions thereof) are generally considered to be a riskier investment than securities issued by CLOs that primarily invest in broadly syndicated loans.</w:t>
      </w:r>
    </w:p>
    <w:p>
      <w:pPr>
        <w:spacing w:after="0" w:line="172" w:lineRule="exact"/>
        <w:rPr>
          <w:sz w:val="20"/>
          <w:szCs w:val="20"/>
          <w:color w:val="auto"/>
        </w:rPr>
      </w:pPr>
    </w:p>
    <w:p>
      <w:pPr>
        <w:ind w:left="920" w:right="9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Increased competition in the market or a decrease in new CLO issuances may result in increased price volatility or a shortage of investment opportunities.</w:t>
      </w:r>
    </w:p>
    <w:p>
      <w:pPr>
        <w:spacing w:after="0" w:line="81" w:lineRule="exact"/>
        <w:rPr>
          <w:sz w:val="20"/>
          <w:szCs w:val="20"/>
          <w:color w:val="auto"/>
        </w:rPr>
      </w:pPr>
    </w:p>
    <w:p>
      <w:pPr>
        <w:ind w:left="920" w:right="1000" w:firstLine="382"/>
        <w:spacing w:after="0" w:line="238" w:lineRule="auto"/>
        <w:rPr>
          <w:sz w:val="20"/>
          <w:szCs w:val="20"/>
          <w:color w:val="auto"/>
        </w:rPr>
      </w:pPr>
      <w:r>
        <w:rPr>
          <w:rFonts w:ascii="Times New Roman" w:cs="Times New Roman" w:eastAsia="Times New Roman" w:hAnsi="Times New Roman"/>
          <w:sz w:val="16"/>
          <w:szCs w:val="16"/>
          <w:color w:val="auto"/>
        </w:rPr>
        <w:t>In recent years there has been a marked increase in the number of, and flow of capital into, investment vehicles established to pursue investments in CLO securities whereas the size of this market is relatively limited. While we cannot determine the precise effect of such competition, such increase may result in greater competition for investment opportunities, which may result in an increase in the price of such investments relative to the risk taken on by holders of such investments. Such competition may also result under certain circumstances in increased price volatility or decreased liquidity with respect to certain positions.</w:t>
      </w:r>
    </w:p>
    <w:p>
      <w:pPr>
        <w:spacing w:after="0" w:line="100" w:lineRule="exact"/>
        <w:rPr>
          <w:sz w:val="20"/>
          <w:szCs w:val="20"/>
          <w:color w:val="auto"/>
        </w:rPr>
      </w:pPr>
    </w:p>
    <w:p>
      <w:pPr>
        <w:ind w:left="920" w:right="960" w:firstLine="382"/>
        <w:spacing w:after="0" w:line="238" w:lineRule="auto"/>
        <w:rPr>
          <w:sz w:val="20"/>
          <w:szCs w:val="20"/>
          <w:color w:val="auto"/>
        </w:rPr>
      </w:pPr>
      <w:r>
        <w:rPr>
          <w:rFonts w:ascii="Times New Roman" w:cs="Times New Roman" w:eastAsia="Times New Roman" w:hAnsi="Times New Roman"/>
          <w:sz w:val="16"/>
          <w:szCs w:val="16"/>
          <w:color w:val="auto"/>
        </w:rPr>
        <w:t>In addition, the volume of new CLO issuances and CLO refinancings varies over time as a result of a variety of factors including new regulations, changes in interest rates, and other market forces. As a result of increased competition and uncertainty regarding the volume of new CLO issuances and CLO refinancings, we can offer no assurances that we will deploy all of our capital in a timely manner or at all. Prospective investors should understand that we may compete with other investment vehicles, as well as investment and commercial banking firms, which have substantially greater resources, in terms of financial wherewithal and research staffs, than may be available to us.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warehouse facilities.</w:t>
      </w:r>
    </w:p>
    <w:p>
      <w:pPr>
        <w:spacing w:after="0" w:line="117" w:lineRule="exact"/>
        <w:rPr>
          <w:sz w:val="20"/>
          <w:szCs w:val="20"/>
          <w:color w:val="auto"/>
        </w:rPr>
      </w:pPr>
    </w:p>
    <w:p>
      <w:pPr>
        <w:ind w:left="920" w:right="1000" w:firstLine="382"/>
        <w:spacing w:after="0" w:line="236" w:lineRule="auto"/>
        <w:rPr>
          <w:sz w:val="20"/>
          <w:szCs w:val="20"/>
          <w:color w:val="auto"/>
        </w:rPr>
      </w:pPr>
      <w:r>
        <w:rPr>
          <w:rFonts w:ascii="Times New Roman" w:cs="Times New Roman" w:eastAsia="Times New Roman" w:hAnsi="Times New Roman"/>
          <w:sz w:val="16"/>
          <w:szCs w:val="16"/>
          <w:color w:val="auto"/>
        </w:rPr>
        <w:t>We may invest capital in warehouse facilities, which are short- to medium- term facilities often provided by the bank that will serve as the placement agent or arranger on a CLO transaction and which acquire loans on an interim basis that are expected to form part of the portfolio of such future CLO. Warehouse facilities typically incur leverage between four and six times prior to a CLO’s pricing. Prior to a CLO closing and issuing CLO securities to CLO investors, in anticipation of such CLO closing, a vehicle (often the future CLO issuer or its affiliate) will purchase and “warehouse” a portion of the underlying loans that will be held by such CLO. We may be expected to provide equity capital in support of warehouse facilities during warehousing periods. The period from the date such warehouse facility is opened and asset accumulation begins to the date the CLO closes is referred to as the “warehousing period.” During this period, the price and availability of these loans (referred to as collateral obligations) may be adversely affected by a number of market factors, including price volatility, interest rate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3" w:name="page94"/>
    <w:bookmarkEnd w:id="9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60"/>
        <w:spacing w:after="0" w:line="238" w:lineRule="auto"/>
        <w:rPr>
          <w:sz w:val="20"/>
          <w:szCs w:val="20"/>
          <w:color w:val="auto"/>
        </w:rPr>
      </w:pPr>
      <w:r>
        <w:rPr>
          <w:rFonts w:ascii="Times New Roman" w:cs="Times New Roman" w:eastAsia="Times New Roman" w:hAnsi="Times New Roman"/>
          <w:sz w:val="16"/>
          <w:szCs w:val="16"/>
          <w:color w:val="auto"/>
        </w:rPr>
        <w:t>volatility and availability of investments suitable for the CLO, which could hamper the ability of the collateral manager to acquire a portfolio of collateral obligations that will satisfy specified concentration limitations and allow the CLO to reach the target initial par amount of collateral prior to the effective date. An inability or delay in reaching the target initial par amount of collateral may adversely affect the timing and amount of interest or principal payments received by the holders of the CLO debt securities and distributions on the CLO equity securities and could result in early redemptions which may cause CLO debt and equity investors to receive less than face value of their investment.</w:t>
      </w:r>
    </w:p>
    <w:p>
      <w:pPr>
        <w:spacing w:after="0" w:line="97" w:lineRule="exact"/>
        <w:rPr>
          <w:sz w:val="20"/>
          <w:szCs w:val="20"/>
          <w:color w:val="auto"/>
        </w:rPr>
      </w:pPr>
    </w:p>
    <w:p>
      <w:pPr>
        <w:ind w:left="920" w:right="1080" w:firstLine="382"/>
        <w:spacing w:after="0" w:line="245" w:lineRule="auto"/>
        <w:rPr>
          <w:sz w:val="20"/>
          <w:szCs w:val="20"/>
          <w:color w:val="auto"/>
        </w:rPr>
      </w:pPr>
      <w:r>
        <w:rPr>
          <w:rFonts w:ascii="Times New Roman" w:cs="Times New Roman" w:eastAsia="Times New Roman" w:hAnsi="Times New Roman"/>
          <w:sz w:val="16"/>
          <w:szCs w:val="16"/>
          <w:color w:val="auto"/>
        </w:rPr>
        <w:t>Investments in warehouse facilities present risks similar to those of investments in CLOs and, accordingly, any references herein to CLOs in which we invest or CLO equity investments shall also refer to warehouse facilities and investments therein, as the context requires.</w:t>
      </w:r>
    </w:p>
    <w:p>
      <w:pPr>
        <w:spacing w:after="0" w:line="163" w:lineRule="exact"/>
        <w:rPr>
          <w:sz w:val="20"/>
          <w:szCs w:val="20"/>
          <w:color w:val="auto"/>
        </w:rPr>
      </w:pPr>
    </w:p>
    <w:p>
      <w:pPr>
        <w:ind w:left="920" w:right="13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investments in CLO vehicles may be subject to special anti-deferral provisions that could result in us incurring tax or recognizing income prior to receiving cash distributions related to such income.</w:t>
      </w:r>
    </w:p>
    <w:p>
      <w:pPr>
        <w:spacing w:after="0" w:line="81" w:lineRule="exact"/>
        <w:rPr>
          <w:sz w:val="20"/>
          <w:szCs w:val="20"/>
          <w:color w:val="auto"/>
        </w:rPr>
      </w:pPr>
    </w:p>
    <w:p>
      <w:pPr>
        <w:ind w:left="920" w:right="940" w:firstLine="382"/>
        <w:spacing w:after="0" w:line="238" w:lineRule="auto"/>
        <w:rPr>
          <w:sz w:val="20"/>
          <w:szCs w:val="20"/>
          <w:color w:val="auto"/>
        </w:rPr>
      </w:pPr>
      <w:r>
        <w:rPr>
          <w:rFonts w:ascii="Times New Roman" w:cs="Times New Roman" w:eastAsia="Times New Roman" w:hAnsi="Times New Roman"/>
          <w:sz w:val="16"/>
          <w:szCs w:val="16"/>
          <w:color w:val="auto"/>
        </w:rPr>
        <w:t>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Certain elections may be available to mitigate or eliminate such tax on excess distributions, but such elections (if available) will generally require us to recognize our share of a PFIC’s income for each year regardless of whether we receive any distributions from such PFIC. We must nonetheless distribute such income to maintain our status as a RIC.</w:t>
      </w:r>
    </w:p>
    <w:p>
      <w:pPr>
        <w:spacing w:after="0" w:line="97" w:lineRule="exact"/>
        <w:rPr>
          <w:sz w:val="20"/>
          <w:szCs w:val="20"/>
          <w:color w:val="auto"/>
        </w:rPr>
      </w:pPr>
    </w:p>
    <w:p>
      <w:pPr>
        <w:ind w:left="920" w:right="1000" w:firstLine="382"/>
        <w:spacing w:after="0" w:line="238" w:lineRule="auto"/>
        <w:rPr>
          <w:sz w:val="20"/>
          <w:szCs w:val="20"/>
          <w:color w:val="auto"/>
        </w:rPr>
      </w:pPr>
      <w:r>
        <w:rPr>
          <w:rFonts w:ascii="Times New Roman" w:cs="Times New Roman" w:eastAsia="Times New Roman" w:hAnsi="Times New Roman"/>
          <w:sz w:val="16"/>
          <w:szCs w:val="16"/>
          <w:color w:val="auto"/>
        </w:rPr>
        <w:t>If we hold more than 10% of the shares in a foreign corporation that is treated as a controlled foreign corporation (“CFC”) (including equity tranche investments in a CLO vehicle treated as a CFC), we may be treated as receiving a deemed distribution (taxable as ordinary income) each year from such foreign corporation in an amount equal to our pro rata share of the corporation’s income for the tax year (including both ordinary earnings and capital gains). If we are required to include such deemed distributions from a CFC in our income, we will be required to distribute such income to maintain our RIC tax treatment regardless of whether or not the CFC makes an actual distribution during such year.</w:t>
      </w:r>
    </w:p>
    <w:p>
      <w:pPr>
        <w:spacing w:after="0" w:line="97" w:lineRule="exact"/>
        <w:rPr>
          <w:sz w:val="20"/>
          <w:szCs w:val="20"/>
          <w:color w:val="auto"/>
        </w:rPr>
      </w:pPr>
    </w:p>
    <w:p>
      <w:pPr>
        <w:ind w:left="920" w:right="940" w:firstLine="382"/>
        <w:spacing w:after="0" w:line="239" w:lineRule="auto"/>
        <w:rPr>
          <w:sz w:val="20"/>
          <w:szCs w:val="20"/>
          <w:color w:val="auto"/>
        </w:rPr>
      </w:pPr>
      <w:r>
        <w:rPr>
          <w:rFonts w:ascii="Times New Roman" w:cs="Times New Roman" w:eastAsia="Times New Roman" w:hAnsi="Times New Roman"/>
          <w:sz w:val="16"/>
          <w:szCs w:val="16"/>
          <w:color w:val="auto"/>
        </w:rPr>
        <w:t>If we are required to include amounts in income prior to receiving distributions representing such income,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corporate-level U.S. federal income tax.</w:t>
      </w:r>
    </w:p>
    <w:p>
      <w:pPr>
        <w:spacing w:after="0" w:line="169" w:lineRule="exact"/>
        <w:rPr>
          <w:sz w:val="20"/>
          <w:szCs w:val="20"/>
          <w:color w:val="auto"/>
        </w:rPr>
      </w:pPr>
    </w:p>
    <w:p>
      <w:pPr>
        <w:ind w:left="920" w:right="98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If a CLO vehicle in which we invest fails to comply with certain U.S. tax disclosure requirements, such CLO may be subject to withholding requirements that could materially and adversely affect our operating results and cash flows.</w:t>
      </w:r>
    </w:p>
    <w:p>
      <w:pPr>
        <w:spacing w:after="0" w:line="91" w:lineRule="exact"/>
        <w:rPr>
          <w:sz w:val="20"/>
          <w:szCs w:val="20"/>
          <w:color w:val="auto"/>
        </w:rPr>
      </w:pPr>
    </w:p>
    <w:p>
      <w:pPr>
        <w:ind w:left="920" w:right="920" w:firstLine="382"/>
        <w:spacing w:after="0" w:line="273" w:lineRule="auto"/>
        <w:rPr>
          <w:sz w:val="20"/>
          <w:szCs w:val="20"/>
          <w:color w:val="auto"/>
        </w:rPr>
      </w:pPr>
      <w:r>
        <w:rPr>
          <w:rFonts w:ascii="Times New Roman" w:cs="Times New Roman" w:eastAsia="Times New Roman" w:hAnsi="Times New Roman"/>
          <w:sz w:val="14"/>
          <w:szCs w:val="14"/>
          <w:color w:val="auto"/>
        </w:rPr>
        <w:t>Legislation commonly referred to as the “Foreign Account Tax Compliance Act,” or “FATCA,” imposes a withholding tax of 30% on payments of U.S. source interest and dividends, to certain non-U.S. entities, including certain non-U.S. financial institutions and investment funds, unless such non-U.S. entity complies with certain reporting requirements regarding its United States account holders and its United States owners. While existing U.S. Treasury regulations would also require withholding on payments of the gross proceeds from the sale of any property that could produce U.S. source interest or dividends, the U.S. Treasury Department has indicated in subsequent proposed regulations its intent to eliminate this requirement. Most CLO vehicles in which we invest will be treated as non-U.S. financial entities for this purpose, and therefore will be required to comply with these reporting requirements to avoid the 30% withholding. If a CLO vehicle in which we invest fails to properly comply with these reporting requirements, it could reduce the amounts available to distribute to equity and junior debt holders in such CLO vehicle, which could materially and adversely affect its operating results and cash flows.</w:t>
      </w:r>
    </w:p>
    <w:p>
      <w:pPr>
        <w:spacing w:after="0" w:line="3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transition away from LIBOR.</w:t>
      </w:r>
    </w:p>
    <w:p>
      <w:pPr>
        <w:spacing w:after="0" w:line="117" w:lineRule="exact"/>
        <w:rPr>
          <w:sz w:val="20"/>
          <w:szCs w:val="20"/>
          <w:color w:val="auto"/>
        </w:rPr>
      </w:pPr>
    </w:p>
    <w:p>
      <w:pPr>
        <w:ind w:left="920" w:right="1200" w:firstLine="382"/>
        <w:spacing w:after="0" w:line="298" w:lineRule="auto"/>
        <w:rPr>
          <w:sz w:val="20"/>
          <w:szCs w:val="20"/>
          <w:color w:val="auto"/>
        </w:rPr>
      </w:pPr>
      <w:r>
        <w:rPr>
          <w:rFonts w:ascii="Times New Roman" w:cs="Times New Roman" w:eastAsia="Times New Roman" w:hAnsi="Times New Roman"/>
          <w:sz w:val="14"/>
          <w:szCs w:val="14"/>
          <w:color w:val="auto"/>
        </w:rPr>
        <w:t>As of September 30, 2024, no settings of LIBOR continue to be published. On March 15, 2022, the Consolidation Appropriations Act of 2022, which includes the Adjustable Interest Rate (LIBOR) Act (“LIBOR Act”), was signed into law in the United States. This legislation establishes a uniform benchmark replacement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4" w:name="page95"/>
    <w:bookmarkEnd w:id="9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20"/>
        <w:spacing w:after="0" w:line="236" w:lineRule="auto"/>
        <w:rPr>
          <w:sz w:val="20"/>
          <w:szCs w:val="20"/>
          <w:color w:val="auto"/>
        </w:rPr>
      </w:pPr>
      <w:r>
        <w:rPr>
          <w:rFonts w:ascii="Times New Roman" w:cs="Times New Roman" w:eastAsia="Times New Roman" w:hAnsi="Times New Roman"/>
          <w:sz w:val="16"/>
          <w:szCs w:val="16"/>
          <w:color w:val="auto"/>
        </w:rPr>
        <w:t>process for certain financial contracts that mature after June 30, 2023 that do not contain clearly defined or practicable LIBOR fallback provisions. The legislation also creates a safe harbor that shields lenders from litigation if they choose to utilize a replacement rate recommended by the Board of Governors of the Federal Reserve. Although the transition process away from LIBOR has become increasingly well- defined (e.g. the LIBOR Act now provides a uniform benchmark replacement for certain LIBOR-based instruments in the United States), the transition process is complex and it could cause a disruption in the credit markets generally and could have adverse impacts on our business financial condition and results of operations, including, among other things, increased volatility or illiquidity in markets for instruments that continue to rely on LIBOR or which have been transitioned away from LIBOR to a different rate like SOFR and, in any case, could result in a reduction in the value of certain investments held by the Company.</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Risks Relating to an Investment in our Securities</w:t>
      </w:r>
    </w:p>
    <w:p>
      <w:pPr>
        <w:spacing w:after="0" w:line="186" w:lineRule="exact"/>
        <w:rPr>
          <w:sz w:val="20"/>
          <w:szCs w:val="20"/>
          <w:color w:val="auto"/>
        </w:rPr>
      </w:pPr>
    </w:p>
    <w:p>
      <w:pPr>
        <w:jc w:val="both"/>
        <w:ind w:left="920" w:right="118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Common shares of closed-end management investment companies, including the Company, have in the past frequently traded at discounts to their NAV, and we cannot assure you that the market price of shares of our common stock will not decline below our NAV per share.</w:t>
      </w:r>
    </w:p>
    <w:p>
      <w:pPr>
        <w:spacing w:after="0" w:line="91" w:lineRule="exact"/>
        <w:rPr>
          <w:sz w:val="20"/>
          <w:szCs w:val="20"/>
          <w:color w:val="auto"/>
        </w:rPr>
      </w:pPr>
    </w:p>
    <w:p>
      <w:pPr>
        <w:ind w:left="920" w:right="1000" w:firstLine="382"/>
        <w:spacing w:after="0" w:line="237" w:lineRule="auto"/>
        <w:rPr>
          <w:sz w:val="20"/>
          <w:szCs w:val="20"/>
          <w:color w:val="auto"/>
        </w:rPr>
      </w:pPr>
      <w:r>
        <w:rPr>
          <w:rFonts w:ascii="Times New Roman" w:cs="Times New Roman" w:eastAsia="Times New Roman" w:hAnsi="Times New Roman"/>
          <w:sz w:val="16"/>
          <w:szCs w:val="16"/>
          <w:color w:val="auto"/>
        </w:rPr>
        <w:t>Common shares of closed-end management investment companies have in the past frequently traded at discounts to their NAV and our stock may also be discounted in the market. This characteristic of closed-end management investment companies is separate and distinct from the risk that our net asset value per share may decline. We cannot predict whether shares of our common stock will trade above, at or below our NAV. The risk of loss associated with this characteristic of closed- end management investment companies may be greater for investors expecting to sell shares of common stock purchased in the offering soon after the offering. In addition, if our common stock trades below our NAV, we will generally not be able to sell additional shares of our common stock to the public at our market price.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Our common stock price may be volatile and may decrease substantially.</w:t>
      </w:r>
    </w:p>
    <w:p>
      <w:pPr>
        <w:spacing w:after="0" w:line="117" w:lineRule="exact"/>
        <w:rPr>
          <w:sz w:val="20"/>
          <w:szCs w:val="20"/>
          <w:color w:val="auto"/>
        </w:rPr>
      </w:pPr>
    </w:p>
    <w:p>
      <w:pPr>
        <w:jc w:val="both"/>
        <w:ind w:left="920" w:right="980" w:firstLine="382"/>
        <w:spacing w:after="0" w:line="241" w:lineRule="auto"/>
        <w:rPr>
          <w:sz w:val="20"/>
          <w:szCs w:val="20"/>
          <w:color w:val="auto"/>
        </w:rPr>
      </w:pPr>
      <w:r>
        <w:rPr>
          <w:rFonts w:ascii="Times New Roman" w:cs="Times New Roman" w:eastAsia="Times New Roman" w:hAnsi="Times New Roman"/>
          <w:sz w:val="16"/>
          <w:szCs w:val="16"/>
          <w:color w:val="auto"/>
        </w:rPr>
        <w:t>The trading price of our common stock may fluctuate substantially. The price of our common stock that will prevail in the market after this offering may be higher or lower than the price you pay, depending on many factors, some of which are beyond our control and may not be directly related to our operating performance. These factors include, but are not limited to, the following:</w:t>
      </w:r>
    </w:p>
    <w:p>
      <w:pPr>
        <w:spacing w:after="0" w:line="97" w:lineRule="exact"/>
        <w:rPr>
          <w:sz w:val="20"/>
          <w:szCs w:val="20"/>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price and volume fluctuations in the overall stock market from time to time;</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demand for our shares;</w:t>
      </w:r>
    </w:p>
    <w:p>
      <w:pPr>
        <w:spacing w:after="0" w:line="114" w:lineRule="exact"/>
        <w:rPr>
          <w:rFonts w:ascii="Times New Roman" w:cs="Times New Roman" w:eastAsia="Times New Roman" w:hAnsi="Times New Roman"/>
          <w:sz w:val="16"/>
          <w:szCs w:val="16"/>
          <w:color w:val="auto"/>
        </w:rPr>
      </w:pPr>
    </w:p>
    <w:p>
      <w:pPr>
        <w:ind w:left="1680" w:right="960" w:hanging="375"/>
        <w:spacing w:after="0" w:line="245"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volatility in the market price and trading volume of securities of registered closed-end management investment companies or other companies in our sector, which are not necessarily related to the operating performance of these companies;</w:t>
      </w:r>
    </w:p>
    <w:p>
      <w:pPr>
        <w:spacing w:after="0" w:line="93" w:lineRule="exact"/>
        <w:rPr>
          <w:rFonts w:ascii="Times New Roman" w:cs="Times New Roman" w:eastAsia="Times New Roman" w:hAnsi="Times New Roman"/>
          <w:sz w:val="16"/>
          <w:szCs w:val="16"/>
          <w:color w:val="auto"/>
        </w:rPr>
      </w:pPr>
    </w:p>
    <w:p>
      <w:pPr>
        <w:ind w:left="1680" w:right="1600" w:hanging="375"/>
        <w:spacing w:after="0" w:line="257"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regulatory policies or tax guidelines with respect to RICs or registered closed-end management investment companies;</w:t>
      </w:r>
    </w:p>
    <w:p>
      <w:pPr>
        <w:spacing w:after="0" w:line="8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continue to qualify as a RIC, or the loss of RIC status;</w:t>
      </w:r>
    </w:p>
    <w:p>
      <w:pPr>
        <w:spacing w:after="0" w:line="114" w:lineRule="exact"/>
        <w:rPr>
          <w:rFonts w:ascii="Times New Roman" w:cs="Times New Roman" w:eastAsia="Times New Roman" w:hAnsi="Times New Roman"/>
          <w:sz w:val="16"/>
          <w:szCs w:val="16"/>
          <w:color w:val="auto"/>
        </w:rPr>
      </w:pPr>
    </w:p>
    <w:p>
      <w:pPr>
        <w:ind w:left="1680" w:right="1120" w:hanging="375"/>
        <w:spacing w:after="0" w:line="257" w:lineRule="auto"/>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shortfall in revenue or net income or any increase in losses from levels expected by investors or securities analysts;</w:t>
      </w:r>
    </w:p>
    <w:p>
      <w:pPr>
        <w:spacing w:after="0" w:line="8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or perceived changes, in the value of our portfolio investments;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departures of any members of Oxford Lane Management’s senior investment team;</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performance of companies comparable to us; or</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conditions and trends and other external factors.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5" w:name="page96"/>
    <w:bookmarkEnd w:id="9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60" w:firstLine="382"/>
        <w:spacing w:after="0" w:line="241" w:lineRule="auto"/>
        <w:rPr>
          <w:sz w:val="20"/>
          <w:szCs w:val="20"/>
          <w:color w:val="auto"/>
        </w:rPr>
      </w:pPr>
      <w:r>
        <w:rPr>
          <w:rFonts w:ascii="Times New Roman" w:cs="Times New Roman" w:eastAsia="Times New Roman" w:hAnsi="Times New Roman"/>
          <w:sz w:val="16"/>
          <w:szCs w:val="16"/>
          <w:color w:val="auto"/>
        </w:rPr>
        <w:t>In the past, following periods of volatility in the market price of a company’s securities, securities class action litigation has often been brought against that company. Due to the potential volatility of our stock price, we may become the target of securities litigation in the future. Securities litigation could result in substantial costs and divert management’s attention and resources from our business.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may experience fluctuations in our quarterly results.</w:t>
      </w:r>
    </w:p>
    <w:p>
      <w:pPr>
        <w:spacing w:after="0" w:line="117" w:lineRule="exact"/>
        <w:rPr>
          <w:sz w:val="20"/>
          <w:szCs w:val="20"/>
          <w:color w:val="auto"/>
        </w:rPr>
      </w:pPr>
    </w:p>
    <w:p>
      <w:pPr>
        <w:ind w:left="920" w:right="980" w:firstLine="382"/>
        <w:spacing w:after="0" w:line="238" w:lineRule="auto"/>
        <w:rPr>
          <w:sz w:val="20"/>
          <w:szCs w:val="20"/>
          <w:color w:val="auto"/>
        </w:rPr>
      </w:pPr>
      <w:r>
        <w:rPr>
          <w:rFonts w:ascii="Times New Roman" w:cs="Times New Roman" w:eastAsia="Times New Roman" w:hAnsi="Times New Roman"/>
          <w:sz w:val="16"/>
          <w:szCs w:val="16"/>
          <w:color w:val="auto"/>
        </w:rPr>
        <w:t>We could experience fluctuations in our quarterly operating results due to a number of factors, including our ability or inability to make investments that meet our investment criteria, the interest rate payable on the debt securities we acquire, the level of portfolio dividend and fee income, the level of our expenses, variations in and the timing of the recognition of realized and unrealized gains or losses, the degree to which we encounter competition in our markets and general economic conditions. As a result of these factors, results for any period should not be relied upon as being indicative of performance in future periods.</w:t>
      </w:r>
    </w:p>
    <w:p>
      <w:pPr>
        <w:spacing w:after="0" w:line="170" w:lineRule="exact"/>
        <w:rPr>
          <w:sz w:val="20"/>
          <w:szCs w:val="20"/>
          <w:color w:val="auto"/>
        </w:rPr>
      </w:pPr>
    </w:p>
    <w:p>
      <w:pPr>
        <w:ind w:left="920" w:right="11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cannot assure you that we will be able to successfully deploy the proceeds of any offering of our securities within the timeframe we have contemplated.</w:t>
      </w:r>
    </w:p>
    <w:p>
      <w:pPr>
        <w:spacing w:after="0" w:line="81" w:lineRule="exact"/>
        <w:rPr>
          <w:sz w:val="20"/>
          <w:szCs w:val="20"/>
          <w:color w:val="auto"/>
        </w:rPr>
      </w:pPr>
    </w:p>
    <w:p>
      <w:pPr>
        <w:ind w:left="920" w:right="920" w:firstLine="382"/>
        <w:spacing w:after="0" w:line="238" w:lineRule="auto"/>
        <w:rPr>
          <w:sz w:val="20"/>
          <w:szCs w:val="20"/>
          <w:color w:val="auto"/>
        </w:rPr>
      </w:pPr>
      <w:r>
        <w:rPr>
          <w:rFonts w:ascii="Times New Roman" w:cs="Times New Roman" w:eastAsia="Times New Roman" w:hAnsi="Times New Roman"/>
          <w:sz w:val="16"/>
          <w:szCs w:val="16"/>
          <w:color w:val="auto"/>
        </w:rPr>
        <w:t>We currently anticipate that substantially all of the net proceeds of any offering conducted will be invested in accordance with our investment objective within approximately one to three months after the consummation of such offering. We cannot assure you, however, that we will be able to locate a sufficient number of suitable investment opportunities to allow us to successfully deploy substantially all of the net proceeds of any such offering in that timeframe. To the extent we are unable to invest substantially all of the net proceeds of any such offering within our contemplated timeframe after the completion of such offering, our investment income, and in turn our results of operations, will likely be materially adversely affected.</w:t>
      </w:r>
    </w:p>
    <w:p>
      <w:pPr>
        <w:spacing w:after="0" w:line="167" w:lineRule="exact"/>
        <w:rPr>
          <w:sz w:val="20"/>
          <w:szCs w:val="20"/>
          <w:color w:val="auto"/>
        </w:rPr>
      </w:pPr>
    </w:p>
    <w:p>
      <w:pPr>
        <w:ind w:left="920" w:right="10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will have broad discretion over the use of proceeds of any offering conducted and will use proceeds in part to satisfy operating expenses.</w:t>
      </w:r>
    </w:p>
    <w:p>
      <w:pPr>
        <w:spacing w:after="0" w:line="81" w:lineRule="exact"/>
        <w:rPr>
          <w:sz w:val="20"/>
          <w:szCs w:val="20"/>
          <w:color w:val="auto"/>
        </w:rPr>
      </w:pPr>
    </w:p>
    <w:p>
      <w:pPr>
        <w:ind w:left="920" w:right="1040" w:firstLine="382"/>
        <w:spacing w:after="0" w:line="238" w:lineRule="auto"/>
        <w:rPr>
          <w:sz w:val="20"/>
          <w:szCs w:val="20"/>
          <w:color w:val="auto"/>
        </w:rPr>
      </w:pPr>
      <w:r>
        <w:rPr>
          <w:rFonts w:ascii="Times New Roman" w:cs="Times New Roman" w:eastAsia="Times New Roman" w:hAnsi="Times New Roman"/>
          <w:sz w:val="16"/>
          <w:szCs w:val="16"/>
          <w:color w:val="auto"/>
        </w:rPr>
        <w:t>We will have significant flexibility in applying the proceeds of any offering conducted and may use the net proceeds from any such offering in ways with which you may not agree, or for purposes other than those contemplated at the time of such offering. We will also pay operating expenses, and may pay other expenses such as due diligence expenses of potential new investments, from net proceeds. Our ability to achieve our investment objective may be limited to the extent that net proceeds of any such offering, pending full investment, are used to pay operating expenses.</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Your interest in us may be diluted if you do not fully exercise your subscription rights in any rights offering.</w:t>
      </w:r>
    </w:p>
    <w:p>
      <w:pPr>
        <w:spacing w:after="0" w:line="117" w:lineRule="exact"/>
        <w:rPr>
          <w:sz w:val="20"/>
          <w:szCs w:val="20"/>
          <w:color w:val="auto"/>
        </w:rPr>
      </w:pPr>
    </w:p>
    <w:p>
      <w:pPr>
        <w:ind w:left="920" w:right="1000" w:firstLine="382"/>
        <w:spacing w:after="0" w:line="239" w:lineRule="auto"/>
        <w:rPr>
          <w:sz w:val="20"/>
          <w:szCs w:val="20"/>
          <w:color w:val="auto"/>
        </w:rPr>
      </w:pPr>
      <w:r>
        <w:rPr>
          <w:rFonts w:ascii="Times New Roman" w:cs="Times New Roman" w:eastAsia="Times New Roman" w:hAnsi="Times New Roman"/>
          <w:sz w:val="16"/>
          <w:szCs w:val="16"/>
          <w:color w:val="auto"/>
        </w:rPr>
        <w:t>In the event we issue subscription rights to purchase shares of our common stock, stockholders who do not fully exercise their rights should expect that they will, at the completion of the offer,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the offer.</w:t>
      </w:r>
    </w:p>
    <w:p>
      <w:pPr>
        <w:spacing w:after="0" w:line="100" w:lineRule="exact"/>
        <w:rPr>
          <w:sz w:val="20"/>
          <w:szCs w:val="20"/>
          <w:color w:val="auto"/>
        </w:rPr>
      </w:pPr>
    </w:p>
    <w:p>
      <w:pPr>
        <w:ind w:left="920" w:right="1140" w:firstLine="382"/>
        <w:spacing w:after="0" w:line="239" w:lineRule="auto"/>
        <w:rPr>
          <w:sz w:val="20"/>
          <w:szCs w:val="20"/>
          <w:color w:val="auto"/>
        </w:rPr>
      </w:pPr>
      <w:r>
        <w:rPr>
          <w:rFonts w:ascii="Times New Roman" w:cs="Times New Roman" w:eastAsia="Times New Roman" w:hAnsi="Times New Roman"/>
          <w:sz w:val="16"/>
          <w:szCs w:val="16"/>
          <w:color w:val="auto"/>
        </w:rPr>
        <w:t>In addition, if the subscription price is less than our net asset value per share, then our stockholders would experience an immediate dilution of the aggregate net asset value of their shares as a result of the offer. The amount of any decrease in net asset value is not predictable because it is not known at this time what the subscription price and net asset value per share will be on the expiration date of the rights offering or what proportion of the shares will be purchased as a result of the offer. Such dilution could be substantial.</w:t>
      </w:r>
    </w:p>
    <w:p>
      <w:pPr>
        <w:spacing w:after="0" w:line="169" w:lineRule="exact"/>
        <w:rPr>
          <w:sz w:val="20"/>
          <w:szCs w:val="20"/>
          <w:color w:val="auto"/>
        </w:rPr>
      </w:pPr>
    </w:p>
    <w:p>
      <w:pPr>
        <w:ind w:left="920" w:right="10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If we issue additional preferred stock, the NAV and market value of our common stock will likely become more volatile.</w:t>
      </w:r>
    </w:p>
    <w:p>
      <w:pPr>
        <w:spacing w:after="0" w:line="81" w:lineRule="exact"/>
        <w:rPr>
          <w:sz w:val="20"/>
          <w:szCs w:val="20"/>
          <w:color w:val="auto"/>
        </w:rPr>
      </w:pPr>
    </w:p>
    <w:p>
      <w:pPr>
        <w:ind w:left="920" w:right="1040" w:firstLine="382"/>
        <w:spacing w:after="0" w:line="238" w:lineRule="auto"/>
        <w:rPr>
          <w:sz w:val="20"/>
          <w:szCs w:val="20"/>
          <w:color w:val="auto"/>
        </w:rPr>
      </w:pPr>
      <w:r>
        <w:rPr>
          <w:rFonts w:ascii="Times New Roman" w:cs="Times New Roman" w:eastAsia="Times New Roman" w:hAnsi="Times New Roman"/>
          <w:sz w:val="16"/>
          <w:szCs w:val="16"/>
          <w:color w:val="auto"/>
        </w:rPr>
        <w:t>We cannot assure you that the issuance of additional preferred stock would result in a higher yield or return to the holders of the common stock. The issuance of additional preferred stock would likely cause the net asset value and market value of the common stock to become more volatile.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6" w:name="page97"/>
    <w:bookmarkEnd w:id="9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spacing w:after="0" w:line="273" w:lineRule="auto"/>
        <w:rPr>
          <w:sz w:val="20"/>
          <w:szCs w:val="20"/>
          <w:color w:val="auto"/>
        </w:rPr>
      </w:pPr>
      <w:r>
        <w:rPr>
          <w:rFonts w:ascii="Times New Roman" w:cs="Times New Roman" w:eastAsia="Times New Roman" w:hAnsi="Times New Roman"/>
          <w:sz w:val="14"/>
          <w:szCs w:val="14"/>
          <w:color w:val="auto"/>
        </w:rPr>
        <w:t>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if any,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we would pay (and the holders of common stock would bear) all costs and expenses relating to the issuance and ongoing maintenance of the preferred stock, including higher advisory fees if our total return exceeds the dividend rate on the preferred stock. Holders of preferred stock may have different interests than holders of common stock and may at times have disproportionate influence over our affairs.</w:t>
      </w:r>
    </w:p>
    <w:p>
      <w:pPr>
        <w:spacing w:after="0" w:line="326" w:lineRule="exact"/>
        <w:rPr>
          <w:sz w:val="20"/>
          <w:szCs w:val="20"/>
          <w:color w:val="auto"/>
        </w:rPr>
      </w:pPr>
    </w:p>
    <w:p>
      <w:pPr>
        <w:ind w:left="920" w:right="10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common stock is subject to a risk of subordination relative to holders of our debt instruments and holders of our preferred stock.</w:t>
      </w:r>
    </w:p>
    <w:p>
      <w:pPr>
        <w:spacing w:after="0" w:line="81" w:lineRule="exact"/>
        <w:rPr>
          <w:sz w:val="20"/>
          <w:szCs w:val="20"/>
          <w:color w:val="auto"/>
        </w:rPr>
      </w:pPr>
    </w:p>
    <w:p>
      <w:pPr>
        <w:ind w:left="920" w:right="980" w:firstLine="382"/>
        <w:spacing w:after="0" w:line="239" w:lineRule="auto"/>
        <w:rPr>
          <w:sz w:val="20"/>
          <w:szCs w:val="20"/>
          <w:color w:val="auto"/>
        </w:rPr>
      </w:pPr>
      <w:r>
        <w:rPr>
          <w:rFonts w:ascii="Times New Roman" w:cs="Times New Roman" w:eastAsia="Times New Roman" w:hAnsi="Times New Roman"/>
          <w:sz w:val="16"/>
          <w:szCs w:val="16"/>
          <w:color w:val="auto"/>
        </w:rPr>
        <w:t>Rights of holders of our common stock are subordinated to the rights of holders of our indebtedness and to the rights of holders of our preferred stock. Therefore, dividends, distributions and other payments to holders of our common stock in liquidation or otherwise may be subject to prior payments due to the holders of our indebtedness or our preferred stock. In addition, under some circumstances the 1940 Act may provide debt holders with voting rights that are superior to the voting rights of holders of our equity securities.</w:t>
      </w:r>
    </w:p>
    <w:p>
      <w:pPr>
        <w:spacing w:after="0" w:line="169" w:lineRule="exact"/>
        <w:rPr>
          <w:sz w:val="20"/>
          <w:szCs w:val="20"/>
          <w:color w:val="auto"/>
        </w:rPr>
      </w:pPr>
    </w:p>
    <w:p>
      <w:pPr>
        <w:ind w:left="920" w:right="11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Holders of our preferred stock have the right to elect two members of our Board of Directors and class voting rights on certain matters.</w:t>
      </w:r>
    </w:p>
    <w:p>
      <w:pPr>
        <w:spacing w:after="0" w:line="81" w:lineRule="exact"/>
        <w:rPr>
          <w:sz w:val="20"/>
          <w:szCs w:val="20"/>
          <w:color w:val="auto"/>
        </w:rPr>
      </w:pPr>
    </w:p>
    <w:p>
      <w:pPr>
        <w:ind w:left="920" w:right="980" w:firstLine="382"/>
        <w:spacing w:after="0" w:line="237" w:lineRule="auto"/>
        <w:rPr>
          <w:sz w:val="20"/>
          <w:szCs w:val="20"/>
          <w:color w:val="auto"/>
        </w:rPr>
      </w:pPr>
      <w:r>
        <w:rPr>
          <w:rFonts w:ascii="Times New Roman" w:cs="Times New Roman" w:eastAsia="Times New Roman" w:hAnsi="Times New Roman"/>
          <w:sz w:val="16"/>
          <w:szCs w:val="16"/>
          <w:color w:val="auto"/>
        </w:rPr>
        <w:t>Except as otherwise provided in our Articles of Amendment and Restatement, as amended, or as otherwise required by law, (1) each holder of our preferred stock is entitled to one vote for each share of preferred stock held by such holder on each matter submitted to a vote of our stockholders and (2) the holders of all outstanding preferred stock and common stock will vote together as a single class; provided that holders of preferred stock, voting separately as a class, will elect two of our directors and will be entitled to elect a majority of our directors if we fail to pay dividends on any outstanding shares of preferred stock in an amount equal to two full years of dividends and continuing during that period until we correct that failure. Preferred stockholders will also vote separately as a class on any matter that materially and adversely affects any preference, right or power of holders of preferred stock.</w:t>
      </w:r>
    </w:p>
    <w:p>
      <w:pPr>
        <w:spacing w:after="0" w:line="167" w:lineRule="exact"/>
        <w:rPr>
          <w:sz w:val="20"/>
          <w:szCs w:val="20"/>
          <w:color w:val="auto"/>
        </w:rPr>
      </w:pPr>
    </w:p>
    <w:p>
      <w:pPr>
        <w:jc w:val="both"/>
        <w:ind w:left="920" w:right="132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Provisions of the Maryland General Corporation Law and of our Charter and bylaws could deter takeover attempts and delay, defer or prevent a transaction or change in control that might otherwise be in the best interest of our stockholders.</w:t>
      </w:r>
    </w:p>
    <w:p>
      <w:pPr>
        <w:spacing w:after="0" w:line="91"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The Maryland General Corporation Law and the Charter and our bylaws (the “Bylaws”) contain provisions that may discourage, delay or make more difficult a change in control of the Company or the removal of our directors. We are subject to the Maryland Business Combination Act, subject to any applicable requirements of the 1940 Act. The Board of Directors has adopted a resolution exempting from the Business Combination Act any business combination between us and any other person, subject to prior approval of such business combination by the Board of Directors, including approval by a majority of independent directors. If the resolution exempting business combinations is repealed or the Board of Directors does not approve a business combination, the Business Combination Act may discourage third parties from trying to acquire control of us and increase the difficulty of consummating such an offer. Additionally, we are subject to the Maryland Control Share Act pursuant to our Bylaws, which makes it more difficult for a third party to obtain control of us and increases the difficulty of consummating such a transaction.</w:t>
      </w:r>
    </w:p>
    <w:p>
      <w:pPr>
        <w:spacing w:after="0" w:line="101" w:lineRule="exact"/>
        <w:rPr>
          <w:sz w:val="20"/>
          <w:szCs w:val="20"/>
          <w:color w:val="auto"/>
        </w:rPr>
      </w:pPr>
    </w:p>
    <w:p>
      <w:pPr>
        <w:ind w:left="920" w:right="980" w:firstLine="382"/>
        <w:spacing w:after="0" w:line="277" w:lineRule="auto"/>
        <w:rPr>
          <w:sz w:val="20"/>
          <w:szCs w:val="20"/>
          <w:color w:val="auto"/>
        </w:rPr>
      </w:pPr>
      <w:r>
        <w:rPr>
          <w:rFonts w:ascii="Times New Roman" w:cs="Times New Roman" w:eastAsia="Times New Roman" w:hAnsi="Times New Roman"/>
          <w:sz w:val="14"/>
          <w:szCs w:val="14"/>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to classify or reclassify shares of our stock in one or more classes or series, to cause the issuance of additional shares of our stock, to amend our Charter without stockholder approval and to increase or decrease the number of shares of stock that we have authority to issue. These provisions, as well as other provisions of our Charter and Bylaws, may delay, defer or prevent a transaction or a change in control that could give our stockholders a premium over the value of their shares or otherwise be in their best interest.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7" w:name="page98"/>
    <w:bookmarkEnd w:id="9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10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NAV per share of our common stock may be diluted if we sell shares of our common stock in one or more offerings at prices below the then current NAV per share of our common stock.</w:t>
      </w:r>
    </w:p>
    <w:p>
      <w:pPr>
        <w:spacing w:after="0" w:line="81" w:lineRule="exact"/>
        <w:rPr>
          <w:sz w:val="20"/>
          <w:szCs w:val="20"/>
          <w:color w:val="auto"/>
        </w:rPr>
      </w:pPr>
    </w:p>
    <w:p>
      <w:pPr>
        <w:ind w:left="920" w:right="940" w:firstLine="382"/>
        <w:spacing w:after="0" w:line="279" w:lineRule="auto"/>
        <w:rPr>
          <w:sz w:val="20"/>
          <w:szCs w:val="20"/>
          <w:color w:val="auto"/>
        </w:rPr>
      </w:pPr>
      <w:r>
        <w:rPr>
          <w:rFonts w:ascii="Times New Roman" w:cs="Times New Roman" w:eastAsia="Times New Roman" w:hAnsi="Times New Roman"/>
          <w:sz w:val="14"/>
          <w:szCs w:val="14"/>
          <w:color w:val="auto"/>
        </w:rPr>
        <w:t>If we were to sell shares of our common stock below our then current NAV per share, such sales would result in an immediate dilution to the NAV per share of our common stock. This dilution would occur as a result of the sale of shares at a price below the then current NAV per share of our common stock and a proportionately greater decrease in the stockholders’ interest in our earnings and assets and their voting interest in us than the increase in our assets resulting from such issuance. Because the number of shares of common stock that could be so issued and the timing of any issuance is not currently known, the actual dilutive effect cannot be predicted.</w:t>
      </w:r>
    </w:p>
    <w:p>
      <w:pPr>
        <w:spacing w:after="0" w:line="72" w:lineRule="exact"/>
        <w:rPr>
          <w:sz w:val="20"/>
          <w:szCs w:val="20"/>
          <w:color w:val="auto"/>
        </w:rPr>
      </w:pPr>
    </w:p>
    <w:p>
      <w:pPr>
        <w:ind w:left="920" w:right="920" w:firstLine="382"/>
        <w:spacing w:after="0" w:line="239" w:lineRule="auto"/>
        <w:rPr>
          <w:sz w:val="20"/>
          <w:szCs w:val="20"/>
          <w:color w:val="auto"/>
        </w:rPr>
      </w:pPr>
      <w:r>
        <w:rPr>
          <w:rFonts w:ascii="Times New Roman" w:cs="Times New Roman" w:eastAsia="Times New Roman" w:hAnsi="Times New Roman"/>
          <w:sz w:val="16"/>
          <w:szCs w:val="16"/>
          <w:color w:val="auto"/>
        </w:rPr>
        <w:t>Further, if our current stockholders do not purchase any shares to maintain their percentage interest, regardless of whether such offering is above or below the then current NAV per share, their voting power will be diluted. For example, if we sell an additional 10% of our common shares at a 10% discount from NAV, a stockholder who does not participate in that offering for its proportionate interest will suffer net asset value dilution of up to 1.0% or $10 per $1,000 of NAV.</w:t>
      </w:r>
    </w:p>
    <w:p>
      <w:pPr>
        <w:spacing w:after="0" w:line="16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The indenture governing our debt securities contains limited protection for holders of our debt securities.</w:t>
      </w:r>
    </w:p>
    <w:p>
      <w:pPr>
        <w:spacing w:after="0" w:line="117" w:lineRule="exact"/>
        <w:rPr>
          <w:sz w:val="20"/>
          <w:szCs w:val="20"/>
          <w:color w:val="auto"/>
        </w:rPr>
      </w:pPr>
    </w:p>
    <w:p>
      <w:pPr>
        <w:ind w:left="920" w:right="1060" w:firstLine="382"/>
        <w:spacing w:after="0" w:line="239" w:lineRule="auto"/>
        <w:rPr>
          <w:sz w:val="20"/>
          <w:szCs w:val="20"/>
          <w:color w:val="auto"/>
        </w:rPr>
      </w:pPr>
      <w:r>
        <w:rPr>
          <w:rFonts w:ascii="Times New Roman" w:cs="Times New Roman" w:eastAsia="Times New Roman" w:hAnsi="Times New Roman"/>
          <w:sz w:val="16"/>
          <w:szCs w:val="16"/>
          <w:color w:val="auto"/>
        </w:rPr>
        <w:t>The indenture governing our debt securities, including the Notes, offers limited protection to holders of our debt securities. The terms of the indenture do not restrict our or any of our subsidiaries’ ability to engage in, or otherwise be a party to, a variety of corporate transactions, circumstances or events that could have an adverse impact on your investment in our debt securities. In particular, the terms of the indenture do not place any restrictions on our or our subsidiaries’ ability to:</w:t>
      </w:r>
    </w:p>
    <w:p>
      <w:pPr>
        <w:spacing w:after="0" w:line="100" w:lineRule="exact"/>
        <w:rPr>
          <w:sz w:val="20"/>
          <w:szCs w:val="20"/>
          <w:color w:val="auto"/>
        </w:rPr>
      </w:pPr>
    </w:p>
    <w:p>
      <w:pPr>
        <w:ind w:left="1680" w:right="1320" w:hanging="375"/>
        <w:spacing w:after="0" w:line="280" w:lineRule="auto"/>
        <w:tabs>
          <w:tab w:leader="none" w:pos="16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securities or otherwise incur additional indebtedness or other obligations, including (1) any indebtedness or other obligations that would be equal in right of payment to our debt securities,</w:t>
      </w:r>
    </w:p>
    <w:p>
      <w:pPr>
        <w:ind w:left="1680" w:right="940" w:firstLine="7"/>
        <w:spacing w:after="0" w:line="267" w:lineRule="auto"/>
        <w:tabs>
          <w:tab w:leader="none" w:pos="1900" w:val="left"/>
        </w:tabs>
        <w:numPr>
          <w:ilvl w:val="1"/>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indebtedness or other obligations that would be secured and therefore rank effectively senior in right of payment to our debt securities to the extent of the values of the assets securing such debt,</w:t>
      </w:r>
    </w:p>
    <w:p>
      <w:pPr>
        <w:ind w:left="1680" w:right="940" w:firstLine="7"/>
        <w:spacing w:after="0" w:line="234" w:lineRule="auto"/>
        <w:tabs>
          <w:tab w:leader="none" w:pos="1900"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indebtedness of ours that is guaranteed by one or more of our subsidiaries and which therefore would rank structurally senior to our debt securities and (4) securities, indebtedness or obligations issued or incurred by our subsidiaries that would be senior to our equity interests in our subsidiaries and therefore rank structurally senior to our debt securities with respect to the assets of our subsidiaries, in each case other than an incurrence of indebtedness or other obligation that would cause a violation of Section 18(a)(1)(A) of the 1940 Act or any successor provisions;</w:t>
      </w:r>
    </w:p>
    <w:p>
      <w:pPr>
        <w:spacing w:after="0" w:line="100" w:lineRule="exact"/>
        <w:rPr>
          <w:rFonts w:ascii="Times New Roman" w:cs="Times New Roman" w:eastAsia="Times New Roman" w:hAnsi="Times New Roman"/>
          <w:sz w:val="16"/>
          <w:szCs w:val="16"/>
          <w:color w:val="auto"/>
        </w:rPr>
      </w:pPr>
    </w:p>
    <w:p>
      <w:pPr>
        <w:ind w:left="1680" w:right="1020" w:hanging="375"/>
        <w:spacing w:after="0" w:line="241"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distributions or dividends on, or purchase or redeem or make any payments in respect of, capital stock or other securities ranking junior in right of payment to our debt securities, other than a distribution, dividend or purchase that would cause a violation of Section 18(a)(1)(B) of the 1940 Act or any successor provisions;</w:t>
      </w:r>
    </w:p>
    <w:p>
      <w:pPr>
        <w:spacing w:after="0" w:line="97" w:lineRule="exact"/>
        <w:rPr>
          <w:rFonts w:ascii="Times New Roman" w:cs="Times New Roman" w:eastAsia="Times New Roman" w:hAnsi="Times New Roman"/>
          <w:sz w:val="16"/>
          <w:szCs w:val="16"/>
          <w:color w:val="auto"/>
        </w:rPr>
      </w:pPr>
    </w:p>
    <w:p>
      <w:pPr>
        <w:ind w:left="1680" w:right="1300" w:hanging="375"/>
        <w:spacing w:after="0" w:line="257"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 assets (other than certain limited restrictions on our ability to consolidate, merge or sell all or substantially all of our assets);</w:t>
      </w:r>
    </w:p>
    <w:p>
      <w:pPr>
        <w:spacing w:after="0" w:line="8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enter into transactions with affiliates;</w:t>
      </w:r>
    </w:p>
    <w:p>
      <w:pPr>
        <w:spacing w:after="0" w:line="114" w:lineRule="exact"/>
        <w:rPr>
          <w:rFonts w:ascii="Times New Roman" w:cs="Times New Roman" w:eastAsia="Times New Roman" w:hAnsi="Times New Roman"/>
          <w:sz w:val="16"/>
          <w:szCs w:val="16"/>
          <w:color w:val="auto"/>
        </w:rPr>
      </w:pPr>
    </w:p>
    <w:p>
      <w:pPr>
        <w:ind w:left="1680" w:right="1560" w:hanging="375"/>
        <w:spacing w:after="0" w:line="257" w:lineRule="auto"/>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liens (including liens on the shares of our subsidiaries) or enter into sale and leaseback transactions;</w:t>
      </w:r>
    </w:p>
    <w:p>
      <w:pPr>
        <w:spacing w:after="0" w:line="83"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investments; or</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create restrictions on the payment of dividends or other amounts to us from our subsidiaries.</w:t>
      </w:r>
    </w:p>
    <w:p>
      <w:pPr>
        <w:spacing w:after="0" w:line="115" w:lineRule="exact"/>
        <w:rPr>
          <w:sz w:val="20"/>
          <w:szCs w:val="20"/>
          <w:color w:val="auto"/>
        </w:rPr>
      </w:pPr>
    </w:p>
    <w:p>
      <w:pPr>
        <w:ind w:left="920" w:right="1100" w:firstLine="382"/>
        <w:spacing w:after="0" w:line="287" w:lineRule="auto"/>
        <w:rPr>
          <w:sz w:val="20"/>
          <w:szCs w:val="20"/>
          <w:color w:val="auto"/>
        </w:rPr>
      </w:pPr>
      <w:r>
        <w:rPr>
          <w:rFonts w:ascii="Times New Roman" w:cs="Times New Roman" w:eastAsia="Times New Roman" w:hAnsi="Times New Roman"/>
          <w:sz w:val="14"/>
          <w:szCs w:val="14"/>
          <w:color w:val="auto"/>
        </w:rPr>
        <w:t>Furthermore, the terms of the indenture do not protect holders of our debt securities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8" w:name="page99"/>
    <w:bookmarkEnd w:id="9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firstLine="382"/>
        <w:spacing w:after="0" w:line="241" w:lineRule="auto"/>
        <w:rPr>
          <w:sz w:val="20"/>
          <w:szCs w:val="20"/>
          <w:color w:val="auto"/>
        </w:rPr>
      </w:pPr>
      <w:r>
        <w:rPr>
          <w:rFonts w:ascii="Times New Roman" w:cs="Times New Roman" w:eastAsia="Times New Roman" w:hAnsi="Times New Roman"/>
          <w:sz w:val="16"/>
          <w:szCs w:val="16"/>
          <w:color w:val="auto"/>
        </w:rPr>
        <w:t>Our ability to recapitalize, incur additional debt and take a number of other actions that are not limited by the terms of our debt securities may have important consequences for you as a holder of our debt securities, including making it more difficult for us to satisfy our obligations with respect to our debt securities or negatively affecting the trading value of our debt securities.</w:t>
      </w:r>
    </w:p>
    <w:p>
      <w:pPr>
        <w:spacing w:after="0" w:line="97" w:lineRule="exact"/>
        <w:rPr>
          <w:sz w:val="20"/>
          <w:szCs w:val="20"/>
          <w:color w:val="auto"/>
        </w:rPr>
      </w:pPr>
    </w:p>
    <w:p>
      <w:pPr>
        <w:ind w:left="920" w:right="1140" w:firstLine="382"/>
        <w:spacing w:after="0" w:line="241" w:lineRule="auto"/>
        <w:rPr>
          <w:sz w:val="20"/>
          <w:szCs w:val="20"/>
          <w:color w:val="auto"/>
        </w:rPr>
      </w:pPr>
      <w:r>
        <w:rPr>
          <w:rFonts w:ascii="Times New Roman" w:cs="Times New Roman" w:eastAsia="Times New Roman" w:hAnsi="Times New Roman"/>
          <w:sz w:val="16"/>
          <w:szCs w:val="16"/>
          <w:color w:val="auto"/>
        </w:rPr>
        <w:t>Other debt we issue or incur in the future could contain more protections for its holders than the indenture and our debt securities, including additional covenants and events of default. The issuance or incurrence of any such debt with incremental protections could affect the market for and trading levels and prices of our debt securities.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Any optional redemption provision may materially adversely affect the return on our debt securities.</w:t>
      </w:r>
    </w:p>
    <w:p>
      <w:pPr>
        <w:spacing w:after="0" w:line="117" w:lineRule="exact"/>
        <w:rPr>
          <w:sz w:val="20"/>
          <w:szCs w:val="20"/>
          <w:color w:val="auto"/>
        </w:rPr>
      </w:pPr>
    </w:p>
    <w:p>
      <w:pPr>
        <w:ind w:left="920" w:right="960" w:firstLine="382"/>
        <w:spacing w:after="0" w:line="282" w:lineRule="auto"/>
        <w:rPr>
          <w:sz w:val="20"/>
          <w:szCs w:val="20"/>
          <w:color w:val="auto"/>
        </w:rPr>
      </w:pPr>
      <w:r>
        <w:rPr>
          <w:rFonts w:ascii="Times New Roman" w:cs="Times New Roman" w:eastAsia="Times New Roman" w:hAnsi="Times New Roman"/>
          <w:sz w:val="14"/>
          <w:szCs w:val="14"/>
          <w:color w:val="auto"/>
        </w:rPr>
        <w:t>Our debt securities may be redeemable in whole or in part at any time or from time to time at our sole option as set forth in the applicable indenture or otherwise. We may choose to redeem any of our debt securities, including the Notes, at times when prevailing interest rates are lower than the interest rate paid on the applicable debt securities. In this circumstance, holders may not be able to reinvest the redemption proceeds in a comparable security at an effective interest rate as high as that of the debt securities being redeemed.</w:t>
      </w:r>
    </w:p>
    <w:p>
      <w:pPr>
        <w:spacing w:after="0" w:line="140" w:lineRule="exact"/>
        <w:rPr>
          <w:sz w:val="20"/>
          <w:szCs w:val="20"/>
          <w:color w:val="auto"/>
        </w:rPr>
      </w:pPr>
    </w:p>
    <w:p>
      <w:pPr>
        <w:ind w:left="920" w:right="12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If we default on our obligations to pay our other indebtedness, we may not be able to make payments on our debt securities.</w:t>
      </w:r>
    </w:p>
    <w:p>
      <w:pPr>
        <w:spacing w:after="0" w:line="81" w:lineRule="exact"/>
        <w:rPr>
          <w:sz w:val="20"/>
          <w:szCs w:val="20"/>
          <w:color w:val="auto"/>
        </w:rPr>
      </w:pPr>
    </w:p>
    <w:p>
      <w:pPr>
        <w:ind w:left="920" w:right="980" w:firstLine="382"/>
        <w:spacing w:after="0" w:line="270" w:lineRule="auto"/>
        <w:rPr>
          <w:sz w:val="20"/>
          <w:szCs w:val="20"/>
          <w:color w:val="auto"/>
        </w:rPr>
      </w:pPr>
      <w:r>
        <w:rPr>
          <w:rFonts w:ascii="Times New Roman" w:cs="Times New Roman" w:eastAsia="Times New Roman" w:hAnsi="Times New Roman"/>
          <w:sz w:val="14"/>
          <w:szCs w:val="14"/>
          <w:color w:val="auto"/>
        </w:rPr>
        <w:t>Any default under any agreements governing the Notes, our future indebtedness or under other indebtedness to which we may be a party that is not waived by the required lenders or holders, and the remedies sought by the holders of such indebtedness could make us unable to pay principal, premium, if any, and interest on our debt securities and substantially decrease the market value of our debt securities.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any future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of the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or holders of any debt that we may incur in the future to avoid being in default. If we breach our covenants under our debt and seek a waiver, we may not be able to obtain a waiver from the required lenders or holders of the debt. If this occurs, we would be in default and our lenders or debt holders could exercise their rights as described above, and we could be forced into bankruptcy or liquidation. If we are unable to repay debt, lenders having secured obligations could proceed against the collateral securing the debt. Because any future debt will likely have customary cross-default provisions, if the indebtedness thereunder or under any future credit facility is accelerated, we may be unable to repay or finance the amounts due.</w:t>
      </w:r>
    </w:p>
    <w:p>
      <w:pPr>
        <w:spacing w:after="0" w:line="3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General Risks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are currently operating in a period of capital markets disruption and economic uncertainty.</w:t>
      </w:r>
    </w:p>
    <w:p>
      <w:pPr>
        <w:spacing w:after="0" w:line="117" w:lineRule="exact"/>
        <w:rPr>
          <w:sz w:val="20"/>
          <w:szCs w:val="20"/>
          <w:color w:val="auto"/>
        </w:rPr>
      </w:pPr>
    </w:p>
    <w:p>
      <w:pPr>
        <w:ind w:left="920" w:right="1040" w:firstLine="382"/>
        <w:spacing w:after="0" w:line="236" w:lineRule="auto"/>
        <w:rPr>
          <w:sz w:val="20"/>
          <w:szCs w:val="20"/>
          <w:color w:val="auto"/>
        </w:rPr>
      </w:pPr>
      <w:r>
        <w:rPr>
          <w:rFonts w:ascii="Times New Roman" w:cs="Times New Roman" w:eastAsia="Times New Roman" w:hAnsi="Times New Roman"/>
          <w:sz w:val="16"/>
          <w:szCs w:val="16"/>
          <w:color w:val="auto"/>
        </w:rPr>
        <w:t>Recent market and economic conditions have been unprecedented and challenging. Continued concerns about the systemic impact of inflation, energy costs, recent events in the regional bank sector, the pandemic, geopolitical issues, the availability and cost of credit, sovereign debt levels, the mortgage market and a declining real estate market in the U.S. have contributed to increased market volatility and diminished expectations for the U.S. economy. These conditions, combined with volatile oil prices, declining business and consumer confidence and increased unemployment have contributed to volatility of unprecedented levels. The factors described above have led to an overall reduction in liquidity in the debt capital markets, including sources of liquidity that we may wish to utilize. Such conditions could reduce the availability of leverage to us, our investments, and potential purchasers of our investments or make such leverage more expensive to obtain, thereby adversely affecting our performance.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99" w:name="page100"/>
    <w:bookmarkEnd w:id="9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right="9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Global economic, regulatory and market conditions may adversely affect our business, results of operations and financial condition, including our revenue growth and profitability.</w:t>
      </w:r>
    </w:p>
    <w:p>
      <w:pPr>
        <w:spacing w:after="0" w:line="81" w:lineRule="exact"/>
        <w:rPr>
          <w:sz w:val="20"/>
          <w:szCs w:val="20"/>
          <w:color w:val="auto"/>
        </w:rPr>
      </w:pPr>
    </w:p>
    <w:p>
      <w:pPr>
        <w:ind w:left="920" w:right="1000" w:firstLine="382"/>
        <w:spacing w:after="0" w:line="239" w:lineRule="auto"/>
        <w:rPr>
          <w:sz w:val="20"/>
          <w:szCs w:val="20"/>
          <w:color w:val="auto"/>
        </w:rPr>
      </w:pPr>
      <w:r>
        <w:rPr>
          <w:rFonts w:ascii="Times New Roman" w:cs="Times New Roman" w:eastAsia="Times New Roman" w:hAnsi="Times New Roman"/>
          <w:sz w:val="16"/>
          <w:szCs w:val="16"/>
          <w:color w:val="auto"/>
        </w:rPr>
        <w:t>The success of our activities will be affected by general economic and market conditions, such as interest rates, availability of credit, credit defaults, inflation rates, economic uncertainty, changes in laws (including laws relating to taxation of our investments), trade barriers, currency exchange controls, disease outbreaks, pandemics, and national and international political, environmental and socioeconomic circumstances (including wars, terrorist acts or security operations).</w:t>
      </w:r>
    </w:p>
    <w:p>
      <w:pPr>
        <w:spacing w:after="0" w:line="100" w:lineRule="exact"/>
        <w:rPr>
          <w:sz w:val="20"/>
          <w:szCs w:val="20"/>
          <w:color w:val="auto"/>
        </w:rPr>
      </w:pPr>
    </w:p>
    <w:p>
      <w:pPr>
        <w:ind w:left="920" w:right="960" w:firstLine="382"/>
        <w:spacing w:after="0" w:line="276" w:lineRule="auto"/>
        <w:rPr>
          <w:sz w:val="20"/>
          <w:szCs w:val="20"/>
          <w:color w:val="auto"/>
        </w:rPr>
      </w:pPr>
      <w:r>
        <w:rPr>
          <w:rFonts w:ascii="Times New Roman" w:cs="Times New Roman" w:eastAsia="Times New Roman" w:hAnsi="Times New Roman"/>
          <w:sz w:val="14"/>
          <w:szCs w:val="14"/>
          <w:color w:val="auto"/>
        </w:rPr>
        <w:t>The Israel-Hamas war and the conflict between Russia and Ukraine, and resulting market volatility, could also adversely affect our business, operating results, and financial condition. The extent and duration or escalation of such conflicts, resulting sanctions and resulting future market disruptions are impossible to predict, but could be significant.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w:t>
      </w:r>
    </w:p>
    <w:p>
      <w:pPr>
        <w:spacing w:after="0" w:line="72" w:lineRule="exact"/>
        <w:rPr>
          <w:sz w:val="20"/>
          <w:szCs w:val="20"/>
          <w:color w:val="auto"/>
        </w:rPr>
      </w:pPr>
    </w:p>
    <w:p>
      <w:pPr>
        <w:ind w:left="920" w:right="960" w:firstLine="382"/>
        <w:spacing w:after="0" w:line="238" w:lineRule="auto"/>
        <w:rPr>
          <w:sz w:val="20"/>
          <w:szCs w:val="20"/>
          <w:color w:val="auto"/>
        </w:rPr>
      </w:pPr>
      <w:r>
        <w:rPr>
          <w:rFonts w:ascii="Times New Roman" w:cs="Times New Roman" w:eastAsia="Times New Roman" w:hAnsi="Times New Roman"/>
          <w:sz w:val="16"/>
          <w:szCs w:val="16"/>
          <w:color w:val="auto"/>
        </w:rPr>
        <w:t>Our investment strategy and the availability of opportunities satisfying our risk-adjusted return parameters relies in part on observable trends and conditions in the financial markets and in some cases the improvement of such conditions. Trends and historical events do not imply, forecast or predict future events and, in any event, past performance is not necessarily indicative of future results. There can be no assurance that the assumptions made or the beliefs and expectations currently held by Oxford Lane Management will prove correct and actual events and circumstances may vary significantly.</w:t>
      </w:r>
    </w:p>
    <w:p>
      <w:pPr>
        <w:spacing w:after="0" w:line="100" w:lineRule="exact"/>
        <w:rPr>
          <w:sz w:val="20"/>
          <w:szCs w:val="20"/>
          <w:color w:val="auto"/>
        </w:rPr>
      </w:pPr>
    </w:p>
    <w:p>
      <w:pPr>
        <w:ind w:left="920" w:right="940" w:firstLine="382"/>
        <w:spacing w:after="0" w:line="273" w:lineRule="auto"/>
        <w:rPr>
          <w:sz w:val="20"/>
          <w:szCs w:val="20"/>
          <w:color w:val="auto"/>
        </w:rPr>
      </w:pPr>
      <w:r>
        <w:rPr>
          <w:rFonts w:ascii="Times New Roman" w:cs="Times New Roman" w:eastAsia="Times New Roman" w:hAnsi="Times New Roman"/>
          <w:sz w:val="14"/>
          <w:szCs w:val="14"/>
          <w:color w:val="auto"/>
        </w:rPr>
        <w:t>Adverse economic conditions also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funding costs, limit our access to the capital markets or result in a decision by lenders not to extend credit to us. These events could prevent us from increasing investments and harm our operating results. An issuer’s failure to satisfy financial or operating covenants imposed by us or other lenders could lead to defaults and, potentially, acceleration of the time when the loans are due and foreclosure on our secured assets, which could trigger cross-defaults under other agreements and jeopardize the issuer’s ability to meet our obligations under the debt that we hold. We may incur additional expenses to the extent necessary to seek recovery upon default or to negotiate new terms with a defaulting issuer. In addition, if one of the issuers were to go bankrupt, depending on the facts and circumstances, including the extent to which we will actually provide significant managerial assistance to that issuer, a bankruptcy court might subordinate all or a portion of our claim to that of other creditors.</w:t>
      </w:r>
    </w:p>
    <w:p>
      <w:pPr>
        <w:spacing w:after="0" w:line="256" w:lineRule="exact"/>
        <w:rPr>
          <w:sz w:val="20"/>
          <w:szCs w:val="20"/>
          <w:color w:val="auto"/>
        </w:rPr>
      </w:pPr>
    </w:p>
    <w:p>
      <w:pPr>
        <w:ind w:left="920" w:right="920" w:firstLine="382"/>
        <w:spacing w:after="0" w:line="245" w:lineRule="auto"/>
        <w:rPr>
          <w:sz w:val="20"/>
          <w:szCs w:val="20"/>
          <w:color w:val="auto"/>
        </w:rPr>
      </w:pPr>
      <w:r>
        <w:rPr>
          <w:rFonts w:ascii="Times New Roman" w:cs="Times New Roman" w:eastAsia="Times New Roman" w:hAnsi="Times New Roman"/>
          <w:sz w:val="16"/>
          <w:szCs w:val="16"/>
          <w:color w:val="auto"/>
        </w:rPr>
        <w:t>The prices of financial instruments in which we may invest can be highly volatile. General fluctuations in the market prices of securities may affect the value of the investments held by us. Instability in the securities markets may also increase the risks inherent in our investments.</w:t>
      </w:r>
    </w:p>
    <w:p>
      <w:pPr>
        <w:spacing w:after="0" w:line="163" w:lineRule="exact"/>
        <w:rPr>
          <w:sz w:val="20"/>
          <w:szCs w:val="20"/>
          <w:color w:val="auto"/>
        </w:rPr>
      </w:pPr>
    </w:p>
    <w:p>
      <w:pPr>
        <w:ind w:left="920" w:right="9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Any public health emergency or the threat thereof, and the resulting financial and economic market uncertainty could have a significant adverse impact on us and the fair value of our investments.</w:t>
      </w:r>
    </w:p>
    <w:p>
      <w:pPr>
        <w:spacing w:after="0" w:line="81" w:lineRule="exact"/>
        <w:rPr>
          <w:sz w:val="20"/>
          <w:szCs w:val="20"/>
          <w:color w:val="auto"/>
        </w:rPr>
      </w:pPr>
    </w:p>
    <w:p>
      <w:pPr>
        <w:ind w:left="920" w:right="1020" w:firstLine="382"/>
        <w:spacing w:after="0" w:line="273" w:lineRule="auto"/>
        <w:rPr>
          <w:sz w:val="20"/>
          <w:szCs w:val="20"/>
          <w:color w:val="auto"/>
        </w:rPr>
      </w:pPr>
      <w:r>
        <w:rPr>
          <w:rFonts w:ascii="Times New Roman" w:cs="Times New Roman" w:eastAsia="Times New Roman" w:hAnsi="Times New Roman"/>
          <w:sz w:val="14"/>
          <w:szCs w:val="14"/>
          <w:color w:val="auto"/>
        </w:rPr>
        <w:t>Widespread disease and natural or environmental disasters, such as earthquakes, droughts, fires, floods, hurricanes, tsunamis and climate-related phenomena generally, have been and can be highly disruptive to economies and markets, adversely impacting individual companies, sectors, industries, markets, currencies, interest and inflation rates, credit ratings, investor sentiment, and other factors affecting the value of our investments. Economies and financial markets throughout the world have become increasingly interconnected, which increases the likelihood that events or conditions in one region or country will adversely affect markets or issuers in other regions or countries, including the United States. Additionally, market disruptions may result in increased market volatility; regulatory trading halts; closure of domestic or foreign exchanges, markets or governments; or market participants operating pursuant to business continuity plans for indeterminate periods of time. Further, market disruptions can (i) prevent us from executing advantageous investment decisions in a timely manner, (ii) negatively impact our ability to achieve our investment objective, as well as the operations of us and the Adviser, and (iii) may exacerbate the risks discussed herein, including political, social and economic risks.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0" w:name="page101"/>
    <w:bookmarkEnd w:id="10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both"/>
        <w:ind w:left="920" w:right="1260"/>
        <w:spacing w:after="0" w:line="247" w:lineRule="auto"/>
        <w:rPr>
          <w:sz w:val="20"/>
          <w:szCs w:val="20"/>
          <w:color w:val="auto"/>
        </w:rPr>
      </w:pPr>
      <w:r>
        <w:rPr>
          <w:rFonts w:ascii="Times New Roman" w:cs="Times New Roman" w:eastAsia="Times New Roman" w:hAnsi="Times New Roman"/>
          <w:sz w:val="16"/>
          <w:szCs w:val="16"/>
          <w:b w:val="1"/>
          <w:bCs w:val="1"/>
          <w:i w:val="1"/>
          <w:iCs w:val="1"/>
          <w:color w:val="auto"/>
        </w:rPr>
        <w:t>Terrorist attacks, acts of war, global health emergencies or natural disasters may affect any market for our securities, impact the businesses in which we invest and harm our business, operating results and financial condition.</w:t>
      </w:r>
    </w:p>
    <w:p>
      <w:pPr>
        <w:spacing w:after="0" w:line="91" w:lineRule="exact"/>
        <w:rPr>
          <w:sz w:val="20"/>
          <w:szCs w:val="20"/>
          <w:color w:val="auto"/>
        </w:rPr>
      </w:pPr>
    </w:p>
    <w:p>
      <w:pPr>
        <w:ind w:left="920" w:right="920" w:firstLine="382"/>
        <w:spacing w:after="0" w:line="237" w:lineRule="auto"/>
        <w:rPr>
          <w:sz w:val="20"/>
          <w:szCs w:val="20"/>
          <w:color w:val="auto"/>
        </w:rPr>
      </w:pPr>
      <w:r>
        <w:rPr>
          <w:rFonts w:ascii="Times New Roman" w:cs="Times New Roman" w:eastAsia="Times New Roman" w:hAnsi="Times New Roman"/>
          <w:sz w:val="16"/>
          <w:szCs w:val="16"/>
          <w:color w:val="auto"/>
        </w:rPr>
        <w:t>Terrorist acts, acts of war, global health emergencies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global health emergencies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global health emergencies and natural disasters are generally uninsurable.</w:t>
      </w:r>
    </w:p>
    <w:p>
      <w:pPr>
        <w:spacing w:after="0" w:line="1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related to corporate social responsibility.</w:t>
      </w:r>
    </w:p>
    <w:p>
      <w:pPr>
        <w:spacing w:after="0" w:line="117" w:lineRule="exact"/>
        <w:rPr>
          <w:sz w:val="20"/>
          <w:szCs w:val="20"/>
          <w:color w:val="auto"/>
        </w:rPr>
      </w:pPr>
    </w:p>
    <w:p>
      <w:pPr>
        <w:ind w:left="920" w:right="960" w:firstLine="382"/>
        <w:spacing w:after="0" w:line="279" w:lineRule="auto"/>
        <w:rPr>
          <w:sz w:val="20"/>
          <w:szCs w:val="20"/>
          <w:color w:val="auto"/>
        </w:rPr>
      </w:pPr>
      <w:r>
        <w:rPr>
          <w:rFonts w:ascii="Times New Roman" w:cs="Times New Roman" w:eastAsia="Times New Roman" w:hAnsi="Times New Roman"/>
          <w:sz w:val="14"/>
          <w:szCs w:val="14"/>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142" w:lineRule="exact"/>
        <w:rPr>
          <w:sz w:val="20"/>
          <w:szCs w:val="20"/>
          <w:color w:val="auto"/>
        </w:rPr>
      </w:pPr>
    </w:p>
    <w:p>
      <w:pPr>
        <w:ind w:left="920" w:right="10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Changes in laws or regulations governing our operations may adversely affect our business or cause us to alter our business strategy.</w:t>
      </w:r>
    </w:p>
    <w:p>
      <w:pPr>
        <w:spacing w:after="0" w:line="81"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We, the CLO vehicles in which we intend to invest, and the portfolio companies whose securities are held by such CLO vehicles will be subject to applicable local, state and federal laws and regulations, including, without limitation, federal immigration laws and regulations. New legislation may be enacted or new interpretations, rulings or regulations could be adopted, including those governing the types of investments we are permitted to make, any of which could harm us and our stockholders, potentially with retroactive effect. 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Adviser’s senior investment team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Cybersecurity threats, as well as other disasters, could impair our ability to conduct business effectively.</w:t>
      </w:r>
    </w:p>
    <w:p>
      <w:pPr>
        <w:spacing w:after="0" w:line="117" w:lineRule="exact"/>
        <w:rPr>
          <w:sz w:val="20"/>
          <w:szCs w:val="20"/>
          <w:color w:val="auto"/>
        </w:rPr>
      </w:pPr>
    </w:p>
    <w:p>
      <w:pPr>
        <w:ind w:left="920" w:right="1000" w:firstLine="382"/>
        <w:spacing w:after="0" w:line="238"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third-party that has access to our data or networks, a natural catastrophe, an industrial accident, a terrorist attack or war, disease pandemics,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w:t>
      </w:r>
    </w:p>
    <w:p>
      <w:pPr>
        <w:spacing w:after="0" w:line="100" w:lineRule="exact"/>
        <w:rPr>
          <w:sz w:val="20"/>
          <w:szCs w:val="20"/>
          <w:color w:val="auto"/>
        </w:rPr>
      </w:pPr>
    </w:p>
    <w:p>
      <w:pPr>
        <w:ind w:left="920" w:right="1020" w:firstLine="382"/>
        <w:spacing w:after="0" w:line="276" w:lineRule="auto"/>
        <w:rPr>
          <w:sz w:val="20"/>
          <w:szCs w:val="20"/>
          <w:color w:val="auto"/>
        </w:rPr>
      </w:pPr>
      <w:r>
        <w:rPr>
          <w:rFonts w:ascii="Times New Roman" w:cs="Times New Roman" w:eastAsia="Times New Roman" w:hAnsi="Times New Roman"/>
          <w:sz w:val="14"/>
          <w:szCs w:val="14"/>
          <w:color w:val="auto"/>
        </w:rPr>
        <w:t>We depend heavily upon computer systems to perform necessary business functions. Despite our implementation of a variety of security measures, our computers, networks, and data, like those of other companies, could be subject to cyber-attacks and unauthorized access, use, alteration, or destruction, such as from physical and electronic break-ins or unauthorized tampering. If one or more of these events occurs, it could potentially jeopardize the confidential, proprietary and other information processed, stored in, and transmitted through our computer systems and networks. Such an attack could cause interruptions or malfunctions in our operations, which could result in financial losses, litigation, regulatory penalties, client dissatisfaction or loss, reputational damage, and increased costs associated with mitigation of damages and remediation.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1" w:name="page102"/>
    <w:bookmarkEnd w:id="10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20" w:firstLine="382"/>
        <w:spacing w:after="0" w:line="282" w:lineRule="auto"/>
        <w:rPr>
          <w:sz w:val="20"/>
          <w:szCs w:val="20"/>
          <w:color w:val="auto"/>
        </w:rPr>
      </w:pPr>
      <w:r>
        <w:rPr>
          <w:rFonts w:ascii="Times New Roman" w:cs="Times New Roman" w:eastAsia="Times New Roman" w:hAnsi="Times New Roman"/>
          <w:sz w:val="14"/>
          <w:szCs w:val="14"/>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70" w:lineRule="exact"/>
        <w:rPr>
          <w:sz w:val="20"/>
          <w:szCs w:val="20"/>
          <w:color w:val="auto"/>
        </w:rPr>
      </w:pPr>
    </w:p>
    <w:p>
      <w:pPr>
        <w:ind w:left="920" w:right="1140" w:firstLine="382"/>
        <w:spacing w:after="0" w:line="238" w:lineRule="auto"/>
        <w:rPr>
          <w:sz w:val="20"/>
          <w:szCs w:val="20"/>
          <w:color w:val="auto"/>
        </w:rPr>
      </w:pPr>
      <w:r>
        <w:rPr>
          <w:rFonts w:ascii="Times New Roman" w:cs="Times New Roman" w:eastAsia="Times New Roman" w:hAnsi="Times New Roman"/>
          <w:sz w:val="16"/>
          <w:szCs w:val="16"/>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100" w:lineRule="exact"/>
        <w:rPr>
          <w:sz w:val="20"/>
          <w:szCs w:val="20"/>
          <w:color w:val="auto"/>
        </w:rPr>
      </w:pPr>
    </w:p>
    <w:p>
      <w:pPr>
        <w:ind w:left="1680" w:hanging="375"/>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sudden electrical or telecommunications outages;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natural disasters such as earthquakes, tornadoes and hurricanes;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arising from local or larger scale political or social matters, including terrorist acts; and</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cyber attacks.</w:t>
      </w:r>
    </w:p>
    <w:p>
      <w:pPr>
        <w:spacing w:after="0" w:line="115" w:lineRule="exact"/>
        <w:rPr>
          <w:sz w:val="20"/>
          <w:szCs w:val="20"/>
          <w:color w:val="auto"/>
        </w:rPr>
      </w:pPr>
    </w:p>
    <w:p>
      <w:pPr>
        <w:ind w:left="920" w:right="1020" w:firstLine="382"/>
        <w:spacing w:after="0" w:line="257" w:lineRule="auto"/>
        <w:rPr>
          <w:sz w:val="20"/>
          <w:szCs w:val="20"/>
          <w:color w:val="auto"/>
        </w:rPr>
      </w:pPr>
      <w:r>
        <w:rPr>
          <w:rFonts w:ascii="Times New Roman" w:cs="Times New Roman" w:eastAsia="Times New Roman" w:hAnsi="Times New Roman"/>
          <w:sz w:val="16"/>
          <w:szCs w:val="16"/>
          <w:color w:val="auto"/>
        </w:rPr>
        <w:t>These events, in turn, could have a material adverse effect on our operating results and negatively affect the market price of our common stock and our ability to pay distributions to stockholders.</w:t>
      </w:r>
    </w:p>
    <w:p>
      <w:pPr>
        <w:spacing w:after="0" w:line="154" w:lineRule="exact"/>
        <w:rPr>
          <w:sz w:val="20"/>
          <w:szCs w:val="20"/>
          <w:color w:val="auto"/>
        </w:rPr>
      </w:pPr>
    </w:p>
    <w:p>
      <w:pPr>
        <w:ind w:left="920" w:right="1100"/>
        <w:spacing w:after="0" w:line="242" w:lineRule="auto"/>
        <w:rPr>
          <w:sz w:val="20"/>
          <w:szCs w:val="20"/>
          <w:color w:val="auto"/>
        </w:rPr>
      </w:pPr>
      <w:r>
        <w:rPr>
          <w:rFonts w:ascii="Times New Roman" w:cs="Times New Roman" w:eastAsia="Times New Roman" w:hAnsi="Times New Roman"/>
          <w:sz w:val="16"/>
          <w:szCs w:val="16"/>
          <w:b w:val="1"/>
          <w:bCs w:val="1"/>
          <w:i w:val="1"/>
          <w:iCs w:val="1"/>
          <w:color w:val="auto"/>
        </w:rPr>
        <w:t>We and the Adviser may maintain cash balances at financial institutions that exceed federally insured limits and may otherwise be materially affected by adverse developments affecting the financial services industry, such as actual events or concerns involving liquidity, defaults or non-performance by financial institutions or transactional counterparties.</w:t>
      </w:r>
    </w:p>
    <w:p>
      <w:pPr>
        <w:spacing w:after="0" w:line="96" w:lineRule="exact"/>
        <w:rPr>
          <w:sz w:val="20"/>
          <w:szCs w:val="20"/>
          <w:color w:val="auto"/>
        </w:rPr>
      </w:pPr>
    </w:p>
    <w:p>
      <w:pPr>
        <w:ind w:left="920" w:right="940" w:firstLine="382"/>
        <w:spacing w:after="0" w:line="275" w:lineRule="auto"/>
        <w:rPr>
          <w:sz w:val="20"/>
          <w:szCs w:val="20"/>
          <w:color w:val="auto"/>
        </w:rPr>
      </w:pPr>
      <w:r>
        <w:rPr>
          <w:rFonts w:ascii="Times New Roman" w:cs="Times New Roman" w:eastAsia="Times New Roman" w:hAnsi="Times New Roman"/>
          <w:sz w:val="14"/>
          <w:szCs w:val="14"/>
          <w:color w:val="auto"/>
        </w:rPr>
        <w:t>Our cash and our Adviser’s cash is held in accounts at U.S. banking institutions that we believe are of high quality. Cash held by us and our Adviser in non-interest-bearing and interest-bearing operating accounts may exceed the Federal Deposit Insurance Corporation (“FDIC”) insurance limits. If such banking institutions were to fail, we or our Adviser could lose all or a portion of those amounts held in excess of such insurance limitations. In addition, actual events involving limited liquidity, defaults, non- 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 wide liquidity problems, which could adversely affect our and our Adviser’s business, financial condition, results of operations, or prospects.</w:t>
      </w:r>
    </w:p>
    <w:p>
      <w:pPr>
        <w:spacing w:after="0" w:line="257"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Although we and our Adviser assess our banking relationships as we believe necessary or appropriate, our access to funding sources and other credit arrangements in amounts adequate to finance or capitalize our respective current and projected future business operations could be significantly impaired by factors that affect us or our Adviser, the financial institutions with which we or our Adviser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or our Adviser have financial or business relationships, but could also include factors involving financial markets or the financial services industry generally.</w:t>
      </w:r>
    </w:p>
    <w:p>
      <w:pPr>
        <w:spacing w:after="0" w:line="101" w:lineRule="exact"/>
        <w:rPr>
          <w:sz w:val="20"/>
          <w:szCs w:val="20"/>
          <w:color w:val="auto"/>
        </w:rPr>
      </w:pPr>
    </w:p>
    <w:p>
      <w:pPr>
        <w:ind w:left="920" w:right="960" w:firstLine="382"/>
        <w:spacing w:after="0" w:line="241" w:lineRule="auto"/>
        <w:rPr>
          <w:sz w:val="20"/>
          <w:szCs w:val="20"/>
          <w:color w:val="auto"/>
        </w:rPr>
      </w:pPr>
      <w:r>
        <w:rPr>
          <w:rFonts w:ascii="Times New Roman" w:cs="Times New Roman" w:eastAsia="Times New Roman" w:hAnsi="Times New Roman"/>
          <w:sz w:val="16"/>
          <w:szCs w:val="16"/>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our Adviser, or our portfolio companies to acquire financing on acceptable terms or at all.</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2" w:name="page103"/>
    <w:bookmarkEnd w:id="102"/>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6"/>
          <w:szCs w:val="16"/>
          <w:b w:val="1"/>
          <w:bCs w:val="1"/>
          <w:color w:val="auto"/>
        </w:rPr>
        <w:t>INVESTMENT OBJECTIVE, OPPORTUNITIES AND STRATEGIES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Investment Objective</w:t>
      </w:r>
    </w:p>
    <w:p>
      <w:pPr>
        <w:spacing w:after="0" w:line="117" w:lineRule="exact"/>
        <w:rPr>
          <w:sz w:val="20"/>
          <w:szCs w:val="20"/>
          <w:color w:val="auto"/>
        </w:rPr>
      </w:pPr>
    </w:p>
    <w:p>
      <w:pPr>
        <w:ind w:left="920" w:right="940" w:firstLine="382"/>
        <w:spacing w:after="0" w:line="270" w:lineRule="auto"/>
        <w:rPr>
          <w:sz w:val="20"/>
          <w:szCs w:val="20"/>
          <w:color w:val="auto"/>
        </w:rPr>
      </w:pPr>
      <w:r>
        <w:rPr>
          <w:rFonts w:ascii="Times New Roman" w:cs="Times New Roman" w:eastAsia="Times New Roman" w:hAnsi="Times New Roman"/>
          <w:sz w:val="14"/>
          <w:szCs w:val="14"/>
          <w:color w:val="auto"/>
        </w:rPr>
        <w:t>Our investment objective is to maximize our portfolio’s risk-adjusted total return. We have implemented our investment objective by purchasing portions of equity and junior debt tranches of CLO vehicles. Substantially all of the CLO vehicles in which we may invest would be deemed to be investment companies under the 1940 Act but for the exceptions set forth in section 3(c)(1) or section 3(c)(7). Structurally, CLO vehicles are entities formed to originate and/or acquire a portfolio of loans. The loans within the CLO vehicle are limited to loans which meet established credit criteria and are subject to concentration limitations in order to limit a CLO vehicle’s exposure to a single credit. A CLO vehicle is formed by raising various classes or “tranches” of debt (with the most senior tranches being rated “AAA” to the most junior tranches typically being rated “BB” or “B”) and equity. The CLO vehicles which we focus on are collateralized primarily by Senior Loans and generally have very little or no exposure to real estate, mortgage loans or to pools of consumer-based debt, such as credit card receivables or auto loans. Below investment grade securities, such as the CLO securities in which we primarily intend to invest, are often referred to as “junk.” In addition, the CLO equity and junior debt securities in which we invest are highly levered (with CLO equity securities typically being leveraged between nine and thirteen times), which significantly magnifies our risk of loss on such investments relative to senior debt tranches of CLOs. A CLO itself is highly leveraged because it borrows significant amounts of money to acquire the underlying commercial loans in which it invests. A CLO borrows money by issuing debt securities to investors (including junior debt securities of the type we intend to invest), and the CLO equity (which is also the CLO residual tranche) is the first to bear the risk on the underlying investment. Our investment strategy also includes warehouse facilities, which are financing structures intended to aggregate loans that may be used to form the basis of a CLO vehicle. Warehouse facilities typically incur leverage between four and six times prior to a CLO’s pricing. We may also invest, on an opportunistic basis, in other corporate credits of a variety of types. We expect that each of our investments will range in size from $5 million to $50 million, although the investment size may vary consistent with the size of our overall portfolio. Oxford Lane Management manages our investments and its affiliate arranges for the performance of the administrative services necessary for us to operate.</w:t>
      </w:r>
    </w:p>
    <w:p>
      <w:pPr>
        <w:spacing w:after="0" w:line="200" w:lineRule="exact"/>
        <w:rPr>
          <w:sz w:val="20"/>
          <w:szCs w:val="20"/>
          <w:color w:val="auto"/>
        </w:rPr>
      </w:pPr>
    </w:p>
    <w:p>
      <w:pPr>
        <w:spacing w:after="0" w:line="237"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CLO vehicles, due to their high leverage, are more complicated to evaluate than direct investments in Senior Loans. Since we invest in the residual interests of CLO securities, our investments are riskier than the profile of the Senior Loans by which such CLO vehicles are collateralized. Our investments in CLO vehicles are riskier and less transparent to us and our stockholders than direct investments in the underlying Senior Loans. Our portfolio of investments may lack diversification among CLO vehicles which would subject us to a risk of significant loss if one or more of these CLO vehicles experience a high level of defaults on its underlying Senior Loans. The CLO vehicles in which we invest have debt that ranks senior to our investment. The market price for CLO vehicles may fluctuate dramatically, which would make portfolio valuations unreliable and negatively impact our net asset value and our ability to make distributions to our stockholders. Our financial results may be affected adversely if one or more of our significant equity or junior debt investments in such CLO vehicles defaults on its payment obligations or fails to perform as we expect.</w:t>
      </w:r>
    </w:p>
    <w:p>
      <w:pPr>
        <w:spacing w:after="0" w:line="101" w:lineRule="exact"/>
        <w:rPr>
          <w:sz w:val="20"/>
          <w:szCs w:val="20"/>
          <w:color w:val="auto"/>
        </w:rPr>
      </w:pPr>
    </w:p>
    <w:p>
      <w:pPr>
        <w:ind w:left="920" w:right="1000" w:firstLine="382"/>
        <w:spacing w:after="0" w:line="277" w:lineRule="auto"/>
        <w:rPr>
          <w:sz w:val="20"/>
          <w:szCs w:val="20"/>
          <w:color w:val="auto"/>
        </w:rPr>
      </w:pPr>
      <w:r>
        <w:rPr>
          <w:rFonts w:ascii="Times New Roman" w:cs="Times New Roman" w:eastAsia="Times New Roman" w:hAnsi="Times New Roman"/>
          <w:sz w:val="14"/>
          <w:szCs w:val="14"/>
          <w:color w:val="auto"/>
        </w:rPr>
        <w:t>Our investments in CLO vehicles may be subject to special anti-deferral provisions that could result in us incurring tax or recognizing income prior to receiving cash distributions related to such income. Specifically, the CLO vehicles in which we invest generally constitute PFICs. Because we acquire investments in PFICs (including equity tranche investments in CLO vehicles that are PFICs), we may be subject to U.S. federal income tax on a portion of any “excess distribution” or gain from the disposition of such investments even if such income is distributed as a taxable dividend by us to our stockholders. See “Principal Risks — Risks Related to Our Investments” beginning on page 74 to read about factors you should consider before investing in our securities.</w:t>
      </w:r>
    </w:p>
    <w:p>
      <w:pPr>
        <w:spacing w:after="0" w:line="1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CLO Structural Elements</w:t>
      </w:r>
    </w:p>
    <w:p>
      <w:pPr>
        <w:spacing w:after="0" w:line="117" w:lineRule="exact"/>
        <w:rPr>
          <w:sz w:val="20"/>
          <w:szCs w:val="20"/>
          <w:color w:val="auto"/>
        </w:rPr>
      </w:pPr>
    </w:p>
    <w:p>
      <w:pPr>
        <w:jc w:val="both"/>
        <w:ind w:left="920" w:right="1260" w:firstLine="382"/>
        <w:spacing w:after="0" w:line="245" w:lineRule="auto"/>
        <w:rPr>
          <w:sz w:val="20"/>
          <w:szCs w:val="20"/>
          <w:color w:val="auto"/>
        </w:rPr>
      </w:pPr>
      <w:r>
        <w:rPr>
          <w:rFonts w:ascii="Times New Roman" w:cs="Times New Roman" w:eastAsia="Times New Roman" w:hAnsi="Times New Roman"/>
          <w:sz w:val="16"/>
          <w:szCs w:val="16"/>
          <w:color w:val="auto"/>
        </w:rPr>
        <w:t>Structurally, CLO vehicles are entities formed to originate and/or acquire a portfolio of loans. The loans within the CLO vehicle are generally limited to loans which meet established credit criteria and are subject to concentration limitations in order to limit a CLO vehicle’s exposure to a single credit.</w:t>
      </w:r>
    </w:p>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3" w:name="page104"/>
    <w:bookmarkEnd w:id="103"/>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40" w:firstLine="382"/>
        <w:spacing w:after="0" w:line="274" w:lineRule="auto"/>
        <w:rPr>
          <w:sz w:val="20"/>
          <w:szCs w:val="20"/>
          <w:color w:val="auto"/>
        </w:rPr>
      </w:pPr>
      <w:r>
        <w:rPr>
          <w:rFonts w:ascii="Times New Roman" w:cs="Times New Roman" w:eastAsia="Times New Roman" w:hAnsi="Times New Roman"/>
          <w:sz w:val="14"/>
          <w:szCs w:val="14"/>
          <w:color w:val="auto"/>
        </w:rPr>
        <w:t>A CLO vehicle is formed by raising multiple “tranches” of debt (with the most senior tranches being rated “AAA” to the most junior tranches typically being rated “BB” or “B”) and equity. As interest payments are received, the CLO vehicle makes contractual interest payments to each tranche of debt based on their seniority. If there are funds remaining after each tranche of debt receives its contractual interest rate and the CLO vehicle meets or exceeds required collateral coverage levels (or other similar covenants) the remaining funds may be paid to the equity tranche. The contractual provisions setting out this order of payments are set out in detail in the CLO vehicle’s indenture. These provisions are referred to as the “priority of payments” or the “waterfall” and determine any other obligations that may be required to be paid ahead of payments of interest and principal on the securities issued by a CLO vehicle. In addition, for payments to be made to each tranche, after the most senior tranche of debt, there are various tests which must be complied with, which are different for each CLO vehicle.</w:t>
      </w:r>
    </w:p>
    <w:p>
      <w:pPr>
        <w:spacing w:after="0" w:line="258" w:lineRule="exact"/>
        <w:rPr>
          <w:sz w:val="20"/>
          <w:szCs w:val="20"/>
          <w:color w:val="auto"/>
        </w:rPr>
      </w:pPr>
    </w:p>
    <w:p>
      <w:pPr>
        <w:ind w:left="920" w:right="940" w:firstLine="382"/>
        <w:spacing w:after="0" w:line="236" w:lineRule="auto"/>
        <w:rPr>
          <w:sz w:val="20"/>
          <w:szCs w:val="20"/>
          <w:color w:val="auto"/>
        </w:rPr>
      </w:pPr>
      <w:r>
        <w:rPr>
          <w:rFonts w:ascii="Times New Roman" w:cs="Times New Roman" w:eastAsia="Times New Roman" w:hAnsi="Times New Roman"/>
          <w:sz w:val="16"/>
          <w:szCs w:val="16"/>
          <w:color w:val="auto"/>
        </w:rPr>
        <w:t>CLO indentures typically provide for adjustments to the priority of payments in the event that certain cashflow or collateral requirements are not maintained. The collateral quality tests that may divert cashflows in the priority of payments are predominantly determined by reference to the par values of the underlying loans, rather than their current market values. Accordingly, we believe that CLO equity and junior debt investments allow investors to gain exposure to the Senior Loan market on a levered basis (with CLO equity securities typically being leveraged between nine and thirteen times) without being structurally subject to mark-to-market price fluctuations of the underlying loans. As such, although the current valuations of CLO equity and junior debt tranches are expected to fluctuate based on price changes within the loan market, interest rate movements and other macroeconomic factors, those tranches will generally be expected to continue to receive distributions from the CLO vehicle periodically so long as the underlying portfolio does not suffer defaults, realized losses or other covenant violations sufficient to trigger changes in the waterfall allocations. We therefore believe that an investment portfolio consisting of CLO equity and junior debt investments of this type has the ability to provide attractive risk-adjusted rates of return.</w:t>
      </w:r>
    </w:p>
    <w:p>
      <w:pPr>
        <w:spacing w:after="0" w:line="98" w:lineRule="exact"/>
        <w:rPr>
          <w:sz w:val="20"/>
          <w:szCs w:val="20"/>
          <w:color w:val="auto"/>
        </w:rPr>
      </w:pPr>
    </w:p>
    <w:p>
      <w:pPr>
        <w:ind w:left="920" w:right="960" w:firstLine="382"/>
        <w:spacing w:after="0" w:line="245" w:lineRule="auto"/>
        <w:rPr>
          <w:sz w:val="20"/>
          <w:szCs w:val="20"/>
          <w:color w:val="auto"/>
        </w:rPr>
      </w:pPr>
      <w:r>
        <w:rPr>
          <w:rFonts w:ascii="Times New Roman" w:cs="Times New Roman" w:eastAsia="Times New Roman" w:hAnsi="Times New Roman"/>
          <w:sz w:val="16"/>
          <w:szCs w:val="16"/>
          <w:color w:val="auto"/>
        </w:rPr>
        <w:t>The diagram below is for illustrative purposes only. The CLO structure highlighted below is illustrative only and depicts structures among CLO vehicles in which we may invest may vary substantially from the illustrative example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1261110</wp:posOffset>
            </wp:positionH>
            <wp:positionV relativeFrom="paragraph">
              <wp:posOffset>67945</wp:posOffset>
            </wp:positionV>
            <wp:extent cx="3202305" cy="15024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202305" cy="1502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20" w:right="1340" w:firstLine="382"/>
        <w:spacing w:after="0" w:line="257" w:lineRule="auto"/>
        <w:rPr>
          <w:sz w:val="20"/>
          <w:szCs w:val="20"/>
          <w:color w:val="auto"/>
        </w:rPr>
      </w:pPr>
      <w:r>
        <w:rPr>
          <w:rFonts w:ascii="Times New Roman" w:cs="Times New Roman" w:eastAsia="Times New Roman" w:hAnsi="Times New Roman"/>
          <w:sz w:val="16"/>
          <w:szCs w:val="16"/>
          <w:color w:val="auto"/>
        </w:rPr>
        <w:t>We typically invest in the equity tranches, which are not rated, and to a lesser extent the “B” and “BB” tranches of CLO vehicles.</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The Syndicated Senior Loan Market</w:t>
      </w:r>
    </w:p>
    <w:p>
      <w:pPr>
        <w:spacing w:after="0" w:line="117" w:lineRule="exact"/>
        <w:rPr>
          <w:sz w:val="20"/>
          <w:szCs w:val="20"/>
          <w:color w:val="auto"/>
        </w:rPr>
      </w:pPr>
    </w:p>
    <w:p>
      <w:pPr>
        <w:ind w:left="920" w:right="1060" w:firstLine="382"/>
        <w:spacing w:after="0" w:line="239" w:lineRule="auto"/>
        <w:rPr>
          <w:sz w:val="20"/>
          <w:szCs w:val="20"/>
          <w:color w:val="auto"/>
        </w:rPr>
      </w:pPr>
      <w:r>
        <w:rPr>
          <w:rFonts w:ascii="Times New Roman" w:cs="Times New Roman" w:eastAsia="Times New Roman" w:hAnsi="Times New Roman"/>
          <w:sz w:val="16"/>
          <w:szCs w:val="16"/>
          <w:color w:val="auto"/>
        </w:rPr>
        <w:t>We believe that while the syndicated leveraged corporate loan market is relatively large, with Standard and Poor’s estimating the total par value outstanding at approximately $1.4 trillion as of September 30, 2024, this market remains largely inaccessible to a significant portion of investors that are not lenders or approved institutions. The CLO market permits wider exposure to syndicated Senior Loans, but this market is almost exclusively private and predominantly institutional.</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4" w:name="page105"/>
    <w:bookmarkEnd w:id="104"/>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Senior Loan market is characterized by various factors, including:</w:t>
      </w:r>
    </w:p>
    <w:p>
      <w:pPr>
        <w:spacing w:after="0" w:line="113" w:lineRule="exact"/>
        <w:rPr>
          <w:sz w:val="20"/>
          <w:szCs w:val="20"/>
          <w:color w:val="auto"/>
        </w:rPr>
      </w:pPr>
    </w:p>
    <w:p>
      <w:pPr>
        <w:ind w:left="1680" w:right="1000" w:hanging="375"/>
        <w:spacing w:after="0" w:line="238" w:lineRule="auto"/>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Floating rate instruments. </w:t>
      </w:r>
      <w:r>
        <w:rPr>
          <w:rFonts w:ascii="Times New Roman" w:cs="Times New Roman" w:eastAsia="Times New Roman" w:hAnsi="Times New Roman"/>
          <w:sz w:val="16"/>
          <w:szCs w:val="16"/>
          <w:color w:val="auto"/>
        </w:rPr>
        <w:t>Senior Loans and other types of CLO Assets typically contain a floating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interest rate as opposed to a fixed interest rate, which we believe provides some measure of protection against the risk of interest rate fluctuation. However, all of our CLO investments have many CLO Assets which are subject to interest rate floors and since interest rates on CLO Assets may only reset periodically and the amount of the increase following an interest rate reset may be below the interest rate floors of such CLO Assets, our ability to benefit from rate resets following an increase in interest rates may be limited.</w:t>
      </w:r>
    </w:p>
    <w:p>
      <w:pPr>
        <w:spacing w:after="0" w:line="97" w:lineRule="exact"/>
        <w:rPr>
          <w:rFonts w:ascii="Times New Roman" w:cs="Times New Roman" w:eastAsia="Times New Roman" w:hAnsi="Times New Roman"/>
          <w:sz w:val="16"/>
          <w:szCs w:val="16"/>
          <w:color w:val="auto"/>
        </w:rPr>
      </w:pPr>
    </w:p>
    <w:p>
      <w:pPr>
        <w:ind w:left="1680" w:right="1560" w:hanging="375"/>
        <w:spacing w:after="0" w:line="260" w:lineRule="auto"/>
        <w:tabs>
          <w:tab w:leader="none" w:pos="1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Frequency of interest payments. </w:t>
      </w:r>
      <w:r>
        <w:rPr>
          <w:rFonts w:ascii="Times New Roman" w:cs="Times New Roman" w:eastAsia="Times New Roman" w:hAnsi="Times New Roman"/>
          <w:sz w:val="16"/>
          <w:szCs w:val="16"/>
          <w:color w:val="auto"/>
        </w:rPr>
        <w:t>Senior Loans and other CLO Assets typically provide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scheduled interest payments no less frequently than quarterly.</w:t>
      </w:r>
    </w:p>
    <w:p>
      <w:pPr>
        <w:spacing w:after="0" w:line="15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Investment Opportunity</w:t>
      </w:r>
    </w:p>
    <w:p>
      <w:pPr>
        <w:spacing w:after="0" w:line="117" w:lineRule="exact"/>
        <w:rPr>
          <w:sz w:val="20"/>
          <w:szCs w:val="20"/>
          <w:color w:val="auto"/>
        </w:rPr>
      </w:pPr>
    </w:p>
    <w:p>
      <w:pPr>
        <w:ind w:left="920" w:right="1060" w:firstLine="382"/>
        <w:spacing w:after="0" w:line="257" w:lineRule="auto"/>
        <w:rPr>
          <w:sz w:val="20"/>
          <w:szCs w:val="20"/>
          <w:color w:val="auto"/>
        </w:rPr>
      </w:pPr>
      <w:r>
        <w:rPr>
          <w:rFonts w:ascii="Times New Roman" w:cs="Times New Roman" w:eastAsia="Times New Roman" w:hAnsi="Times New Roman"/>
          <w:sz w:val="16"/>
          <w:szCs w:val="16"/>
          <w:color w:val="auto"/>
        </w:rPr>
        <w:t>We believe that the market for CLO-related assets provides us with opportunities to generate attractive risk-adjusted returns over the long term.</w:t>
      </w:r>
    </w:p>
    <w:p>
      <w:pPr>
        <w:spacing w:after="0" w:line="84" w:lineRule="exact"/>
        <w:rPr>
          <w:sz w:val="20"/>
          <w:szCs w:val="20"/>
          <w:color w:val="auto"/>
        </w:rPr>
      </w:pPr>
    </w:p>
    <w:p>
      <w:pPr>
        <w:ind w:left="920" w:right="980" w:firstLine="382"/>
        <w:spacing w:after="0" w:line="241" w:lineRule="auto"/>
        <w:rPr>
          <w:sz w:val="20"/>
          <w:szCs w:val="20"/>
          <w:color w:val="auto"/>
        </w:rPr>
      </w:pPr>
      <w:r>
        <w:rPr>
          <w:rFonts w:ascii="Times New Roman" w:cs="Times New Roman" w:eastAsia="Times New Roman" w:hAnsi="Times New Roman"/>
          <w:sz w:val="16"/>
          <w:szCs w:val="16"/>
          <w:color w:val="auto"/>
        </w:rPr>
        <w:t>The long-term and relatively low-cost capital that many CLO vehicles have secured, compared with current asset spreads, have created opportunities to purchase certain CLO equity and junior debt instruments that may produce attractive risk-adjusted returns. Additionally, given that the CLO vehicles we invest in are cash flow-based vehicles, this term financing may be beneficial in periods of market volatility.</w:t>
      </w:r>
    </w:p>
    <w:p>
      <w:pPr>
        <w:spacing w:after="0" w:line="97" w:lineRule="exact"/>
        <w:rPr>
          <w:sz w:val="20"/>
          <w:szCs w:val="20"/>
          <w:color w:val="auto"/>
        </w:rPr>
      </w:pPr>
    </w:p>
    <w:p>
      <w:pPr>
        <w:ind w:left="920" w:right="1040" w:firstLine="382"/>
        <w:spacing w:after="0" w:line="241" w:lineRule="auto"/>
        <w:rPr>
          <w:sz w:val="20"/>
          <w:szCs w:val="20"/>
          <w:color w:val="auto"/>
        </w:rPr>
      </w:pPr>
      <w:r>
        <w:rPr>
          <w:rFonts w:ascii="Times New Roman" w:cs="Times New Roman" w:eastAsia="Times New Roman" w:hAnsi="Times New Roman"/>
          <w:sz w:val="16"/>
          <w:szCs w:val="16"/>
          <w:color w:val="auto"/>
        </w:rPr>
        <w:t>We continue to review a large number of CLO investment opportunities in the current market environment, and we expect that the majority of our portfolio holdings, over the near to intermediate-term, will continue to be comprised of CLO debt and equity securities, with the more significant focus over the near-term likely to be on CLO equity securities.</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Investment Selection</w:t>
      </w:r>
    </w:p>
    <w:p>
      <w:pPr>
        <w:spacing w:after="0" w:line="117" w:lineRule="exact"/>
        <w:rPr>
          <w:sz w:val="20"/>
          <w:szCs w:val="20"/>
          <w:color w:val="auto"/>
        </w:rPr>
      </w:pPr>
    </w:p>
    <w:p>
      <w:pPr>
        <w:ind w:left="920" w:right="940" w:firstLine="382"/>
        <w:spacing w:after="0" w:line="279" w:lineRule="auto"/>
        <w:rPr>
          <w:sz w:val="20"/>
          <w:szCs w:val="20"/>
          <w:color w:val="auto"/>
        </w:rPr>
      </w:pPr>
      <w:r>
        <w:rPr>
          <w:rFonts w:ascii="Times New Roman" w:cs="Times New Roman" w:eastAsia="Times New Roman" w:hAnsi="Times New Roman"/>
          <w:sz w:val="14"/>
          <w:szCs w:val="14"/>
          <w:color w:val="auto"/>
        </w:rPr>
        <w:t>Oxford Lane Management’s investment team is responsible for all aspects of our investment process. Oxford Lane Management’s senior investment team currently consists of Messrs. Cohen, Rosenthal and Kupka, and Messrs. Cohen and Rosenthal serve as members of the investment committee of Oxford Lane Management. While the investment strategy involves a team approach, whereby potential transactions are screened by various members of the investment team, Messrs. Cohen or Rosenthal must approve all investments in order for them to close. See “Portfolio Management.” The stages of our investment selection process are as follows:</w:t>
      </w:r>
    </w:p>
    <w:p>
      <w:pPr>
        <w:spacing w:after="0" w:line="1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Deal Sourcing</w:t>
      </w:r>
    </w:p>
    <w:p>
      <w:pPr>
        <w:spacing w:after="0" w:line="117" w:lineRule="exact"/>
        <w:rPr>
          <w:sz w:val="20"/>
          <w:szCs w:val="20"/>
          <w:color w:val="auto"/>
        </w:rPr>
      </w:pPr>
    </w:p>
    <w:p>
      <w:pPr>
        <w:ind w:left="920" w:right="1220" w:firstLine="382"/>
        <w:spacing w:after="0" w:line="245" w:lineRule="auto"/>
        <w:rPr>
          <w:sz w:val="20"/>
          <w:szCs w:val="20"/>
          <w:color w:val="auto"/>
        </w:rPr>
      </w:pPr>
      <w:r>
        <w:rPr>
          <w:rFonts w:ascii="Times New Roman" w:cs="Times New Roman" w:eastAsia="Times New Roman" w:hAnsi="Times New Roman"/>
          <w:sz w:val="16"/>
          <w:szCs w:val="16"/>
          <w:color w:val="auto"/>
        </w:rPr>
        <w:t>Deal sourcing is generally conducted through brokers and bankers, and may also be sourced through industry contacts, CLO vehicle sponsors and investors. We believe that we currently have an active pipeline of deal flow, particularly through multiple CLO trading desks.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Screening</w:t>
      </w:r>
    </w:p>
    <w:p>
      <w:pPr>
        <w:spacing w:after="0" w:line="117" w:lineRule="exact"/>
        <w:rPr>
          <w:sz w:val="20"/>
          <w:szCs w:val="20"/>
          <w:color w:val="auto"/>
        </w:rPr>
      </w:pPr>
    </w:p>
    <w:p>
      <w:pPr>
        <w:ind w:left="920" w:right="1040" w:firstLine="382"/>
        <w:spacing w:after="0" w:line="245" w:lineRule="auto"/>
        <w:rPr>
          <w:sz w:val="20"/>
          <w:szCs w:val="20"/>
          <w:color w:val="auto"/>
        </w:rPr>
      </w:pPr>
      <w:r>
        <w:rPr>
          <w:rFonts w:ascii="Times New Roman" w:cs="Times New Roman" w:eastAsia="Times New Roman" w:hAnsi="Times New Roman"/>
          <w:sz w:val="16"/>
          <w:szCs w:val="16"/>
          <w:color w:val="auto"/>
        </w:rPr>
        <w:t>In screening potential investments in CLO vehicles, Oxford Lane Management’s investment team utilizes a similar income -oriented investment philosophy they employ in their work managing other CLO investments at Oxford Square Capital Corp. and Oxford Park Income Fund, Inc.</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Identification</w:t>
      </w:r>
    </w:p>
    <w:p>
      <w:pPr>
        <w:spacing w:after="0" w:line="117" w:lineRule="exact"/>
        <w:rPr>
          <w:sz w:val="20"/>
          <w:szCs w:val="20"/>
          <w:color w:val="auto"/>
        </w:rPr>
      </w:pPr>
    </w:p>
    <w:p>
      <w:pPr>
        <w:ind w:left="920" w:right="940" w:firstLine="382"/>
        <w:spacing w:after="0" w:line="237" w:lineRule="auto"/>
        <w:rPr>
          <w:sz w:val="20"/>
          <w:szCs w:val="20"/>
          <w:color w:val="auto"/>
        </w:rPr>
      </w:pPr>
      <w:r>
        <w:rPr>
          <w:rFonts w:ascii="Times New Roman" w:cs="Times New Roman" w:eastAsia="Times New Roman" w:hAnsi="Times New Roman"/>
          <w:sz w:val="16"/>
          <w:szCs w:val="16"/>
          <w:color w:val="auto"/>
        </w:rPr>
        <w:t>We identify opportunities in the CLO market through our network of brokers, dealers, agent banks, collateral mangers and sponsors. We believe that we have developed an infrastructure that provides us with a competitive advantage in locating and acquiring attractive CLO opportunities. We believe that we also have an active pipeline of deal flow, particularly through multiple CLO trading desks. The CLO vehicles which we focus on are collateralized primarily by senior secured loans made to companies whose debt is unrated or is rated below investment grade, and generally have very little or no direct exposure to real estate, mortgage loans or to pools of consumer-based debt, such as credit card receivables or auto loans. In screening potential investments in CLO vehicles, our due diligence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5" w:name="page106"/>
    <w:bookmarkEnd w:id="105"/>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15" w:lineRule="exact"/>
        <w:rPr>
          <w:sz w:val="20"/>
          <w:szCs w:val="20"/>
          <w:color w:val="auto"/>
        </w:rPr>
      </w:pPr>
    </w:p>
    <w:p>
      <w:pPr>
        <w:ind w:left="920" w:right="960"/>
        <w:spacing w:after="0" w:line="245" w:lineRule="auto"/>
        <w:rPr>
          <w:sz w:val="20"/>
          <w:szCs w:val="20"/>
          <w:color w:val="auto"/>
        </w:rPr>
      </w:pPr>
      <w:r>
        <w:rPr>
          <w:rFonts w:ascii="Times New Roman" w:cs="Times New Roman" w:eastAsia="Times New Roman" w:hAnsi="Times New Roman"/>
          <w:sz w:val="16"/>
          <w:szCs w:val="16"/>
          <w:color w:val="auto"/>
        </w:rPr>
        <w:t>process generally includes a review of current financial information and projections, review of collateral quality, concentration limitation and coverage test ratios, and a review of the prospective investment’s capital structure and the terms and conditions.</w:t>
      </w:r>
    </w:p>
    <w:p>
      <w:pPr>
        <w:spacing w:after="0" w:line="16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Due Diligence</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Oxford Lane Management’s investment team conducts due diligence on prospective investments.</w:t>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Oxford Lane Management’s due diligence process generally includes some or all of the following elements:</w:t>
      </w:r>
    </w:p>
    <w:p>
      <w:pPr>
        <w:spacing w:after="0" w:line="138" w:lineRule="exact"/>
        <w:rPr>
          <w:sz w:val="20"/>
          <w:szCs w:val="20"/>
          <w:color w:val="auto"/>
        </w:rPr>
      </w:pPr>
    </w:p>
    <w:p>
      <w:pPr>
        <w:ind w:left="1680" w:hanging="375"/>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indenture structures;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underlying collateral loans;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analysis of projected future cash flows; and</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analysis of compliance with covenants.</w:t>
      </w:r>
    </w:p>
    <w:p>
      <w:pPr>
        <w:spacing w:after="0" w:line="115" w:lineRule="exact"/>
        <w:rPr>
          <w:sz w:val="20"/>
          <w:szCs w:val="20"/>
          <w:color w:val="auto"/>
        </w:rPr>
      </w:pPr>
    </w:p>
    <w:p>
      <w:pPr>
        <w:ind w:left="920" w:right="960" w:firstLine="382"/>
        <w:spacing w:after="0" w:line="238" w:lineRule="auto"/>
        <w:rPr>
          <w:sz w:val="20"/>
          <w:szCs w:val="20"/>
          <w:color w:val="auto"/>
        </w:rPr>
      </w:pPr>
      <w:r>
        <w:rPr>
          <w:rFonts w:ascii="Times New Roman" w:cs="Times New Roman" w:eastAsia="Times New Roman" w:hAnsi="Times New Roman"/>
          <w:sz w:val="16"/>
          <w:szCs w:val="16"/>
          <w:color w:val="auto"/>
        </w:rPr>
        <w:t>Upon the completion of due diligence, the investment professionals present the opportunity to Oxford Lane Management’s investment committee, which then determines whether to proceed with the potential investment. Any fees and expenses incurred by Oxford Lane Management in connection with due diligence investigations undertaken by third parties will be subject to reimbursement by the Company, which reimbursements will be in addition to any management or incentive fees payable under our Investment Advisory Agreement to Oxford Lane Management. While the investment strategy involves a team approach, we may not enter into a transaction without the prior approval of either Messrs. Cohen or Rosenthal.</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Ongoing Relationships</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i w:val="1"/>
          <w:iCs w:val="1"/>
          <w:color w:val="auto"/>
        </w:rPr>
        <w:t>Monitoring</w:t>
      </w:r>
    </w:p>
    <w:p>
      <w:pPr>
        <w:spacing w:after="0" w:line="117" w:lineRule="exact"/>
        <w:rPr>
          <w:sz w:val="20"/>
          <w:szCs w:val="20"/>
          <w:color w:val="auto"/>
        </w:rPr>
      </w:pPr>
    </w:p>
    <w:p>
      <w:pPr>
        <w:ind w:left="920" w:right="1200" w:firstLine="382"/>
        <w:spacing w:after="0" w:line="328" w:lineRule="auto"/>
        <w:rPr>
          <w:sz w:val="20"/>
          <w:szCs w:val="20"/>
          <w:color w:val="auto"/>
        </w:rPr>
      </w:pPr>
      <w:r>
        <w:rPr>
          <w:rFonts w:ascii="Times New Roman" w:cs="Times New Roman" w:eastAsia="Times New Roman" w:hAnsi="Times New Roman"/>
          <w:sz w:val="14"/>
          <w:szCs w:val="14"/>
          <w:color w:val="auto"/>
        </w:rPr>
        <w:t>Oxford Lane Management monitors our investments on an ongoing basis. Oxford Lane Management has several methods of monitoring the performance and value of our investments, which include the following:</w:t>
      </w:r>
    </w:p>
    <w:p>
      <w:pPr>
        <w:spacing w:after="0" w:line="38" w:lineRule="exact"/>
        <w:rPr>
          <w:sz w:val="20"/>
          <w:szCs w:val="20"/>
          <w:color w:val="auto"/>
        </w:rPr>
      </w:pPr>
    </w:p>
    <w:p>
      <w:pPr>
        <w:ind w:left="1680" w:hanging="375"/>
        <w:spacing w:after="0"/>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pricing data and indicative bids for recent transactions in our investments;</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comparisons to other Senior Loans and CLO vehicles; and</w:t>
      </w:r>
    </w:p>
    <w:p>
      <w:pPr>
        <w:spacing w:after="0" w:line="114" w:lineRule="exact"/>
        <w:rPr>
          <w:rFonts w:ascii="Times New Roman" w:cs="Times New Roman" w:eastAsia="Times New Roman" w:hAnsi="Times New Roman"/>
          <w:sz w:val="16"/>
          <w:szCs w:val="16"/>
          <w:color w:val="auto"/>
        </w:rPr>
      </w:pPr>
    </w:p>
    <w:p>
      <w:pPr>
        <w:ind w:left="1680" w:hanging="375"/>
        <w:spacing w:after="0"/>
        <w:tabs>
          <w:tab w:leader="none" w:pos="16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 of available financial reports for our investments.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6" w:name="page107"/>
    <w:bookmarkEnd w:id="106"/>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ADDITIONAL INFORMATION</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Portfolio Information</w:t>
      </w:r>
    </w:p>
    <w:p>
      <w:pPr>
        <w:spacing w:after="0" w:line="117" w:lineRule="exact"/>
        <w:rPr>
          <w:sz w:val="20"/>
          <w:szCs w:val="20"/>
          <w:color w:val="auto"/>
        </w:rPr>
      </w:pPr>
    </w:p>
    <w:p>
      <w:pPr>
        <w:ind w:left="920" w:right="980" w:firstLine="382"/>
        <w:spacing w:after="0" w:line="241" w:lineRule="auto"/>
        <w:rPr>
          <w:sz w:val="20"/>
          <w:szCs w:val="20"/>
          <w:color w:val="auto"/>
        </w:rPr>
      </w:pPr>
      <w:r>
        <w:rPr>
          <w:rFonts w:ascii="Times New Roman" w:cs="Times New Roman" w:eastAsia="Times New Roman" w:hAnsi="Times New Roman"/>
          <w:sz w:val="16"/>
          <w:szCs w:val="16"/>
          <w:color w:val="auto"/>
        </w:rPr>
        <w:t xml:space="preserve">The Fund prepares Form N-PORT, which contains a complete schedule of the Fund’s portfolio holdings, on a monthly basis, and makes its N-PORT filings with the SEC on a quarterly basis within 60 days after the end of each quarter. The Fund’s N-PORT filings for the third month of each quarter are available on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Proxy Information</w:t>
      </w:r>
    </w:p>
    <w:p>
      <w:pPr>
        <w:spacing w:after="0" w:line="117" w:lineRule="exact"/>
        <w:rPr>
          <w:sz w:val="20"/>
          <w:szCs w:val="20"/>
          <w:color w:val="auto"/>
        </w:rPr>
      </w:pPr>
    </w:p>
    <w:p>
      <w:pPr>
        <w:ind w:left="920" w:right="900" w:firstLine="382"/>
        <w:spacing w:after="0" w:line="238" w:lineRule="auto"/>
        <w:rPr>
          <w:sz w:val="20"/>
          <w:szCs w:val="20"/>
          <w:color w:val="auto"/>
        </w:rPr>
      </w:pPr>
      <w:r>
        <w:rPr>
          <w:rFonts w:ascii="Times New Roman" w:cs="Times New Roman" w:eastAsia="Times New Roman" w:hAnsi="Times New Roman"/>
          <w:sz w:val="16"/>
          <w:szCs w:val="16"/>
          <w:color w:val="auto"/>
        </w:rPr>
        <w:t xml:space="preserve">A description of the policies and procedures that Oxford Lane Management uses to determine how to vote proxies relating to the Fund’s portfolio securities is available (i) without charge, upon request, by calling (203) 983-5275; (ii) on the Fund’s website at </w:t>
      </w:r>
      <w:r>
        <w:rPr>
          <w:rFonts w:ascii="Times New Roman" w:cs="Times New Roman" w:eastAsia="Times New Roman" w:hAnsi="Times New Roman"/>
          <w:sz w:val="16"/>
          <w:szCs w:val="16"/>
          <w:i w:val="1"/>
          <w:iCs w:val="1"/>
          <w:color w:val="auto"/>
        </w:rPr>
        <w:t>http://www.oxfordlanecapital.com</w:t>
      </w:r>
      <w:r>
        <w:rPr>
          <w:rFonts w:ascii="Times New Roman" w:cs="Times New Roman" w:eastAsia="Times New Roman" w:hAnsi="Times New Roman"/>
          <w:sz w:val="16"/>
          <w:szCs w:val="16"/>
          <w:color w:val="auto"/>
        </w:rPr>
        <w:t xml:space="preserve">. Information about how Oxford Lane Management voted proxies with respect to the Fund’s portfolio securities during the most recent 12- month period ended March 31 can be obtained by making a written request for proxy voting information to: Chief Compliance Officer, Oxford Lane Management, LLC, 8 Sound Shore Drive, Suite 255, Greenwich, CT 06830. All information described in this paragraph is also available on the SEC’s website at </w:t>
      </w:r>
      <w:r>
        <w:rPr>
          <w:rFonts w:ascii="Times New Roman" w:cs="Times New Roman" w:eastAsia="Times New Roman" w:hAnsi="Times New Roman"/>
          <w:sz w:val="16"/>
          <w:szCs w:val="16"/>
          <w:i w:val="1"/>
          <w:iCs w:val="1"/>
          <w:color w:val="auto"/>
        </w:rPr>
        <w:t>http://www.sec.gov</w:t>
      </w:r>
      <w:r>
        <w:rPr>
          <w:rFonts w:ascii="Times New Roman" w:cs="Times New Roman" w:eastAsia="Times New Roman" w:hAnsi="Times New Roman"/>
          <w:sz w:val="16"/>
          <w:szCs w:val="16"/>
          <w:color w:val="auto"/>
        </w:rPr>
        <w:t>.</w:t>
      </w:r>
    </w:p>
    <w:p>
      <w:pPr>
        <w:spacing w:after="0" w:line="16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Tax Information</w:t>
      </w:r>
    </w:p>
    <w:p>
      <w:pPr>
        <w:spacing w:after="0" w:line="117" w:lineRule="exact"/>
        <w:rPr>
          <w:sz w:val="20"/>
          <w:szCs w:val="20"/>
          <w:color w:val="auto"/>
        </w:rPr>
      </w:pPr>
    </w:p>
    <w:p>
      <w:pPr>
        <w:ind w:left="920" w:right="1420" w:firstLine="382"/>
        <w:spacing w:after="0" w:line="257" w:lineRule="auto"/>
        <w:rPr>
          <w:sz w:val="20"/>
          <w:szCs w:val="20"/>
          <w:color w:val="auto"/>
        </w:rPr>
      </w:pPr>
      <w:r>
        <w:rPr>
          <w:rFonts w:ascii="Times New Roman" w:cs="Times New Roman" w:eastAsia="Times New Roman" w:hAnsi="Times New Roman"/>
          <w:sz w:val="16"/>
          <w:szCs w:val="16"/>
          <w:color w:val="auto"/>
        </w:rPr>
        <w:t>For tax purposes, distributions to stockholders during the six months ended September 30, 2024 were approximately $146.3 million.</w:t>
      </w:r>
    </w:p>
    <w:p>
      <w:pPr>
        <w:spacing w:after="0" w:line="1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Privacy Policy</w:t>
      </w:r>
    </w:p>
    <w:p>
      <w:pPr>
        <w:spacing w:after="0" w:line="117" w:lineRule="exact"/>
        <w:rPr>
          <w:sz w:val="20"/>
          <w:szCs w:val="20"/>
          <w:color w:val="auto"/>
        </w:rPr>
      </w:pPr>
    </w:p>
    <w:p>
      <w:pPr>
        <w:ind w:left="920" w:right="960" w:firstLine="382"/>
        <w:spacing w:after="0" w:line="241" w:lineRule="auto"/>
        <w:rPr>
          <w:sz w:val="20"/>
          <w:szCs w:val="20"/>
          <w:color w:val="auto"/>
        </w:rPr>
      </w:pPr>
      <w:r>
        <w:rPr>
          <w:rFonts w:ascii="Times New Roman" w:cs="Times New Roman" w:eastAsia="Times New Roman" w:hAnsi="Times New Roman"/>
          <w:sz w:val="16"/>
          <w:szCs w:val="16"/>
          <w:color w:val="auto"/>
        </w:rPr>
        <w:t>We are committed to protecting your privacy. This privacy notice, which is required by federal law, explains privacy policies of Oxford Lane Capital Corp. and its affiliated companies. This notice supersedes any other privacy notice you may have received from Oxford Lane Capital Corp., and its terms apply both to our current stockholders and to former stockholders as well.</w:t>
      </w:r>
    </w:p>
    <w:p>
      <w:pPr>
        <w:spacing w:after="0" w:line="97" w:lineRule="exact"/>
        <w:rPr>
          <w:sz w:val="20"/>
          <w:szCs w:val="20"/>
          <w:color w:val="auto"/>
        </w:rPr>
      </w:pPr>
    </w:p>
    <w:p>
      <w:pPr>
        <w:ind w:left="920" w:right="1000" w:firstLine="382"/>
        <w:spacing w:after="0" w:line="328" w:lineRule="auto"/>
        <w:rPr>
          <w:sz w:val="20"/>
          <w:szCs w:val="20"/>
          <w:color w:val="auto"/>
        </w:rPr>
      </w:pPr>
      <w:r>
        <w:rPr>
          <w:rFonts w:ascii="Times New Roman" w:cs="Times New Roman" w:eastAsia="Times New Roman" w:hAnsi="Times New Roman"/>
          <w:sz w:val="14"/>
          <w:szCs w:val="14"/>
          <w:color w:val="auto"/>
        </w:rPr>
        <w:t>We will safeguard, according to strict standards of security and confidentiality, all information we receive about you. With regard to this information, we maintain procedural safeguards that comply with federal standards.</w:t>
      </w:r>
    </w:p>
    <w:p>
      <w:pPr>
        <w:spacing w:after="0" w:line="38" w:lineRule="exact"/>
        <w:rPr>
          <w:sz w:val="20"/>
          <w:szCs w:val="20"/>
          <w:color w:val="auto"/>
        </w:rPr>
      </w:pPr>
    </w:p>
    <w:p>
      <w:pPr>
        <w:ind w:left="920" w:right="1300" w:firstLine="382"/>
        <w:spacing w:after="0" w:line="245" w:lineRule="auto"/>
        <w:rPr>
          <w:sz w:val="20"/>
          <w:szCs w:val="20"/>
          <w:color w:val="auto"/>
        </w:rPr>
      </w:pPr>
      <w:r>
        <w:rPr>
          <w:rFonts w:ascii="Times New Roman" w:cs="Times New Roman" w:eastAsia="Times New Roman" w:hAnsi="Times New Roman"/>
          <w:sz w:val="16"/>
          <w:szCs w:val="16"/>
          <w:color w:val="auto"/>
        </w:rPr>
        <w:t>Our goal is to limit the collection and use of information about you. When you purchase shares of our common stock, our transfer agent collects personal information about you, such as your name, address, social security number or tax identification number.</w:t>
      </w:r>
    </w:p>
    <w:p>
      <w:pPr>
        <w:spacing w:after="0" w:line="94" w:lineRule="exact"/>
        <w:rPr>
          <w:sz w:val="20"/>
          <w:szCs w:val="20"/>
          <w:color w:val="auto"/>
        </w:rPr>
      </w:pPr>
    </w:p>
    <w:p>
      <w:pPr>
        <w:ind w:left="920" w:right="1000" w:firstLine="382"/>
        <w:spacing w:after="0" w:line="257" w:lineRule="auto"/>
        <w:rPr>
          <w:sz w:val="20"/>
          <w:szCs w:val="20"/>
          <w:color w:val="auto"/>
        </w:rPr>
      </w:pPr>
      <w:r>
        <w:rPr>
          <w:rFonts w:ascii="Times New Roman" w:cs="Times New Roman" w:eastAsia="Times New Roman" w:hAnsi="Times New Roman"/>
          <w:sz w:val="16"/>
          <w:szCs w:val="16"/>
          <w:color w:val="auto"/>
        </w:rPr>
        <w:t>This information is used only so that we can send you annual and semi-annual reports, proxy statements and other information required by law, and to send you information we believe may be of interest to you.</w:t>
      </w:r>
    </w:p>
    <w:p>
      <w:pPr>
        <w:spacing w:after="0" w:line="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We do not share such information with any non-affiliated third party except as described below:</w:t>
      </w:r>
    </w:p>
    <w:p>
      <w:pPr>
        <w:spacing w:after="0" w:line="115" w:lineRule="exact"/>
        <w:rPr>
          <w:sz w:val="20"/>
          <w:szCs w:val="20"/>
          <w:color w:val="auto"/>
        </w:rPr>
      </w:pPr>
    </w:p>
    <w:p>
      <w:pPr>
        <w:ind w:left="1680" w:right="1060" w:hanging="375"/>
        <w:spacing w:after="0" w:line="257"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our policy that only authorized employees of our investment adviser, Oxford Lane Management, who need to know your personal information will have access to it.</w:t>
      </w:r>
    </w:p>
    <w:p>
      <w:pPr>
        <w:spacing w:after="0" w:line="83" w:lineRule="exact"/>
        <w:rPr>
          <w:rFonts w:ascii="Times New Roman" w:cs="Times New Roman" w:eastAsia="Times New Roman" w:hAnsi="Times New Roman"/>
          <w:sz w:val="16"/>
          <w:szCs w:val="16"/>
          <w:color w:val="auto"/>
        </w:rPr>
      </w:pPr>
    </w:p>
    <w:p>
      <w:pPr>
        <w:jc w:val="both"/>
        <w:ind w:left="1680" w:right="1180" w:hanging="375"/>
        <w:spacing w:after="0" w:line="298" w:lineRule="auto"/>
        <w:tabs>
          <w:tab w:leader="none" w:pos="16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disclose stockholder-related information to companies that provide services on our behalf, such as record keeping, processing your trades, and mailing you information. These companies are required to protect your information and use it solely for the purpose for which they received it.</w:t>
      </w:r>
    </w:p>
    <w:p>
      <w:pPr>
        <w:spacing w:after="0" w:line="57" w:lineRule="exact"/>
        <w:rPr>
          <w:rFonts w:ascii="Times New Roman" w:cs="Times New Roman" w:eastAsia="Times New Roman" w:hAnsi="Times New Roman"/>
          <w:sz w:val="14"/>
          <w:szCs w:val="14"/>
          <w:color w:val="auto"/>
        </w:rPr>
      </w:pPr>
    </w:p>
    <w:p>
      <w:pPr>
        <w:jc w:val="both"/>
        <w:ind w:left="1680" w:right="1060" w:hanging="375"/>
        <w:spacing w:after="0" w:line="245" w:lineRule="auto"/>
        <w:tabs>
          <w:tab w:leader="none" w:pos="16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required by law, we may disclose stockholder-related information in accordance with a court order or at the request of government regulators. Only that information required by law, subpoena, or court order will be disclosed.</w:t>
      </w:r>
    </w:p>
    <w:p>
      <w:pPr>
        <w:spacing w:after="0" w:line="92" w:lineRule="exact"/>
        <w:rPr>
          <w:sz w:val="20"/>
          <w:szCs w:val="20"/>
          <w:color w:val="auto"/>
        </w:rPr>
      </w:pPr>
    </w:p>
    <w:p>
      <w:pPr>
        <w:ind w:left="920" w:right="1080" w:firstLine="382"/>
        <w:spacing w:after="0" w:line="260" w:lineRule="auto"/>
        <w:rPr>
          <w:sz w:val="20"/>
          <w:szCs w:val="20"/>
          <w:color w:val="auto"/>
        </w:rPr>
      </w:pPr>
      <w:r>
        <w:rPr>
          <w:rFonts w:ascii="Times New Roman" w:cs="Times New Roman" w:eastAsia="Times New Roman" w:hAnsi="Times New Roman"/>
          <w:sz w:val="16"/>
          <w:szCs w:val="16"/>
          <w:color w:val="auto"/>
        </w:rPr>
        <w:t xml:space="preserve">Our privacy policy is available on our website at </w:t>
      </w:r>
      <w:r>
        <w:rPr>
          <w:rFonts w:ascii="Times New Roman" w:cs="Times New Roman" w:eastAsia="Times New Roman" w:hAnsi="Times New Roman"/>
          <w:sz w:val="16"/>
          <w:szCs w:val="16"/>
          <w:i w:val="1"/>
          <w:iCs w:val="1"/>
          <w:color w:val="auto"/>
        </w:rPr>
        <w:t>https://www.oxfordfunds.com/privacy-policy/</w:t>
      </w:r>
      <w:r>
        <w:rPr>
          <w:rFonts w:ascii="Times New Roman" w:cs="Times New Roman" w:eastAsia="Times New Roman" w:hAnsi="Times New Roman"/>
          <w:sz w:val="16"/>
          <w:szCs w:val="16"/>
          <w:color w:val="auto"/>
        </w:rPr>
        <w:t>. If you have any questions or concerns about the policy, please contact by calling (203) 983-5275.</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7" w:name="page108"/>
    <w:bookmarkEnd w:id="107"/>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BOARD OF DIRECTORS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Independent Directors</w:t>
      </w:r>
    </w:p>
    <w:p>
      <w:pPr>
        <w:ind w:left="920"/>
        <w:spacing w:after="0" w:line="233" w:lineRule="auto"/>
        <w:rPr>
          <w:sz w:val="20"/>
          <w:szCs w:val="20"/>
          <w:color w:val="auto"/>
        </w:rPr>
      </w:pPr>
      <w:r>
        <w:rPr>
          <w:rFonts w:ascii="Times New Roman" w:cs="Times New Roman" w:eastAsia="Times New Roman" w:hAnsi="Times New Roman"/>
          <w:sz w:val="16"/>
          <w:szCs w:val="16"/>
          <w:b w:val="1"/>
          <w:bCs w:val="1"/>
          <w:color w:val="auto"/>
        </w:rPr>
        <w:t>Mark J. Ashenfelter, Chairman of the Board of Directors</w:t>
      </w:r>
    </w:p>
    <w:p>
      <w:pPr>
        <w:ind w:left="920"/>
        <w:spacing w:after="0" w:line="234" w:lineRule="auto"/>
        <w:rPr>
          <w:sz w:val="20"/>
          <w:szCs w:val="20"/>
          <w:color w:val="auto"/>
        </w:rPr>
      </w:pPr>
      <w:r>
        <w:rPr>
          <w:rFonts w:ascii="Times New Roman" w:cs="Times New Roman" w:eastAsia="Times New Roman" w:hAnsi="Times New Roman"/>
          <w:sz w:val="16"/>
          <w:szCs w:val="16"/>
          <w:b w:val="1"/>
          <w:bCs w:val="1"/>
          <w:color w:val="auto"/>
        </w:rPr>
        <w:t>John Reardon</w:t>
      </w:r>
    </w:p>
    <w:p>
      <w:pPr>
        <w:ind w:left="920"/>
        <w:spacing w:after="0"/>
        <w:rPr>
          <w:sz w:val="20"/>
          <w:szCs w:val="20"/>
          <w:color w:val="auto"/>
        </w:rPr>
      </w:pPr>
      <w:r>
        <w:rPr>
          <w:rFonts w:ascii="Times New Roman" w:cs="Times New Roman" w:eastAsia="Times New Roman" w:hAnsi="Times New Roman"/>
          <w:sz w:val="16"/>
          <w:szCs w:val="16"/>
          <w:b w:val="1"/>
          <w:bCs w:val="1"/>
          <w:color w:val="auto"/>
        </w:rPr>
        <w:t>David S. Shin</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Interested Directors</w:t>
      </w:r>
      <w:r>
        <w:rPr>
          <w:rFonts w:ascii="Times New Roman" w:cs="Times New Roman" w:eastAsia="Times New Roman" w:hAnsi="Times New Roman"/>
          <w:sz w:val="19"/>
          <w:szCs w:val="19"/>
          <w:color w:val="auto"/>
          <w:vertAlign w:val="superscript"/>
        </w:rPr>
        <w:t>(1)</w:t>
      </w:r>
    </w:p>
    <w:p>
      <w:pPr>
        <w:ind w:left="920"/>
        <w:spacing w:after="0" w:line="233" w:lineRule="auto"/>
        <w:rPr>
          <w:sz w:val="20"/>
          <w:szCs w:val="20"/>
          <w:color w:val="auto"/>
        </w:rPr>
      </w:pPr>
      <w:r>
        <w:rPr>
          <w:rFonts w:ascii="Times New Roman" w:cs="Times New Roman" w:eastAsia="Times New Roman" w:hAnsi="Times New Roman"/>
          <w:sz w:val="16"/>
          <w:szCs w:val="16"/>
          <w:b w:val="1"/>
          <w:bCs w:val="1"/>
          <w:color w:val="auto"/>
        </w:rPr>
        <w:t>Jonathan H. Cohen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Saul B. Rosenthal</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OFFICERS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Jonathan H. Cohen, Chief Executive Officer</w:t>
      </w:r>
    </w:p>
    <w:p>
      <w:pPr>
        <w:ind w:left="920"/>
        <w:spacing w:after="0" w:line="233" w:lineRule="auto"/>
        <w:rPr>
          <w:sz w:val="20"/>
          <w:szCs w:val="20"/>
          <w:color w:val="auto"/>
        </w:rPr>
      </w:pPr>
      <w:r>
        <w:rPr>
          <w:rFonts w:ascii="Times New Roman" w:cs="Times New Roman" w:eastAsia="Times New Roman" w:hAnsi="Times New Roman"/>
          <w:sz w:val="16"/>
          <w:szCs w:val="16"/>
          <w:b w:val="1"/>
          <w:bCs w:val="1"/>
          <w:color w:val="auto"/>
        </w:rPr>
        <w:t>Saul B. Rosenthal, President</w:t>
      </w:r>
    </w:p>
    <w:p>
      <w:pPr>
        <w:ind w:left="920"/>
        <w:spacing w:after="0" w:line="234" w:lineRule="auto"/>
        <w:rPr>
          <w:sz w:val="20"/>
          <w:szCs w:val="20"/>
          <w:color w:val="auto"/>
        </w:rPr>
      </w:pPr>
      <w:r>
        <w:rPr>
          <w:rFonts w:ascii="Times New Roman" w:cs="Times New Roman" w:eastAsia="Times New Roman" w:hAnsi="Times New Roman"/>
          <w:sz w:val="16"/>
          <w:szCs w:val="16"/>
          <w:b w:val="1"/>
          <w:bCs w:val="1"/>
          <w:color w:val="auto"/>
        </w:rPr>
        <w:t>Bruce L. Rubin, Chief Financial Officer, Corporate Secretary and Treasurer</w:t>
      </w:r>
    </w:p>
    <w:p>
      <w:pPr>
        <w:ind w:left="920"/>
        <w:spacing w:after="0"/>
        <w:rPr>
          <w:sz w:val="20"/>
          <w:szCs w:val="20"/>
          <w:color w:val="auto"/>
        </w:rPr>
      </w:pPr>
      <w:r>
        <w:rPr>
          <w:rFonts w:ascii="Times New Roman" w:cs="Times New Roman" w:eastAsia="Times New Roman" w:hAnsi="Times New Roman"/>
          <w:sz w:val="16"/>
          <w:szCs w:val="16"/>
          <w:b w:val="1"/>
          <w:bCs w:val="1"/>
          <w:color w:val="auto"/>
        </w:rPr>
        <w:t>Gerald Cummins, Chief Compliance Officer</w:t>
      </w:r>
    </w:p>
    <w:p>
      <w:pPr>
        <w:spacing w:after="0" w:line="1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INVESTMENT ADVISER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Oxford Lane Management, LLC</w:t>
      </w:r>
    </w:p>
    <w:p>
      <w:pPr>
        <w:ind w:left="920"/>
        <w:spacing w:after="0" w:line="233" w:lineRule="auto"/>
        <w:rPr>
          <w:sz w:val="20"/>
          <w:szCs w:val="20"/>
          <w:color w:val="auto"/>
        </w:rPr>
      </w:pPr>
      <w:r>
        <w:rPr>
          <w:rFonts w:ascii="Times New Roman" w:cs="Times New Roman" w:eastAsia="Times New Roman" w:hAnsi="Times New Roman"/>
          <w:sz w:val="16"/>
          <w:szCs w:val="16"/>
          <w:b w:val="1"/>
          <w:bCs w:val="1"/>
          <w:color w:val="auto"/>
        </w:rPr>
        <w:t>8 Sound Shore Drive, Suite 255</w:t>
      </w:r>
    </w:p>
    <w:p>
      <w:pPr>
        <w:ind w:left="920"/>
        <w:spacing w:after="0" w:line="232" w:lineRule="auto"/>
        <w:rPr>
          <w:sz w:val="20"/>
          <w:szCs w:val="20"/>
          <w:color w:val="auto"/>
        </w:rPr>
      </w:pPr>
      <w:r>
        <w:rPr>
          <w:rFonts w:ascii="Times New Roman" w:cs="Times New Roman" w:eastAsia="Times New Roman" w:hAnsi="Times New Roman"/>
          <w:sz w:val="16"/>
          <w:szCs w:val="16"/>
          <w:b w:val="1"/>
          <w:bCs w:val="1"/>
          <w:color w:val="auto"/>
        </w:rPr>
        <w:t>Greenwich, CT 06830</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____________</w:t>
      </w:r>
    </w:p>
    <w:p>
      <w:pPr>
        <w:spacing w:after="0" w:line="74" w:lineRule="exact"/>
        <w:rPr>
          <w:sz w:val="20"/>
          <w:szCs w:val="20"/>
          <w:color w:val="auto"/>
        </w:rPr>
      </w:pPr>
    </w:p>
    <w:p>
      <w:pPr>
        <w:ind w:left="1300" w:right="1080" w:hanging="377"/>
        <w:spacing w:after="0" w:line="286" w:lineRule="auto"/>
        <w:tabs>
          <w:tab w:leader="none" w:pos="13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Interested directors are “interested persons,” as defined in section 2(a)(19) of the Investment Company Act of 1940, as amended.</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8" w:name="page109"/>
    <w:bookmarkEnd w:id="108"/>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1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color w:val="auto"/>
        </w:rPr>
        <w:t xml:space="preserve">8 Sound Shore Drive, Suite 255 | Greenwich, CT 06830 | </w:t>
      </w:r>
      <w:r>
        <w:rPr>
          <w:rFonts w:ascii="Times New Roman" w:cs="Times New Roman" w:eastAsia="Times New Roman" w:hAnsi="Times New Roman"/>
          <w:sz w:val="14"/>
          <w:szCs w:val="14"/>
          <w:i w:val="1"/>
          <w:iCs w:val="1"/>
          <w:color w:val="auto"/>
        </w:rPr>
        <w:t>oxfordlanecapital.com</w:t>
      </w:r>
      <w:r>
        <w:rPr>
          <w:rFonts w:ascii="Times New Roman" w:cs="Times New Roman" w:eastAsia="Times New Roman" w:hAnsi="Times New Roman"/>
          <w:sz w:val="14"/>
          <w:szCs w:val="14"/>
          <w:color w:val="auto"/>
        </w:rPr>
        <w:t xml:space="preserve"> | (203) 983-5275</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09" w:name="page110"/>
    <w:bookmarkEnd w:id="109"/>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2. Code of Ethics.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3. Audit Committee Financial Expert.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4. Principal Accountant Fees and Services.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5. Audit Committee of Listed Registrant.</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6. Investments.</w:t>
      </w:r>
    </w:p>
    <w:p>
      <w:pPr>
        <w:spacing w:after="0" w:line="117" w:lineRule="exact"/>
        <w:rPr>
          <w:sz w:val="20"/>
          <w:szCs w:val="20"/>
          <w:color w:val="auto"/>
        </w:rPr>
      </w:pPr>
    </w:p>
    <w:p>
      <w:pPr>
        <w:ind w:left="920" w:right="980" w:firstLine="382"/>
        <w:spacing w:after="0" w:line="257" w:lineRule="auto"/>
        <w:rPr>
          <w:sz w:val="20"/>
          <w:szCs w:val="20"/>
          <w:color w:val="auto"/>
        </w:rPr>
      </w:pPr>
      <w:r>
        <w:rPr>
          <w:rFonts w:ascii="Times New Roman" w:cs="Times New Roman" w:eastAsia="Times New Roman" w:hAnsi="Times New Roman"/>
          <w:sz w:val="16"/>
          <w:szCs w:val="16"/>
          <w:color w:val="auto"/>
        </w:rPr>
        <w:t>Please see the schedule of investments contained in the Report to Stockholders included under Item 1 of this Form N-CSR.</w:t>
      </w:r>
    </w:p>
    <w:p>
      <w:pPr>
        <w:spacing w:after="0" w:line="130" w:lineRule="exact"/>
        <w:rPr>
          <w:sz w:val="20"/>
          <w:szCs w:val="20"/>
          <w:color w:val="auto"/>
        </w:rPr>
      </w:pPr>
    </w:p>
    <w:p>
      <w:pPr>
        <w:ind w:left="920" w:right="1460"/>
        <w:spacing w:after="0" w:line="260" w:lineRule="auto"/>
        <w:rPr>
          <w:sz w:val="20"/>
          <w:szCs w:val="20"/>
          <w:color w:val="auto"/>
        </w:rPr>
      </w:pPr>
      <w:r>
        <w:rPr>
          <w:rFonts w:ascii="Times New Roman" w:cs="Times New Roman" w:eastAsia="Times New Roman" w:hAnsi="Times New Roman"/>
          <w:sz w:val="16"/>
          <w:szCs w:val="16"/>
          <w:b w:val="1"/>
          <w:bCs w:val="1"/>
          <w:color w:val="auto"/>
        </w:rPr>
        <w:t>Item 7. Disclosure of Proxy Voting Policies and Procedures for Closed-End Management Investment Companies.</w:t>
      </w:r>
    </w:p>
    <w:p>
      <w:pPr>
        <w:spacing w:after="0" w:line="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8. Portfolio Managers of Closed-End Investment Companies.</w:t>
      </w:r>
    </w:p>
    <w:p>
      <w:pPr>
        <w:spacing w:after="0" w:line="117" w:lineRule="exact"/>
        <w:rPr>
          <w:sz w:val="20"/>
          <w:szCs w:val="20"/>
          <w:color w:val="auto"/>
        </w:rPr>
      </w:pPr>
    </w:p>
    <w:p>
      <w:pPr>
        <w:ind w:left="1680" w:hanging="375"/>
        <w:spacing w:after="0"/>
        <w:tabs>
          <w:tab w:leader="none" w:pos="16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required by this item is not required in a semi-annual report on Form N-CSR.</w:t>
      </w:r>
    </w:p>
    <w:p>
      <w:pPr>
        <w:spacing w:after="0" w:line="114" w:lineRule="exact"/>
        <w:rPr>
          <w:rFonts w:ascii="Times New Roman" w:cs="Times New Roman" w:eastAsia="Times New Roman" w:hAnsi="Times New Roman"/>
          <w:sz w:val="16"/>
          <w:szCs w:val="16"/>
          <w:color w:val="auto"/>
        </w:rPr>
      </w:pPr>
    </w:p>
    <w:p>
      <w:pPr>
        <w:ind w:left="1680" w:right="960" w:hanging="375"/>
        <w:spacing w:after="0" w:line="245" w:lineRule="auto"/>
        <w:tabs>
          <w:tab w:leader="none" w:pos="1632"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has been no change, as of the date of the filing of this semi-annual report on Form N-CSR, to any of the portfolio managers identified in response to paragraph (a)(1) of this item in the Registrant’s most recent annual report on Form N-CSR.</w:t>
      </w:r>
    </w:p>
    <w:p>
      <w:pPr>
        <w:spacing w:after="0" w:line="140" w:lineRule="exact"/>
        <w:rPr>
          <w:sz w:val="20"/>
          <w:szCs w:val="20"/>
          <w:color w:val="auto"/>
        </w:rPr>
      </w:pPr>
    </w:p>
    <w:p>
      <w:pPr>
        <w:ind w:left="920" w:right="1220"/>
        <w:spacing w:after="0" w:line="260" w:lineRule="auto"/>
        <w:rPr>
          <w:sz w:val="20"/>
          <w:szCs w:val="20"/>
          <w:color w:val="auto"/>
        </w:rPr>
      </w:pPr>
      <w:r>
        <w:rPr>
          <w:rFonts w:ascii="Times New Roman" w:cs="Times New Roman" w:eastAsia="Times New Roman" w:hAnsi="Times New Roman"/>
          <w:sz w:val="16"/>
          <w:szCs w:val="16"/>
          <w:b w:val="1"/>
          <w:bCs w:val="1"/>
          <w:color w:val="auto"/>
        </w:rPr>
        <w:t>Item 9. Purchases of Equity Securities by Closed-End Management Investment Company and Affiliated Purchasers.</w:t>
      </w:r>
    </w:p>
    <w:p>
      <w:pPr>
        <w:spacing w:after="0" w:line="81" w:lineRule="exact"/>
        <w:rPr>
          <w:sz w:val="20"/>
          <w:szCs w:val="20"/>
          <w:color w:val="auto"/>
        </w:rPr>
      </w:pPr>
    </w:p>
    <w:p>
      <w:pPr>
        <w:ind w:left="920" w:right="1000" w:firstLine="382"/>
        <w:spacing w:after="0" w:line="257" w:lineRule="auto"/>
        <w:rPr>
          <w:sz w:val="20"/>
          <w:szCs w:val="20"/>
          <w:color w:val="auto"/>
        </w:rPr>
      </w:pPr>
      <w:r>
        <w:rPr>
          <w:rFonts w:ascii="Times New Roman" w:cs="Times New Roman" w:eastAsia="Times New Roman" w:hAnsi="Times New Roman"/>
          <w:sz w:val="16"/>
          <w:szCs w:val="16"/>
          <w:color w:val="auto"/>
        </w:rPr>
        <w:t>There have been no material changes to the procedures by which stockholders may recommend nominees to the registrant’s board of directors.</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10. Submission of Matters to a Vote of Security Holders.</w:t>
      </w:r>
    </w:p>
    <w:p>
      <w:pPr>
        <w:spacing w:after="0" w:line="117" w:lineRule="exact"/>
        <w:rPr>
          <w:sz w:val="20"/>
          <w:szCs w:val="20"/>
          <w:color w:val="auto"/>
        </w:rPr>
      </w:pPr>
    </w:p>
    <w:p>
      <w:pPr>
        <w:ind w:left="920" w:right="1000" w:firstLine="382"/>
        <w:spacing w:after="0" w:line="257" w:lineRule="auto"/>
        <w:rPr>
          <w:sz w:val="20"/>
          <w:szCs w:val="20"/>
          <w:color w:val="auto"/>
        </w:rPr>
      </w:pPr>
      <w:r>
        <w:rPr>
          <w:rFonts w:ascii="Times New Roman" w:cs="Times New Roman" w:eastAsia="Times New Roman" w:hAnsi="Times New Roman"/>
          <w:sz w:val="16"/>
          <w:szCs w:val="16"/>
          <w:color w:val="auto"/>
        </w:rPr>
        <w:t>There have been no material changes to the procedures by which stockholders may recommend nominees to the registrant’s board of directors.</w:t>
      </w:r>
    </w:p>
    <w:p>
      <w:pPr>
        <w:spacing w:after="0" w:line="1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11. Controls and Procedures.</w:t>
      </w:r>
    </w:p>
    <w:p>
      <w:pPr>
        <w:spacing w:after="0" w:line="117" w:lineRule="exact"/>
        <w:rPr>
          <w:sz w:val="20"/>
          <w:szCs w:val="20"/>
          <w:color w:val="auto"/>
        </w:rPr>
      </w:pPr>
    </w:p>
    <w:p>
      <w:pPr>
        <w:ind w:left="1680" w:right="960" w:hanging="375"/>
        <w:spacing w:after="0" w:line="236" w:lineRule="auto"/>
        <w:tabs>
          <w:tab w:leader="none" w:pos="1668"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an evaluation of the Disclosure Controls and Procedures (as defined in Rule 30a-3(c) under the Investment Company Act of 1940, the “Disclosure Controls”) as of a date within 90 days of the filing date (the “Filing Date”) of this Form N-CSR (the “Report”), the Chief Executive Officer (its principal executive officer) and Chief Financial Officer (its principal financial officer) have concluded that the Disclosure Controls are reasonably designed to ensure that information required to be disclosed by the Registrant in the Report is recorded, processed, summarized and reported by the Filing Date, including ensuring that information required to be disclosed in the Report is accumulated and communicated to the Registrant’s management, including the Registrant’s principal executive officer and principal financial officer, as appropriate to allow timely decisions regarding required disclosure.</w:t>
      </w:r>
    </w:p>
    <w:p>
      <w:pPr>
        <w:spacing w:after="0" w:line="102" w:lineRule="exact"/>
        <w:rPr>
          <w:rFonts w:ascii="Times New Roman" w:cs="Times New Roman" w:eastAsia="Times New Roman" w:hAnsi="Times New Roman"/>
          <w:sz w:val="16"/>
          <w:szCs w:val="16"/>
          <w:color w:val="auto"/>
        </w:rPr>
      </w:pPr>
    </w:p>
    <w:p>
      <w:pPr>
        <w:ind w:left="1640" w:hanging="335"/>
        <w:spacing w:after="0"/>
        <w:tabs>
          <w:tab w:leader="none" w:pos="164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changes in the Registrant’s internal control over financial reporting (as defined in</w:t>
      </w:r>
    </w:p>
    <w:p>
      <w:pPr>
        <w:spacing w:after="0" w:line="13" w:lineRule="exact"/>
        <w:rPr>
          <w:sz w:val="20"/>
          <w:szCs w:val="20"/>
          <w:color w:val="auto"/>
        </w:rPr>
      </w:pPr>
    </w:p>
    <w:p>
      <w:pPr>
        <w:ind w:left="1680" w:right="940"/>
        <w:spacing w:after="0" w:line="236" w:lineRule="auto"/>
        <w:rPr>
          <w:sz w:val="20"/>
          <w:szCs w:val="20"/>
          <w:color w:val="auto"/>
        </w:rPr>
      </w:pPr>
      <w:r>
        <w:rPr>
          <w:rFonts w:ascii="Times New Roman" w:cs="Times New Roman" w:eastAsia="Times New Roman" w:hAnsi="Times New Roman"/>
          <w:sz w:val="16"/>
          <w:szCs w:val="16"/>
          <w:color w:val="auto"/>
        </w:rPr>
        <w:t>Rule 30a-3(d) under the Investment Company Act of 1940) that occurred during the period covered by this report that have materially affected or are reasonably likely to materially affect the Registrant’s internal control over financial reporting.</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10" w:name="page111"/>
    <w:bookmarkEnd w:id="110"/>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Item 12. Disclosure of Securities Lending Activities for Closed-End Management Investment Companies</w:t>
      </w:r>
    </w:p>
    <w:p>
      <w:pPr>
        <w:spacing w:after="0" w:line="14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None.</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b w:val="1"/>
          <w:bCs w:val="1"/>
          <w:color w:val="auto"/>
        </w:rPr>
        <w:t>Item 13. Exhibits.</w:t>
      </w:r>
    </w:p>
    <w:p>
      <w:pPr>
        <w:spacing w:after="0" w:line="117"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6"/>
          <w:szCs w:val="16"/>
          <w:color w:val="auto"/>
        </w:rPr>
        <w:t>(a)(1)</w:t>
        <w:tab/>
        <w:t>Not applicable.</w:t>
      </w:r>
    </w:p>
    <w:p>
      <w:pPr>
        <w:spacing w:after="0" w:line="115" w:lineRule="exact"/>
        <w:rPr>
          <w:sz w:val="20"/>
          <w:szCs w:val="20"/>
          <w:color w:val="auto"/>
        </w:rPr>
      </w:pPr>
    </w:p>
    <w:p>
      <w:pPr>
        <w:ind w:left="1860" w:right="1040" w:hanging="573"/>
        <w:spacing w:after="0" w:line="257" w:lineRule="auto"/>
        <w:tabs>
          <w:tab w:leader="none" w:pos="184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(a)(2)</w:t>
      </w:r>
      <w:r>
        <w:rPr>
          <w:sz w:val="20"/>
          <w:szCs w:val="20"/>
          <w:color w:val="auto"/>
        </w:rPr>
        <w:tab/>
      </w:r>
      <w:hyperlink w:anchor="page1">
        <w:r>
          <w:rPr>
            <w:rFonts w:ascii="Times New Roman" w:cs="Times New Roman" w:eastAsia="Times New Roman" w:hAnsi="Times New Roman"/>
            <w:sz w:val="16"/>
            <w:szCs w:val="16"/>
            <w:u w:val="single" w:color="auto"/>
            <w:color w:val="0000EE"/>
          </w:rPr>
          <w:t>Certifications of principal executive officer and principal financial officer as required by Rule 30a</w:t>
        </w:r>
      </w:hyperlink>
      <w:r>
        <w:rPr>
          <w:rFonts w:ascii="Times New Roman" w:cs="Times New Roman" w:eastAsia="Times New Roman" w:hAnsi="Times New Roman"/>
          <w:sz w:val="16"/>
          <w:szCs w:val="16"/>
          <w:u w:val="single" w:color="auto"/>
          <w:color w:val="0000EE"/>
        </w:rPr>
        <w:t>-</w:t>
      </w:r>
      <w:hyperlink w:anchor="page1">
        <w:r>
          <w:rPr>
            <w:rFonts w:ascii="Times New Roman" w:cs="Times New Roman" w:eastAsia="Times New Roman" w:hAnsi="Times New Roman"/>
            <w:sz w:val="16"/>
            <w:szCs w:val="16"/>
            <w:u w:val="single" w:color="auto"/>
            <w:color w:val="0000EE"/>
          </w:rPr>
          <w:t>2(a) under the Investment Company Act of 1940.</w:t>
        </w:r>
      </w:hyperlink>
    </w:p>
    <w:p>
      <w:pPr>
        <w:spacing w:after="0" w:line="84"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6"/>
          <w:szCs w:val="16"/>
          <w:color w:val="auto"/>
        </w:rPr>
        <w:t>(a)(3)</w:t>
        <w:tab/>
        <w:t>Not applicable.</w:t>
      </w:r>
    </w:p>
    <w:p>
      <w:pPr>
        <w:spacing w:after="0" w:line="115" w:lineRule="exact"/>
        <w:rPr>
          <w:sz w:val="20"/>
          <w:szCs w:val="20"/>
          <w:color w:val="auto"/>
        </w:rPr>
      </w:pPr>
    </w:p>
    <w:p>
      <w:pPr>
        <w:ind w:left="1300"/>
        <w:spacing w:after="0"/>
        <w:tabs>
          <w:tab w:leader="none" w:pos="1840" w:val="left"/>
        </w:tabs>
        <w:rPr>
          <w:sz w:val="20"/>
          <w:szCs w:val="20"/>
          <w:color w:val="auto"/>
        </w:rPr>
      </w:pPr>
      <w:r>
        <w:rPr>
          <w:rFonts w:ascii="Times New Roman" w:cs="Times New Roman" w:eastAsia="Times New Roman" w:hAnsi="Times New Roman"/>
          <w:sz w:val="16"/>
          <w:szCs w:val="16"/>
          <w:color w:val="auto"/>
        </w:rPr>
        <w:t>(a)(4)</w:t>
        <w:tab/>
        <w:t>Not applicable.</w:t>
      </w:r>
    </w:p>
    <w:p>
      <w:pPr>
        <w:spacing w:after="0" w:line="115" w:lineRule="exact"/>
        <w:rPr>
          <w:sz w:val="20"/>
          <w:szCs w:val="20"/>
          <w:color w:val="auto"/>
        </w:rPr>
      </w:pPr>
    </w:p>
    <w:p>
      <w:pPr>
        <w:ind w:left="1880" w:right="1380" w:hanging="575"/>
        <w:spacing w:after="0" w:line="257" w:lineRule="auto"/>
        <w:tabs>
          <w:tab w:leader="none" w:pos="1844" w:val="left"/>
        </w:tabs>
        <w:numPr>
          <w:ilvl w:val="0"/>
          <w:numId w:val="57"/>
        </w:numPr>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Certifications of chief executive officer and chief accounting officer as required by Rule 30a</w:t>
        </w:r>
      </w:hyperlink>
      <w:r>
        <w:rPr>
          <w:rFonts w:ascii="Times New Roman" w:cs="Times New Roman" w:eastAsia="Times New Roman" w:hAnsi="Times New Roman"/>
          <w:sz w:val="16"/>
          <w:szCs w:val="16"/>
          <w:u w:val="single" w:color="auto"/>
          <w:color w:val="0000EE"/>
        </w:rPr>
        <w:t>-</w:t>
      </w:r>
      <w:hyperlink w:anchor="page1">
        <w:r>
          <w:rPr>
            <w:rFonts w:ascii="Times New Roman" w:cs="Times New Roman" w:eastAsia="Times New Roman" w:hAnsi="Times New Roman"/>
            <w:sz w:val="16"/>
            <w:szCs w:val="16"/>
            <w:u w:val="single" w:color="auto"/>
            <w:color w:val="0000EE"/>
          </w:rPr>
          <w:t>2(b) under the Investment Company Act of 1940.</w:t>
        </w:r>
      </w:hyperlink>
    </w:p>
    <w:p>
      <w:pPr>
        <w:spacing w:after="0" w:line="120"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11" w:name="page112"/>
    <w:bookmarkEnd w:id="111"/>
    <w:p>
      <w:pPr>
        <w:ind w:left="920"/>
        <w:spacing w:after="0"/>
        <w:rPr>
          <w:rFonts w:ascii="Times New Roman" w:cs="Times New Roman" w:eastAsia="Times New Roman" w:hAnsi="Times New Roman"/>
          <w:sz w:val="16"/>
          <w:szCs w:val="16"/>
          <w:u w:val="single" w:color="auto"/>
          <w:color w:val="0000EE"/>
        </w:rPr>
      </w:pPr>
      <w:hyperlink w:anchor="page1">
        <w:r>
          <w:rPr>
            <w:rFonts w:ascii="Times New Roman" w:cs="Times New Roman" w:eastAsia="Times New Roman" w:hAnsi="Times New Roman"/>
            <w:sz w:val="16"/>
            <w:szCs w:val="16"/>
            <w:u w:val="single" w:color="auto"/>
            <w:color w:val="0000EE"/>
          </w:rPr>
          <w:t>Table of Contents</w:t>
        </w:r>
      </w:hyperlink>
    </w:p>
    <w:p>
      <w:pPr>
        <w:spacing w:after="0" w:line="18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and the Investment Company</w:t>
      </w:r>
    </w:p>
    <w:p>
      <w:pPr>
        <w:spacing w:after="0" w:line="13" w:lineRule="exact"/>
        <w:rPr>
          <w:sz w:val="20"/>
          <w:szCs w:val="20"/>
          <w:color w:val="auto"/>
        </w:rPr>
      </w:pPr>
    </w:p>
    <w:p>
      <w:pPr>
        <w:ind w:left="920" w:right="920"/>
        <w:spacing w:after="0" w:line="237" w:lineRule="auto"/>
        <w:rPr>
          <w:sz w:val="20"/>
          <w:szCs w:val="20"/>
          <w:color w:val="auto"/>
        </w:rPr>
      </w:pPr>
      <w:r>
        <w:rPr>
          <w:rFonts w:ascii="Times New Roman" w:cs="Times New Roman" w:eastAsia="Times New Roman" w:hAnsi="Times New Roman"/>
          <w:sz w:val="16"/>
          <w:szCs w:val="16"/>
          <w:color w:val="auto"/>
        </w:rPr>
        <w:t>Act of 1940, the Registrant has duly caused this report to be signed on its behalf by the undersigned, thereunto duly authorized.</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OXFORD LANE CAPITAL CORP.</w:t>
      </w:r>
    </w:p>
    <w:p>
      <w:pPr>
        <w:spacing w:after="0" w:line="272" w:lineRule="exact"/>
        <w:rPr>
          <w:sz w:val="20"/>
          <w:szCs w:val="20"/>
          <w:color w:val="auto"/>
        </w:rPr>
      </w:pPr>
    </w:p>
    <w:p>
      <w:pPr>
        <w:ind w:left="5400"/>
        <w:spacing w:after="0"/>
        <w:tabs>
          <w:tab w:leader="none" w:pos="5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Jonathan H. Cohen</w:t>
      </w:r>
    </w:p>
    <w:p>
      <w:pPr>
        <w:spacing w:after="0" w:line="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-115570</wp:posOffset>
            </wp:positionV>
            <wp:extent cx="147955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6"/>
          <w:szCs w:val="16"/>
          <w:color w:val="auto"/>
        </w:rPr>
        <w:t>Chief Executive Officer</w:t>
      </w:r>
    </w:p>
    <w:p>
      <w:pPr>
        <w:ind w:left="5760"/>
        <w:spacing w:after="0"/>
        <w:rPr>
          <w:sz w:val="20"/>
          <w:szCs w:val="20"/>
          <w:color w:val="auto"/>
        </w:rPr>
      </w:pPr>
      <w:r>
        <w:rPr>
          <w:rFonts w:ascii="Times New Roman" w:cs="Times New Roman" w:eastAsia="Times New Roman" w:hAnsi="Times New Roman"/>
          <w:sz w:val="16"/>
          <w:szCs w:val="16"/>
          <w:color w:val="auto"/>
        </w:rPr>
        <w:t>Date: November 1, 2024</w:t>
      </w:r>
    </w:p>
    <w:p>
      <w:pPr>
        <w:spacing w:after="0" w:line="1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Pursuant to the requirements of the Securities Exchange Act of 1934 and the Investment Company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Act of 1940, this report has been signed below by the following persons on behalf of the Registrant and in the</w:t>
      </w:r>
    </w:p>
    <w:p>
      <w:pPr>
        <w:ind w:left="920"/>
        <w:spacing w:after="0"/>
        <w:rPr>
          <w:sz w:val="20"/>
          <w:szCs w:val="20"/>
          <w:color w:val="auto"/>
        </w:rPr>
      </w:pPr>
      <w:r>
        <w:rPr>
          <w:rFonts w:ascii="Times New Roman" w:cs="Times New Roman" w:eastAsia="Times New Roman" w:hAnsi="Times New Roman"/>
          <w:sz w:val="16"/>
          <w:szCs w:val="16"/>
          <w:color w:val="auto"/>
        </w:rPr>
        <w:t>capacities and on the dates indicated.</w:t>
      </w:r>
    </w:p>
    <w:p>
      <w:pPr>
        <w:spacing w:after="0" w:line="252" w:lineRule="exact"/>
        <w:rPr>
          <w:sz w:val="20"/>
          <w:szCs w:val="20"/>
          <w:color w:val="auto"/>
        </w:rPr>
      </w:pPr>
    </w:p>
    <w:p>
      <w:pPr>
        <w:ind w:left="5400"/>
        <w:spacing w:after="0"/>
        <w:tabs>
          <w:tab w:leader="none" w:pos="5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Jonathan H. Cohen</w:t>
      </w:r>
    </w:p>
    <w:p>
      <w:pPr>
        <w:spacing w:after="0" w:line="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-115570</wp:posOffset>
            </wp:positionV>
            <wp:extent cx="147955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6"/>
          <w:szCs w:val="16"/>
          <w:color w:val="auto"/>
        </w:rPr>
        <w:t>Chief Executive Officer</w:t>
      </w:r>
    </w:p>
    <w:p>
      <w:pPr>
        <w:ind w:left="5760"/>
        <w:spacing w:after="0"/>
        <w:rPr>
          <w:sz w:val="20"/>
          <w:szCs w:val="20"/>
          <w:color w:val="auto"/>
        </w:rPr>
      </w:pPr>
      <w:r>
        <w:rPr>
          <w:rFonts w:ascii="Times New Roman" w:cs="Times New Roman" w:eastAsia="Times New Roman" w:hAnsi="Times New Roman"/>
          <w:sz w:val="16"/>
          <w:szCs w:val="16"/>
          <w:color w:val="auto"/>
        </w:rPr>
        <w:t>Date: November 1, 2024</w:t>
      </w:r>
    </w:p>
    <w:p>
      <w:pPr>
        <w:spacing w:after="0" w:line="288" w:lineRule="exact"/>
        <w:rPr>
          <w:sz w:val="20"/>
          <w:szCs w:val="20"/>
          <w:color w:val="auto"/>
        </w:rPr>
      </w:pPr>
    </w:p>
    <w:p>
      <w:pPr>
        <w:ind w:left="5400"/>
        <w:spacing w:after="0"/>
        <w:tabs>
          <w:tab w:leader="none" w:pos="574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Bruce L. Rubin</w:t>
      </w:r>
    </w:p>
    <w:p>
      <w:pPr>
        <w:spacing w:after="0" w:line="4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6"/>
          <w:szCs w:val="16"/>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-115570</wp:posOffset>
            </wp:positionV>
            <wp:extent cx="147955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479550" cy="7620"/>
                    </a:xfrm>
                    <a:prstGeom prst="rect">
                      <a:avLst/>
                    </a:prstGeom>
                    <a:noFill/>
                  </pic:spPr>
                </pic:pic>
              </a:graphicData>
            </a:graphic>
          </wp:anchor>
        </w:drawing>
      </w:r>
    </w:p>
    <w:p>
      <w:pPr>
        <w:ind w:left="5760"/>
        <w:spacing w:after="0"/>
        <w:rPr>
          <w:sz w:val="20"/>
          <w:szCs w:val="20"/>
          <w:color w:val="auto"/>
        </w:rPr>
      </w:pPr>
      <w:r>
        <w:rPr>
          <w:rFonts w:ascii="Times New Roman" w:cs="Times New Roman" w:eastAsia="Times New Roman" w:hAnsi="Times New Roman"/>
          <w:sz w:val="16"/>
          <w:szCs w:val="16"/>
          <w:color w:val="auto"/>
        </w:rPr>
        <w:t>Chief Financial Officer</w:t>
      </w:r>
    </w:p>
    <w:p>
      <w:pPr>
        <w:ind w:left="5760"/>
        <w:spacing w:after="0"/>
        <w:rPr>
          <w:sz w:val="20"/>
          <w:szCs w:val="20"/>
          <w:color w:val="auto"/>
        </w:rPr>
      </w:pPr>
      <w:r>
        <w:rPr>
          <w:rFonts w:ascii="Times New Roman" w:cs="Times New Roman" w:eastAsia="Times New Roman" w:hAnsi="Times New Roman"/>
          <w:sz w:val="16"/>
          <w:szCs w:val="16"/>
          <w:color w:val="auto"/>
        </w:rPr>
        <w:t>Date: November 1, 2024</w:t>
      </w:r>
    </w:p>
    <w:p>
      <w:pPr>
        <w:spacing w:after="0" w:line="1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5080</wp:posOffset>
            </wp:positionV>
            <wp:extent cx="455295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6" w:right="1440" w:bottom="1440" w:gutter="0" w:footer="0" w:header="0"/>
        </w:sectPr>
      </w:pPr>
    </w:p>
    <w:bookmarkStart w:id="112" w:name="page113"/>
    <w:bookmarkEnd w:id="112"/>
    <w:p>
      <w:pPr>
        <w:ind w:left="6940"/>
        <w:spacing w:after="0"/>
        <w:rPr>
          <w:sz w:val="20"/>
          <w:szCs w:val="20"/>
          <w:color w:val="auto"/>
        </w:rPr>
      </w:pPr>
      <w:r>
        <w:rPr>
          <w:rFonts w:ascii="Times New Roman" w:cs="Times New Roman" w:eastAsia="Times New Roman" w:hAnsi="Times New Roman"/>
          <w:sz w:val="14"/>
          <w:szCs w:val="14"/>
          <w:b w:val="1"/>
          <w:bCs w:val="1"/>
          <w:color w:val="auto"/>
        </w:rPr>
        <w:t>Exhibit 99.CERT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13(a)(2)</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 30a-2(a) Certification</w:t>
      </w:r>
    </w:p>
    <w:p>
      <w:pPr>
        <w:spacing w:after="0" w:line="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 Jonathan H. Cohen, Chief Executive Officer of Oxford Lane Capital Corp., certify that:</w:t>
      </w:r>
    </w:p>
    <w:p>
      <w:pPr>
        <w:spacing w:after="0" w:line="115" w:lineRule="exact"/>
        <w:rPr>
          <w:sz w:val="20"/>
          <w:szCs w:val="20"/>
          <w:color w:val="auto"/>
        </w:rPr>
      </w:pPr>
    </w:p>
    <w:p>
      <w:pPr>
        <w:ind w:left="1660" w:hanging="355"/>
        <w:spacing w:after="0"/>
        <w:tabs>
          <w:tab w:leader="none" w:pos="16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N-CSR of Oxford Lane Capital Corp.;</w:t>
      </w:r>
    </w:p>
    <w:p>
      <w:pPr>
        <w:spacing w:after="0" w:line="114" w:lineRule="exact"/>
        <w:rPr>
          <w:rFonts w:ascii="Times New Roman" w:cs="Times New Roman" w:eastAsia="Times New Roman" w:hAnsi="Times New Roman"/>
          <w:sz w:val="16"/>
          <w:szCs w:val="16"/>
          <w:color w:val="auto"/>
        </w:rPr>
      </w:pPr>
    </w:p>
    <w:p>
      <w:pPr>
        <w:jc w:val="both"/>
        <w:ind w:left="1680" w:right="980" w:hanging="375"/>
        <w:spacing w:after="0" w:line="298" w:lineRule="auto"/>
        <w:tabs>
          <w:tab w:leader="none" w:pos="165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4"/>
          <w:szCs w:val="14"/>
          <w:color w:val="auto"/>
        </w:rPr>
      </w:pPr>
    </w:p>
    <w:p>
      <w:pPr>
        <w:ind w:left="1680" w:right="960" w:hanging="375"/>
        <w:spacing w:after="0" w:line="241" w:lineRule="auto"/>
        <w:tabs>
          <w:tab w:leader="none" w:pos="165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7" w:lineRule="exact"/>
        <w:rPr>
          <w:rFonts w:ascii="Times New Roman" w:cs="Times New Roman" w:eastAsia="Times New Roman" w:hAnsi="Times New Roman"/>
          <w:sz w:val="16"/>
          <w:szCs w:val="16"/>
          <w:color w:val="auto"/>
        </w:rPr>
      </w:pPr>
    </w:p>
    <w:p>
      <w:pPr>
        <w:ind w:left="1680" w:right="1360" w:hanging="375"/>
        <w:spacing w:after="0" w:line="241" w:lineRule="auto"/>
        <w:tabs>
          <w:tab w:leader="none" w:pos="1656"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97" w:lineRule="exact"/>
        <w:rPr>
          <w:rFonts w:ascii="Times New Roman" w:cs="Times New Roman" w:eastAsia="Times New Roman" w:hAnsi="Times New Roman"/>
          <w:sz w:val="16"/>
          <w:szCs w:val="16"/>
          <w:color w:val="auto"/>
        </w:rPr>
      </w:pPr>
    </w:p>
    <w:p>
      <w:pPr>
        <w:ind w:left="2060" w:right="1040" w:hanging="373"/>
        <w:spacing w:after="0" w:line="287" w:lineRule="auto"/>
        <w:tabs>
          <w:tab w:leader="none" w:pos="203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4"/>
          <w:szCs w:val="14"/>
          <w:color w:val="auto"/>
        </w:rPr>
      </w:pPr>
    </w:p>
    <w:p>
      <w:pPr>
        <w:ind w:left="2060" w:right="1220" w:hanging="373"/>
        <w:spacing w:after="0" w:line="287" w:lineRule="auto"/>
        <w:tabs>
          <w:tab w:leader="none" w:pos="2048"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4"/>
          <w:szCs w:val="14"/>
          <w:color w:val="auto"/>
        </w:rPr>
      </w:pPr>
    </w:p>
    <w:p>
      <w:pPr>
        <w:ind w:left="2060" w:right="920" w:hanging="373"/>
        <w:spacing w:after="0" w:line="298" w:lineRule="auto"/>
        <w:tabs>
          <w:tab w:leader="none" w:pos="203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spacing w:after="0" w:line="57" w:lineRule="exact"/>
        <w:rPr>
          <w:rFonts w:ascii="Times New Roman" w:cs="Times New Roman" w:eastAsia="Times New Roman" w:hAnsi="Times New Roman"/>
          <w:sz w:val="14"/>
          <w:szCs w:val="14"/>
          <w:color w:val="auto"/>
        </w:rPr>
      </w:pPr>
    </w:p>
    <w:p>
      <w:pPr>
        <w:ind w:left="2060" w:right="920" w:hanging="373"/>
        <w:spacing w:after="0" w:line="241" w:lineRule="auto"/>
        <w:tabs>
          <w:tab w:leader="none" w:pos="204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spacing w:after="0" w:line="97" w:lineRule="exact"/>
        <w:rPr>
          <w:rFonts w:ascii="Times New Roman" w:cs="Times New Roman" w:eastAsia="Times New Roman" w:hAnsi="Times New Roman"/>
          <w:sz w:val="16"/>
          <w:szCs w:val="16"/>
          <w:color w:val="auto"/>
        </w:rPr>
      </w:pPr>
    </w:p>
    <w:p>
      <w:pPr>
        <w:ind w:left="1680" w:right="1120" w:hanging="375"/>
        <w:spacing w:after="0" w:line="328" w:lineRule="auto"/>
        <w:tabs>
          <w:tab w:leader="none" w:pos="1656"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4"/>
          <w:szCs w:val="14"/>
          <w:color w:val="auto"/>
        </w:rPr>
      </w:pPr>
    </w:p>
    <w:p>
      <w:pPr>
        <w:jc w:val="both"/>
        <w:ind w:left="2060" w:right="980" w:hanging="373"/>
        <w:spacing w:after="0" w:line="245" w:lineRule="auto"/>
        <w:tabs>
          <w:tab w:leader="none" w:pos="2036"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6"/>
          <w:szCs w:val="16"/>
          <w:color w:val="auto"/>
        </w:rPr>
      </w:pPr>
    </w:p>
    <w:p>
      <w:pPr>
        <w:ind w:left="2060" w:right="1160" w:hanging="373"/>
        <w:spacing w:after="0" w:line="257" w:lineRule="auto"/>
        <w:tabs>
          <w:tab w:leader="none" w:pos="2048" w:val="left"/>
        </w:tabs>
        <w:numPr>
          <w:ilvl w:val="1"/>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Dated this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6"/>
          <w:szCs w:val="16"/>
          <w:color w:val="auto"/>
        </w:rPr>
        <w:t xml:space="preserve"> day of November, 2024</w:t>
      </w:r>
    </w:p>
    <w:p>
      <w:pPr>
        <w:spacing w:after="0" w:line="1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/s/ JONATHAN H. COHEN</w:t>
      </w:r>
    </w:p>
    <w:p>
      <w:pPr>
        <w:spacing w:after="0" w:line="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-115570</wp:posOffset>
            </wp:positionV>
            <wp:extent cx="2041525"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271145</wp:posOffset>
            </wp:positionV>
            <wp:extent cx="455295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Exhibit 13(a)(2)</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 30a-2(a) Certification</w:t>
      </w:r>
    </w:p>
    <w:p>
      <w:pPr>
        <w:spacing w:after="0" w:line="9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I, Bruce L. Rubin, Chief Financial Officer of Oxford Lane Capital Corp., certify that:</w:t>
      </w:r>
    </w:p>
    <w:p>
      <w:pPr>
        <w:spacing w:after="0" w:line="115" w:lineRule="exact"/>
        <w:rPr>
          <w:sz w:val="20"/>
          <w:szCs w:val="20"/>
          <w:color w:val="auto"/>
        </w:rPr>
      </w:pPr>
    </w:p>
    <w:p>
      <w:pPr>
        <w:ind w:left="1660" w:hanging="355"/>
        <w:spacing w:after="0"/>
        <w:tabs>
          <w:tab w:leader="none" w:pos="166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report on Form N-CSR of Oxford Lane Capital Corp.;</w:t>
      </w:r>
    </w:p>
    <w:p>
      <w:pPr>
        <w:spacing w:after="0" w:line="114" w:lineRule="exact"/>
        <w:rPr>
          <w:rFonts w:ascii="Times New Roman" w:cs="Times New Roman" w:eastAsia="Times New Roman" w:hAnsi="Times New Roman"/>
          <w:sz w:val="16"/>
          <w:szCs w:val="16"/>
          <w:color w:val="auto"/>
        </w:rPr>
      </w:pPr>
    </w:p>
    <w:p>
      <w:pPr>
        <w:jc w:val="both"/>
        <w:ind w:left="1680" w:right="980" w:hanging="375"/>
        <w:spacing w:after="0" w:line="298" w:lineRule="auto"/>
        <w:tabs>
          <w:tab w:leader="none" w:pos="165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7" w:lineRule="exact"/>
        <w:rPr>
          <w:rFonts w:ascii="Times New Roman" w:cs="Times New Roman" w:eastAsia="Times New Roman" w:hAnsi="Times New Roman"/>
          <w:sz w:val="14"/>
          <w:szCs w:val="14"/>
          <w:color w:val="auto"/>
        </w:rPr>
      </w:pPr>
    </w:p>
    <w:p>
      <w:pPr>
        <w:ind w:left="1680" w:right="960" w:hanging="375"/>
        <w:spacing w:after="0" w:line="241" w:lineRule="auto"/>
        <w:tabs>
          <w:tab w:leader="none" w:pos="165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spacing w:after="0" w:line="97" w:lineRule="exact"/>
        <w:rPr>
          <w:rFonts w:ascii="Times New Roman" w:cs="Times New Roman" w:eastAsia="Times New Roman" w:hAnsi="Times New Roman"/>
          <w:sz w:val="16"/>
          <w:szCs w:val="16"/>
          <w:color w:val="auto"/>
        </w:rPr>
      </w:pPr>
    </w:p>
    <w:p>
      <w:pPr>
        <w:ind w:left="1680" w:right="1360" w:hanging="375"/>
        <w:spacing w:after="0" w:line="241" w:lineRule="auto"/>
        <w:tabs>
          <w:tab w:leader="none" w:pos="1656"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spacing w:after="0" w:line="97" w:lineRule="exact"/>
        <w:rPr>
          <w:rFonts w:ascii="Times New Roman" w:cs="Times New Roman" w:eastAsia="Times New Roman" w:hAnsi="Times New Roman"/>
          <w:sz w:val="16"/>
          <w:szCs w:val="16"/>
          <w:color w:val="auto"/>
        </w:rPr>
      </w:pPr>
    </w:p>
    <w:p>
      <w:pPr>
        <w:ind w:left="2060" w:right="1040" w:hanging="373"/>
        <w:spacing w:after="0" w:line="287" w:lineRule="auto"/>
        <w:tabs>
          <w:tab w:leader="none" w:pos="2036"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14"/>
          <w:szCs w:val="14"/>
          <w:color w:val="auto"/>
        </w:rPr>
      </w:pPr>
    </w:p>
    <w:p>
      <w:pPr>
        <w:ind w:left="2060" w:right="1220" w:hanging="373"/>
        <w:spacing w:after="0" w:line="287" w:lineRule="auto"/>
        <w:tabs>
          <w:tab w:leader="none" w:pos="2048"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14"/>
          <w:szCs w:val="14"/>
          <w:color w:val="auto"/>
        </w:rPr>
      </w:pPr>
    </w:p>
    <w:p>
      <w:pPr>
        <w:ind w:left="2060" w:right="920" w:hanging="373"/>
        <w:spacing w:after="0" w:line="298" w:lineRule="auto"/>
        <w:tabs>
          <w:tab w:leader="none" w:pos="2036"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w:t>
      </w:r>
    </w:p>
    <w:p>
      <w:pPr>
        <w:spacing w:after="0" w:line="57" w:lineRule="exact"/>
        <w:rPr>
          <w:rFonts w:ascii="Times New Roman" w:cs="Times New Roman" w:eastAsia="Times New Roman" w:hAnsi="Times New Roman"/>
          <w:sz w:val="14"/>
          <w:szCs w:val="14"/>
          <w:color w:val="auto"/>
        </w:rPr>
      </w:pPr>
    </w:p>
    <w:p>
      <w:pPr>
        <w:ind w:left="2060" w:right="920" w:hanging="373"/>
        <w:spacing w:after="0" w:line="241" w:lineRule="auto"/>
        <w:tabs>
          <w:tab w:leader="none" w:pos="2048"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period covered by this report that has materially affected, or is reasonably likely to materially affect, the registrant’s internal control over financial reporting; and</w:t>
      </w:r>
    </w:p>
    <w:p>
      <w:pPr>
        <w:spacing w:after="0" w:line="97" w:lineRule="exact"/>
        <w:rPr>
          <w:rFonts w:ascii="Times New Roman" w:cs="Times New Roman" w:eastAsia="Times New Roman" w:hAnsi="Times New Roman"/>
          <w:sz w:val="16"/>
          <w:szCs w:val="16"/>
          <w:color w:val="auto"/>
        </w:rPr>
      </w:pPr>
    </w:p>
    <w:p>
      <w:pPr>
        <w:ind w:left="1680" w:right="1120" w:hanging="375"/>
        <w:spacing w:after="0" w:line="328" w:lineRule="auto"/>
        <w:tabs>
          <w:tab w:leader="none" w:pos="165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to the registrant’s auditors and the audit committee of the registrant’s board of directors (or persons performing the equivalent functions):</w:t>
      </w:r>
    </w:p>
    <w:p>
      <w:pPr>
        <w:spacing w:after="0" w:line="37" w:lineRule="exact"/>
        <w:rPr>
          <w:rFonts w:ascii="Times New Roman" w:cs="Times New Roman" w:eastAsia="Times New Roman" w:hAnsi="Times New Roman"/>
          <w:sz w:val="14"/>
          <w:szCs w:val="14"/>
          <w:color w:val="auto"/>
        </w:rPr>
      </w:pPr>
    </w:p>
    <w:p>
      <w:pPr>
        <w:jc w:val="both"/>
        <w:ind w:left="2060" w:right="980" w:hanging="373"/>
        <w:spacing w:after="0" w:line="245" w:lineRule="auto"/>
        <w:tabs>
          <w:tab w:leader="none" w:pos="2036"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16"/>
          <w:szCs w:val="16"/>
          <w:color w:val="auto"/>
        </w:rPr>
      </w:pPr>
    </w:p>
    <w:p>
      <w:pPr>
        <w:ind w:left="2060" w:right="1160" w:hanging="373"/>
        <w:spacing w:after="0" w:line="257" w:lineRule="auto"/>
        <w:tabs>
          <w:tab w:leader="none" w:pos="2048"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Dated this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6"/>
          <w:szCs w:val="16"/>
          <w:color w:val="auto"/>
        </w:rPr>
        <w:t xml:space="preserve"> day of November, 2024</w:t>
      </w:r>
    </w:p>
    <w:p>
      <w:pPr>
        <w:spacing w:after="0" w:line="1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/s/ BRUCE L. RUBIN</w:t>
      </w:r>
    </w:p>
    <w:p>
      <w:pPr>
        <w:spacing w:after="0" w:line="9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3097530</wp:posOffset>
            </wp:positionH>
            <wp:positionV relativeFrom="paragraph">
              <wp:posOffset>-115570</wp:posOffset>
            </wp:positionV>
            <wp:extent cx="2041525"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041525" cy="762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271145</wp:posOffset>
            </wp:positionV>
            <wp:extent cx="455295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14" w:name="page115"/>
    <w:bookmarkEnd w:id="114"/>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Exhibit 99.906 CERT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 13(b)</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30a-2(b) Certification</w:t>
      </w:r>
    </w:p>
    <w:p>
      <w:pPr>
        <w:spacing w:after="0" w:line="97" w:lineRule="exact"/>
        <w:rPr>
          <w:sz w:val="20"/>
          <w:szCs w:val="20"/>
          <w:color w:val="auto"/>
        </w:rPr>
      </w:pPr>
    </w:p>
    <w:p>
      <w:pPr>
        <w:ind w:left="920" w:right="1100" w:firstLine="382"/>
        <w:spacing w:after="0" w:line="241" w:lineRule="auto"/>
        <w:rPr>
          <w:sz w:val="20"/>
          <w:szCs w:val="20"/>
          <w:color w:val="auto"/>
        </w:rPr>
      </w:pPr>
      <w:r>
        <w:rPr>
          <w:rFonts w:ascii="Times New Roman" w:cs="Times New Roman" w:eastAsia="Times New Roman" w:hAnsi="Times New Roman"/>
          <w:sz w:val="16"/>
          <w:szCs w:val="16"/>
          <w:color w:val="auto"/>
        </w:rPr>
        <w:t>In connection with the Report on Form N-CSR for the period ended September 30, 2024 (the “Report”) of Oxford Lane Capital Corp. (the “Registrant”), as filed with the Securities and Exchange Commission on the date hereof, I, Jonathan H. Cohen, the Chief Executive Officer of the Registrant, hereby certify, to the best of my knowledge, that:</w:t>
      </w:r>
    </w:p>
    <w:p>
      <w:pPr>
        <w:spacing w:after="0" w:line="97" w:lineRule="exact"/>
        <w:rPr>
          <w:sz w:val="20"/>
          <w:szCs w:val="20"/>
          <w:color w:val="auto"/>
        </w:rPr>
      </w:pPr>
    </w:p>
    <w:p>
      <w:pPr>
        <w:ind w:left="1680" w:right="1720" w:hanging="375"/>
        <w:spacing w:after="0" w:line="257" w:lineRule="auto"/>
        <w:tabs>
          <w:tab w:leader="none" w:pos="163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6"/>
          <w:szCs w:val="16"/>
          <w:color w:val="auto"/>
        </w:rPr>
      </w:pPr>
    </w:p>
    <w:p>
      <w:pPr>
        <w:ind w:left="1680" w:right="1000" w:hanging="375"/>
        <w:spacing w:after="0" w:line="257" w:lineRule="auto"/>
        <w:tabs>
          <w:tab w:leader="none" w:pos="1632"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1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/s/ JONATHAN H. COHEN</w:t>
      </w:r>
    </w:p>
    <w:p>
      <w:pPr>
        <w:spacing w:after="0" w:line="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Name: Jonathan H.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3272155</wp:posOffset>
            </wp:positionH>
            <wp:positionV relativeFrom="paragraph">
              <wp:posOffset>-115570</wp:posOffset>
            </wp:positionV>
            <wp:extent cx="18669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Date: November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241300</wp:posOffset>
            </wp:positionV>
            <wp:extent cx="455295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6"/>
          <w:szCs w:val="16"/>
          <w:b w:val="1"/>
          <w:bCs w:val="1"/>
          <w:color w:val="auto"/>
        </w:rPr>
        <w:t>Exhibit 13(b)</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30a-2(b) Certification</w:t>
      </w:r>
    </w:p>
    <w:p>
      <w:pPr>
        <w:spacing w:after="0" w:line="97" w:lineRule="exact"/>
        <w:rPr>
          <w:sz w:val="20"/>
          <w:szCs w:val="20"/>
          <w:color w:val="auto"/>
        </w:rPr>
      </w:pPr>
    </w:p>
    <w:p>
      <w:pPr>
        <w:ind w:left="920" w:right="1100" w:firstLine="382"/>
        <w:spacing w:after="0" w:line="241" w:lineRule="auto"/>
        <w:rPr>
          <w:sz w:val="20"/>
          <w:szCs w:val="20"/>
          <w:color w:val="auto"/>
        </w:rPr>
      </w:pPr>
      <w:r>
        <w:rPr>
          <w:rFonts w:ascii="Times New Roman" w:cs="Times New Roman" w:eastAsia="Times New Roman" w:hAnsi="Times New Roman"/>
          <w:sz w:val="16"/>
          <w:szCs w:val="16"/>
          <w:color w:val="auto"/>
        </w:rPr>
        <w:t>In connection with the Report on Form N-CSR for the period ended September 30, 2024 (the “Report”) of Oxford Lane Capital Corp. (the “Registrant”), as filed with the Securities and Exchange Commission on the date hereof, I, Bruce L. Rubin, the Chief Financial Officer of the Registrant, hereby certify, to the best of my knowledge, that:</w:t>
      </w:r>
    </w:p>
    <w:p>
      <w:pPr>
        <w:spacing w:after="0" w:line="97" w:lineRule="exact"/>
        <w:rPr>
          <w:sz w:val="20"/>
          <w:szCs w:val="20"/>
          <w:color w:val="auto"/>
        </w:rPr>
      </w:pPr>
    </w:p>
    <w:p>
      <w:pPr>
        <w:ind w:left="1680" w:right="1720" w:hanging="375"/>
        <w:spacing w:after="0" w:line="257" w:lineRule="auto"/>
        <w:tabs>
          <w:tab w:leader="none" w:pos="16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as amended; and</w:t>
      </w:r>
    </w:p>
    <w:p>
      <w:pPr>
        <w:spacing w:after="0" w:line="83" w:lineRule="exact"/>
        <w:rPr>
          <w:rFonts w:ascii="Times New Roman" w:cs="Times New Roman" w:eastAsia="Times New Roman" w:hAnsi="Times New Roman"/>
          <w:sz w:val="16"/>
          <w:szCs w:val="16"/>
          <w:color w:val="auto"/>
        </w:rPr>
      </w:pPr>
    </w:p>
    <w:p>
      <w:pPr>
        <w:ind w:left="1680" w:right="1000" w:hanging="375"/>
        <w:spacing w:after="0" w:line="257" w:lineRule="auto"/>
        <w:tabs>
          <w:tab w:leader="none" w:pos="1632"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Registrant.</w:t>
      </w:r>
    </w:p>
    <w:p>
      <w:pPr>
        <w:spacing w:after="0" w:line="2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/s/ BRUCE L. RUBIN</w:t>
      </w:r>
    </w:p>
    <w:p>
      <w:pPr>
        <w:spacing w:after="0" w:line="4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Name: Bruce L.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3264535</wp:posOffset>
            </wp:positionH>
            <wp:positionV relativeFrom="paragraph">
              <wp:posOffset>-115570</wp:posOffset>
            </wp:positionV>
            <wp:extent cx="18745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874520" cy="7620"/>
                    </a:xfrm>
                    <a:prstGeom prst="rect">
                      <a:avLst/>
                    </a:prstGeom>
                    <a:noFill/>
                  </pic:spPr>
                </pic:pic>
              </a:graphicData>
            </a:graphic>
          </wp:anchor>
        </w:drawing>
      </w:r>
    </w:p>
    <w:p>
      <w:pPr>
        <w:spacing w:after="0" w:line="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Date: November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6"/>
          <w:szCs w:val="16"/>
          <w:color w:val="auto"/>
        </w:rPr>
        <w:t>,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586105</wp:posOffset>
            </wp:positionH>
            <wp:positionV relativeFrom="paragraph">
              <wp:posOffset>241300</wp:posOffset>
            </wp:positionV>
            <wp:extent cx="455295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40" w:orient="portrait"/>
          <w:cols w:equalWidth="0" w:num="1">
            <w:col w:w="9020"/>
          </w:cols>
          <w:pgMar w:left="1440" w:top="554" w:right="1440" w:bottom="1440" w:gutter="0" w:footer="0" w:header="0"/>
        </w:sectPr>
      </w:pPr>
    </w:p>
    <w:bookmarkStart w:id="116" w:name="page117"/>
    <w:bookmarkEnd w:id="11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1"/>
    </w:lvl>
  </w:abstractNum>
  <w:abstractNum w:abstractNumId="1">
    <w:nsid w:val="737B8DDC"/>
    <w:multiLevelType w:val="hybridMultilevel"/>
    <w:lvl w:ilvl="0">
      <w:lvlJc w:val="left"/>
      <w:lvlText w:val="(%1)"/>
      <w:numFmt w:val="decimal"/>
      <w:start w:val="1"/>
    </w:lvl>
  </w:abstractNum>
  <w:abstractNum w:abstractNumId="2">
    <w:nsid w:val="6CEAF087"/>
    <w:multiLevelType w:val="hybridMultilevel"/>
    <w:lvl w:ilvl="0">
      <w:lvlJc w:val="left"/>
      <w:lvlText w:val="(%1)"/>
      <w:numFmt w:val="decimal"/>
      <w:start w:val="5"/>
    </w:lvl>
    <w:lvl w:ilvl="1">
      <w:lvlJc w:val="left"/>
      <w:lvlText w:val="•"/>
      <w:numFmt w:val="bullet"/>
      <w:start w:val="1"/>
    </w:lvl>
  </w:abstractNum>
  <w:abstractNum w:abstractNumId="3">
    <w:nsid w:val="22221A70"/>
    <w:multiLevelType w:val="hybridMultilevel"/>
    <w:lvl w:ilvl="0">
      <w:lvlJc w:val="left"/>
      <w:lvlText w:val="(%1)"/>
      <w:numFmt w:val="decimal"/>
      <w:start w:val="7"/>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8"/>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1)"/>
      <w:numFmt w:val="decimal"/>
      <w:start w:val="2"/>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1)"/>
      <w:numFmt w:val="decimal"/>
      <w:start w:val="1"/>
    </w:lvl>
  </w:abstractNum>
  <w:abstractNum w:abstractNumId="27">
    <w:nsid w:val="2CD89A32"/>
    <w:multiLevelType w:val="hybridMultilevel"/>
    <w:lvl w:ilvl="0">
      <w:lvlJc w:val="left"/>
      <w:lvlText w:val="(%1)"/>
      <w:numFmt w:val="decimal"/>
      <w:start w:val="1"/>
    </w:lvl>
  </w:abstractNum>
  <w:abstractNum w:abstractNumId="28">
    <w:nsid w:val="57E4CCAF"/>
    <w:multiLevelType w:val="hybridMultilevel"/>
    <w:lvl w:ilvl="0">
      <w:lvlJc w:val="left"/>
      <w:lvlText w:val="(%1)"/>
      <w:numFmt w:val="decimal"/>
      <w:start w:val="3"/>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decimal"/>
      <w:start w:val="2"/>
    </w:lvl>
  </w:abstractNum>
  <w:abstractNum w:abstractNumId="31">
    <w:nsid w:val="542289EC"/>
    <w:multiLevelType w:val="hybridMultilevel"/>
    <w:lvl w:ilvl="0">
      <w:lvlJc w:val="left"/>
      <w:lvlText w:val="(%1)"/>
      <w:numFmt w:val="decimal"/>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1)"/>
      <w:numFmt w:val="decimal"/>
      <w:start w:val="19"/>
    </w:lvl>
  </w:abstractNum>
  <w:abstractNum w:abstractNumId="35">
    <w:nsid w:val="32FFF902"/>
    <w:multiLevelType w:val="hybridMultilevel"/>
    <w:lvl w:ilvl="0">
      <w:lvlJc w:val="left"/>
      <w:lvlText w:val="(%1)"/>
      <w:numFmt w:val="decimal"/>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lowerRoman"/>
      <w:start w:val="3"/>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1)"/>
      <w:numFmt w:val="decimal"/>
      <w:start w:val="1"/>
    </w:lvl>
  </w:abstractNum>
  <w:abstractNum w:abstractNumId="44">
    <w:nsid w:val="70C6A529"/>
    <w:multiLevelType w:val="hybridMultilevel"/>
    <w:lvl w:ilvl="0">
      <w:lvlJc w:val="left"/>
      <w:lvlText w:val="(%1)"/>
      <w:numFmt w:val="lowerRoman"/>
      <w:start w:val="5"/>
    </w:lvl>
  </w:abstractNum>
  <w:abstractNum w:abstractNumId="45">
    <w:nsid w:val="520EEDD1"/>
    <w:multiLevelType w:val="hybridMultilevel"/>
    <w:lvl w:ilvl="0">
      <w:lvlJc w:val="left"/>
      <w:lvlText w:val="(%1)"/>
      <w:numFmt w:val="decimal"/>
      <w:start w:val="1"/>
    </w:lvl>
    <w:lvl w:ilvl="1">
      <w:lvlJc w:val="left"/>
      <w:lvlText w:val="(%2)"/>
      <w:numFmt w:val="lowerRoman"/>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lvl w:ilvl="1">
      <w:lvlJc w:val="left"/>
      <w:lvlText w:val="(%2)"/>
      <w:numFmt w:val="decimal"/>
      <w:start w:val="2"/>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1)"/>
      <w:numFmt w:val="decimal"/>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lowerLetter"/>
      <w:start w:val="1"/>
    </w:lvl>
  </w:abstractNum>
  <w:abstractNum w:abstractNumId="56">
    <w:nsid w:val="354FE9F9"/>
    <w:multiLevelType w:val="hybridMultilevel"/>
    <w:lvl w:ilvl="0">
      <w:lvlJc w:val="left"/>
      <w:lvlText w:val="(%1)"/>
      <w:numFmt w:val="lowerLetter"/>
      <w:start w:val="2"/>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2024-11-01T15:30:48Z</dcterms:created>
  <dcterms:modified xsi:type="dcterms:W3CDTF">2024-11-01T15:30:48Z</dcterms:modified>
</cp:coreProperties>
</file>