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Eagle Point Credit Management LLC</w:t>
              </w:r>
            </w:hyperlink>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Oxford Lane Capital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OXLC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40" w:type="dxa"/>
            <w:vAlign w:val="bottom"/>
            <w:gridSpan w:val="5"/>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40" w:type="dxa"/>
            <w:vAlign w:val="bottom"/>
            <w:gridSpan w:val="5"/>
            <w:vMerge w:val="continue"/>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4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3"/>
                <w:szCs w:val="13"/>
                <w:color w:val="auto"/>
              </w:rPr>
              <w:t>Director</w:t>
            </w:r>
          </w:p>
        </w:tc>
        <w:tc>
          <w:tcPr>
            <w:tcW w:w="9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X</w:t>
            </w: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640" w:type="dxa"/>
            <w:vAlign w:val="bottom"/>
            <w:gridSpan w:val="5"/>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800" w:type="dxa"/>
            <w:vAlign w:val="bottom"/>
            <w:tcBorders>
              <w:top w:val="single" w:sz="8" w:color="0000EE"/>
            </w:tcBorders>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3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20" w:type="dxa"/>
            <w:vAlign w:val="bottom"/>
            <w:gridSpan w:val="3"/>
            <w:vMerge w:val="restart"/>
          </w:tcPr>
          <w:p>
            <w:pPr>
              <w:ind w:left="200"/>
              <w:spacing w:after="0"/>
              <w:rPr>
                <w:sz w:val="20"/>
                <w:szCs w:val="20"/>
                <w:color w:val="auto"/>
              </w:rPr>
            </w:pPr>
            <w:r>
              <w:rPr>
                <w:rFonts w:ascii="Arial" w:cs="Arial" w:eastAsia="Arial" w:hAnsi="Arial"/>
                <w:sz w:val="13"/>
                <w:szCs w:val="13"/>
                <w:color w:val="auto"/>
              </w:rPr>
              <w:t>Officer (give title</w:t>
            </w:r>
          </w:p>
        </w:tc>
        <w:tc>
          <w:tcPr>
            <w:tcW w:w="220" w:type="dxa"/>
            <w:vAlign w:val="bottom"/>
          </w:tcPr>
          <w:p>
            <w:pPr>
              <w:spacing w:after="0"/>
              <w:rPr>
                <w:sz w:val="7"/>
                <w:szCs w:val="7"/>
                <w:color w:val="auto"/>
              </w:rPr>
            </w:pPr>
          </w:p>
        </w:tc>
        <w:tc>
          <w:tcPr>
            <w:tcW w:w="1280" w:type="dxa"/>
            <w:vAlign w:val="bottom"/>
            <w:gridSpan w:val="4"/>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gridSpan w:val="3"/>
            <w:vMerge w:val="continue"/>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12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780" w:type="dxa"/>
            <w:vAlign w:val="bottom"/>
            <w:gridSpan w:val="2"/>
          </w:tcPr>
          <w:p>
            <w:pPr>
              <w:ind w:left="600"/>
              <w:spacing w:after="0"/>
              <w:rPr>
                <w:sz w:val="20"/>
                <w:szCs w:val="20"/>
                <w:color w:val="auto"/>
              </w:rPr>
            </w:pPr>
            <w:r>
              <w:rPr>
                <w:rFonts w:ascii="Arial" w:cs="Arial" w:eastAsia="Arial" w:hAnsi="Arial"/>
                <w:sz w:val="13"/>
                <w:szCs w:val="13"/>
                <w:color w:val="auto"/>
              </w:rPr>
              <w:t>(First)</w:t>
            </w: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ind w:left="20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ind w:left="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vMerge w:val="restart"/>
          </w:tcPr>
          <w:p>
            <w:pPr>
              <w:spacing w:after="0"/>
              <w:rPr>
                <w:sz w:val="20"/>
                <w:szCs w:val="20"/>
                <w:color w:val="auto"/>
              </w:rPr>
            </w:pPr>
            <w:r>
              <w:rPr>
                <w:rFonts w:ascii="Arial" w:cs="Arial" w:eastAsia="Arial" w:hAnsi="Arial"/>
                <w:sz w:val="17"/>
                <w:szCs w:val="17"/>
                <w:color w:val="0000FF"/>
              </w:rPr>
              <w:t>600 STEAMBOAT ROAD,</w:t>
            </w: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gridSpan w:val="8"/>
          </w:tcPr>
          <w:p>
            <w:pPr>
              <w:ind w:left="160"/>
              <w:spacing w:after="0"/>
              <w:rPr>
                <w:sz w:val="20"/>
                <w:szCs w:val="20"/>
                <w:color w:val="auto"/>
              </w:rPr>
            </w:pPr>
            <w:r>
              <w:rPr>
                <w:rFonts w:ascii="Arial" w:cs="Arial" w:eastAsia="Arial" w:hAnsi="Arial"/>
                <w:sz w:val="17"/>
                <w:szCs w:val="17"/>
                <w:color w:val="0000FF"/>
              </w:rPr>
              <w:t>06/24/2021</w:t>
            </w: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Arial" w:cs="Arial" w:eastAsia="Arial" w:hAnsi="Arial"/>
                <w:sz w:val="17"/>
                <w:szCs w:val="17"/>
                <w:color w:val="0000FF"/>
              </w:rPr>
              <w:t>SUITE 202</w:t>
            </w: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820" w:type="dxa"/>
            <w:vAlign w:val="bottom"/>
            <w:gridSpan w:val="1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20" w:type="dxa"/>
            <w:vAlign w:val="bottom"/>
            <w:gridSpan w:val="13"/>
            <w:vMerge w:val="continue"/>
          </w:tcPr>
          <w:p>
            <w:pPr>
              <w:spacing w:after="0"/>
              <w:rPr>
                <w:sz w:val="13"/>
                <w:szCs w:val="13"/>
                <w:color w:val="auto"/>
              </w:rPr>
            </w:pPr>
          </w:p>
        </w:tc>
        <w:tc>
          <w:tcPr>
            <w:tcW w:w="33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2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0" w:type="dxa"/>
            <w:vAlign w:val="bottom"/>
            <w:gridSpan w:val="3"/>
          </w:tcPr>
          <w:p>
            <w:pPr>
              <w:spacing w:after="0"/>
              <w:rPr>
                <w:sz w:val="20"/>
                <w:szCs w:val="20"/>
                <w:color w:val="auto"/>
              </w:rPr>
            </w:pPr>
            <w:r>
              <w:rPr>
                <w:rFonts w:ascii="Arial" w:cs="Arial" w:eastAsia="Arial" w:hAnsi="Arial"/>
                <w:sz w:val="17"/>
                <w:szCs w:val="17"/>
                <w:color w:val="0000FF"/>
              </w:rPr>
              <w:t>GREENWICH,  CT</w:t>
            </w:r>
          </w:p>
        </w:tc>
        <w:tc>
          <w:tcPr>
            <w:tcW w:w="800" w:type="dxa"/>
            <w:vAlign w:val="bottom"/>
          </w:tcPr>
          <w:p>
            <w:pPr>
              <w:ind w:left="40"/>
              <w:spacing w:after="0"/>
              <w:rPr>
                <w:sz w:val="20"/>
                <w:szCs w:val="20"/>
                <w:color w:val="auto"/>
              </w:rPr>
            </w:pPr>
            <w:r>
              <w:rPr>
                <w:rFonts w:ascii="Arial" w:cs="Arial" w:eastAsia="Arial" w:hAnsi="Arial"/>
                <w:sz w:val="17"/>
                <w:szCs w:val="17"/>
                <w:color w:val="0000FF"/>
              </w:rPr>
              <w:t>06830</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vMerge w:val="restart"/>
          </w:tcPr>
          <w:p>
            <w:pPr>
              <w:ind w:left="80"/>
              <w:spacing w:after="0"/>
              <w:rPr>
                <w:sz w:val="20"/>
                <w:szCs w:val="20"/>
                <w:color w:val="auto"/>
              </w:rPr>
            </w:pPr>
            <w:r>
              <w:rPr>
                <w:rFonts w:ascii="Arial" w:cs="Arial" w:eastAsia="Arial" w:hAnsi="Arial"/>
                <w:sz w:val="17"/>
                <w:szCs w:val="17"/>
                <w:color w:val="0000FF"/>
                <w:w w:val="87"/>
              </w:rPr>
              <w:t>X</w:t>
            </w: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780" w:type="dxa"/>
            <w:vAlign w:val="bottom"/>
            <w:gridSpan w:val="2"/>
          </w:tcPr>
          <w:p>
            <w:pPr>
              <w:ind w:left="600"/>
              <w:spacing w:after="0"/>
              <w:rPr>
                <w:sz w:val="20"/>
                <w:szCs w:val="20"/>
                <w:color w:val="auto"/>
              </w:rPr>
            </w:pPr>
            <w:r>
              <w:rPr>
                <w:rFonts w:ascii="Arial" w:cs="Arial" w:eastAsia="Arial" w:hAnsi="Arial"/>
                <w:sz w:val="13"/>
                <w:szCs w:val="13"/>
                <w:color w:val="auto"/>
              </w:rPr>
              <w:t>(State)</w:t>
            </w:r>
          </w:p>
        </w:tc>
        <w:tc>
          <w:tcPr>
            <w:tcW w:w="124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gridSpan w:val="2"/>
          </w:tcPr>
          <w:p>
            <w:pPr>
              <w:spacing w:after="0"/>
              <w:rPr>
                <w:sz w:val="11"/>
                <w:szCs w:val="11"/>
                <w:color w:val="auto"/>
              </w:rPr>
            </w:pPr>
          </w:p>
        </w:tc>
        <w:tc>
          <w:tcPr>
            <w:tcW w:w="460" w:type="dxa"/>
            <w:vAlign w:val="bottom"/>
            <w:tcBorders>
              <w:bottom w:val="single" w:sz="8" w:color="2C2C2C"/>
            </w:tcBorders>
            <w:gridSpan w:val="2"/>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1000" w:type="dxa"/>
            <w:vAlign w:val="bottom"/>
            <w:tcBorders>
              <w:bottom w:val="single" w:sz="8" w:color="2C2C2C"/>
            </w:tcBorders>
            <w:gridSpan w:val="3"/>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72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4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820" w:type="dxa"/>
            <w:vAlign w:val="bottom"/>
            <w:gridSpan w:val="6"/>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5"/>
                <w:szCs w:val="15"/>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204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900" w:type="dxa"/>
            <w:vAlign w:val="bottom"/>
            <w:gridSpan w:val="3"/>
          </w:tcPr>
          <w:p>
            <w:pPr>
              <w:spacing w:after="0"/>
              <w:rPr>
                <w:sz w:val="20"/>
                <w:szCs w:val="20"/>
                <w:color w:val="auto"/>
              </w:rPr>
            </w:pPr>
            <w:r>
              <w:rPr>
                <w:rFonts w:ascii="Arial" w:cs="Arial" w:eastAsia="Arial" w:hAnsi="Arial"/>
                <w:sz w:val="12"/>
                <w:szCs w:val="12"/>
                <w:b w:val="1"/>
                <w:bCs w:val="1"/>
                <w:color w:val="auto"/>
              </w:rPr>
              <w:t>5. Amount of</w:t>
            </w:r>
          </w:p>
        </w:tc>
        <w:tc>
          <w:tcPr>
            <w:tcW w:w="22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220" w:type="dxa"/>
            <w:vAlign w:val="bottom"/>
          </w:tcPr>
          <w:p>
            <w:pPr>
              <w:spacing w:after="0"/>
              <w:rPr>
                <w:sz w:val="15"/>
                <w:szCs w:val="15"/>
                <w:color w:val="auto"/>
              </w:rPr>
            </w:pPr>
          </w:p>
        </w:tc>
        <w:tc>
          <w:tcPr>
            <w:tcW w:w="128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gridSpan w:val="2"/>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10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9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72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Ownership</w:t>
            </w:r>
          </w:p>
        </w:tc>
        <w:tc>
          <w:tcPr>
            <w:tcW w:w="220" w:type="dxa"/>
            <w:vAlign w:val="bottom"/>
          </w:tcPr>
          <w:p>
            <w:pPr>
              <w:spacing w:after="0"/>
              <w:rPr>
                <w:sz w:val="11"/>
                <w:szCs w:val="11"/>
                <w:color w:val="auto"/>
              </w:rPr>
            </w:pPr>
          </w:p>
        </w:tc>
        <w:tc>
          <w:tcPr>
            <w:tcW w:w="128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40" w:type="dxa"/>
            <w:vAlign w:val="bottom"/>
            <w:gridSpan w:val="2"/>
          </w:tcPr>
          <w:p>
            <w:pPr>
              <w:jc w:val="center"/>
              <w:ind w:left="26"/>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20" w:type="dxa"/>
            <w:vAlign w:val="bottom"/>
          </w:tcPr>
          <w:p>
            <w:pPr>
              <w:spacing w:after="0"/>
              <w:rPr>
                <w:sz w:val="11"/>
                <w:szCs w:val="11"/>
                <w:color w:val="auto"/>
              </w:rPr>
            </w:pPr>
          </w:p>
        </w:tc>
        <w:tc>
          <w:tcPr>
            <w:tcW w:w="8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220" w:type="dxa"/>
            <w:vAlign w:val="bottom"/>
          </w:tcPr>
          <w:p>
            <w:pPr>
              <w:spacing w:after="0"/>
              <w:rPr>
                <w:sz w:val="11"/>
                <w:szCs w:val="11"/>
                <w:color w:val="auto"/>
              </w:rPr>
            </w:pPr>
          </w:p>
        </w:tc>
        <w:tc>
          <w:tcPr>
            <w:tcW w:w="9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2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6"/>
                <w:szCs w:val="6"/>
                <w:color w:val="auto"/>
              </w:rPr>
            </w:pPr>
          </w:p>
        </w:tc>
        <w:tc>
          <w:tcPr>
            <w:tcW w:w="7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22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900" w:type="dxa"/>
            <w:vAlign w:val="bottom"/>
            <w:gridSpan w:val="3"/>
            <w:vMerge w:val="continue"/>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V</w:t>
            </w:r>
          </w:p>
        </w:tc>
        <w:tc>
          <w:tcPr>
            <w:tcW w:w="8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Price</w:t>
            </w:r>
          </w:p>
        </w:tc>
        <w:tc>
          <w:tcPr>
            <w:tcW w:w="9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w w:val="91"/>
              </w:rPr>
              <w:t>6.75% Series 2024 Term Preferred</w:t>
            </w:r>
          </w:p>
        </w:tc>
        <w:tc>
          <w:tcPr>
            <w:tcW w:w="1240" w:type="dxa"/>
            <w:vAlign w:val="bottom"/>
            <w:gridSpan w:val="2"/>
          </w:tcPr>
          <w:p>
            <w:pPr>
              <w:jc w:val="center"/>
              <w:ind w:left="26"/>
              <w:spacing w:after="0"/>
              <w:rPr>
                <w:sz w:val="20"/>
                <w:szCs w:val="20"/>
                <w:color w:val="auto"/>
              </w:rPr>
            </w:pPr>
            <w:r>
              <w:rPr>
                <w:rFonts w:ascii="Arial" w:cs="Arial" w:eastAsia="Arial" w:hAnsi="Arial"/>
                <w:sz w:val="17"/>
                <w:szCs w:val="17"/>
                <w:color w:val="0000FF"/>
                <w:w w:val="91"/>
              </w:rPr>
              <w:t>06/24/2021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0000FF"/>
                <w:w w:val="85"/>
              </w:rPr>
              <w:t>9,635</w:t>
            </w:r>
            <w:r>
              <w:rPr>
                <w:rFonts w:ascii="Arial" w:cs="Arial" w:eastAsia="Arial" w:hAnsi="Arial"/>
                <w:sz w:val="22"/>
                <w:szCs w:val="22"/>
                <w:color w:val="008000"/>
                <w:w w:val="85"/>
                <w:vertAlign w:val="superscript"/>
              </w:rPr>
              <w:t>(1)</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780" w:type="dxa"/>
            <w:vAlign w:val="bottom"/>
          </w:tcPr>
          <w:p>
            <w:pP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25.17</w:t>
            </w:r>
            <w:r>
              <w:rPr>
                <w:rFonts w:ascii="Arial" w:cs="Arial" w:eastAsia="Arial" w:hAnsi="Arial"/>
                <w:sz w:val="22"/>
                <w:szCs w:val="22"/>
                <w:color w:val="008000"/>
                <w:w w:val="91"/>
                <w:vertAlign w:val="superscript"/>
              </w:rPr>
              <w:t>(2)</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left="87"/>
              <w:spacing w:after="0"/>
              <w:rPr>
                <w:sz w:val="20"/>
                <w:szCs w:val="20"/>
                <w:color w:val="auto"/>
              </w:rPr>
            </w:pPr>
            <w:r>
              <w:rPr>
                <w:rFonts w:ascii="Arial" w:cs="Arial" w:eastAsia="Arial" w:hAnsi="Arial"/>
                <w:sz w:val="17"/>
                <w:szCs w:val="17"/>
                <w:color w:val="0000FF"/>
                <w:w w:val="88"/>
              </w:rPr>
              <w:t>253,384</w:t>
            </w:r>
            <w:r>
              <w:rPr>
                <w:rFonts w:ascii="Arial" w:cs="Arial" w:eastAsia="Arial" w:hAnsi="Arial"/>
                <w:sz w:val="22"/>
                <w:szCs w:val="22"/>
                <w:color w:val="008000"/>
                <w:w w:val="88"/>
                <w:vertAlign w:val="superscript"/>
              </w:rPr>
              <w:t>(1)</w:t>
            </w:r>
          </w:p>
        </w:tc>
        <w:tc>
          <w:tcPr>
            <w:tcW w:w="220" w:type="dxa"/>
            <w:vAlign w:val="bottom"/>
          </w:tcPr>
          <w:p>
            <w:pPr>
              <w:spacing w:after="0"/>
              <w:rPr>
                <w:sz w:val="24"/>
                <w:szCs w:val="24"/>
                <w:color w:val="auto"/>
              </w:rPr>
            </w:pPr>
          </w:p>
        </w:tc>
        <w:tc>
          <w:tcPr>
            <w:tcW w:w="720" w:type="dxa"/>
            <w:vAlign w:val="bottom"/>
          </w:tcPr>
          <w:p>
            <w:pPr>
              <w:jc w:val="center"/>
              <w:ind w:left="10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Stock (OXLCM)</w:t>
            </w: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(9)(11)</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w w:val="91"/>
              </w:rPr>
              <w:t>6.75% Series 2024 Term Preferred</w:t>
            </w:r>
          </w:p>
        </w:tc>
        <w:tc>
          <w:tcPr>
            <w:tcW w:w="1240" w:type="dxa"/>
            <w:vAlign w:val="bottom"/>
            <w:gridSpan w:val="2"/>
          </w:tcPr>
          <w:p>
            <w:pPr>
              <w:jc w:val="center"/>
              <w:ind w:left="26"/>
              <w:spacing w:after="0"/>
              <w:rPr>
                <w:sz w:val="20"/>
                <w:szCs w:val="20"/>
                <w:color w:val="auto"/>
              </w:rPr>
            </w:pPr>
            <w:r>
              <w:rPr>
                <w:rFonts w:ascii="Arial" w:cs="Arial" w:eastAsia="Arial" w:hAnsi="Arial"/>
                <w:sz w:val="17"/>
                <w:szCs w:val="17"/>
                <w:color w:val="0000FF"/>
                <w:w w:val="91"/>
              </w:rPr>
              <w:t>06/25/2021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0000FF"/>
                <w:w w:val="85"/>
              </w:rPr>
              <w:t>16,931</w:t>
            </w:r>
            <w:r>
              <w:rPr>
                <w:rFonts w:ascii="Arial" w:cs="Arial" w:eastAsia="Arial" w:hAnsi="Arial"/>
                <w:sz w:val="22"/>
                <w:szCs w:val="22"/>
                <w:color w:val="008000"/>
                <w:w w:val="85"/>
                <w:vertAlign w:val="superscript"/>
              </w:rPr>
              <w:t>(1)</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780" w:type="dxa"/>
            <w:vAlign w:val="bottom"/>
          </w:tcPr>
          <w:p>
            <w:pP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25.15</w:t>
            </w:r>
            <w:r>
              <w:rPr>
                <w:rFonts w:ascii="Arial" w:cs="Arial" w:eastAsia="Arial" w:hAnsi="Arial"/>
                <w:sz w:val="22"/>
                <w:szCs w:val="22"/>
                <w:color w:val="008000"/>
                <w:w w:val="91"/>
                <w:vertAlign w:val="superscript"/>
              </w:rPr>
              <w:t>(3)</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left="87"/>
              <w:spacing w:after="0"/>
              <w:rPr>
                <w:sz w:val="20"/>
                <w:szCs w:val="20"/>
                <w:color w:val="auto"/>
              </w:rPr>
            </w:pPr>
            <w:r>
              <w:rPr>
                <w:rFonts w:ascii="Arial" w:cs="Arial" w:eastAsia="Arial" w:hAnsi="Arial"/>
                <w:sz w:val="17"/>
                <w:szCs w:val="17"/>
                <w:color w:val="0000FF"/>
                <w:w w:val="88"/>
              </w:rPr>
              <w:t>236,453</w:t>
            </w:r>
            <w:r>
              <w:rPr>
                <w:rFonts w:ascii="Arial" w:cs="Arial" w:eastAsia="Arial" w:hAnsi="Arial"/>
                <w:sz w:val="22"/>
                <w:szCs w:val="22"/>
                <w:color w:val="008000"/>
                <w:w w:val="88"/>
                <w:vertAlign w:val="superscript"/>
              </w:rPr>
              <w:t>(1)</w:t>
            </w:r>
          </w:p>
        </w:tc>
        <w:tc>
          <w:tcPr>
            <w:tcW w:w="220" w:type="dxa"/>
            <w:vAlign w:val="bottom"/>
          </w:tcPr>
          <w:p>
            <w:pPr>
              <w:spacing w:after="0"/>
              <w:rPr>
                <w:sz w:val="24"/>
                <w:szCs w:val="24"/>
                <w:color w:val="auto"/>
              </w:rPr>
            </w:pPr>
          </w:p>
        </w:tc>
        <w:tc>
          <w:tcPr>
            <w:tcW w:w="720" w:type="dxa"/>
            <w:vAlign w:val="bottom"/>
          </w:tcPr>
          <w:p>
            <w:pPr>
              <w:jc w:val="center"/>
              <w:ind w:left="10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Stock (OXLCM)</w:t>
            </w: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(9)(11)</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w w:val="91"/>
              </w:rPr>
              <w:t>6.75% Series 2024 Term Preferred</w:t>
            </w:r>
          </w:p>
        </w:tc>
        <w:tc>
          <w:tcPr>
            <w:tcW w:w="1240" w:type="dxa"/>
            <w:vAlign w:val="bottom"/>
            <w:gridSpan w:val="2"/>
          </w:tcPr>
          <w:p>
            <w:pPr>
              <w:jc w:val="center"/>
              <w:ind w:left="26"/>
              <w:spacing w:after="0"/>
              <w:rPr>
                <w:sz w:val="20"/>
                <w:szCs w:val="20"/>
                <w:color w:val="auto"/>
              </w:rPr>
            </w:pPr>
            <w:r>
              <w:rPr>
                <w:rFonts w:ascii="Arial" w:cs="Arial" w:eastAsia="Arial" w:hAnsi="Arial"/>
                <w:sz w:val="17"/>
                <w:szCs w:val="17"/>
                <w:color w:val="0000FF"/>
                <w:w w:val="91"/>
              </w:rPr>
              <w:t>06/28/2021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0000FF"/>
                <w:w w:val="85"/>
              </w:rPr>
              <w:t>9,917</w:t>
            </w:r>
            <w:r>
              <w:rPr>
                <w:rFonts w:ascii="Arial" w:cs="Arial" w:eastAsia="Arial" w:hAnsi="Arial"/>
                <w:sz w:val="22"/>
                <w:szCs w:val="22"/>
                <w:color w:val="008000"/>
                <w:w w:val="85"/>
                <w:vertAlign w:val="superscript"/>
              </w:rPr>
              <w:t>(1)</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780" w:type="dxa"/>
            <w:vAlign w:val="bottom"/>
          </w:tcPr>
          <w:p>
            <w:pP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25.14</w:t>
            </w:r>
            <w:r>
              <w:rPr>
                <w:rFonts w:ascii="Arial" w:cs="Arial" w:eastAsia="Arial" w:hAnsi="Arial"/>
                <w:sz w:val="22"/>
                <w:szCs w:val="22"/>
                <w:color w:val="008000"/>
                <w:w w:val="91"/>
                <w:vertAlign w:val="superscript"/>
              </w:rPr>
              <w:t>(4)</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left="87"/>
              <w:spacing w:after="0"/>
              <w:rPr>
                <w:sz w:val="20"/>
                <w:szCs w:val="20"/>
                <w:color w:val="auto"/>
              </w:rPr>
            </w:pPr>
            <w:r>
              <w:rPr>
                <w:rFonts w:ascii="Arial" w:cs="Arial" w:eastAsia="Arial" w:hAnsi="Arial"/>
                <w:sz w:val="17"/>
                <w:szCs w:val="17"/>
                <w:color w:val="0000FF"/>
                <w:w w:val="88"/>
              </w:rPr>
              <w:t>226,536</w:t>
            </w:r>
            <w:r>
              <w:rPr>
                <w:rFonts w:ascii="Arial" w:cs="Arial" w:eastAsia="Arial" w:hAnsi="Arial"/>
                <w:sz w:val="22"/>
                <w:szCs w:val="22"/>
                <w:color w:val="008000"/>
                <w:w w:val="88"/>
                <w:vertAlign w:val="superscript"/>
              </w:rPr>
              <w:t>(1)</w:t>
            </w:r>
          </w:p>
        </w:tc>
        <w:tc>
          <w:tcPr>
            <w:tcW w:w="220" w:type="dxa"/>
            <w:vAlign w:val="bottom"/>
          </w:tcPr>
          <w:p>
            <w:pPr>
              <w:spacing w:after="0"/>
              <w:rPr>
                <w:sz w:val="24"/>
                <w:szCs w:val="24"/>
                <w:color w:val="auto"/>
              </w:rPr>
            </w:pPr>
          </w:p>
        </w:tc>
        <w:tc>
          <w:tcPr>
            <w:tcW w:w="720" w:type="dxa"/>
            <w:vAlign w:val="bottom"/>
          </w:tcPr>
          <w:p>
            <w:pPr>
              <w:jc w:val="center"/>
              <w:ind w:left="10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Stock (OXLCM)</w:t>
            </w: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(9)(11)</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w w:val="91"/>
              </w:rPr>
              <w:t>6.25% Series 2027 Term Preferred</w:t>
            </w:r>
          </w:p>
        </w:tc>
        <w:tc>
          <w:tcPr>
            <w:tcW w:w="1240" w:type="dxa"/>
            <w:vAlign w:val="bottom"/>
            <w:gridSpan w:val="2"/>
          </w:tcPr>
          <w:p>
            <w:pPr>
              <w:jc w:val="center"/>
              <w:ind w:left="26"/>
              <w:spacing w:after="0"/>
              <w:rPr>
                <w:sz w:val="20"/>
                <w:szCs w:val="20"/>
                <w:color w:val="auto"/>
              </w:rPr>
            </w:pPr>
            <w:r>
              <w:rPr>
                <w:rFonts w:ascii="Arial" w:cs="Arial" w:eastAsia="Arial" w:hAnsi="Arial"/>
                <w:sz w:val="17"/>
                <w:szCs w:val="17"/>
                <w:color w:val="0000FF"/>
                <w:w w:val="91"/>
              </w:rPr>
              <w:t>06/24/2021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0000FF"/>
                <w:w w:val="85"/>
              </w:rPr>
              <w:t>47,834</w:t>
            </w:r>
            <w:r>
              <w:rPr>
                <w:rFonts w:ascii="Arial" w:cs="Arial" w:eastAsia="Arial" w:hAnsi="Arial"/>
                <w:sz w:val="22"/>
                <w:szCs w:val="22"/>
                <w:color w:val="008000"/>
                <w:w w:val="85"/>
                <w:vertAlign w:val="superscript"/>
              </w:rPr>
              <w:t>(1)</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780" w:type="dxa"/>
            <w:vAlign w:val="bottom"/>
          </w:tcPr>
          <w:p>
            <w:pP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25.02</w:t>
            </w:r>
            <w:r>
              <w:rPr>
                <w:rFonts w:ascii="Arial" w:cs="Arial" w:eastAsia="Arial" w:hAnsi="Arial"/>
                <w:sz w:val="22"/>
                <w:szCs w:val="22"/>
                <w:color w:val="008000"/>
                <w:w w:val="91"/>
                <w:vertAlign w:val="superscript"/>
              </w:rPr>
              <w:t>(5)</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left="87"/>
              <w:spacing w:after="0"/>
              <w:rPr>
                <w:sz w:val="20"/>
                <w:szCs w:val="20"/>
                <w:color w:val="auto"/>
              </w:rPr>
            </w:pPr>
            <w:r>
              <w:rPr>
                <w:rFonts w:ascii="Arial" w:cs="Arial" w:eastAsia="Arial" w:hAnsi="Arial"/>
                <w:sz w:val="17"/>
                <w:szCs w:val="17"/>
                <w:color w:val="0000FF"/>
                <w:w w:val="88"/>
              </w:rPr>
              <w:t>430,204</w:t>
            </w:r>
            <w:r>
              <w:rPr>
                <w:rFonts w:ascii="Arial" w:cs="Arial" w:eastAsia="Arial" w:hAnsi="Arial"/>
                <w:sz w:val="22"/>
                <w:szCs w:val="22"/>
                <w:color w:val="008000"/>
                <w:w w:val="88"/>
                <w:vertAlign w:val="superscript"/>
              </w:rPr>
              <w:t>(1)</w:t>
            </w:r>
          </w:p>
        </w:tc>
        <w:tc>
          <w:tcPr>
            <w:tcW w:w="220" w:type="dxa"/>
            <w:vAlign w:val="bottom"/>
          </w:tcPr>
          <w:p>
            <w:pPr>
              <w:spacing w:after="0"/>
              <w:rPr>
                <w:sz w:val="24"/>
                <w:szCs w:val="24"/>
                <w:color w:val="auto"/>
              </w:rPr>
            </w:pPr>
          </w:p>
        </w:tc>
        <w:tc>
          <w:tcPr>
            <w:tcW w:w="720" w:type="dxa"/>
            <w:vAlign w:val="bottom"/>
          </w:tcPr>
          <w:p>
            <w:pPr>
              <w:jc w:val="center"/>
              <w:ind w:left="10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Stock (OXLCP)</w:t>
            </w: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(9)(11)</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w w:val="91"/>
              </w:rPr>
              <w:t>6.25% Series 2027 Term Preferred</w:t>
            </w:r>
          </w:p>
        </w:tc>
        <w:tc>
          <w:tcPr>
            <w:tcW w:w="1240" w:type="dxa"/>
            <w:vAlign w:val="bottom"/>
            <w:gridSpan w:val="2"/>
          </w:tcPr>
          <w:p>
            <w:pPr>
              <w:jc w:val="center"/>
              <w:ind w:left="26"/>
              <w:spacing w:after="0"/>
              <w:rPr>
                <w:sz w:val="20"/>
                <w:szCs w:val="20"/>
                <w:color w:val="auto"/>
              </w:rPr>
            </w:pPr>
            <w:r>
              <w:rPr>
                <w:rFonts w:ascii="Arial" w:cs="Arial" w:eastAsia="Arial" w:hAnsi="Arial"/>
                <w:sz w:val="17"/>
                <w:szCs w:val="17"/>
                <w:color w:val="0000FF"/>
                <w:w w:val="91"/>
              </w:rPr>
              <w:t>06/25/2021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0000FF"/>
                <w:w w:val="85"/>
              </w:rPr>
              <w:t>13,624</w:t>
            </w:r>
            <w:r>
              <w:rPr>
                <w:rFonts w:ascii="Arial" w:cs="Arial" w:eastAsia="Arial" w:hAnsi="Arial"/>
                <w:sz w:val="22"/>
                <w:szCs w:val="22"/>
                <w:color w:val="008000"/>
                <w:w w:val="85"/>
                <w:vertAlign w:val="superscript"/>
              </w:rPr>
              <w:t>(1)</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780" w:type="dxa"/>
            <w:vAlign w:val="bottom"/>
          </w:tcPr>
          <w:p>
            <w:pP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25.01</w:t>
            </w:r>
            <w:r>
              <w:rPr>
                <w:rFonts w:ascii="Arial" w:cs="Arial" w:eastAsia="Arial" w:hAnsi="Arial"/>
                <w:sz w:val="22"/>
                <w:szCs w:val="22"/>
                <w:color w:val="008000"/>
                <w:w w:val="91"/>
                <w:vertAlign w:val="superscript"/>
              </w:rPr>
              <w:t>(6)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left="87"/>
              <w:spacing w:after="0"/>
              <w:rPr>
                <w:sz w:val="20"/>
                <w:szCs w:val="20"/>
                <w:color w:val="auto"/>
              </w:rPr>
            </w:pPr>
            <w:r>
              <w:rPr>
                <w:rFonts w:ascii="Arial" w:cs="Arial" w:eastAsia="Arial" w:hAnsi="Arial"/>
                <w:sz w:val="17"/>
                <w:szCs w:val="17"/>
                <w:color w:val="0000FF"/>
                <w:w w:val="88"/>
              </w:rPr>
              <w:t>416,580</w:t>
            </w:r>
            <w:r>
              <w:rPr>
                <w:rFonts w:ascii="Arial" w:cs="Arial" w:eastAsia="Arial" w:hAnsi="Arial"/>
                <w:sz w:val="22"/>
                <w:szCs w:val="22"/>
                <w:color w:val="008000"/>
                <w:w w:val="88"/>
                <w:vertAlign w:val="superscript"/>
              </w:rPr>
              <w:t>(1)</w:t>
            </w:r>
          </w:p>
        </w:tc>
        <w:tc>
          <w:tcPr>
            <w:tcW w:w="220" w:type="dxa"/>
            <w:vAlign w:val="bottom"/>
          </w:tcPr>
          <w:p>
            <w:pPr>
              <w:spacing w:after="0"/>
              <w:rPr>
                <w:sz w:val="24"/>
                <w:szCs w:val="24"/>
                <w:color w:val="auto"/>
              </w:rPr>
            </w:pPr>
          </w:p>
        </w:tc>
        <w:tc>
          <w:tcPr>
            <w:tcW w:w="720" w:type="dxa"/>
            <w:vAlign w:val="bottom"/>
          </w:tcPr>
          <w:p>
            <w:pPr>
              <w:jc w:val="center"/>
              <w:ind w:left="10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Stock (OXLCP)</w:t>
            </w: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(9)(11)</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w w:val="91"/>
              </w:rPr>
              <w:t>6.25% Series 2027 Term Preferred</w:t>
            </w:r>
          </w:p>
        </w:tc>
        <w:tc>
          <w:tcPr>
            <w:tcW w:w="1240" w:type="dxa"/>
            <w:vAlign w:val="bottom"/>
            <w:gridSpan w:val="2"/>
          </w:tcPr>
          <w:p>
            <w:pPr>
              <w:jc w:val="center"/>
              <w:ind w:left="26"/>
              <w:spacing w:after="0"/>
              <w:rPr>
                <w:sz w:val="20"/>
                <w:szCs w:val="20"/>
                <w:color w:val="auto"/>
              </w:rPr>
            </w:pPr>
            <w:r>
              <w:rPr>
                <w:rFonts w:ascii="Arial" w:cs="Arial" w:eastAsia="Arial" w:hAnsi="Arial"/>
                <w:sz w:val="17"/>
                <w:szCs w:val="17"/>
                <w:color w:val="0000FF"/>
                <w:w w:val="91"/>
              </w:rPr>
              <w:t>06/28/2021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ind w:left="180"/>
              <w:spacing w:after="0"/>
              <w:rPr>
                <w:sz w:val="20"/>
                <w:szCs w:val="20"/>
                <w:color w:val="auto"/>
              </w:rPr>
            </w:pPr>
            <w:r>
              <w:rPr>
                <w:rFonts w:ascii="Arial" w:cs="Arial" w:eastAsia="Arial" w:hAnsi="Arial"/>
                <w:sz w:val="13"/>
                <w:szCs w:val="13"/>
                <w:color w:val="0000FF"/>
              </w:rPr>
              <w:t>S</w:t>
            </w:r>
          </w:p>
        </w:tc>
        <w:tc>
          <w:tcPr>
            <w:tcW w:w="360" w:type="dxa"/>
            <w:vAlign w:val="bottom"/>
          </w:tcPr>
          <w:p>
            <w:pPr>
              <w:spacing w:after="0"/>
              <w:rPr>
                <w:sz w:val="24"/>
                <w:szCs w:val="24"/>
                <w:color w:val="auto"/>
              </w:rPr>
            </w:pPr>
          </w:p>
        </w:tc>
        <w:tc>
          <w:tcPr>
            <w:tcW w:w="820" w:type="dxa"/>
            <w:vAlign w:val="bottom"/>
            <w:gridSpan w:val="2"/>
          </w:tcPr>
          <w:p>
            <w:pPr>
              <w:jc w:val="center"/>
              <w:spacing w:after="0"/>
              <w:rPr>
                <w:sz w:val="20"/>
                <w:szCs w:val="20"/>
                <w:color w:val="auto"/>
              </w:rPr>
            </w:pPr>
            <w:r>
              <w:rPr>
                <w:rFonts w:ascii="Arial" w:cs="Arial" w:eastAsia="Arial" w:hAnsi="Arial"/>
                <w:sz w:val="17"/>
                <w:szCs w:val="17"/>
                <w:color w:val="0000FF"/>
                <w:w w:val="85"/>
              </w:rPr>
              <w:t>14,657</w:t>
            </w:r>
            <w:r>
              <w:rPr>
                <w:rFonts w:ascii="Arial" w:cs="Arial" w:eastAsia="Arial" w:hAnsi="Arial"/>
                <w:sz w:val="22"/>
                <w:szCs w:val="22"/>
                <w:color w:val="008000"/>
                <w:w w:val="85"/>
                <w:vertAlign w:val="superscript"/>
              </w:rPr>
              <w:t>(1)</w:t>
            </w:r>
          </w:p>
        </w:tc>
        <w:tc>
          <w:tcPr>
            <w:tcW w:w="360" w:type="dxa"/>
            <w:vAlign w:val="bottom"/>
          </w:tcPr>
          <w:p>
            <w:pPr>
              <w:ind w:left="120"/>
              <w:spacing w:after="0"/>
              <w:rPr>
                <w:sz w:val="20"/>
                <w:szCs w:val="20"/>
                <w:color w:val="auto"/>
              </w:rPr>
            </w:pPr>
            <w:r>
              <w:rPr>
                <w:rFonts w:ascii="Arial" w:cs="Arial" w:eastAsia="Arial" w:hAnsi="Arial"/>
                <w:sz w:val="17"/>
                <w:szCs w:val="17"/>
                <w:color w:val="0000FF"/>
              </w:rPr>
              <w:t>D</w:t>
            </w:r>
          </w:p>
        </w:tc>
        <w:tc>
          <w:tcPr>
            <w:tcW w:w="780" w:type="dxa"/>
            <w:vAlign w:val="bottom"/>
          </w:tcPr>
          <w:p>
            <w:pPr>
              <w:ind w:left="120"/>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24.94</w:t>
            </w:r>
            <w:r>
              <w:rPr>
                <w:rFonts w:ascii="Arial" w:cs="Arial" w:eastAsia="Arial" w:hAnsi="Arial"/>
                <w:sz w:val="22"/>
                <w:szCs w:val="22"/>
                <w:color w:val="008000"/>
                <w:w w:val="91"/>
                <w:vertAlign w:val="superscript"/>
              </w:rPr>
              <w:t>(7)</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3"/>
          </w:tcPr>
          <w:p>
            <w:pPr>
              <w:jc w:val="center"/>
              <w:ind w:left="87"/>
              <w:spacing w:after="0"/>
              <w:rPr>
                <w:sz w:val="20"/>
                <w:szCs w:val="20"/>
                <w:color w:val="auto"/>
              </w:rPr>
            </w:pPr>
            <w:r>
              <w:rPr>
                <w:rFonts w:ascii="Arial" w:cs="Arial" w:eastAsia="Arial" w:hAnsi="Arial"/>
                <w:sz w:val="17"/>
                <w:szCs w:val="17"/>
                <w:color w:val="0000FF"/>
                <w:w w:val="88"/>
              </w:rPr>
              <w:t>401,923</w:t>
            </w:r>
            <w:r>
              <w:rPr>
                <w:rFonts w:ascii="Arial" w:cs="Arial" w:eastAsia="Arial" w:hAnsi="Arial"/>
                <w:sz w:val="22"/>
                <w:szCs w:val="22"/>
                <w:color w:val="008000"/>
                <w:w w:val="88"/>
                <w:vertAlign w:val="superscript"/>
              </w:rPr>
              <w:t>(1)</w:t>
            </w:r>
          </w:p>
        </w:tc>
        <w:tc>
          <w:tcPr>
            <w:tcW w:w="220" w:type="dxa"/>
            <w:vAlign w:val="bottom"/>
          </w:tcPr>
          <w:p>
            <w:pPr>
              <w:spacing w:after="0"/>
              <w:rPr>
                <w:sz w:val="24"/>
                <w:szCs w:val="24"/>
                <w:color w:val="auto"/>
              </w:rPr>
            </w:pPr>
          </w:p>
        </w:tc>
        <w:tc>
          <w:tcPr>
            <w:tcW w:w="720" w:type="dxa"/>
            <w:vAlign w:val="bottom"/>
          </w:tcPr>
          <w:p>
            <w:pPr>
              <w:jc w:val="center"/>
              <w:ind w:left="10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(8)</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Stock (OXLCP)</w:t>
            </w: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(9)(11)</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rPr>
              <w:t>6.75% Notes due 2031, $25.00</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20,741,725</w:t>
            </w:r>
            <w:r>
              <w:rPr>
                <w:rFonts w:ascii="Arial" w:cs="Arial" w:eastAsia="Arial" w:hAnsi="Arial"/>
                <w:sz w:val="22"/>
                <w:szCs w:val="22"/>
                <w:color w:val="008000"/>
                <w:w w:val="88"/>
                <w:vertAlign w:val="superscript"/>
              </w:rPr>
              <w:t>(1)</w:t>
            </w:r>
          </w:p>
        </w:tc>
        <w:tc>
          <w:tcPr>
            <w:tcW w:w="720" w:type="dxa"/>
            <w:vAlign w:val="bottom"/>
          </w:tcPr>
          <w:p>
            <w:pPr>
              <w:jc w:val="center"/>
              <w:ind w:left="107"/>
              <w:spacing w:after="0"/>
              <w:rPr>
                <w:sz w:val="20"/>
                <w:szCs w:val="20"/>
                <w:color w:val="auto"/>
              </w:rPr>
            </w:pPr>
            <w:r>
              <w:rPr>
                <w:rFonts w:ascii="Arial" w:cs="Arial" w:eastAsia="Arial" w:hAnsi="Arial"/>
                <w:sz w:val="17"/>
                <w:szCs w:val="17"/>
                <w:color w:val="0000FF"/>
              </w:rPr>
              <w:t>I</w:t>
            </w:r>
          </w:p>
        </w:tc>
        <w:tc>
          <w:tcPr>
            <w:tcW w:w="220" w:type="dxa"/>
            <w:vAlign w:val="bottom"/>
          </w:tcPr>
          <w:p>
            <w:pPr>
              <w:spacing w:after="0"/>
              <w:rPr>
                <w:sz w:val="24"/>
                <w:szCs w:val="24"/>
                <w:color w:val="auto"/>
              </w:rPr>
            </w:pPr>
          </w:p>
        </w:tc>
        <w:tc>
          <w:tcPr>
            <w:tcW w:w="1280" w:type="dxa"/>
            <w:vAlign w:val="bottom"/>
            <w:gridSpan w:val="4"/>
          </w:tcPr>
          <w:p>
            <w:pPr>
              <w:ind w:left="2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denominations (OXLCL)</w:t>
            </w:r>
          </w:p>
        </w:tc>
        <w:tc>
          <w:tcPr>
            <w:tcW w:w="80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10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28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36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500" w:type="dxa"/>
            <w:vAlign w:val="bottom"/>
            <w:tcBorders>
              <w:bottom w:val="single" w:sz="8" w:color="2C2C2C"/>
            </w:tcBorders>
          </w:tcPr>
          <w:p>
            <w:pPr>
              <w:ind w:left="20"/>
              <w:spacing w:after="0"/>
              <w:rPr>
                <w:sz w:val="20"/>
                <w:szCs w:val="20"/>
                <w:color w:val="auto"/>
              </w:rPr>
            </w:pPr>
            <w:r>
              <w:rPr>
                <w:rFonts w:ascii="Arial" w:cs="Arial" w:eastAsia="Arial" w:hAnsi="Arial"/>
                <w:sz w:val="11"/>
                <w:szCs w:val="11"/>
                <w:color w:val="008000"/>
              </w:rPr>
              <w:t>(10)(11)</w:t>
            </w:r>
          </w:p>
        </w:tc>
        <w:tc>
          <w:tcPr>
            <w:tcW w:w="66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w w:val="91"/>
              </w:rPr>
              <w:t>6.75% Series 2024 Term Preferred</w:t>
            </w: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vMerge w:val="restart"/>
          </w:tcPr>
          <w:p>
            <w:pPr>
              <w:jc w:val="center"/>
              <w:ind w:right="91"/>
              <w:spacing w:after="0"/>
              <w:rPr>
                <w:sz w:val="20"/>
                <w:szCs w:val="20"/>
                <w:color w:val="auto"/>
              </w:rPr>
            </w:pPr>
            <w:r>
              <w:rPr>
                <w:rFonts w:ascii="Arial" w:cs="Arial" w:eastAsia="Arial" w:hAnsi="Arial"/>
                <w:sz w:val="17"/>
                <w:szCs w:val="17"/>
                <w:color w:val="0000FF"/>
                <w:w w:val="89"/>
              </w:rPr>
              <w:t>9,450</w:t>
            </w:r>
          </w:p>
        </w:tc>
        <w:tc>
          <w:tcPr>
            <w:tcW w:w="220" w:type="dxa"/>
            <w:vAlign w:val="bottom"/>
          </w:tcPr>
          <w:p>
            <w:pPr>
              <w:spacing w:after="0"/>
              <w:rPr>
                <w:sz w:val="22"/>
                <w:szCs w:val="22"/>
                <w:color w:val="auto"/>
              </w:rPr>
            </w:pPr>
          </w:p>
        </w:tc>
        <w:tc>
          <w:tcPr>
            <w:tcW w:w="720" w:type="dxa"/>
            <w:vAlign w:val="bottom"/>
            <w:vMerge w:val="restart"/>
          </w:tcPr>
          <w:p>
            <w:pPr>
              <w:jc w:val="center"/>
              <w:ind w:left="107"/>
              <w:spacing w:after="0"/>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Stock (OXLCM)</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4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00" w:type="dxa"/>
            <w:vAlign w:val="bottom"/>
            <w:gridSpan w:val="4"/>
          </w:tcPr>
          <w:p>
            <w:pPr>
              <w:ind w:left="60"/>
              <w:spacing w:after="0"/>
              <w:rPr>
                <w:sz w:val="20"/>
                <w:szCs w:val="20"/>
                <w:color w:val="auto"/>
              </w:rPr>
            </w:pPr>
            <w:r>
              <w:rPr>
                <w:rFonts w:ascii="Arial" w:cs="Arial" w:eastAsia="Arial" w:hAnsi="Arial"/>
                <w:sz w:val="17"/>
                <w:szCs w:val="17"/>
                <w:color w:val="0000FF"/>
                <w:w w:val="91"/>
              </w:rPr>
              <w:t>6.25% Series 2027 Term Preferred</w:t>
            </w: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gridSpan w:val="3"/>
            <w:vMerge w:val="restart"/>
          </w:tcPr>
          <w:p>
            <w:pPr>
              <w:jc w:val="center"/>
              <w:ind w:left="87"/>
              <w:spacing w:after="0"/>
              <w:rPr>
                <w:sz w:val="20"/>
                <w:szCs w:val="20"/>
                <w:color w:val="auto"/>
              </w:rPr>
            </w:pPr>
            <w:r>
              <w:rPr>
                <w:rFonts w:ascii="Arial" w:cs="Arial" w:eastAsia="Arial" w:hAnsi="Arial"/>
                <w:sz w:val="17"/>
                <w:szCs w:val="17"/>
                <w:color w:val="0000FF"/>
                <w:w w:val="88"/>
              </w:rPr>
              <w:t>11,000</w:t>
            </w:r>
          </w:p>
        </w:tc>
        <w:tc>
          <w:tcPr>
            <w:tcW w:w="220" w:type="dxa"/>
            <w:vAlign w:val="bottom"/>
          </w:tcPr>
          <w:p>
            <w:pPr>
              <w:spacing w:after="0"/>
              <w:rPr>
                <w:sz w:val="22"/>
                <w:szCs w:val="22"/>
                <w:color w:val="auto"/>
              </w:rPr>
            </w:pPr>
          </w:p>
        </w:tc>
        <w:tc>
          <w:tcPr>
            <w:tcW w:w="720" w:type="dxa"/>
            <w:vAlign w:val="bottom"/>
            <w:vMerge w:val="restart"/>
          </w:tcPr>
          <w:p>
            <w:pPr>
              <w:jc w:val="center"/>
              <w:ind w:left="107"/>
              <w:spacing w:after="0"/>
              <w:rPr>
                <w:sz w:val="20"/>
                <w:szCs w:val="20"/>
                <w:color w:val="auto"/>
              </w:rPr>
            </w:pPr>
            <w:r>
              <w:rPr>
                <w:rFonts w:ascii="Arial" w:cs="Arial" w:eastAsia="Arial" w:hAnsi="Arial"/>
                <w:sz w:val="34"/>
                <w:szCs w:val="34"/>
                <w:color w:val="0000FF"/>
                <w:w w:val="83"/>
                <w:vertAlign w:val="subscript"/>
              </w:rPr>
              <w:t>D</w:t>
            </w:r>
            <w:r>
              <w:rPr>
                <w:rFonts w:ascii="Arial" w:cs="Arial" w:eastAsia="Arial" w:hAnsi="Arial"/>
                <w:sz w:val="11"/>
                <w:szCs w:val="11"/>
                <w:color w:val="008000"/>
                <w:w w:val="83"/>
              </w:rPr>
              <w:t>(12)</w:t>
            </w: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Stock (OXLCP)</w:t>
            </w: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480" w:type="dxa"/>
            <w:vAlign w:val="bottom"/>
            <w:gridSpan w:val="3"/>
            <w:vMerge w:val="continue"/>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3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2"/>
          </w:tcPr>
          <w:p>
            <w:pPr>
              <w:spacing w:after="0"/>
              <w:rPr>
                <w:sz w:val="8"/>
                <w:szCs w:val="8"/>
                <w:color w:val="auto"/>
              </w:rPr>
            </w:pPr>
          </w:p>
        </w:tc>
        <w:tc>
          <w:tcPr>
            <w:tcW w:w="4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00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3"/>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2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40" w:type="dxa"/>
            <w:vAlign w:val="bottom"/>
            <w:gridSpan w:val="2"/>
          </w:tcPr>
          <w:p>
            <w:pPr>
              <w:ind w:left="200"/>
              <w:spacing w:after="0"/>
              <w:rPr>
                <w:sz w:val="20"/>
                <w:szCs w:val="20"/>
                <w:color w:val="auto"/>
              </w:rPr>
            </w:pPr>
            <w:r>
              <w:rPr>
                <w:rFonts w:ascii="Arial" w:cs="Arial" w:eastAsia="Arial" w:hAnsi="Arial"/>
                <w:sz w:val="12"/>
                <w:szCs w:val="12"/>
                <w:b w:val="1"/>
                <w:bCs w:val="1"/>
                <w:color w:val="auto"/>
              </w:rPr>
              <w:t>3A. Deemed</w:t>
            </w:r>
          </w:p>
        </w:tc>
        <w:tc>
          <w:tcPr>
            <w:tcW w:w="5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220" w:type="dxa"/>
            <w:vAlign w:val="bottom"/>
          </w:tcPr>
          <w:p>
            <w:pPr>
              <w:ind w:left="40"/>
              <w:spacing w:after="0"/>
              <w:rPr>
                <w:sz w:val="20"/>
                <w:szCs w:val="20"/>
                <w:color w:val="auto"/>
              </w:rPr>
            </w:pPr>
            <w:r>
              <w:rPr>
                <w:rFonts w:ascii="Arial" w:cs="Arial" w:eastAsia="Arial" w:hAnsi="Arial"/>
                <w:sz w:val="12"/>
                <w:szCs w:val="12"/>
                <w:b w:val="1"/>
                <w:bCs w:val="1"/>
                <w:color w:val="auto"/>
                <w:w w:val="95"/>
              </w:rPr>
              <w:t>10.</w:t>
            </w:r>
          </w:p>
        </w:tc>
        <w:tc>
          <w:tcPr>
            <w:tcW w:w="50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4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5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4"/>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80" w:type="dxa"/>
            <w:vAlign w:val="bottom"/>
            <w:gridSpan w:val="5"/>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6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8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2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8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200" w:type="dxa"/>
            <w:vAlign w:val="bottom"/>
            <w:tcBorders>
              <w:bottom w:val="single" w:sz="8" w:color="2C2C2C"/>
            </w:tcBorders>
            <w:gridSpan w:val="4"/>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740" w:type="dxa"/>
            <w:vAlign w:val="bottom"/>
            <w:tcBorders>
              <w:top w:val="single" w:sz="8" w:color="2C2C2C"/>
            </w:tcBorders>
            <w:gridSpan w:val="6"/>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Eagle Point Credit Management LLC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gridSpan w:val="2"/>
          </w:tcPr>
          <w:p>
            <w:pPr>
              <w:ind w:left="4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-2449195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600 STEAMBOAT ROAD,</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202</w:t>
      </w:r>
    </w:p>
    <w:p>
      <w:pPr>
        <w:spacing w:after="0" w:line="305"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7"/>
          <w:szCs w:val="17"/>
          <w:color w:val="0000FF"/>
        </w:rPr>
        <w:t>GREENWICH,</w:t>
      </w:r>
      <w:r>
        <w:rPr>
          <w:sz w:val="20"/>
          <w:szCs w:val="20"/>
          <w:color w:val="auto"/>
        </w:rPr>
        <w:tab/>
      </w:r>
      <w:r>
        <w:rPr>
          <w:rFonts w:ascii="Arial" w:cs="Arial" w:eastAsia="Arial" w:hAnsi="Arial"/>
          <w:sz w:val="17"/>
          <w:szCs w:val="17"/>
          <w:color w:val="0000FF"/>
        </w:rPr>
        <w:t>CT</w:t>
      </w:r>
      <w:r>
        <w:rPr>
          <w:sz w:val="20"/>
          <w:szCs w:val="20"/>
          <w:color w:val="auto"/>
        </w:rPr>
        <w:tab/>
      </w:r>
      <w:r>
        <w:rPr>
          <w:rFonts w:ascii="Arial" w:cs="Arial" w:eastAsia="Arial" w:hAnsi="Arial"/>
          <w:sz w:val="15"/>
          <w:szCs w:val="15"/>
          <w:color w:val="0000FF"/>
        </w:rPr>
        <w:t>06830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5">
              <w:r>
                <w:rPr>
                  <w:rFonts w:ascii="Arial" w:cs="Arial" w:eastAsia="Arial" w:hAnsi="Arial"/>
                  <w:sz w:val="21"/>
                  <w:szCs w:val="21"/>
                  <w:color w:val="0000EE"/>
                </w:rPr>
                <w:t>Majewski Thomas 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600 STEAMBOAT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4"/>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6">
              <w:r>
                <w:rPr>
                  <w:rFonts w:ascii="Arial" w:cs="Arial" w:eastAsia="Arial" w:hAnsi="Arial"/>
                  <w:sz w:val="21"/>
                  <w:szCs w:val="21"/>
                  <w:color w:val="0000EE"/>
                </w:rPr>
                <w:t>Eagle Point Credit GP 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600 STEAMBOAT RD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4"/>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5"/>
          </w:tcPr>
          <w:p>
            <w:pPr>
              <w:spacing w:after="0" w:line="221" w:lineRule="exact"/>
              <w:rPr>
                <w:rFonts w:ascii="Arial" w:cs="Arial" w:eastAsia="Arial" w:hAnsi="Arial"/>
                <w:sz w:val="21"/>
                <w:szCs w:val="21"/>
                <w:color w:val="0000EE"/>
              </w:rPr>
            </w:pPr>
            <w:hyperlink r:id="rId17">
              <w:r>
                <w:rPr>
                  <w:rFonts w:ascii="Arial" w:cs="Arial" w:eastAsia="Arial" w:hAnsi="Arial"/>
                  <w:sz w:val="21"/>
                  <w:szCs w:val="21"/>
                  <w:color w:val="0000EE"/>
                </w:rPr>
                <w:t>Eagle Point DIF GP I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5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5"/>
          </w:tcPr>
          <w:p>
            <w:pPr>
              <w:spacing w:after="0"/>
              <w:rPr>
                <w:sz w:val="20"/>
                <w:szCs w:val="20"/>
                <w:color w:val="auto"/>
              </w:rPr>
            </w:pPr>
            <w:r>
              <w:rPr>
                <w:rFonts w:ascii="Arial" w:cs="Arial" w:eastAsia="Arial" w:hAnsi="Arial"/>
                <w:sz w:val="17"/>
                <w:szCs w:val="17"/>
                <w:color w:val="0000FF"/>
              </w:rPr>
              <w:t>600 STEAMBOAT ROAD,</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SUITE 202</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7"/>
        </w:trPr>
        <w:tc>
          <w:tcPr>
            <w:tcW w:w="13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r>
              <w:rPr>
                <w:rFonts w:ascii="Arial" w:cs="Arial" w:eastAsia="Arial" w:hAnsi="Arial"/>
                <w:sz w:val="17"/>
                <w:szCs w:val="17"/>
                <w:color w:val="0000FF"/>
              </w:rPr>
              <w:t>GREENWICH,</w:t>
            </w:r>
          </w:p>
        </w:tc>
        <w:tc>
          <w:tcPr>
            <w:tcW w:w="1420" w:type="dxa"/>
            <w:vAlign w:val="bottom"/>
            <w:gridSpan w:val="4"/>
          </w:tcPr>
          <w:p>
            <w:pPr>
              <w:ind w:left="160"/>
              <w:spacing w:after="0"/>
              <w:rPr>
                <w:sz w:val="20"/>
                <w:szCs w:val="20"/>
                <w:color w:val="auto"/>
              </w:rPr>
            </w:pPr>
            <w:r>
              <w:rPr>
                <w:rFonts w:ascii="Arial" w:cs="Arial" w:eastAsia="Arial" w:hAnsi="Arial"/>
                <w:sz w:val="17"/>
                <w:szCs w:val="17"/>
                <w:color w:val="0000FF"/>
              </w:rPr>
              <w:t>CT</w:t>
            </w:r>
          </w:p>
        </w:tc>
        <w:tc>
          <w:tcPr>
            <w:tcW w:w="1500" w:type="dxa"/>
            <w:vAlign w:val="bottom"/>
          </w:tcPr>
          <w:p>
            <w:pPr>
              <w:ind w:left="140"/>
              <w:spacing w:after="0"/>
              <w:rPr>
                <w:sz w:val="20"/>
                <w:szCs w:val="20"/>
                <w:color w:val="auto"/>
              </w:rPr>
            </w:pPr>
            <w:r>
              <w:rPr>
                <w:rFonts w:ascii="Arial" w:cs="Arial" w:eastAsia="Arial" w:hAnsi="Arial"/>
                <w:sz w:val="17"/>
                <w:szCs w:val="17"/>
                <w:color w:val="0000FF"/>
              </w:rPr>
              <w:t>06830</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240" w:type="dxa"/>
            <w:vAlign w:val="bottom"/>
          </w:tcPr>
          <w:p>
            <w:pPr>
              <w:spacing w:after="0"/>
              <w:rPr>
                <w:sz w:val="20"/>
                <w:szCs w:val="20"/>
                <w:color w:val="auto"/>
              </w:rPr>
            </w:pPr>
            <w:r>
              <w:rPr>
                <w:rFonts w:ascii="Arial" w:cs="Arial" w:eastAsia="Arial" w:hAnsi="Arial"/>
                <w:sz w:val="13"/>
                <w:szCs w:val="13"/>
                <w:color w:val="auto"/>
              </w:rPr>
              <w:t>(City)</w:t>
            </w:r>
          </w:p>
        </w:tc>
        <w:tc>
          <w:tcPr>
            <w:tcW w:w="1420" w:type="dxa"/>
            <w:vAlign w:val="bottom"/>
            <w:gridSpan w:val="4"/>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563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556323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amount reported reflects the aggregate principal amount (based on face value), with respect to the notes, and the aggregate number of shares, with respect to the preferred stock.</w:t>
      </w:r>
    </w:p>
    <w:p>
      <w:pPr>
        <w:spacing w:after="0" w:line="50" w:lineRule="exact"/>
        <w:rPr>
          <w:rFonts w:ascii="Arial" w:cs="Arial" w:eastAsia="Arial" w:hAnsi="Arial"/>
          <w:sz w:val="13"/>
          <w:szCs w:val="13"/>
          <w:color w:val="008000"/>
        </w:rPr>
      </w:pPr>
    </w:p>
    <w:p>
      <w:pPr>
        <w:ind w:lef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$25.12 to $25.25 per share, inclusive. Upon request by the staff of the Securities and Exchange Commission, the Issuer or any security holder of the Issuer, the reporting person undertakes to provide full information regarding the number of shares sold at each separate price within the ranges set forth in this footnote and each of the other applicable footnotes contained in this Form 4.</w:t>
      </w:r>
    </w:p>
    <w:p>
      <w:pPr>
        <w:spacing w:after="0" w:line="25"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$25.12 to $25.15 per share, inclusive.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$25.12 to $25.20 per share, inclusive.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$25.00 to $25.06 per share, inclusive.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$25.00 to $25.05 per share, inclusive.</w:t>
      </w:r>
    </w:p>
    <w:p>
      <w:pPr>
        <w:spacing w:after="0" w:line="50"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reflects the weighted average sales price per share. These securities were sold in multiple transactions at prices ranging from $24.88 to $25.00 per share, inclusive.</w:t>
      </w:r>
    </w:p>
    <w:p>
      <w:pPr>
        <w:spacing w:after="0" w:line="50" w:lineRule="exact"/>
        <w:rPr>
          <w:rFonts w:ascii="Arial" w:cs="Arial" w:eastAsia="Arial" w:hAnsi="Arial"/>
          <w:sz w:val="13"/>
          <w:szCs w:val="13"/>
          <w:color w:val="008000"/>
        </w:rPr>
      </w:pPr>
    </w:p>
    <w:p>
      <w:pPr>
        <w:jc w:val="both"/>
        <w:ind w:left="20" w:right="2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securities are directly owned by certain private investment funds (the "Funds") managed by Eagle Point Credit Management ("EPCM"). Eagle Point Credit GP I LP and Eagle Point DIF GP I LLC (the "General Partners") serve as general partner to one or more of the Funds. Accordingly, EPCM and the General Partners could be deemed to have an indirect pecuniary interest in the securities held by the applicable Fund(s).</w:t>
      </w:r>
    </w:p>
    <w:p>
      <w:pPr>
        <w:spacing w:after="0" w:line="25" w:lineRule="exact"/>
        <w:rPr>
          <w:rFonts w:ascii="Arial" w:cs="Arial" w:eastAsia="Arial" w:hAnsi="Arial"/>
          <w:sz w:val="13"/>
          <w:szCs w:val="13"/>
          <w:color w:val="008000"/>
        </w:rPr>
      </w:pPr>
    </w:p>
    <w:p>
      <w:pPr>
        <w:ind w:left="20" w:right="60" w:firstLine="7"/>
        <w:spacing w:after="0" w:line="250"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Eagle Point Holdings LP ("EP Holdings") is the parent company of EPCM and each of the General Partners, and Thomas P. Majewski has certain economic rights with respect to EP Holdings (and EPCM) that could be deemed to give rise to an indirect pecuniary interest in the securities held by the Funds and the Accounts. Among the Reporting Persons, each of Eagle Point Credit GP I LP and Mr. Majewski could be deemed to have an indirect pecuniary interest in the securities sold that are reported herein.</w:t>
      </w:r>
    </w:p>
    <w:p>
      <w:pPr>
        <w:spacing w:after="0" w:line="25" w:lineRule="exact"/>
        <w:rPr>
          <w:rFonts w:ascii="Arial" w:cs="Arial" w:eastAsia="Arial" w:hAnsi="Arial"/>
          <w:sz w:val="13"/>
          <w:szCs w:val="13"/>
          <w:color w:val="008000"/>
        </w:rPr>
      </w:pPr>
    </w:p>
    <w:p>
      <w:pPr>
        <w:ind w:left="20" w:right="240" w:firstLine="7"/>
        <w:spacing w:after="0" w:line="301" w:lineRule="auto"/>
        <w:tabs>
          <w:tab w:leader="none" w:pos="22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securities are directly owned by the Funds and certain separately-managed client accounts (the "Accounts"). EPCM serves as investment manager to the Accounts and, due to the nature of the advisory relationship, could be deemed to have an indirect pecuniary interest in the securities held by each of the Accounts (as well as the securities held by the Funds).</w:t>
      </w:r>
    </w:p>
    <w:p>
      <w:pPr>
        <w:jc w:val="both"/>
        <w:ind w:left="20" w:right="220" w:firstLine="7"/>
        <w:spacing w:after="0" w:line="250" w:lineRule="auto"/>
        <w:tabs>
          <w:tab w:leader="none" w:pos="215"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of the Reporting Persons hereby disclaims beneficial ownership of the securities described in this report pursuant to Rule 16a-1(a)(4) under the Securities Exchange Act of 1934 (except, with respect to Mr. Majewski, to the extent of his direct pecuniary interest therein) and the inclusion of these securities in this report shall not be deemed an admission of beneficial ownership of any of the reported securities for purposes of Section 16 or for any other purpose.</w:t>
      </w:r>
    </w:p>
    <w:p>
      <w:pPr>
        <w:spacing w:after="0" w:line="25" w:lineRule="exact"/>
        <w:rPr>
          <w:rFonts w:ascii="Arial" w:cs="Arial" w:eastAsia="Arial" w:hAnsi="Arial"/>
          <w:sz w:val="13"/>
          <w:szCs w:val="13"/>
          <w:color w:val="008000"/>
        </w:rPr>
      </w:pPr>
    </w:p>
    <w:p>
      <w:pPr>
        <w:ind w:left="220" w:hanging="193"/>
        <w:spacing w:after="0"/>
        <w:tabs>
          <w:tab w:leader="none" w:pos="22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Thomas P. Majewski directly owns the securities in his personal capacity. None of the other Reporting Persons has a pecuniary interest in these securities.</w:t>
      </w:r>
    </w:p>
    <w:p>
      <w:pPr>
        <w:sectPr>
          <w:pgSz w:w="11900" w:h="16838" w:orient="portrait"/>
          <w:cols w:equalWidth="0" w:num="1">
            <w:col w:w="10880"/>
          </w:cols>
          <w:pgMar w:left="480" w:top="179" w:right="539" w:bottom="0" w:gutter="0" w:footer="0" w:header="0"/>
        </w:sectPr>
      </w:pPr>
    </w:p>
    <w:p>
      <w:pPr>
        <w:spacing w:after="0" w:line="77"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246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 of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93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Point Credit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36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366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076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2465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 of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93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Point DIF GP 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04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/s/ Kenneth P. Onorio,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5715</wp:posOffset>
            </wp:positionV>
            <wp:extent cx="12465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46505" cy="8255"/>
                    </a:xfrm>
                    <a:prstGeom prst="rect">
                      <a:avLst/>
                    </a:prstGeom>
                    <a:noFill/>
                  </pic:spPr>
                </pic:pic>
              </a:graphicData>
            </a:graphic>
          </wp:anchor>
        </w:drawing>
      </w:r>
    </w:p>
    <w:p>
      <w:pPr>
        <w:spacing w:after="0" w:line="28"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Financial Officer of Eagle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93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1493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Point Credit GP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226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9226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5"/>
          <w:szCs w:val="15"/>
          <w:color w:val="0000FF"/>
        </w:rPr>
        <w:t>06/28/2021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93" w:lineRule="exact"/>
        <w:rPr>
          <w:sz w:val="20"/>
          <w:szCs w:val="20"/>
          <w:color w:val="auto"/>
        </w:rPr>
      </w:pPr>
    </w:p>
    <w:p>
      <w:pPr>
        <w:sectPr>
          <w:pgSz w:w="11900" w:h="16838" w:orient="portrait"/>
          <w:cols w:equalWidth="0" w:num="2">
            <w:col w:w="8540" w:space="220"/>
            <w:col w:w="2120"/>
          </w:cols>
          <w:pgMar w:left="480" w:top="179" w:right="539" w:bottom="0" w:gutter="0" w:footer="0" w:header="0"/>
          <w:type w:val="continuous"/>
        </w:sectPr>
      </w:pPr>
    </w:p>
    <w:tbl>
      <w:tblPr>
        <w:tblLayout w:type="fixed"/>
        <w:tblInd w:w="656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Thomas P. Majewski</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06/28/2021</w:t>
            </w: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79" w:right="5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12" Type="http://schemas.openxmlformats.org/officeDocument/2006/relationships/hyperlink" Target="http://www.sec.gov/cgi-bin/browse-edgar?action=getcompany&amp;CIK=0001607203" TargetMode="External"/><Relationship Id="rId13" Type="http://schemas.openxmlformats.org/officeDocument/2006/relationships/hyperlink" Target="http://www.sec.gov/cgi-bin/browse-edgar?action=getcompany&amp;CIK=0001495222" TargetMode="External"/><Relationship Id="rId15" Type="http://schemas.openxmlformats.org/officeDocument/2006/relationships/hyperlink" Target="http://www.sec.gov/cgi-bin/browse-edgar?action=getcompany&amp;CIK=0001617694" TargetMode="External"/><Relationship Id="rId16" Type="http://schemas.openxmlformats.org/officeDocument/2006/relationships/hyperlink" Target="http://www.sec.gov/cgi-bin/browse-edgar?action=getcompany&amp;CIK=0001607205" TargetMode="External"/><Relationship Id="rId17" Type="http://schemas.openxmlformats.org/officeDocument/2006/relationships/hyperlink" Target="http://www.sec.gov/cgi-bin/browse-edgar?action=getcompany&amp;CIK=000183660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2021-06-28T19:22:02Z</dcterms:created>
  <dcterms:modified xsi:type="dcterms:W3CDTF">2021-06-28T19:22:02Z</dcterms:modified>
</cp:coreProperties>
</file>