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18"/>
                <w:szCs w:val="18"/>
                <w:b w:val="1"/>
                <w:bCs w:val="1"/>
                <w:color w:val="auto"/>
                <w:w w:val="99"/>
              </w:rPr>
              <w:t>UNITED STATES</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760" w:type="dxa"/>
            <w:vAlign w:val="bottom"/>
            <w:gridSpan w:val="6"/>
          </w:tcPr>
          <w:p>
            <w:pPr>
              <w:jc w:val="center"/>
              <w:ind w:right="355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b w:val="1"/>
                <w:bCs w:val="1"/>
                <w:color w:val="auto"/>
                <w:w w:val="91"/>
              </w:rPr>
              <w:t>Washington, D.C. 20549</w:t>
            </w:r>
          </w:p>
        </w:tc>
      </w:tr>
      <w:tr>
        <w:trPr>
          <w:trHeight w:val="469"/>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22"/>
                <w:szCs w:val="22"/>
                <w:b w:val="1"/>
                <w:bCs w:val="1"/>
                <w:color w:val="auto"/>
                <w:w w:val="98"/>
              </w:rPr>
              <w:t>FORM N-Q</w:t>
            </w:r>
          </w:p>
        </w:tc>
      </w:tr>
      <w:tr>
        <w:trPr>
          <w:trHeight w:val="404"/>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20" w:type="dxa"/>
            <w:vAlign w:val="bottom"/>
            <w:gridSpan w:val="7"/>
          </w:tcPr>
          <w:p>
            <w:pPr>
              <w:jc w:val="center"/>
              <w:ind w:right="2210"/>
              <w:spacing w:after="0"/>
              <w:rPr>
                <w:sz w:val="20"/>
                <w:szCs w:val="20"/>
                <w:color w:val="auto"/>
              </w:rPr>
            </w:pPr>
            <w:r>
              <w:rPr>
                <w:rFonts w:ascii="Arial" w:cs="Arial" w:eastAsia="Arial" w:hAnsi="Arial"/>
                <w:sz w:val="18"/>
                <w:szCs w:val="18"/>
                <w:b w:val="1"/>
                <w:bCs w:val="1"/>
                <w:color w:val="auto"/>
              </w:rPr>
              <w:t>QUARTERLY SCHEDULE OF PORTFOLIO HOLDINGS OF REGISTERED</w:t>
            </w:r>
          </w:p>
        </w:tc>
      </w:tr>
      <w:tr>
        <w:trPr>
          <w:trHeight w:val="234"/>
        </w:trPr>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760" w:type="dxa"/>
            <w:vAlign w:val="bottom"/>
            <w:gridSpan w:val="6"/>
          </w:tcPr>
          <w:p>
            <w:pPr>
              <w:jc w:val="center"/>
              <w:ind w:right="3570"/>
              <w:spacing w:after="0"/>
              <w:rPr>
                <w:sz w:val="20"/>
                <w:szCs w:val="20"/>
                <w:color w:val="auto"/>
              </w:rPr>
            </w:pPr>
            <w:r>
              <w:rPr>
                <w:rFonts w:ascii="Arial" w:cs="Arial" w:eastAsia="Arial" w:hAnsi="Arial"/>
                <w:sz w:val="18"/>
                <w:szCs w:val="18"/>
                <w:b w:val="1"/>
                <w:bCs w:val="1"/>
                <w:color w:val="auto"/>
              </w:rPr>
              <w:t>MANAGEMENT INVESTMENT COMPANY</w:t>
            </w:r>
          </w:p>
        </w:tc>
      </w:tr>
      <w:tr>
        <w:trPr>
          <w:trHeight w:val="432"/>
        </w:trPr>
        <w:tc>
          <w:tcPr>
            <w:tcW w:w="3660" w:type="dxa"/>
            <w:vAlign w:val="bottom"/>
            <w:gridSpan w:val="3"/>
          </w:tcPr>
          <w:p>
            <w:pPr>
              <w:spacing w:after="0"/>
              <w:rPr>
                <w:sz w:val="20"/>
                <w:szCs w:val="20"/>
                <w:color w:val="auto"/>
              </w:rPr>
            </w:pPr>
            <w:r>
              <w:rPr>
                <w:rFonts w:ascii="Arial" w:cs="Arial" w:eastAsia="Arial" w:hAnsi="Arial"/>
                <w:sz w:val="18"/>
                <w:szCs w:val="18"/>
                <w:color w:val="auto"/>
              </w:rPr>
              <w:t>Investment Company Act file number</w:t>
            </w: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8"/>
                <w:szCs w:val="18"/>
                <w:color w:val="auto"/>
                <w:w w:val="97"/>
              </w:rPr>
              <w:t>811-22432</w:t>
            </w: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26"/>
        </w:trPr>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4"/>
          </w:tcPr>
          <w:p>
            <w:pPr>
              <w:jc w:val="center"/>
              <w:ind w:right="4490"/>
              <w:spacing w:after="0"/>
              <w:rPr>
                <w:sz w:val="20"/>
                <w:szCs w:val="20"/>
                <w:color w:val="auto"/>
              </w:rPr>
            </w:pPr>
            <w:r>
              <w:rPr>
                <w:rFonts w:ascii="Arial" w:cs="Arial" w:eastAsia="Arial" w:hAnsi="Arial"/>
                <w:sz w:val="18"/>
                <w:szCs w:val="18"/>
                <w:color w:val="auto"/>
                <w:w w:val="92"/>
              </w:rPr>
              <w:t>Oxford Lane Capital Corp.</w:t>
            </w:r>
          </w:p>
        </w:tc>
      </w:tr>
      <w:tr>
        <w:trPr>
          <w:trHeight w:val="224"/>
        </w:trPr>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760" w:type="dxa"/>
            <w:vAlign w:val="bottom"/>
            <w:gridSpan w:val="6"/>
          </w:tcPr>
          <w:p>
            <w:pPr>
              <w:jc w:val="center"/>
              <w:ind w:right="3570"/>
              <w:spacing w:after="0"/>
              <w:rPr>
                <w:sz w:val="20"/>
                <w:szCs w:val="20"/>
                <w:color w:val="auto"/>
              </w:rPr>
            </w:pPr>
            <w:r>
              <w:rPr>
                <w:rFonts w:ascii="Arial" w:cs="Arial" w:eastAsia="Arial" w:hAnsi="Arial"/>
                <w:sz w:val="18"/>
                <w:szCs w:val="18"/>
                <w:color w:val="auto"/>
                <w:w w:val="90"/>
              </w:rPr>
              <w:t>(Exact name of registrant as specified in charter)</w:t>
            </w:r>
          </w:p>
        </w:tc>
      </w:tr>
      <w:tr>
        <w:trPr>
          <w:trHeight w:val="404"/>
        </w:trPr>
        <w:tc>
          <w:tcPr>
            <w:tcW w:w="4220" w:type="dxa"/>
            <w:vAlign w:val="bottom"/>
            <w:gridSpan w:val="4"/>
          </w:tcPr>
          <w:p>
            <w:pPr>
              <w:jc w:val="center"/>
              <w:ind w:left="1190"/>
              <w:spacing w:after="0"/>
              <w:rPr>
                <w:sz w:val="20"/>
                <w:szCs w:val="20"/>
                <w:color w:val="auto"/>
              </w:rPr>
            </w:pPr>
            <w:r>
              <w:rPr>
                <w:rFonts w:ascii="Arial" w:cs="Arial" w:eastAsia="Arial" w:hAnsi="Arial"/>
                <w:sz w:val="18"/>
                <w:szCs w:val="18"/>
                <w:color w:val="auto"/>
                <w:w w:val="90"/>
              </w:rPr>
              <w:t>8 Sound Shore Drive, Suite 255</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30"/>
        </w:trPr>
        <w:tc>
          <w:tcPr>
            <w:tcW w:w="20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8"/>
                <w:szCs w:val="18"/>
                <w:color w:val="auto"/>
                <w:w w:val="91"/>
              </w:rPr>
              <w:t>Greenwich, CT</w:t>
            </w:r>
          </w:p>
        </w:tc>
        <w:tc>
          <w:tcPr>
            <w:tcW w:w="7200" w:type="dxa"/>
            <w:vAlign w:val="bottom"/>
            <w:tcBorders>
              <w:bottom w:val="single" w:sz="8" w:color="auto"/>
            </w:tcBorders>
            <w:gridSpan w:val="5"/>
          </w:tcPr>
          <w:p>
            <w:pPr>
              <w:jc w:val="right"/>
              <w:ind w:right="2410"/>
              <w:spacing w:after="0"/>
              <w:rPr>
                <w:sz w:val="20"/>
                <w:szCs w:val="20"/>
                <w:color w:val="auto"/>
              </w:rPr>
            </w:pPr>
            <w:r>
              <w:rPr>
                <w:rFonts w:ascii="Arial" w:cs="Arial" w:eastAsia="Arial" w:hAnsi="Arial"/>
                <w:sz w:val="18"/>
                <w:szCs w:val="18"/>
                <w:color w:val="auto"/>
              </w:rPr>
              <w:t>06830</w:t>
            </w:r>
          </w:p>
        </w:tc>
      </w:tr>
      <w:tr>
        <w:trPr>
          <w:trHeight w:val="224"/>
        </w:trPr>
        <w:tc>
          <w:tcPr>
            <w:tcW w:w="4220" w:type="dxa"/>
            <w:vAlign w:val="bottom"/>
            <w:gridSpan w:val="4"/>
          </w:tcPr>
          <w:p>
            <w:pPr>
              <w:jc w:val="center"/>
              <w:ind w:left="1190"/>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80" w:type="dxa"/>
            <w:vAlign w:val="bottom"/>
          </w:tcPr>
          <w:p>
            <w:pPr>
              <w:jc w:val="center"/>
              <w:ind w:right="710"/>
              <w:spacing w:after="0"/>
              <w:rPr>
                <w:sz w:val="20"/>
                <w:szCs w:val="20"/>
                <w:color w:val="auto"/>
              </w:rPr>
            </w:pPr>
            <w:r>
              <w:rPr>
                <w:rFonts w:ascii="Arial" w:cs="Arial" w:eastAsia="Arial" w:hAnsi="Arial"/>
                <w:sz w:val="18"/>
                <w:szCs w:val="18"/>
                <w:color w:val="auto"/>
                <w:w w:val="93"/>
              </w:rPr>
              <w:t>(Zip code)</w:t>
            </w:r>
          </w:p>
        </w:tc>
      </w:tr>
      <w:tr>
        <w:trPr>
          <w:trHeight w:val="404"/>
        </w:trPr>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18"/>
                <w:szCs w:val="18"/>
                <w:color w:val="auto"/>
                <w:w w:val="88"/>
              </w:rPr>
              <w:t>Jonathan H. Cohen</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gridSpan w:val="3"/>
          </w:tcPr>
          <w:p>
            <w:pPr>
              <w:jc w:val="center"/>
              <w:ind w:right="4690"/>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color w:val="auto"/>
                <w:w w:val="92"/>
              </w:rPr>
              <w:t>Oxford Lane Capital Corp.</w:t>
            </w:r>
          </w:p>
        </w:tc>
      </w:tr>
      <w:tr>
        <w:trPr>
          <w:trHeight w:val="216"/>
        </w:trPr>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0" w:type="dxa"/>
            <w:vAlign w:val="bottom"/>
            <w:gridSpan w:val="5"/>
          </w:tcPr>
          <w:p>
            <w:pPr>
              <w:jc w:val="center"/>
              <w:ind w:right="4130"/>
              <w:spacing w:after="0"/>
              <w:rPr>
                <w:sz w:val="20"/>
                <w:szCs w:val="20"/>
                <w:color w:val="auto"/>
              </w:rPr>
            </w:pPr>
            <w:r>
              <w:rPr>
                <w:rFonts w:ascii="Arial" w:cs="Arial" w:eastAsia="Arial" w:hAnsi="Arial"/>
                <w:sz w:val="18"/>
                <w:szCs w:val="18"/>
                <w:color w:val="auto"/>
                <w:w w:val="90"/>
              </w:rPr>
              <w:t>8 Sound Shore Drive, Suite 255</w:t>
            </w:r>
          </w:p>
        </w:tc>
      </w:tr>
      <w:tr>
        <w:trPr>
          <w:trHeight w:val="230"/>
        </w:trPr>
        <w:tc>
          <w:tcPr>
            <w:tcW w:w="2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gridSpan w:val="3"/>
          </w:tcPr>
          <w:p>
            <w:pPr>
              <w:jc w:val="center"/>
              <w:ind w:right="4690"/>
              <w:spacing w:after="0"/>
              <w:rPr>
                <w:sz w:val="20"/>
                <w:szCs w:val="20"/>
                <w:color w:val="auto"/>
              </w:rPr>
            </w:pPr>
            <w:r>
              <w:rPr>
                <w:rFonts w:ascii="Arial" w:cs="Arial" w:eastAsia="Arial" w:hAnsi="Arial"/>
                <w:sz w:val="18"/>
                <w:szCs w:val="18"/>
                <w:color w:val="auto"/>
                <w:w w:val="91"/>
              </w:rPr>
              <w:t>Greenwich, CT 06830</w:t>
            </w:r>
          </w:p>
        </w:tc>
      </w:tr>
      <w:tr>
        <w:trPr>
          <w:trHeight w:val="224"/>
        </w:trPr>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0" w:type="dxa"/>
            <w:vAlign w:val="bottom"/>
            <w:gridSpan w:val="5"/>
          </w:tcPr>
          <w:p>
            <w:pPr>
              <w:jc w:val="center"/>
              <w:ind w:right="4110"/>
              <w:spacing w:after="0"/>
              <w:rPr>
                <w:sz w:val="20"/>
                <w:szCs w:val="20"/>
                <w:color w:val="auto"/>
              </w:rPr>
            </w:pPr>
            <w:r>
              <w:rPr>
                <w:rFonts w:ascii="Arial" w:cs="Arial" w:eastAsia="Arial" w:hAnsi="Arial"/>
                <w:sz w:val="18"/>
                <w:szCs w:val="18"/>
                <w:color w:val="auto"/>
                <w:w w:val="89"/>
              </w:rPr>
              <w:t>(Name and address of agent for service)</w:t>
            </w:r>
          </w:p>
        </w:tc>
      </w:tr>
      <w:tr>
        <w:trPr>
          <w:trHeight w:val="418"/>
        </w:trPr>
        <w:tc>
          <w:tcPr>
            <w:tcW w:w="422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2520" w:type="dxa"/>
            <w:vAlign w:val="bottom"/>
            <w:gridSpan w:val="4"/>
          </w:tcPr>
          <w:p>
            <w:pPr>
              <w:jc w:val="right"/>
              <w:ind w:right="820"/>
              <w:spacing w:after="0"/>
              <w:rPr>
                <w:sz w:val="20"/>
                <w:szCs w:val="20"/>
                <w:color w:val="auto"/>
              </w:rPr>
            </w:pPr>
            <w:r>
              <w:rPr>
                <w:rFonts w:ascii="Arial" w:cs="Arial" w:eastAsia="Arial" w:hAnsi="Arial"/>
                <w:sz w:val="18"/>
                <w:szCs w:val="18"/>
                <w:color w:val="auto"/>
              </w:rPr>
              <w:t>(203) 983-5275</w:t>
            </w:r>
          </w:p>
        </w:tc>
        <w:tc>
          <w:tcPr>
            <w:tcW w:w="4680" w:type="dxa"/>
            <w:vAlign w:val="bottom"/>
          </w:tcPr>
          <w:p>
            <w:pPr>
              <w:spacing w:after="0"/>
              <w:rPr>
                <w:sz w:val="24"/>
                <w:szCs w:val="24"/>
                <w:color w:val="auto"/>
              </w:rPr>
            </w:pPr>
          </w:p>
        </w:tc>
      </w:tr>
      <w:tr>
        <w:trPr>
          <w:trHeight w:val="426"/>
        </w:trPr>
        <w:tc>
          <w:tcPr>
            <w:tcW w:w="2000" w:type="dxa"/>
            <w:vAlign w:val="bottom"/>
          </w:tcPr>
          <w:p>
            <w:pPr>
              <w:spacing w:after="0"/>
              <w:rPr>
                <w:sz w:val="20"/>
                <w:szCs w:val="20"/>
                <w:color w:val="auto"/>
              </w:rPr>
            </w:pPr>
            <w:r>
              <w:rPr>
                <w:rFonts w:ascii="Arial" w:cs="Arial" w:eastAsia="Arial" w:hAnsi="Arial"/>
                <w:sz w:val="18"/>
                <w:szCs w:val="18"/>
                <w:color w:val="auto"/>
              </w:rPr>
              <w:t>Date of fiscal year end:</w:t>
            </w:r>
          </w:p>
        </w:tc>
        <w:tc>
          <w:tcPr>
            <w:tcW w:w="30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March 31</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426"/>
        </w:trPr>
        <w:tc>
          <w:tcPr>
            <w:tcW w:w="2000" w:type="dxa"/>
            <w:vAlign w:val="bottom"/>
          </w:tcPr>
          <w:p>
            <w:pPr>
              <w:spacing w:after="0"/>
              <w:rPr>
                <w:sz w:val="20"/>
                <w:szCs w:val="20"/>
                <w:color w:val="auto"/>
              </w:rPr>
            </w:pPr>
            <w:r>
              <w:rPr>
                <w:rFonts w:ascii="Arial" w:cs="Arial" w:eastAsia="Arial" w:hAnsi="Arial"/>
                <w:sz w:val="18"/>
                <w:szCs w:val="18"/>
                <w:color w:val="auto"/>
              </w:rPr>
              <w:t>Date of reporting period:</w:t>
            </w:r>
          </w:p>
        </w:tc>
        <w:tc>
          <w:tcPr>
            <w:tcW w:w="30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2015</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669"/>
        </w:trPr>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Schedule of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3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34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INVESTMENT</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9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52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3460" w:type="dxa"/>
            <w:vAlign w:val="bottom"/>
            <w:tcBorders>
              <w:top w:val="single" w:sz="8" w:color="auto"/>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Neuberger Berman CLO XIII,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4"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8"/>
                <w:szCs w:val="18"/>
                <w:color w:val="auto"/>
                <w:vertAlign w:val="superscript"/>
              </w:rPr>
              <w:t>(3)(4)(6)</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3,956,505</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2,835,000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(LIBOR + 6.50%, due January 23, 2024)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OFSI Fund VII,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9"/>
                <w:szCs w:val="19"/>
                <w:color w:val="auto"/>
                <w:vertAlign w:val="superscript"/>
              </w:rPr>
              <w:t>(3)(4)(6)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5,564,000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4,683,930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3,797,430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(LIBOR + 5.65%, due October 18,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Telos CLO 2013-3,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9"/>
                <w:szCs w:val="19"/>
                <w:color w:val="auto"/>
                <w:vertAlign w:val="superscript"/>
              </w:rPr>
              <w:t>(3)(4)(6)</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2,740,813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2,144,700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(LIBOR + 5.50%, due January 17, 2024)</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Total Collateralized Loan Obligation - Debt Investments</w:t>
            </w: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11,381,248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8,777,130</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Collateralized Loan Obligation - Equity Investments</w:t>
            </w:r>
          </w:p>
        </w:tc>
        <w:tc>
          <w:tcPr>
            <w:tcW w:w="400" w:type="dxa"/>
            <w:vAlign w:val="bottom"/>
            <w:tcBorders>
              <w:bottom w:val="single" w:sz="8" w:color="CCEEFF"/>
            </w:tcBorders>
            <w:shd w:val="clear" w:color="auto" w:fill="CCEEFF"/>
          </w:tcPr>
          <w:p>
            <w:pPr>
              <w:spacing w:after="0"/>
              <w:rPr>
                <w:sz w:val="11"/>
                <w:szCs w:val="11"/>
                <w:color w:val="auto"/>
              </w:rPr>
            </w:pPr>
          </w:p>
        </w:tc>
        <w:tc>
          <w:tcPr>
            <w:tcW w:w="34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AIMCO CLO, Series 2014-A</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26,000,000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18,475,415</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11,462,343</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14.56%, maturity July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AMMC CLO XII,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7,178,571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4,203,484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3,589,286</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15.42%, maturity May 10, 2025)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Ares XXV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15,500,000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10,037,890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6,975,000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8.24%, maturity January 17, 2024)</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Ares XXVI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2,258,827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1,510,543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15.16%, maturity April 15, 2025)</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Ares XXIX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12,750,000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9,722,887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5,284,986</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13.03%, maturity April 17,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Atrium XII CLO</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(5)(7)(9)</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42,762,500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38,798,720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40,624,375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15.27%, maturity October 22,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Battalion CLO VII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24,000,000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19,926,415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12,960,000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14.52%, maturity October 17,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Benefit Street Partners CLO V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preference shares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12,318,648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15.38%, maturity October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B&amp;M CLO 2014-1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1,258,606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840,000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20.54%, maturity April 16,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w w:val="96"/>
              </w:rPr>
              <w:t>Carlyle Global Market Strategies CLO</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2"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10,125,000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6,633,286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5,932,128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spacing w:after="0"/>
              <w:rPr>
                <w:sz w:val="20"/>
                <w:szCs w:val="20"/>
                <w:color w:val="auto"/>
              </w:rPr>
            </w:pPr>
            <w:r>
              <w:rPr>
                <w:rFonts w:ascii="Arial" w:cs="Arial" w:eastAsia="Arial" w:hAnsi="Arial"/>
                <w:sz w:val="14"/>
                <w:szCs w:val="14"/>
                <w:color w:val="auto"/>
              </w:rPr>
              <w:t>2013-2, Ltd.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22.02%, maturity April 18, 2025)</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w w:val="96"/>
              </w:rPr>
              <w:t>Carlyle Global Market Strategies CLO</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2"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3,719,509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spacing w:after="0"/>
              <w:rPr>
                <w:sz w:val="20"/>
                <w:szCs w:val="20"/>
                <w:color w:val="auto"/>
              </w:rPr>
            </w:pPr>
            <w:r>
              <w:rPr>
                <w:rFonts w:ascii="Arial" w:cs="Arial" w:eastAsia="Arial" w:hAnsi="Arial"/>
                <w:sz w:val="14"/>
                <w:szCs w:val="14"/>
                <w:color w:val="auto"/>
              </w:rPr>
              <w:t>2015-1, Ltd.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17.99%, maturity April 20, 2027)</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Cedar Funding III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21,000,000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15,926,907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11,550,000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10.53%, maturity May 20,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Catamaran CLO 2015-1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27,348,000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21,776,455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17,229,240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15.49%, maturity April 22, 2027)</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Hull Street CLO Ltd.</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12,257,336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17.26%, maturity October 18, 2026)</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Ivy Hill Middle Market Credit VII,</w:t>
            </w: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structured finance</w:t>
            </w:r>
          </w:p>
        </w:tc>
        <w:tc>
          <w:tcPr>
            <w:tcW w:w="3460" w:type="dxa"/>
            <w:vAlign w:val="bottom"/>
          </w:tcPr>
          <w:p>
            <w:pPr>
              <w:ind w:left="180"/>
              <w:spacing w:after="0" w:line="162"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3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5,814,217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5,090,846</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spacing w:after="0"/>
              <w:rPr>
                <w:sz w:val="20"/>
                <w:szCs w:val="20"/>
                <w:color w:val="auto"/>
              </w:rPr>
            </w:pPr>
            <w:r>
              <w:rPr>
                <w:rFonts w:ascii="Arial" w:cs="Arial" w:eastAsia="Arial" w:hAnsi="Arial"/>
                <w:sz w:val="14"/>
                <w:szCs w:val="14"/>
                <w:color w:val="auto"/>
              </w:rPr>
              <w:t>Ltd.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tcPr>
          <w:p>
            <w:pPr>
              <w:ind w:left="180"/>
              <w:spacing w:after="0"/>
              <w:rPr>
                <w:sz w:val="20"/>
                <w:szCs w:val="20"/>
                <w:color w:val="auto"/>
              </w:rPr>
            </w:pPr>
            <w:r>
              <w:rPr>
                <w:rFonts w:ascii="Arial" w:cs="Arial" w:eastAsia="Arial" w:hAnsi="Arial"/>
                <w:sz w:val="14"/>
                <w:szCs w:val="14"/>
                <w:color w:val="auto"/>
              </w:rPr>
              <w:t>(Estimated yield 16.00%, maturity October 20, 2025)</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4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440" w:type="dxa"/>
            <w:vAlign w:val="bottom"/>
          </w:tcPr>
          <w:p>
            <w:pPr>
              <w:spacing w:after="0"/>
              <w:rPr>
                <w:sz w:val="14"/>
                <w:szCs w:val="14"/>
                <w:color w:val="auto"/>
              </w:rPr>
            </w:pPr>
          </w:p>
        </w:tc>
        <w:tc>
          <w:tcPr>
            <w:tcW w:w="30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304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Longfellow Place CLO IX,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  2,562,000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7"/>
              </w:rPr>
              <w:t>$  1,340,593</w:t>
            </w:r>
          </w:p>
        </w:tc>
        <w:tc>
          <w:tcPr>
            <w:tcW w:w="2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851,186</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w w:val="99"/>
              </w:rPr>
              <w:t>(Estimated yield 26.61%, maturity January 15, 2024)</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Mountain Hawk 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8,604,118</w:t>
            </w: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4,079,000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7.40%, maturity July 20, 2024)</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Mountain Hawk III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income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11,652,062</w:t>
            </w: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4,530,618</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40" w:type="dxa"/>
            <w:vAlign w:val="bottom"/>
            <w:vMerge w:val="restart"/>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(Estimated yield 11.53%, maturity April 18, 2025)</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2,389,676</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504,255</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3480" w:type="dxa"/>
            <w:vAlign w:val="bottom"/>
            <w:gridSpan w:val="2"/>
          </w:tcPr>
          <w:p>
            <w:pPr>
              <w:ind w:left="220"/>
              <w:spacing w:after="0" w:line="179" w:lineRule="exact"/>
              <w:rPr>
                <w:sz w:val="20"/>
                <w:szCs w:val="20"/>
                <w:color w:val="auto"/>
              </w:rPr>
            </w:pPr>
            <w:r>
              <w:rPr>
                <w:rFonts w:ascii="Arial" w:cs="Arial" w:eastAsia="Arial" w:hAnsi="Arial"/>
                <w:sz w:val="13"/>
                <w:szCs w:val="13"/>
                <w:color w:val="auto"/>
              </w:rPr>
              <w:t>CLO M notes</w:t>
            </w:r>
            <w:r>
              <w:rPr>
                <w:rFonts w:ascii="Arial" w:cs="Arial" w:eastAsia="Arial" w:hAnsi="Arial"/>
                <w:sz w:val="20"/>
                <w:szCs w:val="20"/>
                <w:color w:val="auto"/>
                <w:vertAlign w:val="superscript"/>
              </w:rPr>
              <w:t>(8)</w:t>
            </w:r>
          </w:p>
        </w:tc>
        <w:tc>
          <w:tcPr>
            <w:tcW w:w="1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(Maturity April 18, 2025)</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Neuberger Berman CLO XIII,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6,255,000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2,951,642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1,876,500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6.07%, maturity January 23, 2024)</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OFSI Fund VII,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28,840,000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21,990,221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14,632,151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w w:val="99"/>
              </w:rPr>
              <w:t>(Estimated yield 15.04%, maturity October 18, 2026)</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OZLM XIV,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(5)(7)(9)</w:t>
            </w:r>
          </w:p>
        </w:tc>
        <w:tc>
          <w:tcPr>
            <w:tcW w:w="1000" w:type="dxa"/>
            <w:vAlign w:val="bottom"/>
          </w:tcPr>
          <w:p>
            <w:pPr>
              <w:jc w:val="right"/>
              <w:spacing w:after="0"/>
              <w:rPr>
                <w:sz w:val="20"/>
                <w:szCs w:val="20"/>
                <w:color w:val="auto"/>
              </w:rPr>
            </w:pPr>
            <w:r>
              <w:rPr>
                <w:rFonts w:ascii="Arial" w:cs="Arial" w:eastAsia="Arial" w:hAnsi="Arial"/>
                <w:sz w:val="14"/>
                <w:szCs w:val="14"/>
                <w:color w:val="auto"/>
              </w:rPr>
              <w:t>13,500,000</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11,451,897</w:t>
            </w: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11,340,000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w w:val="99"/>
              </w:rPr>
              <w:t>(Estimated yield 15.01%, maturity January 15, 2029)</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OZLM VII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15,321,404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11,129,174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15.85%, maturity July 17, 2026)</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Parallel 2015-1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7,750,000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6,334,863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4,882,500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18.07%, maturity July 20, 2027)</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Seneca Park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32,000,000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25,638,507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17,605,066</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15.65%, maturity July 17, 2026)</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Shackleton 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income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7,978,555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4,800,000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w w:val="99"/>
              </w:rPr>
              <w:t>(Estimated yield 11.85%, maturity October 20, 2023)</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Sound Point CLO VIII,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3,648,964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3,151,478</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40" w:type="dxa"/>
            <w:vAlign w:val="bottom"/>
            <w:vMerge w:val="restart"/>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(Estimated yield 23.96%, maturity April 15, 2027)</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224,719</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202,247</w:t>
            </w:r>
          </w:p>
        </w:tc>
        <w:tc>
          <w:tcPr>
            <w:tcW w:w="20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201,422</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3480" w:type="dxa"/>
            <w:vAlign w:val="bottom"/>
            <w:gridSpan w:val="2"/>
          </w:tcPr>
          <w:p>
            <w:pPr>
              <w:ind w:left="220"/>
              <w:spacing w:after="0" w:line="179" w:lineRule="exact"/>
              <w:rPr>
                <w:sz w:val="20"/>
                <w:szCs w:val="20"/>
                <w:color w:val="auto"/>
              </w:rPr>
            </w:pPr>
            <w:r>
              <w:rPr>
                <w:rFonts w:ascii="Arial" w:cs="Arial" w:eastAsia="Arial" w:hAnsi="Arial"/>
                <w:sz w:val="13"/>
                <w:szCs w:val="13"/>
                <w:color w:val="auto"/>
              </w:rPr>
              <w:t>CLO subordinated F notes</w:t>
            </w:r>
            <w:r>
              <w:rPr>
                <w:rFonts w:ascii="Arial" w:cs="Arial" w:eastAsia="Arial" w:hAnsi="Arial"/>
                <w:sz w:val="20"/>
                <w:szCs w:val="20"/>
                <w:color w:val="auto"/>
                <w:vertAlign w:val="superscript"/>
              </w:rPr>
              <w:t>(8)</w:t>
            </w:r>
          </w:p>
        </w:tc>
        <w:tc>
          <w:tcPr>
            <w:tcW w:w="12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(Maturity April 15, 2027)</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Sound Point CLO IX,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(5)(7)(9)</w:t>
            </w:r>
          </w:p>
        </w:tc>
        <w:tc>
          <w:tcPr>
            <w:tcW w:w="100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8,912,931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7,500,000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16.02%, maturity July 20, 2027)</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Telos CLO 2013-3,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13,333,334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9,344,946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6,933,334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w w:val="99"/>
              </w:rPr>
              <w:t>(Estimated yield 16.16%, maturity January 17, 2024)</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Telos CLO 2013-4,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8,700,000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5,835,170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4,447,097</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23.42%, maturity July 17, 2024)</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TICP CLO IV,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19,750,000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16,471,270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12,442,500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17.85%, maturity July 20, 2027)</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Venture XVI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11,863,230</w:t>
            </w: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7,288,945</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19.56%, maturity April 15, 2026)</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Venture XVII CLO, Ltd.</w:t>
            </w:r>
          </w:p>
        </w:tc>
        <w:tc>
          <w:tcPr>
            <w:tcW w:w="1440" w:type="dxa"/>
            <w:vAlign w:val="bottom"/>
          </w:tcPr>
          <w:p>
            <w:pPr>
              <w:ind w:left="180"/>
              <w:spacing w:after="0"/>
              <w:rPr>
                <w:sz w:val="20"/>
                <w:szCs w:val="20"/>
                <w:color w:val="auto"/>
              </w:rPr>
            </w:pPr>
            <w:r>
              <w:rPr>
                <w:rFonts w:ascii="Arial" w:cs="Arial" w:eastAsia="Arial" w:hAnsi="Arial"/>
                <w:sz w:val="14"/>
                <w:szCs w:val="14"/>
                <w:color w:val="auto"/>
              </w:rPr>
              <w:t>structured finance</w:t>
            </w:r>
          </w:p>
        </w:tc>
        <w:tc>
          <w:tcPr>
            <w:tcW w:w="3480" w:type="dxa"/>
            <w:vAlign w:val="bottom"/>
            <w:gridSpan w:val="2"/>
          </w:tcPr>
          <w:p>
            <w:pPr>
              <w:ind w:left="22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tcPr>
          <w:p>
            <w:pPr>
              <w:jc w:val="right"/>
              <w:spacing w:after="0"/>
              <w:rPr>
                <w:sz w:val="20"/>
                <w:szCs w:val="20"/>
                <w:color w:val="auto"/>
              </w:rPr>
            </w:pPr>
            <w:r>
              <w:rPr>
                <w:rFonts w:ascii="Arial" w:cs="Arial" w:eastAsia="Arial" w:hAnsi="Arial"/>
                <w:sz w:val="14"/>
                <w:szCs w:val="14"/>
                <w:color w:val="auto"/>
              </w:rPr>
              <w:t>13,000,000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9,727,082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6,537,397</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80" w:type="dxa"/>
            <w:vAlign w:val="bottom"/>
            <w:gridSpan w:val="2"/>
          </w:tcPr>
          <w:p>
            <w:pPr>
              <w:ind w:left="220"/>
              <w:spacing w:after="0"/>
              <w:rPr>
                <w:sz w:val="20"/>
                <w:szCs w:val="20"/>
                <w:color w:val="auto"/>
              </w:rPr>
            </w:pPr>
            <w:r>
              <w:rPr>
                <w:rFonts w:ascii="Arial" w:cs="Arial" w:eastAsia="Arial" w:hAnsi="Arial"/>
                <w:sz w:val="14"/>
                <w:szCs w:val="14"/>
                <w:color w:val="auto"/>
              </w:rPr>
              <w:t>(Estimated yield 20.99%, maturity July 15, 2026)</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4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380" w:type="dxa"/>
            <w:vAlign w:val="bottom"/>
          </w:tcPr>
          <w:p>
            <w:pPr>
              <w:spacing w:after="0"/>
              <w:rPr>
                <w:sz w:val="14"/>
                <w:szCs w:val="14"/>
                <w:color w:val="auto"/>
              </w:rPr>
            </w:pPr>
          </w:p>
        </w:tc>
        <w:tc>
          <w:tcPr>
            <w:tcW w:w="29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Borders>
              <w:top w:val="single" w:sz="8" w:color="auto"/>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298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Venture XVIII CLO, Ltd.</w:t>
            </w: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360" w:type="dxa"/>
            <w:vAlign w:val="bottom"/>
            <w:gridSpan w:val="2"/>
          </w:tcPr>
          <w:p>
            <w:pPr>
              <w:ind w:left="100"/>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7,000,000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5,565,123</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3,802,255</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20" w:type="dxa"/>
            <w:vAlign w:val="bottom"/>
            <w:vMerge w:val="restart"/>
          </w:tcPr>
          <w:p>
            <w:pPr>
              <w:ind w:left="80"/>
              <w:spacing w:after="0"/>
              <w:rPr>
                <w:sz w:val="20"/>
                <w:szCs w:val="20"/>
                <w:color w:val="auto"/>
              </w:rPr>
            </w:pPr>
            <w:r>
              <w:rPr>
                <w:rFonts w:ascii="Arial" w:cs="Arial" w:eastAsia="Arial" w:hAnsi="Arial"/>
                <w:sz w:val="14"/>
                <w:szCs w:val="14"/>
                <w:color w:val="auto"/>
              </w:rPr>
              <w:t>structured finance</w:t>
            </w:r>
          </w:p>
        </w:tc>
        <w:tc>
          <w:tcPr>
            <w:tcW w:w="336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99"/>
              </w:rPr>
              <w:t>(Estimated yield 18.13%, maturity October 15, 2026)</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357,055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301,432</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360" w:type="dxa"/>
            <w:vAlign w:val="bottom"/>
            <w:gridSpan w:val="2"/>
          </w:tcPr>
          <w:p>
            <w:pPr>
              <w:ind w:left="100"/>
              <w:spacing w:after="0" w:line="179" w:lineRule="exact"/>
              <w:rPr>
                <w:sz w:val="20"/>
                <w:szCs w:val="20"/>
                <w:color w:val="auto"/>
              </w:rPr>
            </w:pPr>
            <w:r>
              <w:rPr>
                <w:rFonts w:ascii="Arial" w:cs="Arial" w:eastAsia="Arial" w:hAnsi="Arial"/>
                <w:sz w:val="13"/>
                <w:szCs w:val="13"/>
                <w:color w:val="auto"/>
              </w:rPr>
              <w:t>CLO subordinated F notes</w:t>
            </w:r>
            <w:r>
              <w:rPr>
                <w:rFonts w:ascii="Arial" w:cs="Arial" w:eastAsia="Arial" w:hAnsi="Arial"/>
                <w:sz w:val="20"/>
                <w:szCs w:val="20"/>
                <w:color w:val="auto"/>
                <w:vertAlign w:val="superscript"/>
              </w:rPr>
              <w:t>(8)</w:t>
            </w: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60" w:type="dxa"/>
            <w:vAlign w:val="bottom"/>
            <w:gridSpan w:val="2"/>
          </w:tcPr>
          <w:p>
            <w:pPr>
              <w:ind w:left="100"/>
              <w:spacing w:after="0"/>
              <w:rPr>
                <w:sz w:val="20"/>
                <w:szCs w:val="20"/>
                <w:color w:val="auto"/>
              </w:rPr>
            </w:pPr>
            <w:r>
              <w:rPr>
                <w:rFonts w:ascii="Arial" w:cs="Arial" w:eastAsia="Arial" w:hAnsi="Arial"/>
                <w:sz w:val="14"/>
                <w:szCs w:val="14"/>
                <w:color w:val="auto"/>
              </w:rPr>
              <w:t>(Maturity October 15, 2026)</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Wind River 2014-3 CLO Ltd.</w:t>
            </w: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360" w:type="dxa"/>
            <w:vAlign w:val="bottom"/>
            <w:gridSpan w:val="2"/>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18,530,000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16,158,021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13,526,900</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60" w:type="dxa"/>
            <w:vAlign w:val="bottom"/>
            <w:gridSpan w:val="2"/>
          </w:tcPr>
          <w:p>
            <w:pPr>
              <w:ind w:left="100"/>
              <w:spacing w:after="0"/>
              <w:rPr>
                <w:sz w:val="20"/>
                <w:szCs w:val="20"/>
                <w:color w:val="auto"/>
              </w:rPr>
            </w:pPr>
            <w:r>
              <w:rPr>
                <w:rFonts w:ascii="Arial" w:cs="Arial" w:eastAsia="Arial" w:hAnsi="Arial"/>
                <w:sz w:val="14"/>
                <w:szCs w:val="14"/>
                <w:color w:val="auto"/>
                <w:w w:val="99"/>
              </w:rPr>
              <w:t>(Estimated yield 15.46%, maturity January 22, 2027)</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4"/>
                <w:szCs w:val="14"/>
                <w:color w:val="auto"/>
                <w:w w:val="94"/>
              </w:rPr>
              <w:t>Other CLO equity related investments</w:t>
            </w:r>
          </w:p>
        </w:tc>
        <w:tc>
          <w:tcPr>
            <w:tcW w:w="1420" w:type="dxa"/>
            <w:vAlign w:val="bottom"/>
          </w:tcPr>
          <w:p>
            <w:pPr>
              <w:ind w:left="80"/>
              <w:spacing w:after="0"/>
              <w:rPr>
                <w:sz w:val="20"/>
                <w:szCs w:val="20"/>
                <w:color w:val="auto"/>
              </w:rPr>
            </w:pPr>
            <w:r>
              <w:rPr>
                <w:rFonts w:ascii="Arial" w:cs="Arial" w:eastAsia="Arial" w:hAnsi="Arial"/>
                <w:sz w:val="14"/>
                <w:szCs w:val="14"/>
                <w:color w:val="auto"/>
              </w:rPr>
              <w:t>structured finance</w:t>
            </w:r>
          </w:p>
        </w:tc>
        <w:tc>
          <w:tcPr>
            <w:tcW w:w="3360" w:type="dxa"/>
            <w:vAlign w:val="bottom"/>
            <w:gridSpan w:val="2"/>
          </w:tcPr>
          <w:p>
            <w:pPr>
              <w:ind w:left="100"/>
              <w:spacing w:after="0" w:line="202" w:lineRule="exact"/>
              <w:rPr>
                <w:sz w:val="20"/>
                <w:szCs w:val="20"/>
                <w:color w:val="auto"/>
              </w:rPr>
            </w:pPr>
            <w:r>
              <w:rPr>
                <w:rFonts w:ascii="Arial" w:cs="Arial" w:eastAsia="Arial" w:hAnsi="Arial"/>
                <w:sz w:val="14"/>
                <w:szCs w:val="14"/>
                <w:color w:val="auto"/>
              </w:rPr>
              <w:t>CLO other</w:t>
            </w:r>
            <w:r>
              <w:rPr>
                <w:rFonts w:ascii="Arial" w:cs="Arial" w:eastAsia="Arial" w:hAnsi="Arial"/>
                <w:sz w:val="23"/>
                <w:szCs w:val="23"/>
                <w:color w:val="auto"/>
                <w:vertAlign w:val="superscript"/>
              </w:rPr>
              <w:t>(8)</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3,376,460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w w:val="95"/>
              </w:rPr>
              <w:t>Total Collateralized Loan Obligation - Equity Investments</w:t>
            </w:r>
          </w:p>
        </w:tc>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384,121,448</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287,638,417</w:t>
            </w:r>
          </w:p>
        </w:tc>
        <w:tc>
          <w:tcPr>
            <w:tcW w:w="200" w:type="dxa"/>
            <w:vAlign w:val="bottom"/>
          </w:tcPr>
          <w:p>
            <w:pPr>
              <w:spacing w:after="0"/>
              <w:rPr>
                <w:sz w:val="14"/>
                <w:szCs w:val="14"/>
                <w:color w:val="auto"/>
              </w:rPr>
            </w:pPr>
          </w:p>
        </w:tc>
        <w:tc>
          <w:tcPr>
            <w:tcW w:w="940" w:type="dxa"/>
            <w:vAlign w:val="bottom"/>
            <w:gridSpan w:val="2"/>
          </w:tcPr>
          <w:p>
            <w:pPr>
              <w:ind w:left="400"/>
              <w:spacing w:after="0"/>
              <w:rPr>
                <w:sz w:val="20"/>
                <w:szCs w:val="20"/>
                <w:color w:val="auto"/>
              </w:rPr>
            </w:pPr>
            <w:r>
              <w:rPr>
                <w:rFonts w:ascii="Arial" w:cs="Arial" w:eastAsia="Arial" w:hAnsi="Arial"/>
                <w:sz w:val="14"/>
                <w:szCs w:val="14"/>
                <w:color w:val="auto"/>
                <w:w w:val="94"/>
              </w:rPr>
              <w:t>195.13%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2"/>
              </w:rPr>
              <w:t>395,502,696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296,415,547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w w:val="94"/>
              </w:rPr>
              <w:t>201.08%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Borders>
              <w:top w:val="single" w:sz="8" w:color="CCEEFF"/>
            </w:tcBorders>
          </w:tcPr>
          <w:p>
            <w:pPr>
              <w:spacing w:after="0"/>
              <w:rPr>
                <w:sz w:val="11"/>
                <w:szCs w:val="11"/>
                <w:color w:val="auto"/>
              </w:rPr>
            </w:pPr>
          </w:p>
        </w:tc>
        <w:tc>
          <w:tcPr>
            <w:tcW w:w="142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98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60" w:type="dxa"/>
            <w:vAlign w:val="bottom"/>
            <w:gridSpan w:val="2"/>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LIABILITIES IN EXCESS OF OTHER ASSETS</w:t>
            </w:r>
          </w:p>
        </w:tc>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(149,009,533)</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Borders>
              <w:top w:val="single" w:sz="8" w:color="CCEEFF"/>
              <w:bottom w:val="single" w:sz="8" w:color="CCEEFF"/>
            </w:tcBorders>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ASSETS (equivalent to $8.13 per share based on 18,137,818 shares of common stock outstanding)</w:t>
            </w: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147,406,014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9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9" w:lineRule="exact"/>
        <w:rPr>
          <w:sz w:val="20"/>
          <w:szCs w:val="20"/>
          <w:color w:val="auto"/>
        </w:rPr>
      </w:pPr>
    </w:p>
    <w:p>
      <w:pPr>
        <w:jc w:val="both"/>
        <w:ind w:left="340" w:right="400" w:hanging="332"/>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Notes bear interest at variable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 and amortization of premium.</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effective yield less any cash distributions received or entitled to be received from CLO equity investments.</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determined by reference is as of December 31, 2015.</w:t>
      </w: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has not made inaugural distribution for relevant period end. See "Note 3. Investment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INVESTMENT VALUATION</w:t>
      </w:r>
    </w:p>
    <w:p>
      <w:pPr>
        <w:spacing w:after="0" w:line="229"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 xml:space="preserve">Oxford Lane Capital Corp. (“OXLC”, “we” or the “Fund”) fair values its investment portfolio in accordance with the provisions of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and Disclosure</w:t>
      </w:r>
      <w:r>
        <w:rPr>
          <w:rFonts w:ascii="Arial" w:cs="Arial" w:eastAsia="Arial" w:hAnsi="Arial"/>
          <w:sz w:val="17"/>
          <w:szCs w:val="17"/>
          <w:color w:val="auto"/>
        </w:rPr>
        <w:t>. An estimate made in the preparation of OXLC’s financial statements is the valuation of investments, as well as the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73"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almost all of OXLC’s investments are based upon “Level 3” inputs as of December 31, 2015.</w:t>
      </w:r>
    </w:p>
    <w:p>
      <w:pPr>
        <w:spacing w:after="0" w:line="197"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The Fund may also invest directly in senior secured loans (either in the primary or secondary markets). In valuing such investments, Oxford Lane Management, LLC (“OXLC Management”) will prepare an analysis of each loan, including a financial summary, covenant compliance review, recent trading activity in the security, if known, and other business developments related to the portfolio company. Any available information, including non-binding indicative bids obtained from a recognized industry pricing service and agent banks which may not be considered reliable, will be presented to the OXLC Board of Directors (the “Board” or “Board of Directors”) to consider in its determination of fair value. In some instances, there may be limited trading activity in a security even though the market for the security is considered not active. In such cases the Board will consider the number of trades, the size and timing of each trade and other circumstances around such trades, to the extent such information is available, in its determination of fair value. At December 31, 2015, the Fund did not have any direct investments in senior secured loans.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Collateralized Loan Obligations — Debt and Equity</w:t>
      </w:r>
    </w:p>
    <w:p>
      <w:pPr>
        <w:spacing w:after="0" w:line="229"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OXLC has acquired debt and equity positions in CLO investment vehicles and has purchased CLO warehouse facilities. These investments are special purpose financing vehicles. In valuing such investments, OXLC considers the operating metrics of the specific investment vehicle, including compliance with collateralization tests, defaulted and restructured securities, and payment defaults, if any. In addition,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OXLC Management or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December 31, 2015,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11"/>
          </w:tcPr>
          <w:p>
            <w:pPr>
              <w:ind w:left="32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8"/>
              </w:rPr>
              <w:t>Active Markets for</w:t>
            </w: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Other Observable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Identical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6"/>
              </w:rPr>
              <w:t>($ 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CLO debt</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CLO equity</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Fund’s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the level of each financial liability within the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 in millions)</w:t>
            </w:r>
          </w:p>
        </w:tc>
        <w:tc>
          <w:tcPr>
            <w:tcW w:w="2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2023 Term Preferred Shares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Series 2024 Term Preferred Shares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December 31, 2015.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principal balances within each respective valuation techniques and methodologies and asset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Fair Value as of</w:t>
            </w:r>
          </w:p>
        </w:tc>
        <w:tc>
          <w:tcPr>
            <w:tcW w:w="18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Valuation Techniques /</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Range / 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640"/>
              <w:spacing w:after="0"/>
              <w:rPr>
                <w:sz w:val="20"/>
                <w:szCs w:val="20"/>
                <w:color w:val="auto"/>
              </w:rPr>
            </w:pPr>
            <w:r>
              <w:rPr>
                <w:rFonts w:ascii="Arial" w:cs="Arial" w:eastAsia="Arial" w:hAnsi="Arial"/>
                <w:sz w:val="18"/>
                <w:szCs w:val="18"/>
                <w:b w:val="1"/>
                <w:bCs w:val="1"/>
                <w:color w:val="auto"/>
              </w:rPr>
              <w:t>Assets</w:t>
            </w:r>
          </w:p>
        </w:tc>
        <w:tc>
          <w:tcPr>
            <w:tcW w:w="2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2015</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Methodologies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Unobservable Input</w:t>
            </w:r>
          </w:p>
        </w:tc>
        <w:tc>
          <w:tcPr>
            <w:tcW w:w="1820" w:type="dxa"/>
            <w:vAlign w:val="bottom"/>
          </w:tcPr>
          <w:p>
            <w:pPr>
              <w:ind w:left="6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Market quotes</w:t>
            </w:r>
          </w:p>
        </w:tc>
        <w:tc>
          <w:tcPr>
            <w:tcW w:w="170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94"/>
              </w:rPr>
              <w:t>NBIB</w:t>
            </w:r>
            <w:r>
              <w:rPr>
                <w:rFonts w:ascii="Arial" w:cs="Arial" w:eastAsia="Arial" w:hAnsi="Arial"/>
                <w:sz w:val="29"/>
                <w:szCs w:val="29"/>
                <w:color w:val="auto"/>
                <w:w w:val="94"/>
                <w:vertAlign w:val="superscript"/>
              </w:rPr>
              <w:t>(1)</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68.3%-71.5% / 69.4%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Liquidation Analysis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Pr>
          <w:p>
            <w:pPr>
              <w:spacing w:after="0" w:line="256"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gridSpan w:val="3"/>
          </w:tcPr>
          <w:p>
            <w:pPr>
              <w:spacing w:after="0"/>
              <w:rPr>
                <w:sz w:val="20"/>
                <w:szCs w:val="20"/>
                <w:color w:val="auto"/>
              </w:rPr>
            </w:pPr>
            <w:r>
              <w:rPr>
                <w:rFonts w:ascii="Arial" w:cs="Arial" w:eastAsia="Arial" w:hAnsi="Arial"/>
                <w:sz w:val="18"/>
                <w:szCs w:val="18"/>
                <w:color w:val="auto"/>
              </w:rPr>
              <w:t>CLO equity</w:t>
            </w:r>
          </w:p>
        </w:tc>
        <w:tc>
          <w:tcPr>
            <w:tcW w:w="6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267.8</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Market quotes</w:t>
            </w:r>
          </w:p>
        </w:tc>
        <w:tc>
          <w:tcPr>
            <w:tcW w:w="170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94"/>
              </w:rPr>
              <w:t>NBIB</w:t>
            </w:r>
            <w:r>
              <w:rPr>
                <w:rFonts w:ascii="Arial" w:cs="Arial" w:eastAsia="Arial" w:hAnsi="Arial"/>
                <w:sz w:val="29"/>
                <w:szCs w:val="29"/>
                <w:color w:val="auto"/>
                <w:w w:val="94"/>
                <w:vertAlign w:val="superscript"/>
              </w:rPr>
              <w:t>(1)</w:t>
            </w:r>
          </w:p>
        </w:tc>
        <w:tc>
          <w:tcPr>
            <w:tcW w:w="1820" w:type="dxa"/>
            <w:vAlign w:val="bottom"/>
          </w:tcPr>
          <w:p>
            <w:pPr>
              <w:spacing w:after="0"/>
              <w:rPr>
                <w:sz w:val="20"/>
                <w:szCs w:val="20"/>
                <w:color w:val="auto"/>
              </w:rPr>
            </w:pPr>
            <w:r>
              <w:rPr>
                <w:rFonts w:ascii="Arial" w:cs="Arial" w:eastAsia="Arial" w:hAnsi="Arial"/>
                <w:sz w:val="18"/>
                <w:szCs w:val="18"/>
                <w:color w:val="auto"/>
              </w:rPr>
              <w:t>30.0%-95.0% / 57.3%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Recent transactions</w:t>
            </w:r>
          </w:p>
        </w:tc>
        <w:tc>
          <w:tcPr>
            <w:tcW w:w="170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Actual trade</w:t>
            </w:r>
            <w:r>
              <w:rPr>
                <w:rFonts w:ascii="Arial" w:cs="Arial" w:eastAsia="Arial" w:hAnsi="Arial"/>
                <w:sz w:val="29"/>
                <w:szCs w:val="29"/>
                <w:color w:val="auto"/>
                <w:w w:val="88"/>
                <w:vertAlign w:val="superscript"/>
              </w:rPr>
              <w:t>(2)</w:t>
            </w:r>
          </w:p>
        </w:tc>
        <w:tc>
          <w:tcPr>
            <w:tcW w:w="1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Discounted cash flow</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Discount rate</w:t>
            </w:r>
          </w:p>
        </w:tc>
        <w:tc>
          <w:tcPr>
            <w:tcW w:w="1820" w:type="dxa"/>
            <w:vAlign w:val="bottom"/>
          </w:tcPr>
          <w:p>
            <w:pPr>
              <w:spacing w:after="0" w:line="256" w:lineRule="exact"/>
              <w:rPr>
                <w:sz w:val="20"/>
                <w:szCs w:val="20"/>
                <w:color w:val="auto"/>
              </w:rPr>
            </w:pPr>
            <w:r>
              <w:rPr>
                <w:rFonts w:ascii="Arial" w:cs="Arial" w:eastAsia="Arial" w:hAnsi="Arial"/>
                <w:sz w:val="29"/>
                <w:szCs w:val="29"/>
                <w:color w:val="auto"/>
                <w:vertAlign w:val="subscript"/>
              </w:rPr>
              <w:t>N/A</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CLO equity - side letters</w:t>
            </w:r>
          </w:p>
        </w:tc>
        <w:tc>
          <w:tcPr>
            <w:tcW w:w="6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Discounted cash flow</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Discount rate</w:t>
            </w:r>
          </w:p>
        </w:tc>
        <w:tc>
          <w:tcPr>
            <w:tcW w:w="1820" w:type="dxa"/>
            <w:vAlign w:val="bottom"/>
          </w:tcPr>
          <w:p>
            <w:pPr>
              <w:spacing w:after="0"/>
              <w:rPr>
                <w:sz w:val="20"/>
                <w:szCs w:val="20"/>
                <w:color w:val="auto"/>
              </w:rPr>
            </w:pPr>
            <w:r>
              <w:rPr>
                <w:rFonts w:ascii="Arial" w:cs="Arial" w:eastAsia="Arial" w:hAnsi="Arial"/>
                <w:sz w:val="18"/>
                <w:szCs w:val="18"/>
                <w:color w:val="auto"/>
              </w:rPr>
              <w:t>10.6%-16.2% / 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Fair Value for Level 3 Investments</w:t>
            </w: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 (continued)</w:t>
      </w:r>
    </w:p>
    <w:p>
      <w:pPr>
        <w:spacing w:after="0" w:line="229" w:lineRule="exact"/>
        <w:rPr>
          <w:sz w:val="20"/>
          <w:szCs w:val="20"/>
          <w:color w:val="auto"/>
        </w:rPr>
      </w:pPr>
    </w:p>
    <w:p>
      <w:pPr>
        <w:ind w:left="980" w:right="20" w:hanging="324"/>
        <w:spacing w:after="0" w:line="297"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Fund generally uses prices provided by an independent pricing service or broker or agent bank non-binding indicative bid prices (“NBIB”) on or near the valuation date as the primary basis for the fair value determinations for CLO debt and equity investments, which may be adjusted for pending equity distributions as of valuation date. These bid prices are non-binding, and may not be determinative of fair value. Each bid price is evaluated by the OXLC Valuation Committee (the “Valuation Committee”) in conjunction with additional information compiled by OXLC Management, including performance and covenant compliance information as provided by the independent trustee.</w:t>
      </w:r>
    </w:p>
    <w:p>
      <w:pPr>
        <w:spacing w:after="0" w:line="158"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Prices provided by independent pricing service are evaluated in conjunction with actual trades, and in certain cases, the value represented by actual trades may be more representative of fair value as determined by the Valuation Committee.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a single investment fair value position, and therefore the range/weighted average is not applicable.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Significant increases or decreases in any of the unobservable inputs in isolation may result in a significantly lower or higher fair value measurement.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Equity Investments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Interest income from investments in the equity class securities of CLO vehicles (typically income notes or subordinated notes) is recorded using the effective interest method in accordance with the provisions of ASC 325-40, </w:t>
      </w:r>
      <w:r>
        <w:rPr>
          <w:rFonts w:ascii="Arial" w:cs="Arial" w:eastAsia="Arial" w:hAnsi="Arial"/>
          <w:sz w:val="18"/>
          <w:szCs w:val="18"/>
          <w:i w:val="1"/>
          <w:iCs w:val="1"/>
          <w:color w:val="auto"/>
        </w:rPr>
        <w:t>Beneficial Interests in Securitized Financial Assets</w:t>
      </w:r>
      <w:r>
        <w:rPr>
          <w:rFonts w:ascii="Arial" w:cs="Arial" w:eastAsia="Arial" w:hAnsi="Arial"/>
          <w:sz w:val="18"/>
          <w:szCs w:val="18"/>
          <w:color w:val="auto"/>
        </w:rPr>
        <w:t>, based upon an estimation of an effective yield to maturity utilizing assumed cash flows, including those CLO equity investments that have not made their inaugural distribution for the relevant period end. The Fund monitors the expected residual payments, and effective yield is determined and updated quarterly,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93"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The Fund also records income on its investments in CLO warehouse facilities based on a stated rate as per the underlying note purchase agreement or an estimated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Generally, when interest and/or principal payments on a loan become past due, or if the Fund otherwise does not expect the borrower to be able to service its debt and other obligations, the Fund will place the loan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December 31, 2015, the Fund had no non-accrual assets held in its portfolio.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Other income includes distributions from fee letters and success fees associated with portfolio investments. Distributions from CLO equity fee letter investments are an enhancement to the return on a CLO equity investment and are based upon a percentage of the collateral manager’s fees, and are recorded as other income when earned. The Fund may also earn success fees associated with its investments in CLO warehouse facilities, which are contingent upon a take-out of the warehouse by a permanent CLO structure; such fees are earned and recognized when the take-out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U.S. FEDERAL INCOME TAXES</w:t>
      </w:r>
    </w:p>
    <w:p>
      <w:pPr>
        <w:spacing w:after="0" w:line="229"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The Fund intends to operate so as to qualify to be taxed as a RIC under Subchapter M of the U.S. Tax Code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81"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Because U.S. federal income tax regulations differ from accounting principles generally accepted in the United States,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w:t>
      </w:r>
    </w:p>
    <w:p>
      <w:pPr>
        <w:spacing w:after="0" w:line="171" w:lineRule="exact"/>
        <w:rPr>
          <w:sz w:val="20"/>
          <w:szCs w:val="20"/>
          <w:color w:val="auto"/>
        </w:rPr>
      </w:pPr>
    </w:p>
    <w:p>
      <w:pPr>
        <w:ind w:right="400" w:firstLine="270"/>
        <w:spacing w:after="0" w:line="264" w:lineRule="auto"/>
        <w:rPr>
          <w:sz w:val="20"/>
          <w:szCs w:val="20"/>
          <w:color w:val="auto"/>
        </w:rPr>
      </w:pPr>
      <w:r>
        <w:rPr>
          <w:rFonts w:ascii="Arial" w:cs="Arial" w:eastAsia="Arial" w:hAnsi="Arial"/>
          <w:sz w:val="18"/>
          <w:szCs w:val="18"/>
          <w:color w:val="auto"/>
        </w:rPr>
        <w:t>Differences in classification may also result from the treatment of short-term gains as ordinary income for tax purposes. Our dividend policy is based upon our estimate of our taxable net investment income, which includes actual distributions from our CLO equity class investments, with further consideration given to our realized gains or losses on a taxable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w w:val="97"/>
              </w:rPr>
              <w:t>As of December 31, 2015, the cost and net unrealized depreciation of securities on a tax basis were as follows: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Cost for federal income tax purposes</w:t>
            </w:r>
          </w:p>
        </w:tc>
        <w:tc>
          <w:tcPr>
            <w:tcW w:w="9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436,446,403</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Gross unrealized appreciation</w:t>
            </w:r>
          </w:p>
        </w:tc>
        <w:tc>
          <w:tcPr>
            <w:tcW w:w="6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continue"/>
          </w:tcPr>
          <w:p>
            <w:pPr>
              <w:spacing w:after="0"/>
              <w:rPr>
                <w:sz w:val="17"/>
                <w:szCs w:val="17"/>
                <w:color w:val="auto"/>
              </w:rPr>
            </w:pPr>
          </w:p>
        </w:tc>
        <w:tc>
          <w:tcPr>
            <w:tcW w:w="80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7,325,191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(147,356,047)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(140,030,856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Controls and Procedures.</w:t>
      </w:r>
    </w:p>
    <w:p>
      <w:pPr>
        <w:spacing w:after="0" w:line="229" w:lineRule="exact"/>
        <w:rPr>
          <w:sz w:val="20"/>
          <w:szCs w:val="20"/>
          <w:color w:val="auto"/>
        </w:rPr>
      </w:pPr>
    </w:p>
    <w:p>
      <w:pPr>
        <w:ind w:firstLine="278"/>
        <w:spacing w:after="0" w:line="293" w:lineRule="auto"/>
        <w:tabs>
          <w:tab w:leader="none" w:pos="65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the “Disclosure Controls”) as of a date within 90 days prior to the filing date (the “Filing Date”) of this Form N-Q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140" w:firstLine="278"/>
        <w:spacing w:after="0" w:line="264"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that occurred during the Registrant’s last fiscal quarter that have materially affected or are reasonably likely to materially affect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Certifications of principal executive officer and principal financial officer as required by Rule 30a-2(a)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By:</w:t>
        <w:tab/>
        <w:t>/s/ Jonathan H. Cohen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3044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February 4, 2016</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460"/>
              <w:spacing w:after="0"/>
              <w:rPr>
                <w:sz w:val="20"/>
                <w:szCs w:val="20"/>
                <w:color w:val="auto"/>
              </w:rPr>
            </w:pPr>
            <w:r>
              <w:rPr>
                <w:rFonts w:ascii="Arial" w:cs="Arial" w:eastAsia="Arial" w:hAnsi="Arial"/>
                <w:sz w:val="18"/>
                <w:szCs w:val="18"/>
                <w:color w:val="auto"/>
              </w:rPr>
              <w:t>By:  /s/ Jonathan H. Cohen</w:t>
            </w:r>
          </w:p>
        </w:tc>
        <w:tc>
          <w:tcPr>
            <w:tcW w:w="6260" w:type="dxa"/>
            <w:vAlign w:val="bottom"/>
            <w:gridSpan w:val="2"/>
          </w:tcPr>
          <w:p>
            <w:pPr>
              <w:ind w:left="1140"/>
              <w:spacing w:after="0"/>
              <w:rPr>
                <w:sz w:val="20"/>
                <w:szCs w:val="20"/>
                <w:color w:val="auto"/>
              </w:rPr>
            </w:pPr>
            <w:r>
              <w:rPr>
                <w:rFonts w:ascii="Arial" w:cs="Arial" w:eastAsia="Arial" w:hAnsi="Arial"/>
                <w:sz w:val="18"/>
                <w:szCs w:val="18"/>
                <w:color w:val="auto"/>
              </w:rPr>
              <w:t>By:  /s/ Bruce L. Rubin</w:t>
            </w:r>
          </w:p>
        </w:tc>
      </w:tr>
      <w:tr>
        <w:trPr>
          <w:trHeight w:val="195"/>
        </w:trPr>
        <w:tc>
          <w:tcPr>
            <w:tcW w:w="9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H. Cohen</w:t>
            </w:r>
          </w:p>
        </w:tc>
        <w:tc>
          <w:tcPr>
            <w:tcW w:w="158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Bruce L. Rubin</w:t>
            </w:r>
          </w:p>
        </w:tc>
      </w:tr>
      <w:tr>
        <w:trPr>
          <w:trHeight w:val="216"/>
        </w:trPr>
        <w:tc>
          <w:tcPr>
            <w:tcW w:w="9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5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920" w:type="dxa"/>
            <w:vAlign w:val="bottom"/>
          </w:tcPr>
          <w:p>
            <w:pPr>
              <w:spacing w:after="0"/>
              <w:rPr>
                <w:sz w:val="20"/>
                <w:szCs w:val="20"/>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(Principal Executive Officer)</w:t>
            </w:r>
          </w:p>
        </w:tc>
        <w:tc>
          <w:tcPr>
            <w:tcW w:w="158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9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Date: February 4, 2016</w:t>
            </w:r>
          </w:p>
        </w:tc>
        <w:tc>
          <w:tcPr>
            <w:tcW w:w="15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Date: February 4, 2016</w:t>
            </w:r>
          </w:p>
        </w:tc>
      </w:tr>
      <w:tr>
        <w:trPr>
          <w:trHeight w:val="675"/>
        </w:trPr>
        <w:tc>
          <w:tcPr>
            <w:tcW w:w="9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6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4th day of February,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6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4th day of February,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2015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7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2015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2020-01-19T13:11:48Z</dcterms:created>
  <dcterms:modified xsi:type="dcterms:W3CDTF">2020-01-19T13:11:48Z</dcterms:modified>
</cp:coreProperties>
</file>