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N-Q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QUARTERLY SCHEDULE OF PORTFOLIO HOLDINGS OF REGISTERED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MANAGEMENT INVESTMENT COMPANY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Investment Company Act file number </w:t>
      </w:r>
      <w:r>
        <w:rPr>
          <w:rFonts w:ascii="Arial" w:cs="Arial" w:eastAsia="Arial" w:hAnsi="Arial"/>
          <w:sz w:val="18"/>
          <w:szCs w:val="18"/>
          <w:u w:val="single" w:color="auto"/>
          <w:color w:val="auto"/>
        </w:rPr>
        <w:t>811-22432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jc w:val="center"/>
              <w:ind w:left="1210"/>
              <w:spacing w:after="0"/>
              <w:rPr>
                <w:sz w:val="20"/>
                <w:szCs w:val="20"/>
                <w:color w:val="auto"/>
              </w:rPr>
            </w:pPr>
            <w:r>
              <w:rPr>
                <w:rFonts w:ascii="Arial" w:cs="Arial" w:eastAsia="Arial" w:hAnsi="Arial"/>
                <w:sz w:val="18"/>
                <w:szCs w:val="18"/>
                <w:color w:val="auto"/>
                <w:w w:val="90"/>
              </w:rPr>
              <w:t>8 Sound Shore Drive, Suite 255</w:t>
            </w:r>
          </w:p>
        </w:tc>
        <w:tc>
          <w:tcPr>
            <w:tcW w:w="7000" w:type="dxa"/>
            <w:vAlign w:val="bottom"/>
          </w:tcPr>
          <w:p>
            <w:pPr>
              <w:spacing w:after="0"/>
              <w:rPr>
                <w:sz w:val="18"/>
                <w:szCs w:val="18"/>
                <w:color w:val="auto"/>
              </w:rPr>
            </w:pPr>
          </w:p>
        </w:tc>
      </w:tr>
      <w:tr>
        <w:trPr>
          <w:trHeight w:val="230"/>
        </w:trPr>
        <w:tc>
          <w:tcPr>
            <w:tcW w:w="442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color w:val="auto"/>
                <w:w w:val="93"/>
              </w:rPr>
              <w:t>Greenwich, CT</w:t>
            </w:r>
          </w:p>
        </w:tc>
        <w:tc>
          <w:tcPr>
            <w:tcW w:w="700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color w:val="auto"/>
              </w:rPr>
              <w:t>06830</w:t>
            </w:r>
          </w:p>
        </w:tc>
      </w:tr>
      <w:tr>
        <w:trPr>
          <w:trHeight w:val="224"/>
        </w:trPr>
        <w:tc>
          <w:tcPr>
            <w:tcW w:w="4420" w:type="dxa"/>
            <w:vAlign w:val="bottom"/>
          </w:tcPr>
          <w:p>
            <w:pPr>
              <w:jc w:val="center"/>
              <w:ind w:left="1230"/>
              <w:spacing w:after="0"/>
              <w:rPr>
                <w:sz w:val="20"/>
                <w:szCs w:val="20"/>
                <w:color w:val="auto"/>
              </w:rPr>
            </w:pPr>
            <w:r>
              <w:rPr>
                <w:rFonts w:ascii="Arial" w:cs="Arial" w:eastAsia="Arial" w:hAnsi="Arial"/>
                <w:sz w:val="18"/>
                <w:szCs w:val="18"/>
                <w:color w:val="auto"/>
                <w:w w:val="92"/>
              </w:rPr>
              <w:t>(Address of principal executive offices)</w:t>
            </w:r>
          </w:p>
        </w:tc>
        <w:tc>
          <w:tcPr>
            <w:tcW w:w="7000" w:type="dxa"/>
            <w:vAlign w:val="bottom"/>
          </w:tcPr>
          <w:p>
            <w:pPr>
              <w:jc w:val="center"/>
              <w:ind w:left="1210"/>
              <w:spacing w:after="0"/>
              <w:rPr>
                <w:sz w:val="20"/>
                <w:szCs w:val="20"/>
                <w:color w:val="auto"/>
              </w:rPr>
            </w:pPr>
            <w:r>
              <w:rPr>
                <w:rFonts w:ascii="Arial" w:cs="Arial" w:eastAsia="Arial" w:hAnsi="Arial"/>
                <w:sz w:val="18"/>
                <w:szCs w:val="18"/>
                <w:color w:val="auto"/>
                <w:w w:val="91"/>
              </w:rPr>
              <w:t>(Zip code)</w:t>
            </w:r>
          </w:p>
        </w:tc>
      </w:tr>
      <w:tr>
        <w:trPr>
          <w:trHeight w:val="404"/>
        </w:trPr>
        <w:tc>
          <w:tcPr>
            <w:tcW w:w="4420" w:type="dxa"/>
            <w:vAlign w:val="bottom"/>
          </w:tcPr>
          <w:p>
            <w:pPr>
              <w:spacing w:after="0"/>
              <w:rPr>
                <w:sz w:val="24"/>
                <w:szCs w:val="24"/>
                <w:color w:val="auto"/>
              </w:rPr>
            </w:pPr>
          </w:p>
        </w:tc>
        <w:tc>
          <w:tcPr>
            <w:tcW w:w="7000" w:type="dxa"/>
            <w:vAlign w:val="bottom"/>
          </w:tcPr>
          <w:p>
            <w:pPr>
              <w:jc w:val="center"/>
              <w:ind w:right="4330"/>
              <w:spacing w:after="0"/>
              <w:rPr>
                <w:sz w:val="20"/>
                <w:szCs w:val="20"/>
                <w:color w:val="auto"/>
              </w:rPr>
            </w:pPr>
            <w:r>
              <w:rPr>
                <w:rFonts w:ascii="Arial" w:cs="Arial" w:eastAsia="Arial" w:hAnsi="Arial"/>
                <w:sz w:val="18"/>
                <w:szCs w:val="18"/>
                <w:color w:val="auto"/>
                <w:w w:val="88"/>
              </w:rPr>
              <w:t>Jonathan H. Cohen</w:t>
            </w:r>
          </w:p>
        </w:tc>
      </w:tr>
      <w:tr>
        <w:trPr>
          <w:trHeight w:val="216"/>
        </w:trPr>
        <w:tc>
          <w:tcPr>
            <w:tcW w:w="4420" w:type="dxa"/>
            <w:vAlign w:val="bottom"/>
          </w:tcPr>
          <w:p>
            <w:pPr>
              <w:spacing w:after="0"/>
              <w:rPr>
                <w:sz w:val="18"/>
                <w:szCs w:val="18"/>
                <w:color w:val="auto"/>
              </w:rPr>
            </w:pPr>
          </w:p>
        </w:tc>
        <w:tc>
          <w:tcPr>
            <w:tcW w:w="7000" w:type="dxa"/>
            <w:vAlign w:val="bottom"/>
          </w:tcPr>
          <w:p>
            <w:pPr>
              <w:jc w:val="center"/>
              <w:ind w:right="4310"/>
              <w:spacing w:after="0"/>
              <w:rPr>
                <w:sz w:val="20"/>
                <w:szCs w:val="20"/>
                <w:color w:val="auto"/>
              </w:rPr>
            </w:pPr>
            <w:r>
              <w:rPr>
                <w:rFonts w:ascii="Arial" w:cs="Arial" w:eastAsia="Arial" w:hAnsi="Arial"/>
                <w:sz w:val="18"/>
                <w:szCs w:val="18"/>
                <w:color w:val="auto"/>
                <w:w w:val="93"/>
              </w:rPr>
              <w:t>Chief Executive Officer</w:t>
            </w:r>
          </w:p>
        </w:tc>
      </w:tr>
      <w:tr>
        <w:trPr>
          <w:trHeight w:val="216"/>
        </w:trPr>
        <w:tc>
          <w:tcPr>
            <w:tcW w:w="4420" w:type="dxa"/>
            <w:vAlign w:val="bottom"/>
          </w:tcPr>
          <w:p>
            <w:pPr>
              <w:spacing w:after="0"/>
              <w:rPr>
                <w:sz w:val="18"/>
                <w:szCs w:val="18"/>
                <w:color w:val="auto"/>
              </w:rPr>
            </w:pPr>
          </w:p>
        </w:tc>
        <w:tc>
          <w:tcPr>
            <w:tcW w:w="7000" w:type="dxa"/>
            <w:vAlign w:val="bottom"/>
          </w:tcPr>
          <w:p>
            <w:pPr>
              <w:jc w:val="center"/>
              <w:ind w:right="4330"/>
              <w:spacing w:after="0"/>
              <w:rPr>
                <w:sz w:val="20"/>
                <w:szCs w:val="20"/>
                <w:color w:val="auto"/>
              </w:rPr>
            </w:pPr>
            <w:r>
              <w:rPr>
                <w:rFonts w:ascii="Arial" w:cs="Arial" w:eastAsia="Arial" w:hAnsi="Arial"/>
                <w:sz w:val="18"/>
                <w:szCs w:val="18"/>
                <w:color w:val="auto"/>
                <w:w w:val="92"/>
              </w:rPr>
              <w:t>Oxford Lane Capital Corp.</w:t>
            </w:r>
          </w:p>
        </w:tc>
      </w:tr>
      <w:tr>
        <w:trPr>
          <w:trHeight w:val="216"/>
        </w:trPr>
        <w:tc>
          <w:tcPr>
            <w:tcW w:w="4420" w:type="dxa"/>
            <w:vAlign w:val="bottom"/>
          </w:tcPr>
          <w:p>
            <w:pPr>
              <w:spacing w:after="0"/>
              <w:rPr>
                <w:sz w:val="18"/>
                <w:szCs w:val="18"/>
                <w:color w:val="auto"/>
              </w:rPr>
            </w:pPr>
          </w:p>
        </w:tc>
        <w:tc>
          <w:tcPr>
            <w:tcW w:w="7000" w:type="dxa"/>
            <w:vAlign w:val="bottom"/>
          </w:tcPr>
          <w:p>
            <w:pPr>
              <w:jc w:val="center"/>
              <w:ind w:right="4330"/>
              <w:spacing w:after="0"/>
              <w:rPr>
                <w:sz w:val="20"/>
                <w:szCs w:val="20"/>
                <w:color w:val="auto"/>
              </w:rPr>
            </w:pPr>
            <w:r>
              <w:rPr>
                <w:rFonts w:ascii="Arial" w:cs="Arial" w:eastAsia="Arial" w:hAnsi="Arial"/>
                <w:sz w:val="18"/>
                <w:szCs w:val="18"/>
                <w:color w:val="auto"/>
                <w:w w:val="90"/>
              </w:rPr>
              <w:t>8 Sound Shore Drive, Suite 255</w:t>
            </w:r>
          </w:p>
        </w:tc>
      </w:tr>
      <w:tr>
        <w:trPr>
          <w:trHeight w:val="230"/>
        </w:trPr>
        <w:tc>
          <w:tcPr>
            <w:tcW w:w="442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jc w:val="center"/>
              <w:ind w:right="4310"/>
              <w:spacing w:after="0"/>
              <w:rPr>
                <w:sz w:val="20"/>
                <w:szCs w:val="20"/>
                <w:color w:val="auto"/>
              </w:rPr>
            </w:pPr>
            <w:r>
              <w:rPr>
                <w:rFonts w:ascii="Arial" w:cs="Arial" w:eastAsia="Arial" w:hAnsi="Arial"/>
                <w:sz w:val="18"/>
                <w:szCs w:val="18"/>
                <w:color w:val="auto"/>
                <w:w w:val="91"/>
              </w:rPr>
              <w:t>Greenwich, CT 06830</w:t>
            </w:r>
          </w:p>
        </w:tc>
      </w:tr>
      <w:tr>
        <w:trPr>
          <w:trHeight w:val="195"/>
        </w:trPr>
        <w:tc>
          <w:tcPr>
            <w:tcW w:w="4420" w:type="dxa"/>
            <w:vAlign w:val="bottom"/>
          </w:tcPr>
          <w:p>
            <w:pPr>
              <w:spacing w:after="0"/>
              <w:rPr>
                <w:sz w:val="16"/>
                <w:szCs w:val="16"/>
                <w:color w:val="auto"/>
              </w:rPr>
            </w:pPr>
          </w:p>
        </w:tc>
        <w:tc>
          <w:tcPr>
            <w:tcW w:w="7000" w:type="dxa"/>
            <w:vAlign w:val="bottom"/>
          </w:tcPr>
          <w:p>
            <w:pPr>
              <w:jc w:val="center"/>
              <w:ind w:right="4370"/>
              <w:spacing w:after="0" w:line="195" w:lineRule="exact"/>
              <w:rPr>
                <w:sz w:val="20"/>
                <w:szCs w:val="20"/>
                <w:color w:val="auto"/>
              </w:rPr>
            </w:pPr>
            <w:r>
              <w:rPr>
                <w:rFonts w:ascii="Arial" w:cs="Arial" w:eastAsia="Arial" w:hAnsi="Arial"/>
                <w:sz w:val="18"/>
                <w:szCs w:val="18"/>
                <w:color w:val="auto"/>
                <w:w w:val="88"/>
              </w:rPr>
              <w:t>(Name and address of agent for</w:t>
            </w:r>
          </w:p>
        </w:tc>
      </w:tr>
      <w:tr>
        <w:trPr>
          <w:trHeight w:val="230"/>
        </w:trPr>
        <w:tc>
          <w:tcPr>
            <w:tcW w:w="4420" w:type="dxa"/>
            <w:vAlign w:val="bottom"/>
          </w:tcPr>
          <w:p>
            <w:pPr>
              <w:spacing w:after="0"/>
              <w:rPr>
                <w:sz w:val="20"/>
                <w:szCs w:val="20"/>
                <w:color w:val="auto"/>
              </w:rPr>
            </w:pPr>
          </w:p>
        </w:tc>
        <w:tc>
          <w:tcPr>
            <w:tcW w:w="7000" w:type="dxa"/>
            <w:vAlign w:val="bottom"/>
          </w:tcPr>
          <w:p>
            <w:pPr>
              <w:jc w:val="center"/>
              <w:ind w:right="4330"/>
              <w:spacing w:after="0"/>
              <w:rPr>
                <w:sz w:val="20"/>
                <w:szCs w:val="20"/>
                <w:color w:val="auto"/>
              </w:rPr>
            </w:pPr>
            <w:r>
              <w:rPr>
                <w:rFonts w:ascii="Arial" w:cs="Arial" w:eastAsia="Arial" w:hAnsi="Arial"/>
                <w:sz w:val="18"/>
                <w:szCs w:val="18"/>
                <w:color w:val="auto"/>
                <w:w w:val="91"/>
              </w:rPr>
              <w:t>service)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(203) 983-5275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fiscal year end: </w:t>
      </w:r>
      <w:r>
        <w:rPr>
          <w:rFonts w:ascii="Arial" w:cs="Arial" w:eastAsia="Arial" w:hAnsi="Arial"/>
          <w:sz w:val="18"/>
          <w:szCs w:val="18"/>
          <w:u w:val="single" w:color="auto"/>
          <w:color w:val="auto"/>
        </w:rPr>
        <w:t>March 31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reporting period: </w:t>
      </w:r>
      <w:r>
        <w:rPr>
          <w:rFonts w:ascii="Arial" w:cs="Arial" w:eastAsia="Arial" w:hAnsi="Arial"/>
          <w:sz w:val="18"/>
          <w:szCs w:val="18"/>
          <w:u w:val="single" w:color="auto"/>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Schedule of Investments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COMPANY/INVESTMENT</w:t>
            </w:r>
            <w:r>
              <w:rPr>
                <w:rFonts w:ascii="Arial" w:cs="Arial" w:eastAsia="Arial" w:hAnsi="Arial"/>
                <w:sz w:val="23"/>
                <w:szCs w:val="23"/>
                <w:b w:val="1"/>
                <w:bCs w:val="1"/>
                <w:color w:val="auto"/>
                <w:vertAlign w:val="superscript"/>
              </w:rPr>
              <w:t>(1)(14)</w:t>
            </w:r>
          </w:p>
        </w:tc>
        <w:tc>
          <w:tcPr>
            <w:tcW w:w="4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23"/>
                <w:szCs w:val="23"/>
                <w:b w:val="1"/>
                <w:bCs w:val="1"/>
                <w:color w:val="auto"/>
                <w:w w:val="97"/>
                <w:vertAlign w:val="superscript"/>
              </w:rPr>
              <w:t>(2)</w:t>
            </w:r>
          </w:p>
        </w:tc>
        <w:tc>
          <w:tcPr>
            <w:tcW w:w="136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536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Debt Investments</w:t>
            </w:r>
          </w:p>
        </w:tc>
        <w:tc>
          <w:tcPr>
            <w:tcW w:w="224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400" w:type="dxa"/>
            <w:vAlign w:val="bottom"/>
            <w:tcBorders>
              <w:top w:val="single" w:sz="8" w:color="auto"/>
              <w:bottom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Structured Finance - Debt Investments</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Ares XL CLO Ltd.</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tcPr>
          <w:p>
            <w:pPr>
              <w:spacing w:after="0" w:line="189" w:lineRule="exact"/>
              <w:rPr>
                <w:sz w:val="20"/>
                <w:szCs w:val="20"/>
                <w:color w:val="auto"/>
              </w:rPr>
            </w:pPr>
            <w:r>
              <w:rPr>
                <w:rFonts w:ascii="Arial" w:cs="Arial" w:eastAsia="Arial" w:hAnsi="Arial"/>
                <w:sz w:val="13"/>
                <w:szCs w:val="13"/>
                <w:color w:val="auto"/>
              </w:rPr>
              <w:t>CLO secured notes - Class ER</w:t>
            </w:r>
            <w:r>
              <w:rPr>
                <w:rFonts w:ascii="Arial" w:cs="Arial" w:eastAsia="Arial" w:hAnsi="Arial"/>
                <w:sz w:val="21"/>
                <w:szCs w:val="21"/>
                <w:color w:val="auto"/>
                <w:vertAlign w:val="superscript"/>
              </w:rPr>
              <w:t>(3)(4)(6)</w:t>
            </w:r>
            <w:r>
              <w:rPr>
                <w:rFonts w:ascii="Arial" w:cs="Arial" w:eastAsia="Arial" w:hAnsi="Arial"/>
                <w:sz w:val="13"/>
                <w:szCs w:val="13"/>
                <w:color w:val="auto"/>
              </w:rPr>
              <w:t>, 10.44% (LIBOR + 8.00%, due January 15, 2029)</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870,670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919,900</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Mountain Hawk II CLO, Ltd.</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secured notes - Class E</w:t>
            </w:r>
            <w:r>
              <w:rPr>
                <w:rFonts w:ascii="Arial" w:cs="Arial" w:eastAsia="Arial" w:hAnsi="Arial"/>
                <w:sz w:val="21"/>
                <w:szCs w:val="21"/>
                <w:color w:val="auto"/>
                <w:vertAlign w:val="superscript"/>
              </w:rPr>
              <w:t>(3)(4)(6)</w:t>
            </w:r>
            <w:r>
              <w:rPr>
                <w:rFonts w:ascii="Arial" w:cs="Arial" w:eastAsia="Arial" w:hAnsi="Arial"/>
                <w:sz w:val="13"/>
                <w:szCs w:val="13"/>
                <w:color w:val="auto"/>
              </w:rPr>
              <w:t>, 7.27% (LIBOR + 4.80%, due July 20, 2024)</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6,962,690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6,400,000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OZLM XXII, Ltd.</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3"/>
          </w:tcPr>
          <w:p>
            <w:pPr>
              <w:spacing w:after="0" w:line="202" w:lineRule="exact"/>
              <w:rPr>
                <w:sz w:val="20"/>
                <w:szCs w:val="20"/>
                <w:color w:val="auto"/>
              </w:rPr>
            </w:pPr>
            <w:r>
              <w:rPr>
                <w:rFonts w:ascii="Arial" w:cs="Arial" w:eastAsia="Arial" w:hAnsi="Arial"/>
                <w:sz w:val="14"/>
                <w:szCs w:val="14"/>
                <w:color w:val="auto"/>
                <w:w w:val="98"/>
              </w:rPr>
              <w:t>CLO secured notes - Class E</w:t>
            </w:r>
            <w:r>
              <w:rPr>
                <w:rFonts w:ascii="Arial" w:cs="Arial" w:eastAsia="Arial" w:hAnsi="Arial"/>
                <w:sz w:val="23"/>
                <w:szCs w:val="23"/>
                <w:color w:val="auto"/>
                <w:w w:val="98"/>
                <w:vertAlign w:val="superscript"/>
              </w:rPr>
              <w:t>(3)(4)(6)</w:t>
            </w:r>
            <w:r>
              <w:rPr>
                <w:rFonts w:ascii="Arial" w:cs="Arial" w:eastAsia="Arial" w:hAnsi="Arial"/>
                <w:sz w:val="14"/>
                <w:szCs w:val="14"/>
                <w:color w:val="auto"/>
                <w:w w:val="98"/>
              </w:rPr>
              <w:t>, 9.84% (LIBOR + 7.39%, due January 17, 2031)</w:t>
            </w:r>
          </w:p>
        </w:tc>
        <w:tc>
          <w:tcPr>
            <w:tcW w:w="40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2,670,000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2,582,758</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2,294,598</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Structured Finance - Debt Investments</w:t>
            </w:r>
          </w:p>
        </w:tc>
        <w:tc>
          <w:tcPr>
            <w:tcW w:w="4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10,416,118</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9,614,498</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Collateralized Loan Obligation - Debt Investments</w:t>
            </w:r>
          </w:p>
        </w:tc>
        <w:tc>
          <w:tcPr>
            <w:tcW w:w="40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10,416,118</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9,614,498</w:t>
            </w: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Collateralized Loan Obligation - Equity Investments</w:t>
            </w: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Structured Finance - Equity Investments</w:t>
            </w:r>
          </w:p>
        </w:tc>
        <w:tc>
          <w:tcPr>
            <w:tcW w:w="2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AMMC CLO XI, Ltd.</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19.03%, maturity April 30, 2031)</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2,100,000</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1,237,110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1,008,000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AMMC CLO XII, Ltd.</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16.75%, maturity November 10, 2030)</w:t>
            </w:r>
          </w:p>
        </w:tc>
        <w:tc>
          <w:tcPr>
            <w:tcW w:w="4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11,428,571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5,778,404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3,542,857</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Anchorage Capital CLO 5-R, Ltd.</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12.70%, maturity January 15, 2030)</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4,028,054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3,008,587</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Apex Credit CLO 2018 Ltd.</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21.99%, maturity April 25, 2031)</w:t>
            </w:r>
          </w:p>
        </w:tc>
        <w:tc>
          <w:tcPr>
            <w:tcW w:w="4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9,750,000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7,725,907</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7,395,873</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Apex Credit CLO 2015-II, Ltd. (fka: JFIN CLO 2015-II Ltd.)</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24.04%, maturity October 17, 2026)</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4,909,910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3,939,723</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Apidos CLO XXI</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16.98%, maturity July 18, 2027)</w:t>
            </w:r>
          </w:p>
        </w:tc>
        <w:tc>
          <w:tcPr>
            <w:tcW w:w="4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8,700,000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6,272,662</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4,611,000</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Ares XL CLO Ltd.</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12.00%, maturity January 15, 2029)</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4,262,007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2,660,264</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Atrium XII CLO</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24.82%, maturity April 22, 2027)</w:t>
            </w:r>
          </w:p>
        </w:tc>
        <w:tc>
          <w:tcPr>
            <w:tcW w:w="4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34,762,500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24,345,879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25,029,000</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Battalion CLO VI Ltd.</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(5)(7)(11)</w:t>
            </w:r>
            <w:r>
              <w:rPr>
                <w:rFonts w:ascii="Arial" w:cs="Arial" w:eastAsia="Arial" w:hAnsi="Arial"/>
                <w:sz w:val="13"/>
                <w:szCs w:val="13"/>
                <w:color w:val="auto"/>
              </w:rPr>
              <w:t>, (Estimated yield 0.00%, maturity October 17, 2026)</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637,475</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Battalion CLO VII Ltd.</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0.41%, maturity July 17, 2028)</w:t>
            </w:r>
          </w:p>
        </w:tc>
        <w:tc>
          <w:tcPr>
            <w:tcW w:w="4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26,900,000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16,404,893</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11,029,000</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Benefit Street Partners CLO V Ltd.</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preference shares</w:t>
            </w:r>
            <w:r>
              <w:rPr>
                <w:rFonts w:ascii="Arial" w:cs="Arial" w:eastAsia="Arial" w:hAnsi="Arial"/>
                <w:sz w:val="21"/>
                <w:szCs w:val="21"/>
                <w:color w:val="auto"/>
                <w:vertAlign w:val="superscript"/>
              </w:rPr>
              <w:t>(5)(7)(11)</w:t>
            </w:r>
            <w:r>
              <w:rPr>
                <w:rFonts w:ascii="Arial" w:cs="Arial" w:eastAsia="Arial" w:hAnsi="Arial"/>
                <w:sz w:val="13"/>
                <w:szCs w:val="13"/>
                <w:color w:val="auto"/>
              </w:rPr>
              <w:t>, (Estimated yield 0.00%, maturity October 20, 2026)</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11,500,000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914,553</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575,000</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B&amp;M CLO 2014-1 LTD</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340" w:type="dxa"/>
            <w:vAlign w:val="bottom"/>
            <w:gridSpan w:val="3"/>
          </w:tcPr>
          <w:p>
            <w:pPr>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-0.68%, maturity April 16, 2026)</w:t>
            </w:r>
          </w:p>
        </w:tc>
        <w:tc>
          <w:tcPr>
            <w:tcW w:w="40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741,051</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440,000</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COMPANY/INVESTMENT</w:t>
            </w:r>
            <w:r>
              <w:rPr>
                <w:rFonts w:ascii="Arial" w:cs="Arial" w:eastAsia="Arial" w:hAnsi="Arial"/>
                <w:sz w:val="23"/>
                <w:szCs w:val="23"/>
                <w:b w:val="1"/>
                <w:bCs w:val="1"/>
                <w:color w:val="auto"/>
                <w:vertAlign w:val="superscript"/>
              </w:rPr>
              <w:t>(1)(14)</w:t>
            </w:r>
          </w:p>
        </w:tc>
        <w:tc>
          <w:tcPr>
            <w:tcW w:w="5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PRINCIPAL</w:t>
            </w:r>
          </w:p>
        </w:tc>
        <w:tc>
          <w:tcPr>
            <w:tcW w:w="380" w:type="dxa"/>
            <w:vAlign w:val="bottom"/>
          </w:tcPr>
          <w:p>
            <w:pPr>
              <w:spacing w:after="0"/>
              <w:rPr>
                <w:sz w:val="14"/>
                <w:szCs w:val="14"/>
                <w:color w:val="auto"/>
              </w:rPr>
            </w:pPr>
          </w:p>
        </w:tc>
        <w:tc>
          <w:tcPr>
            <w:tcW w:w="11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23"/>
                <w:szCs w:val="23"/>
                <w:b w:val="1"/>
                <w:bCs w:val="1"/>
                <w:color w:val="auto"/>
                <w:w w:val="99"/>
                <w:vertAlign w:val="superscript"/>
              </w:rPr>
              <w:t>(2)</w:t>
            </w:r>
          </w:p>
        </w:tc>
        <w:tc>
          <w:tcPr>
            <w:tcW w:w="130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526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120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1420" w:type="dxa"/>
            <w:vAlign w:val="bottom"/>
            <w:tcBorders>
              <w:top w:val="single" w:sz="8" w:color="auto"/>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Structured Finance - Equity Investments - (continued)</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Bristol Park CLO, Ltd.</w:t>
            </w: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12.06%, maturity April 15, 2029)</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7,751,033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5,100,000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Canyon Capital CLO 2015-1, Ltd.</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23.41%, maturity April 15, 2029)</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6,131,003</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4,500,000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Carlyle Global Market Strategies CLO 2013-2, Ltd.</w:t>
            </w: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20.86%, maturity January 18, 2029)</w:t>
            </w:r>
          </w:p>
        </w:tc>
        <w:tc>
          <w:tcPr>
            <w:tcW w:w="5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16,500,000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10,194,338</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9,728,741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Catamaran CLO 2013-1, Ltd.</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26.48%, maturity January 27, 2028)</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4,445,929</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3,280,000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Cathedral Lake CLO 2013, Ltd.</w:t>
            </w: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19.24%, maturity October 15, 2029)</w:t>
            </w:r>
          </w:p>
        </w:tc>
        <w:tc>
          <w:tcPr>
            <w:tcW w:w="5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5,250,000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2,489,499</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1,995,000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Cathedral Lake II, Ltd.</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19.42%, maturity July 15, 2029)</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3,125,000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2,206,576</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1,687,500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CIFC Funding 2014-III, Ltd.</w:t>
            </w: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18.34%, maturity July 22, 2026)</w:t>
            </w:r>
          </w:p>
        </w:tc>
        <w:tc>
          <w:tcPr>
            <w:tcW w:w="5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11,000,000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6,474,310</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5,390,000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CIFC Funding 2014, Ltd.</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15.99%, maturity January 18, 2031)</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5,068,572</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3,740,000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Covenant Credit Partners CLO II, Ltd.</w:t>
            </w: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22.45%, maturity October 17, 2026)</w:t>
            </w:r>
          </w:p>
        </w:tc>
        <w:tc>
          <w:tcPr>
            <w:tcW w:w="5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8,650,000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1,171,286</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1,211,000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Dryden 40 Senior Loan Fund</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20.76%, maturity August 15, 2031)</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2,720,030</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2,372,875</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Dryden 49 Senior Loan Fund</w:t>
            </w: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15.97%, maturity July 18, 2030)</w:t>
            </w:r>
          </w:p>
        </w:tc>
        <w:tc>
          <w:tcPr>
            <w:tcW w:w="5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6,425,000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5,298,549</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3,983,500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Dryden 54 Senior Loan Fund</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17.60%, maturity October 19, 2029)</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2,042,320</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1,625,000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Ellington CLO II, Ltd.</w:t>
            </w: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20.05%, maturity February 15, 2029)</w:t>
            </w:r>
          </w:p>
        </w:tc>
        <w:tc>
          <w:tcPr>
            <w:tcW w:w="5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3,639,076</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3,280,000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Figueroa CLO 2013-2, Ltd.</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25.56%, maturity June 20, 2027)</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4,304,287</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3,655,000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GoldenTree Loan Opportunities XI, Ltd.</w:t>
            </w: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14.33%, maturity January 18, 2031)</w:t>
            </w:r>
          </w:p>
        </w:tc>
        <w:tc>
          <w:tcPr>
            <w:tcW w:w="5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2,398,601</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2,100,000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Golub Capital Partners CLO 35(B), Ltd.,</w:t>
            </w: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19.23%, maturity July 20, 2029)</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10,484,616</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7,384,000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COMPANY/INVESTMENT</w:t>
            </w:r>
            <w:r>
              <w:rPr>
                <w:rFonts w:ascii="Arial" w:cs="Arial" w:eastAsia="Arial" w:hAnsi="Arial"/>
                <w:sz w:val="23"/>
                <w:szCs w:val="23"/>
                <w:b w:val="1"/>
                <w:bCs w:val="1"/>
                <w:color w:val="auto"/>
                <w:vertAlign w:val="superscript"/>
              </w:rPr>
              <w:t>(1)(14)</w:t>
            </w:r>
          </w:p>
        </w:tc>
        <w:tc>
          <w:tcPr>
            <w:tcW w:w="48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PRINCIPAL</w:t>
            </w:r>
          </w:p>
        </w:tc>
        <w:tc>
          <w:tcPr>
            <w:tcW w:w="380" w:type="dxa"/>
            <w:vAlign w:val="bottom"/>
          </w:tcPr>
          <w:p>
            <w:pPr>
              <w:spacing w:after="0"/>
              <w:rPr>
                <w:sz w:val="14"/>
                <w:szCs w:val="14"/>
                <w:color w:val="auto"/>
              </w:rPr>
            </w:pPr>
          </w:p>
        </w:tc>
        <w:tc>
          <w:tcPr>
            <w:tcW w:w="11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23"/>
                <w:szCs w:val="23"/>
                <w:b w:val="1"/>
                <w:bCs w:val="1"/>
                <w:color w:val="auto"/>
                <w:w w:val="99"/>
                <w:vertAlign w:val="superscript"/>
              </w:rPr>
              <w:t>(2)</w:t>
            </w:r>
          </w:p>
        </w:tc>
        <w:tc>
          <w:tcPr>
            <w:tcW w:w="130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528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1220" w:type="dxa"/>
            <w:vAlign w:val="bottom"/>
            <w:tcBorders>
              <w:top w:val="single" w:sz="8" w:color="auto"/>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1420" w:type="dxa"/>
            <w:vAlign w:val="bottom"/>
            <w:tcBorders>
              <w:top w:val="single" w:sz="8" w:color="auto"/>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Structured Finance - Equity Investments - (continued)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Halcyon Loan Advisors Funding 2015-1 Ltd.</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27.36%, maturity April 20, 2027)</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7,000,000</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3,676,469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2,870,000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Halcyon Loan Advisors Funding 2018-1 Ltd.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17.64%, maturity July 20, 2031)</w:t>
            </w: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10,981,446</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9,675,000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Hull Street CLO Ltd.</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-20.95%, maturity October 18, 2026)</w:t>
            </w:r>
          </w:p>
        </w:tc>
        <w:tc>
          <w:tcPr>
            <w:tcW w:w="4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15,000,000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5,285,670</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1,800,000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ICG US CLO 2016-1, Ltd.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10.80%, maturity July 29, 2028)</w:t>
            </w: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4,719,876</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3,405,275</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Ivy Hill Middle Market Credit VII, Ltd.</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12.38%, maturity October 20, 2029)</w:t>
            </w:r>
          </w:p>
        </w:tc>
        <w:tc>
          <w:tcPr>
            <w:tcW w:w="4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5,400,000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4,551,322</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3,204,830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Jamestown CLO III, Ltd.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(5)(7)(11)</w:t>
            </w:r>
            <w:r>
              <w:rPr>
                <w:rFonts w:ascii="Arial" w:cs="Arial" w:eastAsia="Arial" w:hAnsi="Arial"/>
                <w:sz w:val="13"/>
                <w:szCs w:val="13"/>
                <w:color w:val="auto"/>
              </w:rPr>
              <w:t>, (Estimated yield 0.00%, maturity January 15, 2026)</w:t>
            </w: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15,575,000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1,568,354</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623,000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Jamestown CLO IV, Ltd.</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-5.48%, maturity July 15, 2026)</w:t>
            </w:r>
          </w:p>
        </w:tc>
        <w:tc>
          <w:tcPr>
            <w:tcW w:w="4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9,500,000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3,194,815</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906,460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Jamestown CLO VII, Ltd.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13.60%, maturity July 25, 2027)</w:t>
            </w: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2,437,605</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1,645,000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KVK CLO 2018-1 Ltd.</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27.40%, maturity May 20, 2029)</w:t>
            </w:r>
          </w:p>
        </w:tc>
        <w:tc>
          <w:tcPr>
            <w:tcW w:w="4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16,576,478</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8,355,377</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6,962,121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Longfellow Place CLO, Ltd.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20.06%, maturity April 15, 2029)</w:t>
            </w: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15,640,000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7,272,366</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4,360,467</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Madison Park Funding XI, Ltd.</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9.98%, maturity July 23, 2047)</w:t>
            </w:r>
          </w:p>
        </w:tc>
        <w:tc>
          <w:tcPr>
            <w:tcW w:w="4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1,236,843</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860,720</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630,790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Madison Park Funding XXV, Ltd.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13.52%, maturity April 25, 2029)</w:t>
            </w: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1,195,966</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1,040,000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Madison Park Funding XXIX, Ltd.</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15.69%, maturity October 18, 2047)</w:t>
            </w:r>
          </w:p>
        </w:tc>
        <w:tc>
          <w:tcPr>
            <w:tcW w:w="4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17,000,000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15,003,421</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14,790,000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Madison Park Funding XXX, Ltd.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24.90%, maturity April 15, 2029)</w:t>
            </w: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16,245,666</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16,906,492</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Midocean Credit CLO VI</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3"/>
                <w:szCs w:val="13"/>
                <w:color w:val="auto"/>
              </w:rPr>
              <w:t>CLO income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11.63%, maturity January 20, 2029)</w:t>
            </w:r>
          </w:p>
        </w:tc>
        <w:tc>
          <w:tcPr>
            <w:tcW w:w="4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24,700,000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21,036,916</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14,820,000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Mountain Hawk II CLO, Ltd.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-44.14%, maturity July 20, 2024)</w:t>
            </w: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25,670,000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5,880,024</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1,796,900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Mountain View CLO 2014-1 Ltd.</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33.06%, maturity October 15, 2026)</w:t>
            </w:r>
          </w:p>
        </w:tc>
        <w:tc>
          <w:tcPr>
            <w:tcW w:w="4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15,000,000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3,937,857</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2,572,603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Northwoods Capital XI-B, Limited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19.08%, maturity April 19, 2031)</w:t>
            </w: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4,912,705</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4,100,000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Ocean Trails CLO VI</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18.96%, maturity July 15, 2028)</w:t>
            </w:r>
          </w:p>
        </w:tc>
        <w:tc>
          <w:tcPr>
            <w:tcW w:w="4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3,140,468</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2,314,296</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Octagon Investment Partners XXII, Ltd.</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19.93%, maturity January 22, 2030)</w:t>
            </w: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3,168,750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2,071,243</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1,837,875</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Octagon Investment Partners 27, Ltd.</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19.20%, maturity July 15, 2030)</w:t>
            </w:r>
          </w:p>
        </w:tc>
        <w:tc>
          <w:tcPr>
            <w:tcW w:w="48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5,000,000</w:t>
            </w:r>
          </w:p>
        </w:tc>
        <w:tc>
          <w:tcPr>
            <w:tcW w:w="3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3,357,926</w:t>
            </w:r>
          </w:p>
        </w:tc>
        <w:tc>
          <w:tcPr>
            <w:tcW w:w="200" w:type="dxa"/>
            <w:vAlign w:val="bottom"/>
          </w:tcPr>
          <w:p>
            <w:pPr>
              <w:spacing w:after="0"/>
              <w:rPr>
                <w:sz w:val="24"/>
                <w:szCs w:val="24"/>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2,881,309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COMPANY/INVESTMENT</w:t>
            </w:r>
            <w:r>
              <w:rPr>
                <w:rFonts w:ascii="Arial" w:cs="Arial" w:eastAsia="Arial" w:hAnsi="Arial"/>
                <w:sz w:val="23"/>
                <w:szCs w:val="23"/>
                <w:b w:val="1"/>
                <w:bCs w:val="1"/>
                <w:color w:val="auto"/>
                <w:vertAlign w:val="superscript"/>
              </w:rPr>
              <w:t>(1)(14)</w:t>
            </w:r>
          </w:p>
        </w:tc>
        <w:tc>
          <w:tcPr>
            <w:tcW w:w="22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PRINCIPAL</w:t>
            </w:r>
          </w:p>
        </w:tc>
        <w:tc>
          <w:tcPr>
            <w:tcW w:w="380" w:type="dxa"/>
            <w:vAlign w:val="bottom"/>
          </w:tcPr>
          <w:p>
            <w:pPr>
              <w:spacing w:after="0"/>
              <w:rPr>
                <w:sz w:val="14"/>
                <w:szCs w:val="14"/>
                <w:color w:val="auto"/>
              </w:rPr>
            </w:pPr>
          </w:p>
        </w:tc>
        <w:tc>
          <w:tcPr>
            <w:tcW w:w="11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23"/>
                <w:szCs w:val="23"/>
                <w:b w:val="1"/>
                <w:bCs w:val="1"/>
                <w:color w:val="auto"/>
                <w:w w:val="99"/>
                <w:vertAlign w:val="superscript"/>
              </w:rPr>
              <w:t>(2)</w:t>
            </w:r>
          </w:p>
        </w:tc>
        <w:tc>
          <w:tcPr>
            <w:tcW w:w="1300" w:type="dxa"/>
            <w:vAlign w:val="bottom"/>
          </w:tcPr>
          <w:p>
            <w:pPr>
              <w:ind w:left="28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300" w:type="dxa"/>
            <w:vAlign w:val="bottom"/>
          </w:tcPr>
          <w:p>
            <w:pPr>
              <w:ind w:left="3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14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1420" w:type="dxa"/>
            <w:vAlign w:val="bottom"/>
            <w:tcBorders>
              <w:top w:val="single" w:sz="8" w:color="auto"/>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Structured Finance - Equity Investments - (continued)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Octagon Investment Partners 33, Ltd.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18.00%, maturity January 20, 2031)</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9,128,622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8,200,000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Octagon Investment Partners 38, Ltd.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17.33%, maturity July 20, 2030)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4,510,614</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4,150,000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Octagon Investment Partners 39, Ltd.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19.77%, maturity October 20, 2030)</w:t>
            </w:r>
          </w:p>
        </w:tc>
        <w:tc>
          <w:tcPr>
            <w:tcW w:w="2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10,400,000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9,039,746</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8,840,000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Octagon Investment Partners 40, Ltd.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2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CLO subordinated warehouse notes</w:t>
            </w:r>
            <w:r>
              <w:rPr>
                <w:rFonts w:ascii="Arial" w:cs="Arial" w:eastAsia="Arial" w:hAnsi="Arial"/>
                <w:sz w:val="19"/>
                <w:szCs w:val="19"/>
                <w:color w:val="auto"/>
                <w:vertAlign w:val="superscript"/>
              </w:rPr>
              <w:t>(5)(7)(10)</w:t>
            </w:r>
            <w:r>
              <w:rPr>
                <w:rFonts w:ascii="Arial" w:cs="Arial" w:eastAsia="Arial" w:hAnsi="Arial"/>
                <w:sz w:val="12"/>
                <w:szCs w:val="12"/>
                <w:color w:val="auto"/>
              </w:rPr>
              <w:t>, (Estimated yield 12.04%, maturity September 10,</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40" w:type="dxa"/>
            <w:vAlign w:val="bottom"/>
            <w:shd w:val="clear" w:color="auto" w:fill="CCEEFF"/>
          </w:tcPr>
          <w:p>
            <w:pPr>
              <w:jc w:val="right"/>
              <w:ind w:right="3510"/>
              <w:spacing w:after="0"/>
              <w:rPr>
                <w:sz w:val="20"/>
                <w:szCs w:val="20"/>
                <w:color w:val="auto"/>
              </w:rPr>
            </w:pPr>
            <w:r>
              <w:rPr>
                <w:rFonts w:ascii="Arial" w:cs="Arial" w:eastAsia="Arial" w:hAnsi="Arial"/>
                <w:sz w:val="14"/>
                <w:szCs w:val="14"/>
                <w:color w:val="auto"/>
              </w:rPr>
              <w:t>2020)</w:t>
            </w:r>
          </w:p>
        </w:tc>
        <w:tc>
          <w:tcPr>
            <w:tcW w:w="1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21,875,000</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21,875,000</w:t>
            </w: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21,875,000</w:t>
            </w: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OFSI Fund VII, Ltd.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3.24%, maturity October 18, 2026)</w:t>
            </w:r>
          </w:p>
        </w:tc>
        <w:tc>
          <w:tcPr>
            <w:tcW w:w="2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28,840,000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19,549,407</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11,824,400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OFSI BSL IX, LTD.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preferred shares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20.70%, maturity July 15, 2031)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10,616,348</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9,758,000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OZLM Funding III, Ltd.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13.47%, maturity January 22, 2029)</w:t>
            </w:r>
          </w:p>
        </w:tc>
        <w:tc>
          <w:tcPr>
            <w:tcW w:w="2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12,000,000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7,398,623</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5,880,000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OZLM XII, Ltd.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18.12%, maturity April 30, 2027)</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4,507,602</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2,970,000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OZLM XIII, Ltd.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16.86%, maturity July 30, 2027)</w:t>
            </w:r>
          </w:p>
        </w:tc>
        <w:tc>
          <w:tcPr>
            <w:tcW w:w="2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7,000,000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5,083,960</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3,290,000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OZLM XIV, Ltd.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13.45%, maturity January 15, 2029)</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8,279,523</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5,750,725</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Regatta III Funding Ltd.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(5)(7)(11)</w:t>
            </w:r>
            <w:r>
              <w:rPr>
                <w:rFonts w:ascii="Arial" w:cs="Arial" w:eastAsia="Arial" w:hAnsi="Arial"/>
                <w:sz w:val="13"/>
                <w:szCs w:val="13"/>
                <w:color w:val="auto"/>
              </w:rPr>
              <w:t>, (Estimated yield 0.00%, maturity April 15, 2026)</w:t>
            </w:r>
          </w:p>
        </w:tc>
        <w:tc>
          <w:tcPr>
            <w:tcW w:w="2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3,750,000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161,958</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75,000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Shackleton 2013-IV-R CLO, Ltd.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21.73%, maturity April 13, 2031)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16,750,000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13,974,672</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11,656,318</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Shackleton 2015-VII CLO, Ltd.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13.73%, maturity July 15, 2031)</w:t>
            </w:r>
          </w:p>
        </w:tc>
        <w:tc>
          <w:tcPr>
            <w:tcW w:w="2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10,500,000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8,108,669</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6,136,094</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Shackleton 2017-X CLO, Ltd.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12.48%, maturity April 20, 2029)</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9,038,182</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6,000,000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Sound Point CLO VI, Ltd.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(5)(7)(9)</w:t>
            </w:r>
            <w:r>
              <w:rPr>
                <w:rFonts w:ascii="Arial" w:cs="Arial" w:eastAsia="Arial" w:hAnsi="Arial"/>
                <w:sz w:val="13"/>
                <w:szCs w:val="13"/>
                <w:color w:val="auto"/>
              </w:rPr>
              <w:t>, (Estimated yield 14.01%, maturity October 20, 2031)</w:t>
            </w:r>
          </w:p>
        </w:tc>
        <w:tc>
          <w:tcPr>
            <w:tcW w:w="2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8,093,378</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4,164,910</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3,480,153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Steele Creek CLO 2016-1, Ltd.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19.87%, maturity June 15, 2031)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3,630,701</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3,320,000</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Telos CLO 2013-3, Ltd.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12.83%, maturity July 17, 2026)</w:t>
            </w:r>
          </w:p>
        </w:tc>
        <w:tc>
          <w:tcPr>
            <w:tcW w:w="2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14,332,210</w:t>
            </w:r>
          </w:p>
        </w:tc>
        <w:tc>
          <w:tcPr>
            <w:tcW w:w="3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9,021,839</w:t>
            </w:r>
          </w:p>
        </w:tc>
        <w:tc>
          <w:tcPr>
            <w:tcW w:w="20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5,159,596</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Telos CLO 2013-4, Ltd.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18.66%, maturity January 17, 2030)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11,350,000</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7,377,681</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5,961,705</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Telos CLO 2014-6, Ltd.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r>
              <w:rPr>
                <w:rFonts w:ascii="Arial" w:cs="Arial" w:eastAsia="Arial" w:hAnsi="Arial"/>
                <w:sz w:val="14"/>
                <w:szCs w:val="14"/>
                <w:color w:val="auto"/>
              </w:rPr>
              <w:t>, (Estimated yield 14.01%, maturity January 17, 2027)</w:t>
            </w:r>
          </w:p>
        </w:tc>
        <w:tc>
          <w:tcPr>
            <w:tcW w:w="22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6,250,000</w:t>
            </w:r>
          </w:p>
        </w:tc>
        <w:tc>
          <w:tcPr>
            <w:tcW w:w="3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3,919,422</w:t>
            </w:r>
          </w:p>
        </w:tc>
        <w:tc>
          <w:tcPr>
            <w:tcW w:w="200" w:type="dxa"/>
            <w:vAlign w:val="bottom"/>
          </w:tcPr>
          <w:p>
            <w:pPr>
              <w:spacing w:after="0"/>
              <w:rPr>
                <w:sz w:val="24"/>
                <w:szCs w:val="24"/>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2,374,228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COMPANY/INVESTMENT</w:t>
            </w:r>
            <w:r>
              <w:rPr>
                <w:rFonts w:ascii="Arial" w:cs="Arial" w:eastAsia="Arial" w:hAnsi="Arial"/>
                <w:sz w:val="23"/>
                <w:szCs w:val="23"/>
                <w:b w:val="1"/>
                <w:bCs w:val="1"/>
                <w:color w:val="auto"/>
                <w:vertAlign w:val="superscript"/>
              </w:rPr>
              <w:t>(1)(14)</w:t>
            </w:r>
          </w:p>
        </w:tc>
        <w:tc>
          <w:tcPr>
            <w:tcW w:w="20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3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23"/>
                <w:szCs w:val="23"/>
                <w:b w:val="1"/>
                <w:bCs w:val="1"/>
                <w:color w:val="auto"/>
                <w:w w:val="99"/>
                <w:vertAlign w:val="superscript"/>
              </w:rPr>
              <w:t>(2)</w:t>
            </w:r>
          </w:p>
        </w:tc>
        <w:tc>
          <w:tcPr>
            <w:tcW w:w="140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55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150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136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Structured Finance - Equity Investments - (continued)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THL Credit Wind River 2014-3 CLO Ltd.</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16.82%, maturity October 22, 2031)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19,639,000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14,921,907</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11,783,400</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THL Credit Wind River 2017-1 CLO Ltd.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(5)(7)(12)</w:t>
            </w:r>
            <w:r>
              <w:rPr>
                <w:rFonts w:ascii="Arial" w:cs="Arial" w:eastAsia="Arial" w:hAnsi="Arial"/>
                <w:sz w:val="13"/>
                <w:szCs w:val="13"/>
                <w:color w:val="auto"/>
              </w:rPr>
              <w:t>, (Estimated yield 12.81%, maturity April 18, 2029)</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12,000,000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10,307,013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7,200,000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THL Credit Wind River 2017-4 CLO Ltd.</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17.40%, maturity November 20, 2030)</w:t>
            </w:r>
          </w:p>
        </w:tc>
        <w:tc>
          <w:tcPr>
            <w:tcW w:w="200" w:type="dxa"/>
            <w:vAlign w:val="bottom"/>
          </w:tcPr>
          <w:p>
            <w:pPr>
              <w:spacing w:after="0"/>
              <w:rPr>
                <w:sz w:val="16"/>
                <w:szCs w:val="16"/>
                <w:color w:val="auto"/>
              </w:rPr>
            </w:pP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8,200,000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7,704,435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6,970,000</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Tralee CLO II, Ltd.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29.50%, maturity July 20, 2029)</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6,300,000</w:t>
            </w: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2,477,110</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2,142,000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Tralee CLO IV, Ltd.</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19.85%, maturity January 20, 2030)</w:t>
            </w:r>
          </w:p>
        </w:tc>
        <w:tc>
          <w:tcPr>
            <w:tcW w:w="200" w:type="dxa"/>
            <w:vAlign w:val="bottom"/>
          </w:tcPr>
          <w:p>
            <w:pPr>
              <w:spacing w:after="0"/>
              <w:rPr>
                <w:sz w:val="16"/>
                <w:szCs w:val="16"/>
                <w:color w:val="auto"/>
              </w:rPr>
            </w:pP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13,270,000</w:t>
            </w:r>
          </w:p>
        </w:tc>
        <w:tc>
          <w:tcPr>
            <w:tcW w:w="2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11,943,466</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9,554,400</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Venture XIV CLO, Limited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18.60%, maturity August 28, 2029)</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8,250,000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4,722,350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3,547,500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XV CLO, Limited</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10.20%, maturity July 15, 2028)</w:t>
            </w:r>
          </w:p>
        </w:tc>
        <w:tc>
          <w:tcPr>
            <w:tcW w:w="200" w:type="dxa"/>
            <w:vAlign w:val="bottom"/>
          </w:tcPr>
          <w:p>
            <w:pPr>
              <w:spacing w:after="0"/>
              <w:rPr>
                <w:sz w:val="16"/>
                <w:szCs w:val="16"/>
                <w:color w:val="auto"/>
              </w:rPr>
            </w:pP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6,500,000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4,460,525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2,860,000</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Venture XVII CLO, Limited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17.44%, maturity April 15, 2027)</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17,000,000</w:t>
            </w: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11,464,411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8,936,540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XX CLO, Limited</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18.28%, maturity April 15, 2027)</w:t>
            </w:r>
          </w:p>
        </w:tc>
        <w:tc>
          <w:tcPr>
            <w:tcW w:w="200" w:type="dxa"/>
            <w:vAlign w:val="bottom"/>
          </w:tcPr>
          <w:p>
            <w:pPr>
              <w:spacing w:after="0"/>
              <w:rPr>
                <w:sz w:val="16"/>
                <w:szCs w:val="16"/>
                <w:color w:val="auto"/>
              </w:rPr>
            </w:pP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6,000,000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4,456,490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3,540,000</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Venture XXI CLO, Limited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23.70%, maturity July 15, 2027)</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20,950,000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14,735,888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12,989,000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Venture 33 CLO, Limited</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19.98%, maturity July 15, 2031)</w:t>
            </w:r>
          </w:p>
        </w:tc>
        <w:tc>
          <w:tcPr>
            <w:tcW w:w="200" w:type="dxa"/>
            <w:vAlign w:val="bottom"/>
          </w:tcPr>
          <w:p>
            <w:pPr>
              <w:spacing w:after="0"/>
              <w:rPr>
                <w:sz w:val="16"/>
                <w:szCs w:val="16"/>
                <w:color w:val="auto"/>
              </w:rPr>
            </w:pP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18,562,500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16,405,571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15,406,875</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Wellfleet 2016-2 CLO, Ltd.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21.27%, maturity October 20, 2028)</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10,000,000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8,551,257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6,500,000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 CLO 2014-1, Ltd.</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20.18%, maturity July 18, 2026)</w:t>
            </w:r>
          </w:p>
        </w:tc>
        <w:tc>
          <w:tcPr>
            <w:tcW w:w="200" w:type="dxa"/>
            <w:vAlign w:val="bottom"/>
          </w:tcPr>
          <w:p>
            <w:pPr>
              <w:spacing w:after="0"/>
              <w:rPr>
                <w:sz w:val="16"/>
                <w:szCs w:val="16"/>
                <w:color w:val="auto"/>
              </w:rPr>
            </w:pP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1,603,521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1,200,000</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Zais CLO 8, Limited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29.79%, maturity April 15, 2029)</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2,349,278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2,460,000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Zais CLO 9, Limited</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3"/>
                <w:szCs w:val="13"/>
                <w:color w:val="auto"/>
              </w:rPr>
              <w:t>CLO subordinated notes</w:t>
            </w:r>
            <w:r>
              <w:rPr>
                <w:rFonts w:ascii="Arial" w:cs="Arial" w:eastAsia="Arial" w:hAnsi="Arial"/>
                <w:sz w:val="21"/>
                <w:szCs w:val="21"/>
                <w:color w:val="auto"/>
                <w:vertAlign w:val="superscript"/>
              </w:rPr>
              <w:t>(5)(7)</w:t>
            </w:r>
            <w:r>
              <w:rPr>
                <w:rFonts w:ascii="Arial" w:cs="Arial" w:eastAsia="Arial" w:hAnsi="Arial"/>
                <w:sz w:val="13"/>
                <w:szCs w:val="13"/>
                <w:color w:val="auto"/>
              </w:rPr>
              <w:t>, (Estimated yield 19.98%, maturity July 20, 2031)</w:t>
            </w:r>
          </w:p>
        </w:tc>
        <w:tc>
          <w:tcPr>
            <w:tcW w:w="200" w:type="dxa"/>
            <w:vAlign w:val="bottom"/>
          </w:tcPr>
          <w:p>
            <w:pPr>
              <w:spacing w:after="0"/>
              <w:rPr>
                <w:sz w:val="16"/>
                <w:szCs w:val="16"/>
                <w:color w:val="auto"/>
              </w:rPr>
            </w:pP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9,160,000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9,361,062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8,702,000</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CLO equity related investments</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CLO other</w:t>
            </w:r>
            <w:r>
              <w:rPr>
                <w:rFonts w:ascii="Arial" w:cs="Arial" w:eastAsia="Arial" w:hAnsi="Arial"/>
                <w:sz w:val="23"/>
                <w:szCs w:val="23"/>
                <w:color w:val="auto"/>
                <w:vertAlign w:val="superscript"/>
              </w:rPr>
              <w:t>(8)</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3,303,327</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Structured Finance - Equity Investments</w:t>
            </w:r>
          </w:p>
        </w:tc>
        <w:tc>
          <w:tcPr>
            <w:tcW w:w="2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568,615,905</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457,560,599</w:t>
            </w:r>
          </w:p>
        </w:tc>
        <w:tc>
          <w:tcPr>
            <w:tcW w:w="20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158.79</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Collateralized Loan Obligation - Equity Investments</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568,615,905</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457,560,599</w:t>
            </w:r>
          </w:p>
        </w:tc>
        <w:tc>
          <w:tcPr>
            <w:tcW w:w="20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158.79</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bottom w:val="single" w:sz="8" w:color="CCEEFF"/>
            </w:tcBorders>
            <w:gridSpan w:val="3"/>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2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579,032,023</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467,175,097</w:t>
            </w:r>
          </w:p>
        </w:tc>
        <w:tc>
          <w:tcPr>
            <w:tcW w:w="2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162.13</w:t>
            </w:r>
          </w:p>
        </w:tc>
        <w:tc>
          <w:tcPr>
            <w:tcW w:w="1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90"/>
              </w:rPr>
              <w:t>Cash and Cash Equivalents</w:t>
            </w:r>
          </w:p>
        </w:tc>
        <w:tc>
          <w:tcPr>
            <w:tcW w:w="38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4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First American Government Obligations Fund</w:t>
            </w:r>
            <w:r>
              <w:rPr>
                <w:rFonts w:ascii="Arial" w:cs="Arial" w:eastAsia="Arial" w:hAnsi="Arial"/>
                <w:sz w:val="21"/>
                <w:szCs w:val="21"/>
                <w:color w:val="auto"/>
                <w:vertAlign w:val="superscript"/>
              </w:rPr>
              <w:t>(13)</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15,161,212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15,161,212</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gridSpan w:val="3"/>
            <w:shd w:val="clear" w:color="auto" w:fill="CCEEFF"/>
          </w:tcPr>
          <w:p>
            <w:pPr>
              <w:ind w:left="200"/>
              <w:spacing w:after="0" w:line="142" w:lineRule="exact"/>
              <w:rPr>
                <w:sz w:val="20"/>
                <w:szCs w:val="20"/>
                <w:color w:val="auto"/>
              </w:rPr>
            </w:pPr>
            <w:r>
              <w:rPr>
                <w:rFonts w:ascii="Arial" w:cs="Arial" w:eastAsia="Arial" w:hAnsi="Arial"/>
                <w:sz w:val="14"/>
                <w:szCs w:val="14"/>
                <w:b w:val="1"/>
                <w:bCs w:val="1"/>
                <w:color w:val="auto"/>
              </w:rPr>
              <w:t>Total Cash and Cash Equivalents</w:t>
            </w: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15,161,212</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15,161,212</w:t>
            </w:r>
          </w:p>
        </w:tc>
        <w:tc>
          <w:tcPr>
            <w:tcW w:w="20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5.26</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Investments, Cash and Cash Equivalents</w:t>
            </w:r>
          </w:p>
        </w:tc>
        <w:tc>
          <w:tcPr>
            <w:tcW w:w="2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594,193,235</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482,336,309</w:t>
            </w:r>
          </w:p>
        </w:tc>
        <w:tc>
          <w:tcPr>
            <w:tcW w:w="2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167.39</w:t>
            </w:r>
          </w:p>
        </w:tc>
        <w:tc>
          <w:tcPr>
            <w:tcW w:w="1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6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99"/>
              </w:rPr>
              <w:t>LIABILITIES IN EXCESS OF OTHER ASSETS (excluding cash and cash equivalents)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(194,179,158)</w:t>
            </w: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4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NET ASSETS (equivalent to $7.56 per share based on 38,135,027 shares of common stock</w:t>
            </w: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gridSpan w:val="3"/>
          </w:tcPr>
          <w:p>
            <w:pPr>
              <w:ind w:left="140"/>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288,157,151</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6" w:name="page7"/>
    <w:bookmarkEnd w:id="6"/>
    <w:p>
      <w:pPr>
        <w:jc w:val="center"/>
        <w:ind w:right="-57"/>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auto"/>
        </w:rPr>
        <w:t>SCHEDULE OF INVESTMENTS – (continued)</w:t>
      </w:r>
    </w:p>
    <w:p>
      <w:pPr>
        <w:spacing w:after="0" w:line="9"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177165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6" w:lineRule="exact"/>
        <w:rPr>
          <w:sz w:val="20"/>
          <w:szCs w:val="20"/>
          <w:color w:val="auto"/>
        </w:rPr>
      </w:pPr>
    </w:p>
    <w:p>
      <w:pPr>
        <w:ind w:left="318" w:right="100" w:hanging="318"/>
        <w:spacing w:after="0" w:line="209" w:lineRule="auto"/>
        <w:tabs>
          <w:tab w:leader="none" w:pos="31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We do not “control” and are not an “affiliate” of any of our portfolio companies, each as defined in the Investment Company Act of 1940, as amended (the “1940 Act”). In general, under the 1940 Act, we would be presumed to “control” a portfolio company if we owned 25% or more of its voting securities and would be an “affiliate” of a portfolio company if we owned 5% or more of its voting securities.</w:t>
      </w:r>
    </w:p>
    <w:p>
      <w:pPr>
        <w:spacing w:after="0" w:line="1" w:lineRule="exact"/>
        <w:rPr>
          <w:rFonts w:ascii="Arial" w:cs="Arial" w:eastAsia="Arial" w:hAnsi="Arial"/>
          <w:sz w:val="30"/>
          <w:szCs w:val="30"/>
          <w:color w:val="auto"/>
          <w:vertAlign w:val="superscript"/>
        </w:rPr>
      </w:pPr>
    </w:p>
    <w:p>
      <w:pPr>
        <w:ind w:left="318" w:hanging="318"/>
        <w:spacing w:after="0" w:line="187" w:lineRule="auto"/>
        <w:tabs>
          <w:tab w:leader="none" w:pos="31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Fair value is determined in good faith by the Board of Directors of the Fund.</w:t>
      </w:r>
    </w:p>
    <w:p>
      <w:pPr>
        <w:spacing w:after="0" w:line="57" w:lineRule="exact"/>
        <w:rPr>
          <w:rFonts w:ascii="Arial" w:cs="Arial" w:eastAsia="Arial" w:hAnsi="Arial"/>
          <w:sz w:val="30"/>
          <w:szCs w:val="30"/>
          <w:color w:val="auto"/>
          <w:vertAlign w:val="superscript"/>
        </w:rPr>
      </w:pPr>
    </w:p>
    <w:p>
      <w:pPr>
        <w:ind w:left="318" w:hanging="318"/>
        <w:spacing w:after="0" w:line="186" w:lineRule="auto"/>
        <w:tabs>
          <w:tab w:leader="none" w:pos="318"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Notes bear interest at variable rates.</w:t>
      </w:r>
    </w:p>
    <w:p>
      <w:pPr>
        <w:spacing w:after="0" w:line="56" w:lineRule="exact"/>
        <w:rPr>
          <w:rFonts w:ascii="Arial" w:cs="Arial" w:eastAsia="Arial" w:hAnsi="Arial"/>
          <w:sz w:val="24"/>
          <w:szCs w:val="24"/>
          <w:color w:val="auto"/>
          <w:vertAlign w:val="superscript"/>
        </w:rPr>
      </w:pPr>
    </w:p>
    <w:p>
      <w:pPr>
        <w:ind w:left="318" w:hanging="318"/>
        <w:spacing w:after="0" w:line="186" w:lineRule="auto"/>
        <w:tabs>
          <w:tab w:leader="none" w:pos="318"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Cost value reflects accretion of original issue discount or market discount.</w:t>
      </w:r>
    </w:p>
    <w:p>
      <w:pPr>
        <w:spacing w:after="0" w:line="56" w:lineRule="exact"/>
        <w:rPr>
          <w:rFonts w:ascii="Arial" w:cs="Arial" w:eastAsia="Arial" w:hAnsi="Arial"/>
          <w:sz w:val="24"/>
          <w:szCs w:val="24"/>
          <w:color w:val="auto"/>
          <w:vertAlign w:val="superscript"/>
        </w:rPr>
      </w:pPr>
    </w:p>
    <w:p>
      <w:pPr>
        <w:ind w:left="318" w:hanging="318"/>
        <w:spacing w:after="0" w:line="186" w:lineRule="auto"/>
        <w:tabs>
          <w:tab w:leader="none" w:pos="318"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Cost value reflects accretion of effective yield less any cash distributions received or entitled to be received from CLO equity investments.</w:t>
      </w:r>
    </w:p>
    <w:p>
      <w:pPr>
        <w:spacing w:after="0" w:line="56" w:lineRule="exact"/>
        <w:rPr>
          <w:rFonts w:ascii="Arial" w:cs="Arial" w:eastAsia="Arial" w:hAnsi="Arial"/>
          <w:sz w:val="24"/>
          <w:szCs w:val="24"/>
          <w:color w:val="auto"/>
          <w:vertAlign w:val="superscript"/>
        </w:rPr>
      </w:pPr>
    </w:p>
    <w:p>
      <w:pPr>
        <w:ind w:left="318" w:right="360" w:hanging="318"/>
        <w:spacing w:after="0" w:line="187" w:lineRule="auto"/>
        <w:tabs>
          <w:tab w:leader="none" w:pos="31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CLO secured notes generally bear interest at a rate determined by reference to three-month LIBOR which resets quarterly. For each CLO debt investment, the rate provided is as of December 31, 2018.</w:t>
      </w:r>
    </w:p>
    <w:p>
      <w:pPr>
        <w:spacing w:after="0" w:line="40" w:lineRule="exact"/>
        <w:rPr>
          <w:rFonts w:ascii="Arial" w:cs="Arial" w:eastAsia="Arial" w:hAnsi="Arial"/>
          <w:sz w:val="30"/>
          <w:szCs w:val="30"/>
          <w:color w:val="auto"/>
          <w:vertAlign w:val="superscript"/>
        </w:rPr>
      </w:pPr>
    </w:p>
    <w:p>
      <w:pPr>
        <w:ind w:left="318" w:right="100" w:hanging="318"/>
        <w:spacing w:after="0" w:line="224" w:lineRule="auto"/>
        <w:tabs>
          <w:tab w:leader="none" w:pos="31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CLO subordinated notes, preferred shares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ind w:left="318" w:hanging="318"/>
        <w:spacing w:after="0" w:line="187" w:lineRule="auto"/>
        <w:tabs>
          <w:tab w:leader="none" w:pos="31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Fair value represents discounted cash flows associated with fees earned from CLO equity investments</w:t>
      </w:r>
    </w:p>
    <w:p>
      <w:pPr>
        <w:spacing w:after="0" w:line="57" w:lineRule="exact"/>
        <w:rPr>
          <w:rFonts w:ascii="Arial" w:cs="Arial" w:eastAsia="Arial" w:hAnsi="Arial"/>
          <w:sz w:val="30"/>
          <w:szCs w:val="30"/>
          <w:color w:val="auto"/>
          <w:vertAlign w:val="superscript"/>
        </w:rPr>
      </w:pPr>
    </w:p>
    <w:p>
      <w:pPr>
        <w:ind w:left="318" w:hanging="318"/>
        <w:spacing w:after="0" w:line="186" w:lineRule="auto"/>
        <w:tabs>
          <w:tab w:leader="none" w:pos="318"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Investment has not made inaugural distribution for relevant period end. See “Note 4. Investment Income.”</w:t>
      </w:r>
    </w:p>
    <w:p>
      <w:pPr>
        <w:spacing w:after="0" w:line="56" w:lineRule="exact"/>
        <w:rPr>
          <w:rFonts w:ascii="Arial" w:cs="Arial" w:eastAsia="Arial" w:hAnsi="Arial"/>
          <w:sz w:val="24"/>
          <w:szCs w:val="24"/>
          <w:color w:val="auto"/>
          <w:vertAlign w:val="superscript"/>
        </w:rPr>
      </w:pPr>
    </w:p>
    <w:p>
      <w:pPr>
        <w:ind w:left="318" w:hanging="318"/>
        <w:spacing w:after="0" w:line="213" w:lineRule="auto"/>
        <w:tabs>
          <w:tab w:leader="none" w:pos="318"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The subordinated shares and preferred shares represent an investment in a warehouse facility, which is a financing structure intended to aggregate loans that may be used to form the basis of a CLO vehicle.</w:t>
      </w:r>
    </w:p>
    <w:p>
      <w:pPr>
        <w:spacing w:after="0" w:line="1" w:lineRule="exact"/>
        <w:rPr>
          <w:rFonts w:ascii="Arial" w:cs="Arial" w:eastAsia="Arial" w:hAnsi="Arial"/>
          <w:sz w:val="26"/>
          <w:szCs w:val="26"/>
          <w:color w:val="auto"/>
          <w:vertAlign w:val="superscript"/>
        </w:rPr>
      </w:pPr>
    </w:p>
    <w:p>
      <w:pPr>
        <w:ind w:left="318" w:hanging="318"/>
        <w:spacing w:after="0" w:line="216" w:lineRule="auto"/>
        <w:tabs>
          <w:tab w:leader="none" w:pos="318"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The CLO equity investment was optionally redeemed. See “Note 5. Securities Transactions.”</w:t>
      </w:r>
    </w:p>
    <w:p>
      <w:pPr>
        <w:spacing w:after="0" w:line="56" w:lineRule="exact"/>
        <w:rPr>
          <w:rFonts w:ascii="Arial" w:cs="Arial" w:eastAsia="Arial" w:hAnsi="Arial"/>
          <w:sz w:val="26"/>
          <w:szCs w:val="26"/>
          <w:color w:val="auto"/>
          <w:vertAlign w:val="superscript"/>
        </w:rPr>
      </w:pPr>
    </w:p>
    <w:p>
      <w:pPr>
        <w:ind w:left="318" w:hanging="318"/>
        <w:spacing w:after="0" w:line="186" w:lineRule="auto"/>
        <w:tabs>
          <w:tab w:leader="none" w:pos="318"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Securities held as collateral pursuant to repurchase agreement with Nomura Securities International, Inc. See “Note 2. Investment Valuation.”</w:t>
      </w:r>
    </w:p>
    <w:p>
      <w:pPr>
        <w:spacing w:after="0" w:line="56" w:lineRule="exact"/>
        <w:rPr>
          <w:rFonts w:ascii="Arial" w:cs="Arial" w:eastAsia="Arial" w:hAnsi="Arial"/>
          <w:sz w:val="24"/>
          <w:szCs w:val="24"/>
          <w:color w:val="auto"/>
          <w:vertAlign w:val="superscript"/>
        </w:rPr>
      </w:pPr>
    </w:p>
    <w:p>
      <w:pPr>
        <w:ind w:left="318" w:hanging="318"/>
        <w:spacing w:after="0" w:line="186" w:lineRule="auto"/>
        <w:tabs>
          <w:tab w:leader="none" w:pos="318"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Represents cash equivalents held in a money market account as of December 31, 2018.</w:t>
      </w:r>
    </w:p>
    <w:p>
      <w:pPr>
        <w:spacing w:after="0" w:line="56" w:lineRule="exact"/>
        <w:rPr>
          <w:rFonts w:ascii="Arial" w:cs="Arial" w:eastAsia="Arial" w:hAnsi="Arial"/>
          <w:sz w:val="24"/>
          <w:szCs w:val="24"/>
          <w:color w:val="auto"/>
          <w:vertAlign w:val="superscript"/>
        </w:rPr>
      </w:pPr>
    </w:p>
    <w:p>
      <w:pPr>
        <w:ind w:left="318" w:hanging="318"/>
        <w:spacing w:after="0" w:line="186" w:lineRule="auto"/>
        <w:tabs>
          <w:tab w:leader="none" w:pos="318"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The fair value of the investment was determined using significant unobservable inputs. See “Note 3. Fair Value.”</w:t>
      </w:r>
    </w:p>
    <w:p>
      <w:pPr>
        <w:spacing w:after="0" w:line="256"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375285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38"/>
          </w:cols>
          <w:pgMar w:left="302" w:top="827" w:right="35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SCHEDULE OF INVESTMENTS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FINANCIAL STATEMENTS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Interim financial statements of Oxford Lane Capital Corp. (“OXLC,” “we,” “us,” “our,” or the “Fund”) are prepared in accordance with generally accepted accounting principles in the United States of America (“GAAP”) for interim financial information and pursuant to the requirements for reporting on Form N-Q. Accordingly, certain disclosures accompanying annual and semi-annual financial statements prepared in accordance with GAAP are omitted. In the opinion of management, all adjustments, consisting of normal recurring accruals, necessary for the fair statement of financial results for the interim periods have been omitted. The current period’s results of operations are not necessarily indicative of results that may be achieved for the year. The interim financial statements and notes thereto should be read in conjunction with the financial statements and notes thereto included in the Fund’s Form N-CSR for the six months ended September 30, 2018, as filed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 VALUATION</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The Fund fair values its investment portfolio in accordance with the provisions of Financial Accounting Standards Board Accounting Standards Codification (“ASC”) Topic 820, </w:t>
      </w:r>
      <w:r>
        <w:rPr>
          <w:rFonts w:ascii="Arial" w:cs="Arial" w:eastAsia="Arial" w:hAnsi="Arial"/>
          <w:sz w:val="17"/>
          <w:szCs w:val="17"/>
          <w:i w:val="1"/>
          <w:iCs w:val="1"/>
          <w:color w:val="auto"/>
        </w:rPr>
        <w:t>Fair Value Measurement and Disclosure</w:t>
      </w:r>
      <w:r>
        <w:rPr>
          <w:rFonts w:ascii="Arial" w:cs="Arial" w:eastAsia="Arial" w:hAnsi="Arial"/>
          <w:sz w:val="17"/>
          <w:szCs w:val="17"/>
          <w:color w:val="auto"/>
        </w:rPr>
        <w:t>. Estimates made in the preparation of OXLC’s financial statements include the 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 OXLC is required to specifically fair value each individual investment on a quarterly basis.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little or no market data exists.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Collateralized Loan Obligations — Debt and Equity</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OXLC has acquired debt and equity positions in Collateralized Loan Obligations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about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Oxford Lane Management, LLC (“OXLC Management” or the “Adviser”) or the Fund’s board of directors (the “Board of Directors”) may elect to engage third-party valuation firms to provide assistance to our Valuation Committee and Board of Directors in valuing certain of our investments, including, but not limited to, when requested by the Board of Directors or the Adviser. If a third-party valuation firm is engaged by the Fund, it will provide the Board of Directors with a written report with respect to each investment it has reviewed. The Valuation Committee will evaluate the impact of such additional information, and factor it into its consideration of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Sold Under Agreement to Repurchase</w:t>
      </w:r>
    </w:p>
    <w:p>
      <w:pPr>
        <w:spacing w:after="0" w:line="225"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Fund has entered into an agreement, whereby, it sold securities to be repurchased at an agreed-upon price and date. The Fund accounts for this transaction as a collateralized financing transaction and this transaction recorded at its contracted repurchase amount plus interest. The Fund’s securities sold under the agreement to repurchase are carried at cost, which approximates fair value. Please Refer to “Note 9. Borrowings Related to Securities Sold Under Agreement to Repurchase” in our most recent Semi-Annual Report as of September 30, 2018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Fund’s assets measured at fair value on a recurring basis subject to the disclosure requirements of ASC 820-10 at December 31, 2018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6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Fair Value Measurements at Reporting Date Using</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Significant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Active Markets for</w:t>
            </w:r>
          </w:p>
        </w:tc>
        <w:tc>
          <w:tcPr>
            <w:tcW w:w="100" w:type="dxa"/>
            <w:vAlign w:val="bottom"/>
          </w:tcPr>
          <w:p>
            <w:pPr>
              <w:spacing w:after="0"/>
              <w:rPr>
                <w:sz w:val="18"/>
                <w:szCs w:val="18"/>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Other Observable</w:t>
            </w: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Unobservable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 ($ in millions)</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Identical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(Level 2)</w:t>
            </w:r>
          </w:p>
        </w:tc>
        <w:tc>
          <w:tcPr>
            <w:tcW w:w="16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3)</w:t>
            </w:r>
          </w:p>
        </w:tc>
        <w:tc>
          <w:tcPr>
            <w:tcW w:w="300" w:type="dxa"/>
            <w:vAlign w:val="bottom"/>
          </w:tcPr>
          <w:p>
            <w:pPr>
              <w:spacing w:after="0"/>
              <w:rPr>
                <w:sz w:val="20"/>
                <w:szCs w:val="20"/>
                <w:color w:val="auto"/>
              </w:rPr>
            </w:pPr>
          </w:p>
        </w:tc>
        <w:tc>
          <w:tcPr>
            <w:tcW w:w="124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CLO equity</w:t>
            </w:r>
          </w:p>
        </w:tc>
        <w:tc>
          <w:tcPr>
            <w:tcW w:w="10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457.6</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 investments at fair value</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467.2</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6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Cash equivalents</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467.2</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720" w:hanging="256"/>
        <w:spacing w:after="0"/>
        <w:tabs>
          <w:tab w:leader="none" w:pos="7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Includes rounding adjustment to reconcile ending assets at fair value as of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Fund’s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the level of each financial liability within the fair value hierarchy: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19"/>
                <w:szCs w:val="19"/>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220" w:type="dxa"/>
            <w:vAlign w:val="bottom"/>
          </w:tcPr>
          <w:p>
            <w:pPr>
              <w:spacing w:after="0"/>
              <w:rPr>
                <w:sz w:val="20"/>
                <w:szCs w:val="20"/>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Pr>
          <w:p>
            <w:pPr>
              <w:spacing w:after="0"/>
              <w:rPr>
                <w:sz w:val="20"/>
                <w:szCs w:val="20"/>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7.50% Series 2023 Term Preferred Shares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6.75% Series 2024 Term Preferred Shares</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225"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7"/>
          <w:szCs w:val="17"/>
          <w:color w:val="auto"/>
        </w:rPr>
        <w:t>In accordance with ASC 820-10, the following table provides quantitative information about the Fund’s Level 3 fair value measurements as of December 31, 2018.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techniques and methodologies and asset category.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gridSpan w:val="9"/>
          </w:tcPr>
          <w:p>
            <w:pPr>
              <w:ind w:left="640"/>
              <w:spacing w:after="0"/>
              <w:rPr>
                <w:sz w:val="20"/>
                <w:szCs w:val="20"/>
                <w:color w:val="auto"/>
              </w:rPr>
            </w:pPr>
            <w:r>
              <w:rPr>
                <w:rFonts w:ascii="Arial" w:cs="Arial" w:eastAsia="Arial" w:hAnsi="Arial"/>
                <w:sz w:val="18"/>
                <w:szCs w:val="18"/>
                <w:b w:val="1"/>
                <w:bCs w:val="1"/>
                <w:color w:val="auto"/>
              </w:rPr>
              <w:t>Quantitative Information about Level 3 Fair Value Measurements</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Impact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7"/>
              </w:rPr>
              <w:t>Fair Value as of</w:t>
            </w:r>
          </w:p>
        </w:tc>
        <w:tc>
          <w:tcPr>
            <w:tcW w:w="180" w:type="dxa"/>
            <w:vAlign w:val="bottom"/>
          </w:tcPr>
          <w:p>
            <w:pPr>
              <w:spacing w:after="0"/>
              <w:rPr>
                <w:sz w:val="19"/>
                <w:szCs w:val="19"/>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Valuation Techniques /</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c>
          <w:tcPr>
            <w:tcW w:w="2260" w:type="dxa"/>
            <w:vAlign w:val="bottom"/>
            <w:gridSpan w:val="2"/>
          </w:tcPr>
          <w:p>
            <w:pPr>
              <w:ind w:left="400"/>
              <w:spacing w:after="0"/>
              <w:rPr>
                <w:sz w:val="20"/>
                <w:szCs w:val="20"/>
                <w:color w:val="auto"/>
              </w:rPr>
            </w:pPr>
            <w:r>
              <w:rPr>
                <w:rFonts w:ascii="Arial" w:cs="Arial" w:eastAsia="Arial" w:hAnsi="Arial"/>
                <w:sz w:val="18"/>
                <w:szCs w:val="18"/>
                <w:b w:val="1"/>
                <w:bCs w:val="1"/>
                <w:color w:val="auto"/>
              </w:rPr>
              <w:t>Range / Weighted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Valuation from an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80" w:type="dxa"/>
            <w:vAlign w:val="bottom"/>
            <w:gridSpan w:val="2"/>
          </w:tcPr>
          <w:p>
            <w:pPr>
              <w:ind w:left="110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3"/>
                <w:szCs w:val="23"/>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88"/>
              </w:rPr>
              <w:t>December 31, 2018</w:t>
            </w:r>
          </w:p>
        </w:tc>
        <w:tc>
          <w:tcPr>
            <w:tcW w:w="180" w:type="dxa"/>
            <w:vAlign w:val="bottom"/>
          </w:tcPr>
          <w:p>
            <w:pPr>
              <w:spacing w:after="0"/>
              <w:rPr>
                <w:sz w:val="23"/>
                <w:szCs w:val="23"/>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Methodologies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Input</w:t>
            </w:r>
          </w:p>
        </w:tc>
        <w:tc>
          <w:tcPr>
            <w:tcW w:w="2260" w:type="dxa"/>
            <w:vAlign w:val="bottom"/>
            <w:gridSpan w:val="2"/>
          </w:tcPr>
          <w:p>
            <w:pPr>
              <w:ind w:left="680"/>
              <w:spacing w:after="0" w:line="269"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30"/>
                <w:szCs w:val="30"/>
                <w:b w:val="1"/>
                <w:bCs w:val="1"/>
                <w:color w:val="auto"/>
                <w:vertAlign w:val="superscript"/>
              </w:rPr>
              <w:t>(5)</w:t>
            </w:r>
          </w:p>
        </w:tc>
        <w:tc>
          <w:tcPr>
            <w:tcW w:w="150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9"/>
              </w:rPr>
              <w:t>Increase in Input</w:t>
            </w:r>
            <w:r>
              <w:rPr>
                <w:rFonts w:ascii="Arial" w:cs="Arial" w:eastAsia="Arial" w:hAnsi="Arial"/>
                <w:sz w:val="30"/>
                <w:szCs w:val="30"/>
                <w:b w:val="1"/>
                <w:bCs w:val="1"/>
                <w:color w:val="auto"/>
                <w:w w:val="89"/>
                <w:vertAlign w:val="superscript"/>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6"/>
              </w:rPr>
              <w:t>in millions)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debt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Market quotes</w:t>
            </w:r>
          </w:p>
        </w:tc>
        <w:tc>
          <w:tcPr>
            <w:tcW w:w="134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85.9%-92.0% / 87.6%</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2"/>
                <w:szCs w:val="22"/>
                <w:color w:val="auto"/>
              </w:rPr>
            </w:pPr>
          </w:p>
        </w:tc>
        <w:tc>
          <w:tcPr>
            <w:tcW w:w="186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9"/>
                <w:szCs w:val="29"/>
                <w:color w:val="auto"/>
                <w:w w:val="89"/>
                <w:vertAlign w:val="superscript"/>
              </w:rPr>
              <w:t>(4)</w:t>
            </w:r>
          </w:p>
        </w:tc>
        <w:tc>
          <w:tcPr>
            <w:tcW w:w="134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2160" w:type="dxa"/>
            <w:vAlign w:val="bottom"/>
          </w:tcPr>
          <w:p>
            <w:pPr>
              <w:spacing w:after="0" w:line="256" w:lineRule="exact"/>
              <w:rPr>
                <w:sz w:val="20"/>
                <w:szCs w:val="20"/>
                <w:color w:val="auto"/>
              </w:rPr>
            </w:pPr>
            <w:r>
              <w:rPr>
                <w:rFonts w:ascii="Arial" w:cs="Arial" w:eastAsia="Arial" w:hAnsi="Arial"/>
                <w:sz w:val="18"/>
                <w:szCs w:val="18"/>
                <w:color w:val="auto"/>
              </w:rPr>
              <w:t>80%</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00" w:type="dxa"/>
            <w:vAlign w:val="bottom"/>
            <w:gridSpan w:val="3"/>
          </w:tcPr>
          <w:p>
            <w:pPr>
              <w:spacing w:after="0"/>
              <w:rPr>
                <w:sz w:val="20"/>
                <w:szCs w:val="20"/>
                <w:color w:val="auto"/>
              </w:rPr>
            </w:pPr>
            <w:r>
              <w:rPr>
                <w:rFonts w:ascii="Arial" w:cs="Arial" w:eastAsia="Arial" w:hAnsi="Arial"/>
                <w:sz w:val="18"/>
                <w:szCs w:val="18"/>
                <w:color w:val="auto"/>
              </w:rPr>
              <w:t>CLO equity</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338.2</w:t>
            </w:r>
          </w:p>
        </w:tc>
        <w:tc>
          <w:tcPr>
            <w:tcW w:w="180" w:type="dxa"/>
            <w:vAlign w:val="bottom"/>
          </w:tcPr>
          <w:p>
            <w:pPr>
              <w:spacing w:after="0"/>
              <w:rPr>
                <w:sz w:val="22"/>
                <w:szCs w:val="22"/>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Market quotes</w:t>
            </w:r>
          </w:p>
        </w:tc>
        <w:tc>
          <w:tcPr>
            <w:tcW w:w="134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2160" w:type="dxa"/>
            <w:vAlign w:val="bottom"/>
          </w:tcPr>
          <w:p>
            <w:pPr>
              <w:spacing w:after="0"/>
              <w:rPr>
                <w:sz w:val="20"/>
                <w:szCs w:val="20"/>
                <w:color w:val="auto"/>
              </w:rPr>
            </w:pPr>
            <w:r>
              <w:rPr>
                <w:rFonts w:ascii="Arial" w:cs="Arial" w:eastAsia="Arial" w:hAnsi="Arial"/>
                <w:sz w:val="18"/>
                <w:szCs w:val="18"/>
                <w:color w:val="auto"/>
              </w:rPr>
              <w:t>2.0%-100.0% / 53.3%</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Recent Transaction</w:t>
            </w:r>
          </w:p>
        </w:tc>
        <w:tc>
          <w:tcPr>
            <w:tcW w:w="134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8"/>
              </w:rPr>
              <w:t>Actual trade</w:t>
            </w:r>
            <w:r>
              <w:rPr>
                <w:rFonts w:ascii="Arial" w:cs="Arial" w:eastAsia="Arial" w:hAnsi="Arial"/>
                <w:sz w:val="29"/>
                <w:szCs w:val="29"/>
                <w:color w:val="auto"/>
                <w:w w:val="88"/>
                <w:vertAlign w:val="superscript"/>
              </w:rPr>
              <w:t>(3)</w:t>
            </w:r>
          </w:p>
        </w:tc>
        <w:tc>
          <w:tcPr>
            <w:tcW w:w="21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57.9%</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2"/>
                <w:szCs w:val="22"/>
                <w:color w:val="auto"/>
              </w:rPr>
            </w:pPr>
          </w:p>
        </w:tc>
        <w:tc>
          <w:tcPr>
            <w:tcW w:w="186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9"/>
                <w:szCs w:val="29"/>
                <w:color w:val="auto"/>
                <w:w w:val="89"/>
                <w:vertAlign w:val="superscript"/>
              </w:rPr>
              <w:t>(4)</w:t>
            </w:r>
          </w:p>
        </w:tc>
        <w:tc>
          <w:tcPr>
            <w:tcW w:w="134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7"/>
              </w:rPr>
              <w:t>Discount rate</w:t>
            </w:r>
            <w:r>
              <w:rPr>
                <w:rFonts w:ascii="Arial" w:cs="Arial" w:eastAsia="Arial" w:hAnsi="Arial"/>
                <w:sz w:val="29"/>
                <w:szCs w:val="29"/>
                <w:color w:val="auto"/>
                <w:w w:val="87"/>
                <w:vertAlign w:val="superscript"/>
              </w:rPr>
              <w:t>(4)</w:t>
            </w:r>
          </w:p>
        </w:tc>
        <w:tc>
          <w:tcPr>
            <w:tcW w:w="2160" w:type="dxa"/>
            <w:vAlign w:val="bottom"/>
          </w:tcPr>
          <w:p>
            <w:pPr>
              <w:spacing w:after="0"/>
              <w:rPr>
                <w:sz w:val="20"/>
                <w:szCs w:val="20"/>
                <w:color w:val="auto"/>
              </w:rPr>
            </w:pPr>
            <w:r>
              <w:rPr>
                <w:rFonts w:ascii="Arial" w:cs="Arial" w:eastAsia="Arial" w:hAnsi="Arial"/>
                <w:sz w:val="18"/>
                <w:szCs w:val="18"/>
                <w:color w:val="auto"/>
              </w:rPr>
              <w:t>9.5%-47.0% / 12.8%</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Yield Analysis</w:t>
            </w:r>
          </w:p>
        </w:tc>
        <w:tc>
          <w:tcPr>
            <w:tcW w:w="134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36.0%-82.0% / 60.2%</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800" w:type="dxa"/>
            <w:vAlign w:val="bottom"/>
            <w:gridSpan w:val="3"/>
          </w:tcPr>
          <w:p>
            <w:pPr>
              <w:spacing w:after="0"/>
              <w:rPr>
                <w:sz w:val="20"/>
                <w:szCs w:val="20"/>
                <w:color w:val="auto"/>
              </w:rPr>
            </w:pPr>
            <w:r>
              <w:rPr>
                <w:rFonts w:ascii="Arial" w:cs="Arial" w:eastAsia="Arial" w:hAnsi="Arial"/>
                <w:sz w:val="18"/>
                <w:szCs w:val="18"/>
                <w:color w:val="auto"/>
              </w:rPr>
              <w:t>CLO equity - side letters</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2"/>
                <w:szCs w:val="22"/>
                <w:color w:val="auto"/>
              </w:rPr>
            </w:pPr>
          </w:p>
        </w:tc>
        <w:tc>
          <w:tcPr>
            <w:tcW w:w="186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9"/>
                <w:szCs w:val="29"/>
                <w:color w:val="auto"/>
                <w:w w:val="89"/>
                <w:vertAlign w:val="superscript"/>
              </w:rPr>
              <w:t>(4)</w:t>
            </w:r>
          </w:p>
        </w:tc>
        <w:tc>
          <w:tcPr>
            <w:tcW w:w="134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7"/>
              </w:rPr>
              <w:t>Discount rate</w:t>
            </w:r>
            <w:r>
              <w:rPr>
                <w:rFonts w:ascii="Arial" w:cs="Arial" w:eastAsia="Arial" w:hAnsi="Arial"/>
                <w:sz w:val="29"/>
                <w:szCs w:val="29"/>
                <w:color w:val="auto"/>
                <w:w w:val="87"/>
                <w:vertAlign w:val="superscript"/>
              </w:rPr>
              <w:t>(4)</w:t>
            </w:r>
          </w:p>
        </w:tc>
        <w:tc>
          <w:tcPr>
            <w:tcW w:w="2160" w:type="dxa"/>
            <w:vAlign w:val="bottom"/>
          </w:tcPr>
          <w:p>
            <w:pPr>
              <w:spacing w:after="0"/>
              <w:rPr>
                <w:sz w:val="20"/>
                <w:szCs w:val="20"/>
                <w:color w:val="auto"/>
              </w:rPr>
            </w:pPr>
            <w:r>
              <w:rPr>
                <w:rFonts w:ascii="Arial" w:cs="Arial" w:eastAsia="Arial" w:hAnsi="Arial"/>
                <w:sz w:val="18"/>
                <w:szCs w:val="18"/>
                <w:color w:val="auto"/>
              </w:rPr>
              <w:t>8.0%-17.0% / 13.4%</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Total Fair Value for Level 3</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80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467.2</w:t>
            </w: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116"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 (continued)</w:t>
      </w:r>
    </w:p>
    <w:p>
      <w:pPr>
        <w:spacing w:after="0" w:line="229" w:lineRule="exact"/>
        <w:rPr>
          <w:sz w:val="20"/>
          <w:szCs w:val="20"/>
          <w:color w:val="auto"/>
        </w:rPr>
      </w:pPr>
    </w:p>
    <w:p>
      <w:pPr>
        <w:ind w:left="600" w:hanging="295"/>
        <w:spacing w:after="0" w:line="224" w:lineRule="auto"/>
        <w:tabs>
          <w:tab w:leader="none" w:pos="60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The Fund generally uses non-binding indicative prices (“NBIP”)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OXLC Management, including performance and covenant compliance information as provided by the independent trustee.</w:t>
      </w:r>
    </w:p>
    <w:p>
      <w:pPr>
        <w:ind w:left="600" w:hanging="295"/>
        <w:spacing w:after="0" w:line="180" w:lineRule="auto"/>
        <w:tabs>
          <w:tab w:leader="none" w:pos="600"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Represents a single investment fair value position, and therefore the range/weighted average is not applicable.</w:t>
      </w:r>
    </w:p>
    <w:p>
      <w:pPr>
        <w:spacing w:after="0" w:line="2" w:lineRule="exact"/>
        <w:rPr>
          <w:rFonts w:ascii="Arial" w:cs="Arial" w:eastAsia="Arial" w:hAnsi="Arial"/>
          <w:sz w:val="25"/>
          <w:szCs w:val="25"/>
          <w:color w:val="auto"/>
          <w:vertAlign w:val="superscript"/>
        </w:rPr>
      </w:pPr>
    </w:p>
    <w:p>
      <w:pPr>
        <w:ind w:left="600" w:right="160" w:hanging="295"/>
        <w:spacing w:after="0" w:line="187" w:lineRule="auto"/>
        <w:tabs>
          <w:tab w:leader="none" w:pos="60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Prices provided by independent pricing services are evaluated in conjunction with actual trades, and in certain cases, the value represented by actual trades may be more representative of fair value as determined by the Board of Directors.</w:t>
      </w:r>
    </w:p>
    <w:p>
      <w:pPr>
        <w:jc w:val="both"/>
        <w:ind w:left="600" w:right="120" w:hanging="295"/>
        <w:spacing w:after="0" w:line="228" w:lineRule="auto"/>
        <w:tabs>
          <w:tab w:leader="none" w:pos="60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The Fund will calculate the fair value of certain CLO equity investments based upon the net present value of expected contractual payment streams discounted using estimated market yields for the equity tranche of the respective CLO vehicle. OXLC will also consider those investments in which the record date for an equity distribution payment falls on the last day of the period, and the likelihood that a prospective purchaser would require an adjustment to the transaction price representing substantially all of the pending distribution.</w:t>
      </w:r>
    </w:p>
    <w:p>
      <w:pPr>
        <w:spacing w:after="0" w:line="1" w:lineRule="exact"/>
        <w:rPr>
          <w:rFonts w:ascii="Arial" w:cs="Arial" w:eastAsia="Arial" w:hAnsi="Arial"/>
          <w:sz w:val="28"/>
          <w:szCs w:val="28"/>
          <w:color w:val="auto"/>
          <w:vertAlign w:val="superscript"/>
        </w:rPr>
      </w:pPr>
    </w:p>
    <w:p>
      <w:pPr>
        <w:ind w:left="600" w:hanging="295"/>
        <w:spacing w:after="0" w:line="180" w:lineRule="auto"/>
        <w:tabs>
          <w:tab w:leader="none" w:pos="600"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Weighted averages are calculated based on fair value of investments.</w:t>
      </w:r>
    </w:p>
    <w:p>
      <w:pPr>
        <w:spacing w:after="0" w:line="2" w:lineRule="exact"/>
        <w:rPr>
          <w:rFonts w:ascii="Arial" w:cs="Arial" w:eastAsia="Arial" w:hAnsi="Arial"/>
          <w:sz w:val="25"/>
          <w:szCs w:val="25"/>
          <w:color w:val="auto"/>
          <w:vertAlign w:val="superscript"/>
        </w:rPr>
      </w:pPr>
    </w:p>
    <w:p>
      <w:pPr>
        <w:ind w:left="600" w:right="120" w:hanging="295"/>
        <w:spacing w:after="0" w:line="232" w:lineRule="auto"/>
        <w:tabs>
          <w:tab w:leader="none" w:pos="60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securitization vehicles and equity 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Arial" w:cs="Arial" w:eastAsia="Arial" w:hAnsi="Arial"/>
          <w:sz w:val="18"/>
          <w:szCs w:val="18"/>
          <w:i w:val="1"/>
          <w:iCs w:val="1"/>
          <w:color w:val="auto"/>
        </w:rPr>
        <w:t>Beneficial Interests in Securitized Financial Assets</w:t>
      </w:r>
      <w:r>
        <w:rPr>
          <w:rFonts w:ascii="Arial" w:cs="Arial" w:eastAsia="Arial" w:hAnsi="Arial"/>
          <w:sz w:val="18"/>
          <w:szCs w:val="18"/>
          <w:color w:val="auto"/>
        </w:rPr>
        <w:t>, based upon an effective yield to the expected redemption utilizing estimated cash flows,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Fund also records income on its investments in certain securitization vehicles (or “CLO warehouse facilities”) based on a stated rate as per the underlying note purchase agreement or, if there is no stated rate, then an estimated rate is calculated using a base case model projecting the timing of the ramp-up of the CLO warehouse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 Debt Investments</w:t>
      </w:r>
    </w:p>
    <w:p>
      <w:pPr>
        <w:spacing w:after="0" w:line="225"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187"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December 31, 2018, the Fund had no non-accrual assets in its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INCOME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8"/>
          <w:szCs w:val="18"/>
          <w:color w:val="auto"/>
        </w:rPr>
        <w:t>Other income includes distributions from fee letters and success fees associated with portfolio investments. Distributions from fee letters are based upon a percentage of the collateral manager’s fees, and are recorded as other income when earned. The Fund may also earn success fees associated with its investments in CLO warehouse facilities, which are contingent upon a repayment of the warehouse by a permanent CLO securitization structure; such fees are earned and recognized when the repayment is completed.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SECURITIES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Securities transactions are recorded on trade date. Realized gains and losses on investments sold are recorded on the basis of specific identification.</w:t>
      </w:r>
    </w:p>
    <w:p>
      <w:pPr>
        <w:spacing w:after="0" w:line="2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 optional redemption (“optionally redeemed”) feature of a CLO allows a majority of the holders of the equity securities issued by the CLO issuer, after the end of a specified non-call period, to cause the redemption of the secured notes issued by the CLO with proceeds of either the liquidation of the CLO’s assets or through a refinancing with new debt. The optional redemption is effectively a voluntary prepayment of the secured debt issued by the CLO prior to the stated maturity of such debt.</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Distributions received on CLO equity investments which were optionally redeemed for which the cost basis has been reduced to zero are recorded as realized gains.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U.S. FEDERAL INCOME TAXES</w:t>
      </w:r>
    </w:p>
    <w:p>
      <w:pPr>
        <w:spacing w:after="0" w:line="229" w:lineRule="exact"/>
        <w:rPr>
          <w:sz w:val="20"/>
          <w:szCs w:val="20"/>
          <w:color w:val="auto"/>
        </w:rPr>
      </w:pPr>
    </w:p>
    <w:p>
      <w:pPr>
        <w:ind w:right="200" w:firstLine="584"/>
        <w:spacing w:after="0" w:line="259" w:lineRule="auto"/>
        <w:rPr>
          <w:sz w:val="20"/>
          <w:szCs w:val="20"/>
          <w:color w:val="auto"/>
        </w:rPr>
      </w:pPr>
      <w:r>
        <w:rPr>
          <w:rFonts w:ascii="Arial" w:cs="Arial" w:eastAsia="Arial" w:hAnsi="Arial"/>
          <w:sz w:val="18"/>
          <w:szCs w:val="18"/>
          <w:color w:val="auto"/>
        </w:rPr>
        <w:t>The Fund intends to operate so as to continue to qualify to be taxed as a regulated investment company (“RIC”) under Subchapter M of the Internal Revenue Code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187" w:lineRule="exact"/>
        <w:rPr>
          <w:sz w:val="20"/>
          <w:szCs w:val="20"/>
          <w:color w:val="auto"/>
        </w:rPr>
      </w:pPr>
    </w:p>
    <w:p>
      <w:pPr>
        <w:ind w:right="160" w:firstLine="584"/>
        <w:spacing w:after="0" w:line="257" w:lineRule="auto"/>
        <w:rPr>
          <w:sz w:val="20"/>
          <w:szCs w:val="20"/>
          <w:color w:val="auto"/>
        </w:rPr>
      </w:pPr>
      <w:r>
        <w:rPr>
          <w:rFonts w:ascii="Arial" w:cs="Arial" w:eastAsia="Arial" w:hAnsi="Arial"/>
          <w:sz w:val="18"/>
          <w:szCs w:val="18"/>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ind w:right="80" w:firstLine="584"/>
        <w:spacing w:after="0" w:line="257" w:lineRule="auto"/>
        <w:rPr>
          <w:sz w:val="20"/>
          <w:szCs w:val="20"/>
          <w:color w:val="auto"/>
        </w:rPr>
      </w:pPr>
      <w:r>
        <w:rPr>
          <w:rFonts w:ascii="Arial" w:cs="Arial" w:eastAsia="Arial" w:hAnsi="Arial"/>
          <w:sz w:val="18"/>
          <w:szCs w:val="18"/>
          <w:color w:val="auto"/>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 expected to be taken in the Fund’s fiscal 2019 tax returns. The Fund identifies its major tax jurisdictions as U.S Federal and Connecticut State. The Fund is not aware of any tax position for which it is reasonably possible that the total amounts of unrecognized tax benefits will change materially in the next six months 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0" w:firstLine="584"/>
        <w:spacing w:after="0" w:line="293" w:lineRule="auto"/>
        <w:rPr>
          <w:sz w:val="20"/>
          <w:szCs w:val="20"/>
          <w:color w:val="auto"/>
        </w:rPr>
      </w:pPr>
      <w:r>
        <w:rPr>
          <w:rFonts w:ascii="Arial" w:cs="Arial" w:eastAsia="Arial" w:hAnsi="Arial"/>
          <w:sz w:val="16"/>
          <w:szCs w:val="16"/>
          <w:color w:val="auto"/>
        </w:rPr>
        <w:t>Our distribution policy is based upon our estimate of our distributable net investment income, which includes actual distributions from our CLO equity class investments, with further consideration given to our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quarterly and paid monthly. Net realized capital gains, unless offset by any available capital loss carry-forward, are typically distributed to stockholders annually. Distributions to stockholders are recorded on the ex-dividend date and are automatically reinvested in full and fractional shares of the Fund in accordance with the Fund’s distribution reinvestment plan, unless the stockholder has elected to have them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U.S. FEDERAL INCOME TAXES (cont.)</w:t>
      </w:r>
    </w:p>
    <w:p>
      <w:pPr>
        <w:spacing w:after="0" w:line="229" w:lineRule="exact"/>
        <w:rPr>
          <w:sz w:val="20"/>
          <w:szCs w:val="20"/>
          <w:color w:val="auto"/>
        </w:rPr>
      </w:pPr>
    </w:p>
    <w:p>
      <w:pPr>
        <w:ind w:right="460" w:firstLine="584"/>
        <w:spacing w:after="0" w:line="277" w:lineRule="auto"/>
        <w:rPr>
          <w:sz w:val="20"/>
          <w:szCs w:val="20"/>
          <w:color w:val="auto"/>
        </w:rPr>
      </w:pPr>
      <w:r>
        <w:rPr>
          <w:rFonts w:ascii="Arial" w:cs="Arial" w:eastAsia="Arial" w:hAnsi="Arial"/>
          <w:sz w:val="18"/>
          <w:szCs w:val="18"/>
          <w:color w:val="auto"/>
        </w:rPr>
        <w:t>Amounts required to be distributed reflect estimates made by the Fund. Distributions paid by the Fund in accordance with RIC requirements are subject to re-characterization for tax purposes.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9320" w:type="dxa"/>
            <w:vAlign w:val="bottom"/>
          </w:tcPr>
          <w:p>
            <w:pPr>
              <w:ind w:left="20"/>
              <w:spacing w:after="0"/>
              <w:rPr>
                <w:sz w:val="20"/>
                <w:szCs w:val="20"/>
                <w:color w:val="auto"/>
              </w:rPr>
            </w:pPr>
            <w:r>
              <w:rPr>
                <w:rFonts w:ascii="Arial" w:cs="Arial" w:eastAsia="Arial" w:hAnsi="Arial"/>
                <w:sz w:val="18"/>
                <w:szCs w:val="18"/>
                <w:color w:val="auto"/>
              </w:rPr>
              <w:t>As of December 31, 2018, the cost and net unrealized depreciation of securities on a tax basis were as follows: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for federal income tax purposes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607,728,148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unrealized appreciation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932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10,794,390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9320" w:type="dxa"/>
            <w:vAlign w:val="bottom"/>
          </w:tcPr>
          <w:p>
            <w:pPr>
              <w:ind w:left="20"/>
              <w:spacing w:after="0"/>
              <w:rPr>
                <w:sz w:val="20"/>
                <w:szCs w:val="20"/>
                <w:color w:val="auto"/>
              </w:rPr>
            </w:pPr>
            <w:r>
              <w:rPr>
                <w:rFonts w:ascii="Arial" w:cs="Arial" w:eastAsia="Arial" w:hAnsi="Arial"/>
                <w:sz w:val="18"/>
                <w:szCs w:val="18"/>
                <w:color w:val="auto"/>
              </w:rPr>
              <w:t>Gross unrealized depreciation</w:t>
            </w:r>
          </w:p>
        </w:tc>
        <w:tc>
          <w:tcPr>
            <w:tcW w:w="2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(151,347,441)</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9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unrealized depreciation</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(140,553,051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2. Controls and Procedures.</w:t>
      </w:r>
    </w:p>
    <w:p>
      <w:pPr>
        <w:spacing w:after="0" w:line="225" w:lineRule="exact"/>
        <w:rPr>
          <w:sz w:val="20"/>
          <w:szCs w:val="20"/>
          <w:color w:val="auto"/>
        </w:rPr>
      </w:pPr>
    </w:p>
    <w:p>
      <w:pPr>
        <w:ind w:firstLine="258"/>
        <w:spacing w:after="0" w:line="293" w:lineRule="auto"/>
        <w:tabs>
          <w:tab w:leader="none" w:pos="76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an evaluation of the Disclosure Controls and Procedures (as defined in Rule 30a-3(c) under the Investment Company Act of 1940, as amended, the “Disclosure Controls”) as of a date within 90 days prior to the filing date (the “Filing Date”) of this Form N-Q (the “Report”), the Chief Executive Officer (the principal executive officer) and Chief Financial Officer (the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64" w:lineRule="exact"/>
        <w:rPr>
          <w:rFonts w:ascii="Arial" w:cs="Arial" w:eastAsia="Arial" w:hAnsi="Arial"/>
          <w:sz w:val="16"/>
          <w:szCs w:val="16"/>
          <w:color w:val="auto"/>
        </w:rPr>
      </w:pPr>
    </w:p>
    <w:p>
      <w:pPr>
        <w:ind w:right="20" w:firstLine="258"/>
        <w:spacing w:after="0" w:line="264" w:lineRule="auto"/>
        <w:tabs>
          <w:tab w:leader="none" w:pos="7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were no changes in the Registrant’s internal control over financial reporting (as defined in Rule 30a-3(d) under the Investment Company Act of 1940, as amended) that occurred during the Registrant’s last fiscal quarter that have materially affected or are reasonably likely to materially affect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3. Exhibits.</w:t>
      </w:r>
    </w:p>
    <w:p>
      <w:pPr>
        <w:spacing w:after="0" w:line="225" w:lineRule="exact"/>
        <w:rPr>
          <w:sz w:val="20"/>
          <w:szCs w:val="20"/>
          <w:color w:val="auto"/>
        </w:rPr>
      </w:pPr>
    </w:p>
    <w:p>
      <w:pPr>
        <w:ind w:right="140" w:firstLine="584"/>
        <w:spacing w:after="0" w:line="277" w:lineRule="auto"/>
        <w:rPr>
          <w:sz w:val="20"/>
          <w:szCs w:val="20"/>
          <w:color w:val="auto"/>
        </w:rPr>
      </w:pPr>
      <w:r>
        <w:rPr>
          <w:rFonts w:ascii="Arial" w:cs="Arial" w:eastAsia="Arial" w:hAnsi="Arial"/>
          <w:sz w:val="18"/>
          <w:szCs w:val="18"/>
          <w:color w:val="auto"/>
        </w:rPr>
        <w:t>Certifications of principal executive officer and principal financial officer as required by Rule 30a-2(a) under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3" w:name="page14"/>
    <w:bookmarkEnd w:id="13"/>
    <w:p>
      <w:pPr>
        <w:jc w:val="center"/>
        <w:ind w:right="10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and the Investment Company Act of 1940, as amended, the Registrant has duly caused this report to be signed on its behalf by the undersigned, thereunto duly authorized.</w:t>
      </w:r>
    </w:p>
    <w:p>
      <w:pPr>
        <w:spacing w:after="0" w:line="170" w:lineRule="exact"/>
        <w:rPr>
          <w:sz w:val="20"/>
          <w:szCs w:val="20"/>
          <w:color w:val="auto"/>
        </w:rPr>
      </w:pPr>
    </w:p>
    <w:p>
      <w:pPr>
        <w:jc w:val="center"/>
        <w:ind w:right="8900"/>
        <w:spacing w:after="0"/>
        <w:rPr>
          <w:sz w:val="20"/>
          <w:szCs w:val="20"/>
          <w:color w:val="auto"/>
        </w:rPr>
      </w:pPr>
      <w:r>
        <w:rPr>
          <w:rFonts w:ascii="Arial" w:cs="Arial" w:eastAsia="Arial" w:hAnsi="Arial"/>
          <w:sz w:val="17"/>
          <w:szCs w:val="17"/>
          <w:color w:val="auto"/>
        </w:rPr>
        <w:t>OXFORD LANE CAPITAL CORP.</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Jonathan H. Cohen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-130810</wp:posOffset>
            </wp:positionV>
            <wp:extent cx="3267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11, 2019</w:t>
      </w:r>
    </w:p>
    <w:p>
      <w:pPr>
        <w:spacing w:after="0" w:line="22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and the Investment Company Act of 1940, as amended, this report has been signed below by the following persons on behalf of the Registrant and in the capacities and on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gridSpan w:val="2"/>
          </w:tcPr>
          <w:p>
            <w:pPr>
              <w:ind w:left="340"/>
              <w:spacing w:after="0"/>
              <w:rPr>
                <w:sz w:val="20"/>
                <w:szCs w:val="20"/>
                <w:color w:val="auto"/>
              </w:rPr>
            </w:pPr>
            <w:r>
              <w:rPr>
                <w:rFonts w:ascii="Arial" w:cs="Arial" w:eastAsia="Arial" w:hAnsi="Arial"/>
                <w:sz w:val="18"/>
                <w:szCs w:val="18"/>
                <w:color w:val="auto"/>
              </w:rPr>
              <w:t>By: /s/ Jonathan H. Cohen</w:t>
            </w: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By: /s/ Bruce L. Rubin</w:t>
            </w:r>
          </w:p>
        </w:tc>
      </w:tr>
      <w:tr>
        <w:trPr>
          <w:trHeight w:val="195"/>
        </w:trPr>
        <w:tc>
          <w:tcPr>
            <w:tcW w:w="66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H. Cohen</w:t>
            </w:r>
          </w:p>
        </w:tc>
        <w:tc>
          <w:tcPr>
            <w:tcW w:w="460" w:type="dxa"/>
            <w:vAlign w:val="bottom"/>
          </w:tcPr>
          <w:p>
            <w:pPr>
              <w:spacing w:after="0"/>
              <w:rPr>
                <w:sz w:val="16"/>
                <w:szCs w:val="16"/>
                <w:color w:val="auto"/>
              </w:rPr>
            </w:pPr>
          </w:p>
        </w:tc>
        <w:tc>
          <w:tcPr>
            <w:tcW w:w="50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Bruce L. Rubin</w:t>
            </w:r>
          </w:p>
        </w:tc>
      </w:tr>
      <w:tr>
        <w:trPr>
          <w:trHeight w:val="216"/>
        </w:trPr>
        <w:tc>
          <w:tcPr>
            <w:tcW w:w="6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46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660" w:type="dxa"/>
            <w:vAlign w:val="bottom"/>
          </w:tcPr>
          <w:p>
            <w:pPr>
              <w:spacing w:after="0"/>
              <w:rPr>
                <w:sz w:val="20"/>
                <w:szCs w:val="20"/>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20"/>
                <w:szCs w:val="20"/>
                <w:color w:val="auto"/>
              </w:rPr>
            </w:pPr>
          </w:p>
        </w:tc>
        <w:tc>
          <w:tcPr>
            <w:tcW w:w="5020" w:type="dxa"/>
            <w:vAlign w:val="bottom"/>
            <w:gridSpan w:val="2"/>
          </w:tcPr>
          <w:p>
            <w:pPr>
              <w:ind w:left="32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66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Date: February 11, 2019</w:t>
            </w:r>
          </w:p>
        </w:tc>
        <w:tc>
          <w:tcPr>
            <w:tcW w:w="46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Date: February 11, 2019</w:t>
            </w:r>
          </w:p>
        </w:tc>
      </w:tr>
      <w:tr>
        <w:trPr>
          <w:trHeight w:val="588"/>
        </w:trPr>
        <w:tc>
          <w:tcPr>
            <w:tcW w:w="6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520"/>
          </w:cols>
          <w:pgMar w:left="240" w:top="800" w:right="1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99.Cert</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12(a)(2)</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225" w:lineRule="exact"/>
        <w:rPr>
          <w:sz w:val="20"/>
          <w:szCs w:val="20"/>
          <w:color w:val="auto"/>
        </w:rPr>
      </w:pPr>
    </w:p>
    <w:p>
      <w:pPr>
        <w:ind w:left="600" w:hanging="295"/>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52" w:lineRule="exact"/>
        <w:rPr>
          <w:rFonts w:ascii="Arial" w:cs="Arial" w:eastAsia="Arial" w:hAnsi="Arial"/>
          <w:sz w:val="18"/>
          <w:szCs w:val="18"/>
          <w:color w:val="auto"/>
        </w:rPr>
      </w:pPr>
    </w:p>
    <w:p>
      <w:pPr>
        <w:jc w:val="both"/>
        <w:ind w:left="600" w:hanging="295"/>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200" w:hanging="295"/>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00" w:right="100" w:hanging="295"/>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900" w:hanging="298"/>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98"/>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right="80" w:hanging="298"/>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900" w:hanging="298"/>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00" w:right="180" w:hanging="295"/>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00" w:right="260" w:hanging="298"/>
        <w:spacing w:after="0" w:line="308" w:lineRule="auto"/>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220" w:hanging="298"/>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11th day of February,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Exhibit 12(a)(2)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225" w:lineRule="exact"/>
        <w:rPr>
          <w:sz w:val="20"/>
          <w:szCs w:val="20"/>
          <w:color w:val="auto"/>
        </w:rPr>
      </w:pPr>
    </w:p>
    <w:p>
      <w:pPr>
        <w:ind w:left="600" w:hanging="295"/>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52" w:lineRule="exact"/>
        <w:rPr>
          <w:rFonts w:ascii="Arial" w:cs="Arial" w:eastAsia="Arial" w:hAnsi="Arial"/>
          <w:sz w:val="18"/>
          <w:szCs w:val="18"/>
          <w:color w:val="auto"/>
        </w:rPr>
      </w:pPr>
    </w:p>
    <w:p>
      <w:pPr>
        <w:jc w:val="both"/>
        <w:ind w:left="600" w:hanging="295"/>
        <w:spacing w:after="0" w:line="26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200" w:hanging="295"/>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00" w:right="100" w:hanging="295"/>
        <w:spacing w:after="0" w:line="26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900" w:right="340" w:hanging="298"/>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98"/>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right="80" w:hanging="298"/>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900" w:hanging="298"/>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00" w:right="180" w:hanging="295"/>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00" w:right="260" w:hanging="298"/>
        <w:spacing w:after="0" w:line="308" w:lineRule="auto"/>
        <w:tabs>
          <w:tab w:leader="none" w:pos="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220" w:hanging="298"/>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11th day of February,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99.906CERT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12(b)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30a-2(b) Certification</w:t>
      </w:r>
    </w:p>
    <w:p>
      <w:pPr>
        <w:spacing w:after="0" w:line="211" w:lineRule="exact"/>
        <w:rPr>
          <w:sz w:val="20"/>
          <w:szCs w:val="20"/>
          <w:color w:val="auto"/>
        </w:rPr>
      </w:pPr>
    </w:p>
    <w:p>
      <w:pPr>
        <w:jc w:val="both"/>
        <w:ind w:right="80" w:firstLine="437"/>
        <w:spacing w:after="0" w:line="264" w:lineRule="auto"/>
        <w:rPr>
          <w:sz w:val="20"/>
          <w:szCs w:val="20"/>
          <w:color w:val="auto"/>
        </w:rPr>
      </w:pPr>
      <w:r>
        <w:rPr>
          <w:rFonts w:ascii="Arial" w:cs="Arial" w:eastAsia="Arial" w:hAnsi="Arial"/>
          <w:sz w:val="18"/>
          <w:szCs w:val="18"/>
          <w:color w:val="auto"/>
        </w:rPr>
        <w:t>In connection with the Report on Form N-Q for the quarter ended December 31, 2018 (the “Report”) of Oxford Lane Capital Corp. (the “Registrant”), as filed with the Securities and Exchange Commission on the date hereof, I, Jonathan H. Cohen, the Chief Executive Officer of the Registrant, hereby certify, to the best of my knowledge, that:</w:t>
      </w:r>
    </w:p>
    <w:p>
      <w:pPr>
        <w:spacing w:after="0" w:line="181" w:lineRule="exact"/>
        <w:rPr>
          <w:sz w:val="20"/>
          <w:szCs w:val="20"/>
          <w:color w:val="auto"/>
        </w:rPr>
      </w:pPr>
    </w:p>
    <w:p>
      <w:pPr>
        <w:ind w:left="900" w:hanging="298"/>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900" w:hanging="298"/>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color w:val="auto"/>
        </w:rPr>
        <w:t>Exhibit 12(b)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Rule 30a-2(b) Certification</w:t>
      </w:r>
    </w:p>
    <w:p>
      <w:pPr>
        <w:spacing w:after="0" w:line="211" w:lineRule="exact"/>
        <w:rPr>
          <w:sz w:val="20"/>
          <w:szCs w:val="20"/>
          <w:color w:val="auto"/>
        </w:rPr>
      </w:pPr>
    </w:p>
    <w:p>
      <w:pPr>
        <w:jc w:val="both"/>
        <w:ind w:right="140" w:firstLine="437"/>
        <w:spacing w:after="0" w:line="264" w:lineRule="auto"/>
        <w:rPr>
          <w:sz w:val="20"/>
          <w:szCs w:val="20"/>
          <w:color w:val="auto"/>
        </w:rPr>
      </w:pPr>
      <w:r>
        <w:rPr>
          <w:rFonts w:ascii="Arial" w:cs="Arial" w:eastAsia="Arial" w:hAnsi="Arial"/>
          <w:sz w:val="18"/>
          <w:szCs w:val="18"/>
          <w:color w:val="auto"/>
        </w:rPr>
        <w:t>In connection with the Report on Form N-Q for the quarter ended December 31, 2018 (the “Report”) of Oxford Lane Capital Corp. (the “Registrant”), as filed with the Securities and Exchange Commission on the date hereof, I, Bruce L. Rubin, the Chief Financial Officer of the Registrant, hereby certify, to the best of my knowledge, that:</w:t>
      </w:r>
    </w:p>
    <w:p>
      <w:pPr>
        <w:spacing w:after="0" w:line="181" w:lineRule="exact"/>
        <w:rPr>
          <w:sz w:val="20"/>
          <w:szCs w:val="20"/>
          <w:color w:val="auto"/>
        </w:rPr>
      </w:pPr>
    </w:p>
    <w:p>
      <w:pPr>
        <w:ind w:left="900" w:hanging="298"/>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900" w:hanging="298"/>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80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2020-01-09T19:58:32Z</dcterms:created>
  <dcterms:modified xsi:type="dcterms:W3CDTF">2020-01-09T19:58:32Z</dcterms:modified>
</cp:coreProperties>
</file>