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1212215</wp:posOffset>
            </wp:positionH>
            <wp:positionV relativeFrom="page">
              <wp:posOffset>200660</wp:posOffset>
            </wp:positionV>
            <wp:extent cx="514540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243205</wp:posOffset>
            </wp:positionV>
            <wp:extent cx="514540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2603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N-CSR</w:t>
      </w:r>
    </w:p>
    <w:p>
      <w:pPr>
        <w:spacing w:after="0" w:line="7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CERTIFIED SHAREHOLDER REPORT OF REGISTERED MANAGEMENT</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INVESTMENT COMPANIES</w:t>
      </w:r>
    </w:p>
    <w:p>
      <w:pPr>
        <w:spacing w:after="0" w:line="3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Investment Company Act file number 811-22432</w:t>
      </w:r>
    </w:p>
    <w:p>
      <w:pPr>
        <w:spacing w:after="0" w:line="33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Oxford Lane Capital Corp.</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6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 Sound Shore Drive, Suite 255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3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Jonathan H. Cohen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 Sound Shore Drive, Suite 255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7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200" w:lineRule="exact"/>
        <w:rPr>
          <w:sz w:val="24"/>
          <w:szCs w:val="24"/>
          <w:color w:val="auto"/>
        </w:rPr>
      </w:pP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983-5275</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fiscal year end: March 31</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reporting period: September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165735</wp:posOffset>
            </wp:positionV>
            <wp:extent cx="51454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1714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200025</wp:posOffset>
            </wp:positionV>
            <wp:extent cx="514540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1714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474345</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184"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b w:val="1"/>
          <w:bCs w:val="1"/>
          <w:color w:val="auto"/>
        </w:rPr>
        <w:t>Item 1. Reports to Shareholders.</w:t>
      </w:r>
    </w:p>
    <w:p>
      <w:pPr>
        <w:spacing w:after="0" w:line="189" w:lineRule="exact"/>
        <w:rPr>
          <w:sz w:val="20"/>
          <w:szCs w:val="20"/>
          <w:color w:val="auto"/>
        </w:rPr>
      </w:pPr>
    </w:p>
    <w:p>
      <w:pPr>
        <w:ind w:left="460" w:right="879" w:firstLine="324"/>
        <w:spacing w:after="0" w:line="282" w:lineRule="auto"/>
        <w:rPr>
          <w:sz w:val="20"/>
          <w:szCs w:val="20"/>
          <w:color w:val="auto"/>
        </w:rPr>
      </w:pPr>
      <w:r>
        <w:rPr>
          <w:rFonts w:ascii="Times New Roman" w:cs="Times New Roman" w:eastAsia="Times New Roman" w:hAnsi="Times New Roman"/>
          <w:sz w:val="18"/>
          <w:szCs w:val="18"/>
          <w:color w:val="auto"/>
        </w:rPr>
        <w:t>The semi-annual report to shareholders for the six months ended September 30, 2017 is filed herewith pursuant to rule 30e-1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Oxford Lane Capital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Semi-Annual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i w:val="1"/>
          <w:iCs w:val="1"/>
          <w:color w:val="auto"/>
        </w:rPr>
        <w:t>oxfordlanecapital.com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263525</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tbl>
      <w:tblPr>
        <w:tblLayout w:type="fixed"/>
        <w:tblInd w:w="4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OXFORD LANE CAPITAL CORP.</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2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58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Letter to Shareholders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Top Ten Holdings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Assets and Liabilities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Schedule of Investments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Operations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Statement of Changes in Net Assets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Cash Flows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Reinvestment Plan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Management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Approval of the Investment Advisory Agreement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Submission of Matters to a Vote of Shareholders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Information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November 7, 2017</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Our Shareholders:</w:t>
      </w:r>
    </w:p>
    <w:p>
      <w:pPr>
        <w:spacing w:after="0" w:line="180" w:lineRule="exact"/>
        <w:rPr>
          <w:sz w:val="20"/>
          <w:szCs w:val="20"/>
          <w:color w:val="auto"/>
        </w:rPr>
      </w:pPr>
    </w:p>
    <w:p>
      <w:pPr>
        <w:ind w:left="460" w:right="479" w:firstLine="324"/>
        <w:spacing w:after="0" w:line="255" w:lineRule="auto"/>
        <w:rPr>
          <w:sz w:val="20"/>
          <w:szCs w:val="20"/>
          <w:color w:val="auto"/>
        </w:rPr>
      </w:pPr>
      <w:r>
        <w:rPr>
          <w:rFonts w:ascii="Times New Roman" w:cs="Times New Roman" w:eastAsia="Times New Roman" w:hAnsi="Times New Roman"/>
          <w:sz w:val="18"/>
          <w:szCs w:val="18"/>
          <w:color w:val="auto"/>
        </w:rPr>
        <w:t>We are pleased to submit to you the report of Oxford Lane Capital Corp. (“we”, “us”, “our”, the “Fund” or “Oxford Lane”) for the six months ended September 30, 2017. The net asset value of our shares at that date was $9.71 per common share. The Fund’s common stock is traded on the NASDAQ Global Select Market and its share price can differ from its net asset value. The Fund’s closing price at September 30, 2017 was $10.20, down from $11.13 at March 31, 2017. The total return for Oxford Lane, for the six months ended September 30, 2017, as reflected in the Fund’s financial highlights, was (0.92%). This return reflects the change in market price for the period, as well as the impact of $0.80 per share in distributions declared and paid. On November 6, 2017, the last reported sale price of the Fund’s common stock was $10.61.</w:t>
      </w:r>
    </w:p>
    <w:p>
      <w:pPr>
        <w:spacing w:after="0" w:line="145" w:lineRule="exact"/>
        <w:rPr>
          <w:sz w:val="20"/>
          <w:szCs w:val="20"/>
          <w:color w:val="auto"/>
        </w:rPr>
      </w:pPr>
    </w:p>
    <w:p>
      <w:pPr>
        <w:ind w:left="460" w:right="599" w:firstLine="324"/>
        <w:spacing w:after="0" w:line="271" w:lineRule="auto"/>
        <w:rPr>
          <w:sz w:val="20"/>
          <w:szCs w:val="20"/>
          <w:color w:val="auto"/>
        </w:rPr>
      </w:pPr>
      <w:r>
        <w:rPr>
          <w:rFonts w:ascii="Times New Roman" w:cs="Times New Roman" w:eastAsia="Times New Roman" w:hAnsi="Times New Roman"/>
          <w:sz w:val="17"/>
          <w:szCs w:val="17"/>
          <w:color w:val="auto"/>
        </w:rPr>
        <w:t>We note that there may be significant differences between Oxford Lane’s earnings prepared in accordance with accounting principles generally accepted in the United States of America (“GAAP”) and our taxable earnings, particularly related to collateralized loan obligation (“CLO”) equity investments where our taxable earnings are based upon the distributable share of earnings as determined under tax regulations for each CLO equity investment, while GAAP earnings are based upon an effective yield calculation. Additionally, as our taxable earnings are not generally known until after our distributions are made, those distributions may or may not represent a return of capital on a tax basis. While reportable GAAP revenue from our CLO equity investments for the six months ended September 30, 2017 was approximately $33.4 million, we received or were entitled to receive approximately $64.3 million in distributions from our CLO equity investments.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Review</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Fund’s investment objective is to maximize its portfolio’s risk adjusted total return over its investment</w:t>
      </w:r>
    </w:p>
    <w:p>
      <w:pPr>
        <w:spacing w:after="0" w:line="32" w:lineRule="exact"/>
        <w:rPr>
          <w:sz w:val="20"/>
          <w:szCs w:val="20"/>
          <w:color w:val="auto"/>
        </w:rPr>
      </w:pPr>
    </w:p>
    <w:p>
      <w:pPr>
        <w:ind w:left="460" w:right="479"/>
        <w:spacing w:after="0" w:line="235" w:lineRule="auto"/>
        <w:rPr>
          <w:sz w:val="20"/>
          <w:szCs w:val="20"/>
          <w:color w:val="auto"/>
        </w:rPr>
      </w:pPr>
      <w:r>
        <w:rPr>
          <w:rFonts w:ascii="Times New Roman" w:cs="Times New Roman" w:eastAsia="Times New Roman" w:hAnsi="Times New Roman"/>
          <w:sz w:val="18"/>
          <w:szCs w:val="18"/>
          <w:color w:val="auto"/>
        </w:rPr>
        <w:t>horizon. Our current focus is to seek that return by investing in CLO vehicles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which primarily own senior secured corporate loans. Our investment strategy also includes investing in warehouse facilities, which are financing structures intended to aggregate senior secured corporate loans that may be used to form the basis of a CLO vehicle. As of September 30, 2017, we held debt investments in 10 different CLO structures and equity investments in approximately 60 different CLO structures and one investment in a warehouse facility.</w:t>
      </w:r>
    </w:p>
    <w:p>
      <w:pPr>
        <w:spacing w:after="0" w:line="175" w:lineRule="exact"/>
        <w:rPr>
          <w:sz w:val="20"/>
          <w:szCs w:val="20"/>
          <w:color w:val="auto"/>
        </w:rPr>
      </w:pPr>
    </w:p>
    <w:p>
      <w:pPr>
        <w:ind w:left="460" w:right="659" w:firstLine="324"/>
        <w:spacing w:after="0" w:line="274" w:lineRule="auto"/>
        <w:rPr>
          <w:sz w:val="20"/>
          <w:szCs w:val="20"/>
          <w:color w:val="auto"/>
        </w:rPr>
      </w:pPr>
      <w:r>
        <w:rPr>
          <w:rFonts w:ascii="Times New Roman" w:cs="Times New Roman" w:eastAsia="Times New Roman" w:hAnsi="Times New Roman"/>
          <w:sz w:val="17"/>
          <w:szCs w:val="17"/>
          <w:color w:val="auto"/>
        </w:rPr>
        <w:t>Structurally, CLO vehicles are entities formed to purchase and manage portfolios of primarily senior secured corporate loans. The loans within a CLO vehicle are limited to those which, on an aggregated basis, meet established credit criteria. They are subject to concentration limitations in order to limit a CLO vehicle’s exposure to individual credits and industries. The CLO vehicles on which the Fund focuses are collateralized primarily by senior secured corporate loans, and generally have minimal or no exposure to real estate loans, mortgage loans or to pools of consumer-based debt, such as credit card receivables or auto loans.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Outlook</w:t>
      </w:r>
    </w:p>
    <w:p>
      <w:pPr>
        <w:spacing w:after="0" w:line="189" w:lineRule="exact"/>
        <w:rPr>
          <w:sz w:val="20"/>
          <w:szCs w:val="20"/>
          <w:color w:val="auto"/>
        </w:rPr>
      </w:pPr>
    </w:p>
    <w:p>
      <w:pPr>
        <w:ind w:left="460" w:right="579"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market for CLO-related assets continues to provide us with opportunities to generate attractive risk-adjusted returns over the long term. We believe that a number of factors support this conclusion, including:</w:t>
      </w:r>
    </w:p>
    <w:p>
      <w:pPr>
        <w:spacing w:after="0" w:line="136" w:lineRule="exact"/>
        <w:rPr>
          <w:sz w:val="20"/>
          <w:szCs w:val="20"/>
          <w:color w:val="auto"/>
        </w:rPr>
      </w:pPr>
    </w:p>
    <w:p>
      <w:pPr>
        <w:ind w:left="1120" w:right="559" w:hanging="324"/>
        <w:spacing w:after="0" w:line="258" w:lineRule="auto"/>
        <w:rPr>
          <w:sz w:val="20"/>
          <w:szCs w:val="20"/>
          <w:color w:val="auto"/>
        </w:rPr>
      </w:pPr>
      <w:r>
        <w:rPr>
          <w:rFonts w:ascii="Times New Roman" w:cs="Times New Roman" w:eastAsia="Times New Roman" w:hAnsi="Times New Roman"/>
          <w:sz w:val="18"/>
          <w:szCs w:val="18"/>
          <w:color w:val="auto"/>
        </w:rPr>
        <w:t>— The long-term and relatively low-cost capital that many CLO vehicles have secured, compared with current asset spreads and,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spacing w:after="0" w:line="156" w:lineRule="exact"/>
        <w:rPr>
          <w:sz w:val="20"/>
          <w:szCs w:val="20"/>
          <w:color w:val="auto"/>
        </w:rPr>
      </w:pPr>
    </w:p>
    <w:p>
      <w:pPr>
        <w:ind w:left="1120" w:right="599" w:hanging="324"/>
        <w:spacing w:after="0" w:line="266" w:lineRule="auto"/>
        <w:rPr>
          <w:sz w:val="20"/>
          <w:szCs w:val="20"/>
          <w:color w:val="auto"/>
        </w:rPr>
      </w:pPr>
      <w:r>
        <w:rPr>
          <w:rFonts w:ascii="Times New Roman" w:cs="Times New Roman" w:eastAsia="Times New Roman" w:hAnsi="Times New Roman"/>
          <w:sz w:val="18"/>
          <w:szCs w:val="18"/>
          <w:color w:val="auto"/>
        </w:rPr>
        <w:t>— The market to invest in warehouse facilities, which are short and medium-term facilities that are generally expected to form the basis of CLO vehicles (which the Fund may participate in or be repaid by), has created additional attractive risk-adjusted investment opportunities for us.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ind w:left="1120" w:right="499" w:hanging="324"/>
        <w:spacing w:after="0" w:line="261" w:lineRule="auto"/>
        <w:rPr>
          <w:sz w:val="20"/>
          <w:szCs w:val="20"/>
          <w:color w:val="auto"/>
        </w:rPr>
      </w:pPr>
      <w:r>
        <w:rPr>
          <w:rFonts w:ascii="Times New Roman" w:cs="Times New Roman" w:eastAsia="Times New Roman" w:hAnsi="Times New Roman"/>
          <w:sz w:val="18"/>
          <w:szCs w:val="18"/>
          <w:color w:val="auto"/>
        </w:rPr>
        <w:t>— Investing in CLO securities, and CLO equity instruments and warehouse facilities in particular, requires a high level of research and analysis. We believe that transactions in this market can only be adequately conducted by knowledgeable market participants as this market and these structures tend to be highly specialized.</w:t>
      </w:r>
    </w:p>
    <w:p>
      <w:pPr>
        <w:spacing w:after="0" w:line="153" w:lineRule="exact"/>
        <w:rPr>
          <w:sz w:val="20"/>
          <w:szCs w:val="20"/>
          <w:color w:val="auto"/>
        </w:rPr>
      </w:pPr>
    </w:p>
    <w:p>
      <w:pPr>
        <w:ind w:left="1120" w:right="539" w:hanging="324"/>
        <w:spacing w:after="0" w:line="253" w:lineRule="auto"/>
        <w:rPr>
          <w:sz w:val="20"/>
          <w:szCs w:val="20"/>
          <w:color w:val="auto"/>
        </w:rPr>
      </w:pPr>
      <w:r>
        <w:rPr>
          <w:rFonts w:ascii="Times New Roman" w:cs="Times New Roman" w:eastAsia="Times New Roman" w:hAnsi="Times New Roman"/>
          <w:sz w:val="18"/>
          <w:szCs w:val="18"/>
          <w:color w:val="auto"/>
        </w:rPr>
        <w:t>— The U.S. CLO market is relatively large with total assets under management of approximately $453 billion.</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8"/>
          <w:szCs w:val="18"/>
          <w:color w:val="auto"/>
        </w:rPr>
        <w:t xml:space="preserve"> We estimate that the notional amount outstanding of the junior-most debt tranches (specifically the tranches originally rated “BB” and “B”) is approximately $23 billion and the notional amount outstanding of the equity tranches is approximately $47 billion.</w:t>
      </w:r>
      <w:r>
        <w:rPr>
          <w:rFonts w:ascii="Times New Roman" w:cs="Times New Roman" w:eastAsia="Times New Roman" w:hAnsi="Times New Roman"/>
          <w:sz w:val="28"/>
          <w:szCs w:val="28"/>
          <w:color w:val="auto"/>
          <w:vertAlign w:val="superscript"/>
        </w:rPr>
        <w:t>(3)</w:t>
      </w:r>
    </w:p>
    <w:p>
      <w:pPr>
        <w:spacing w:after="0" w:line="33" w:lineRule="exact"/>
        <w:rPr>
          <w:sz w:val="20"/>
          <w:szCs w:val="20"/>
          <w:color w:val="auto"/>
        </w:rPr>
      </w:pPr>
    </w:p>
    <w:p>
      <w:pPr>
        <w:jc w:val="both"/>
        <w:ind w:left="460" w:right="759" w:firstLine="324"/>
        <w:spacing w:after="0" w:line="266" w:lineRule="auto"/>
        <w:rPr>
          <w:sz w:val="20"/>
          <w:szCs w:val="20"/>
          <w:color w:val="auto"/>
        </w:rPr>
      </w:pPr>
      <w:r>
        <w:rPr>
          <w:rFonts w:ascii="Times New Roman" w:cs="Times New Roman" w:eastAsia="Times New Roman" w:hAnsi="Times New Roman"/>
          <w:sz w:val="18"/>
          <w:szCs w:val="18"/>
          <w:color w:val="auto"/>
        </w:rPr>
        <w:t>An investment in our Fund carries with it a significant number of meaningful risks, certain of which are discussed in the notes to our financial statements. Investors should read “Note 13. Risks and Uncertainties” carefully.</w:t>
      </w:r>
    </w:p>
    <w:p>
      <w:pPr>
        <w:spacing w:after="0" w:line="136" w:lineRule="exact"/>
        <w:rPr>
          <w:sz w:val="20"/>
          <w:szCs w:val="20"/>
          <w:color w:val="auto"/>
        </w:rPr>
      </w:pPr>
    </w:p>
    <w:p>
      <w:pPr>
        <w:jc w:val="both"/>
        <w:ind w:left="460" w:right="479" w:firstLine="324"/>
        <w:spacing w:after="0" w:line="261" w:lineRule="auto"/>
        <w:rPr>
          <w:sz w:val="20"/>
          <w:szCs w:val="20"/>
          <w:color w:val="auto"/>
        </w:rPr>
      </w:pPr>
      <w:r>
        <w:rPr>
          <w:rFonts w:ascii="Times New Roman" w:cs="Times New Roman" w:eastAsia="Times New Roman" w:hAnsi="Times New Roman"/>
          <w:sz w:val="18"/>
          <w:szCs w:val="18"/>
          <w:color w:val="auto"/>
        </w:rPr>
        <w:t>We continue to review a large number of CLO investment opportunities in the current market environment, and we expect that the majority of our portfolio holdings, over the near to intermediate-term, will continue to be comprised of CLO debt and equity securities, with the more significant focus over the near-term likely to be on CLO equity securities and warehouse facilities.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Jonathan H. Cohen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____________</w:t>
      </w:r>
    </w:p>
    <w:p>
      <w:pPr>
        <w:spacing w:after="0" w:line="52" w:lineRule="exact"/>
        <w:rPr>
          <w:sz w:val="20"/>
          <w:szCs w:val="20"/>
          <w:color w:val="auto"/>
        </w:rPr>
      </w:pPr>
    </w:p>
    <w:p>
      <w:pPr>
        <w:ind w:left="780" w:right="459" w:hanging="318"/>
        <w:spacing w:after="0" w:line="228" w:lineRule="auto"/>
        <w:tabs>
          <w:tab w:leader="none" w:pos="798"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CLO vehicle is formed by issuing various classes or “tranches” of debt (with the most senior tranches being rated “AAA” to the most junior tranches typically being rated “BB” or “B”) and equity. The tranches of CLO vehicles rated “BB” or “B” may be referred to as “junk.” The equity of a CLO vehicle is generally structured to absorb the CLO’s losses before any of the CLO’s debt tranches, and it also has the lowest level of payment priority among the CLO’s tranches; therefore, the equity is typically the riskiest tranche of a CLO vehicle.</w:t>
      </w:r>
    </w:p>
    <w:p>
      <w:pPr>
        <w:spacing w:after="0" w:line="26" w:lineRule="exact"/>
        <w:rPr>
          <w:rFonts w:ascii="Times New Roman" w:cs="Times New Roman" w:eastAsia="Times New Roman" w:hAnsi="Times New Roman"/>
          <w:sz w:val="30"/>
          <w:szCs w:val="30"/>
          <w:color w:val="auto"/>
          <w:vertAlign w:val="superscript"/>
        </w:rPr>
      </w:pPr>
    </w:p>
    <w:p>
      <w:pPr>
        <w:ind w:left="780" w:right="1059" w:hanging="318"/>
        <w:spacing w:after="0" w:line="195" w:lineRule="auto"/>
        <w:tabs>
          <w:tab w:leader="none" w:pos="798"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June 30, 2017 — Source: Wells Fargo Securities, The CLO Monthly Market Overview, dated October 3, 2017.</w:t>
      </w:r>
    </w:p>
    <w:p>
      <w:pPr>
        <w:spacing w:after="0" w:line="51" w:lineRule="exact"/>
        <w:rPr>
          <w:rFonts w:ascii="Times New Roman" w:cs="Times New Roman" w:eastAsia="Times New Roman" w:hAnsi="Times New Roman"/>
          <w:sz w:val="30"/>
          <w:szCs w:val="30"/>
          <w:color w:val="auto"/>
          <w:vertAlign w:val="superscript"/>
        </w:rPr>
      </w:pPr>
    </w:p>
    <w:p>
      <w:pPr>
        <w:ind w:left="780" w:right="1099" w:hanging="318"/>
        <w:spacing w:after="0" w:line="195" w:lineRule="auto"/>
        <w:tabs>
          <w:tab w:leader="none" w:pos="798"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Oxford Lane has estimated this amount based in part on the Wells Fargo Securities report (noted in footnote 2 above).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TOP TEN HOLDINGS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2017</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12"/>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5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Atrium XII CLO – subordinated notes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22, 2026</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$ 36,153,000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Midocean Credit CLO VI – income notes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20, 2029</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20,748,000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Shackelton 2017-X CLO, Ltd. – subordinated notes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20, 2029</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20,680,000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OFSI Fund VII, Ltd. – subordinated notes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18, 2026</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17,880,800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THL Credit Wind River 2014-3 CLO Ltd. – subordinated</w:t>
            </w:r>
          </w:p>
        </w:tc>
        <w:tc>
          <w:tcPr>
            <w:tcW w:w="1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22, 2027</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15,009,300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OZLM XIV, Ltd. – subordinated notes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15, 2029</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13,137,423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Ares XLIII CLO, Ltd. – subordinated notes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15, 2029</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12,480,781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Venture XXI CLO, Ltd. – subordinated notes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15, 2027</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11,552,250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Battalion CLO VII Ltd. – subordinated notes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17, 2026</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11,280,000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Venture XVII CLO, Ltd. – subordinated notes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15, 2026</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10,224,330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Portfolio Investment Breakdown</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(Excludes cash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142875</wp:posOffset>
            </wp:positionV>
            <wp:extent cx="5145405" cy="46564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465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ASSETS AND LIABILITIES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at fair value (cost: $420,368,653)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395,580,937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4,857,840</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Distributions receivable</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5,640,793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sold not settled</w:t>
            </w: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1,395,557</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offering costs on common stock</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263,056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receivable, including accrued interest purchased</w:t>
            </w: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395,671</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receivable</w:t>
            </w:r>
          </w:p>
        </w:tc>
        <w:tc>
          <w:tcPr>
            <w:tcW w:w="34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246,322</w:t>
            </w: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408,400,061</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Mandatorily redeemable preferred stock, net of discount and deferred issuance costs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(10,000,000 shares authorized, 6,345,416 shares issued and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151,061,755</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purchased not settled</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7,722,770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2,270,583</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advisory fee payable to affiliate</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2,143,804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268,405</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offering costs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 fees payable</w:t>
            </w: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58,750</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Administrator expense payable</w:t>
            </w:r>
          </w:p>
        </w:tc>
        <w:tc>
          <w:tcPr>
            <w:tcW w:w="3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43,938</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163,587,279</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ASSETS applicable to common stock, $0.01 par value, 90,000,000 shares</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authorized, and 25,212,440 shares issued and outstanding</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244,812,782</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6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consist of:</w:t>
            </w: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Paid in capital</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354,265,649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net realized losses</w:t>
            </w: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(58,896,428)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(24,787,716)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 in excess of net investment income</w:t>
            </w: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(25,768,723)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net assets</w:t>
            </w:r>
          </w:p>
        </w:tc>
        <w:tc>
          <w:tcPr>
            <w:tcW w:w="34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244,812,782</w:t>
            </w: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Market price per share</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Market price premium to net asset value per share</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5.05</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 w:name="page8"/>
    <w:bookmarkEnd w:id="7"/>
    <w:p>
      <w:pPr>
        <w:ind w:left="314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1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35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3"/>
                <w:szCs w:val="13"/>
                <w:b w:val="1"/>
                <w:bCs w:val="1"/>
                <w:color w:val="auto"/>
              </w:rPr>
              <w:t>/INVESTMENT</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FAIR</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76"/>
        </w:trPr>
        <w:tc>
          <w:tcPr>
            <w:tcW w:w="352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20"/>
                <w:szCs w:val="20"/>
                <w:b w:val="1"/>
                <w:bCs w:val="1"/>
                <w:color w:val="auto"/>
                <w:w w:val="88"/>
                <w:vertAlign w:val="superscript"/>
              </w:rPr>
              <w:t>(2)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Debt Investments</w:t>
            </w:r>
          </w:p>
        </w:tc>
        <w:tc>
          <w:tcPr>
            <w:tcW w:w="380" w:type="dxa"/>
            <w:vAlign w:val="bottom"/>
            <w:tcBorders>
              <w:bottom w:val="single" w:sz="8" w:color="CCEEFF"/>
            </w:tcBorders>
            <w:gridSpan w:val="2"/>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Structured Finance</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Ares XLIV CLO Ltd.</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secured notes – Class E</w:t>
            </w:r>
            <w:r>
              <w:rPr>
                <w:rFonts w:ascii="Times New Roman" w:cs="Times New Roman" w:eastAsia="Times New Roman" w:hAnsi="Times New Roman"/>
                <w:sz w:val="19"/>
                <w:szCs w:val="19"/>
                <w:color w:val="auto"/>
                <w:vertAlign w:val="superscript"/>
              </w:rPr>
              <w:t>(3)(4)(6)</w:t>
            </w:r>
            <w:r>
              <w:rPr>
                <w:rFonts w:ascii="Times New Roman" w:cs="Times New Roman" w:eastAsia="Times New Roman" w:hAnsi="Times New Roman"/>
                <w:sz w:val="12"/>
                <w:szCs w:val="12"/>
                <w:color w:val="auto"/>
              </w:rPr>
              <w:t>, 9.36% (LIBOR +</w:t>
            </w:r>
          </w:p>
        </w:tc>
        <w:tc>
          <w:tcPr>
            <w:tcW w:w="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5,646,139</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5,829,000</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8.05%, due October 15, 2029)</w:t>
            </w:r>
          </w:p>
        </w:tc>
        <w:tc>
          <w:tcPr>
            <w:tcW w:w="2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Jamestown CLO IV Ltd.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shd w:val="clear" w:color="auto" w:fill="CCEEFF"/>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secured notes – Class D</w:t>
            </w:r>
            <w:r>
              <w:rPr>
                <w:rFonts w:ascii="Times New Roman" w:cs="Times New Roman" w:eastAsia="Times New Roman" w:hAnsi="Times New Roman"/>
                <w:sz w:val="19"/>
                <w:szCs w:val="19"/>
                <w:color w:val="auto"/>
                <w:vertAlign w:val="superscript"/>
              </w:rPr>
              <w:t>(3)(4)(6)</w:t>
            </w:r>
            <w:r>
              <w:rPr>
                <w:rFonts w:ascii="Times New Roman" w:cs="Times New Roman" w:eastAsia="Times New Roman" w:hAnsi="Times New Roman"/>
                <w:sz w:val="12"/>
                <w:szCs w:val="12"/>
                <w:color w:val="auto"/>
              </w:rPr>
              <w:t>, 6.30% (LIBOR +</w:t>
            </w: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1,266,488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1,290,988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5.00%, due July 15, 2026)</w:t>
            </w: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KVK 2014-3 Ltd.</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secured notes – Class F</w:t>
            </w:r>
            <w:r>
              <w:rPr>
                <w:rFonts w:ascii="Times New Roman" w:cs="Times New Roman" w:eastAsia="Times New Roman" w:hAnsi="Times New Roman"/>
                <w:sz w:val="19"/>
                <w:szCs w:val="19"/>
                <w:color w:val="auto"/>
                <w:vertAlign w:val="superscript"/>
              </w:rPr>
              <w:t>(3)(4)(6)</w:t>
            </w:r>
            <w:r>
              <w:rPr>
                <w:rFonts w:ascii="Times New Roman" w:cs="Times New Roman" w:eastAsia="Times New Roman" w:hAnsi="Times New Roman"/>
                <w:sz w:val="12"/>
                <w:szCs w:val="12"/>
                <w:color w:val="auto"/>
              </w:rPr>
              <w:t>, 7.40% (LIBOR +</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1,956,522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1,596,958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1,600,826</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6.10%, due October 15, 2026)</w:t>
            </w: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Mountain Hawk II CLO, Ltd.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shd w:val="clear" w:color="auto" w:fill="CCEEFF"/>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secured notes – Class E</w:t>
            </w:r>
            <w:r>
              <w:rPr>
                <w:rFonts w:ascii="Times New Roman" w:cs="Times New Roman" w:eastAsia="Times New Roman" w:hAnsi="Times New Roman"/>
                <w:sz w:val="19"/>
                <w:szCs w:val="19"/>
                <w:color w:val="auto"/>
                <w:vertAlign w:val="superscript"/>
              </w:rPr>
              <w:t>(3)(4)(6)(15)</w:t>
            </w:r>
            <w:r>
              <w:rPr>
                <w:rFonts w:ascii="Times New Roman" w:cs="Times New Roman" w:eastAsia="Times New Roman" w:hAnsi="Times New Roman"/>
                <w:sz w:val="12"/>
                <w:szCs w:val="12"/>
                <w:color w:val="auto"/>
              </w:rPr>
              <w:t>, 6.11% (LIBOR</w:t>
            </w: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5,002,271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4,522,200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+ 4.80%, due July 20, 2024)</w:t>
            </w: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Magnetite 19 CLO, Ltd.</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secured notes – Class F</w:t>
            </w:r>
            <w:r>
              <w:rPr>
                <w:rFonts w:ascii="Times New Roman" w:cs="Times New Roman" w:eastAsia="Times New Roman" w:hAnsi="Times New Roman"/>
                <w:sz w:val="19"/>
                <w:szCs w:val="19"/>
                <w:color w:val="auto"/>
                <w:vertAlign w:val="superscript"/>
              </w:rPr>
              <w:t>(3)(4)(6)</w:t>
            </w:r>
            <w:r>
              <w:rPr>
                <w:rFonts w:ascii="Times New Roman" w:cs="Times New Roman" w:eastAsia="Times New Roman" w:hAnsi="Times New Roman"/>
                <w:sz w:val="12"/>
                <w:szCs w:val="12"/>
                <w:color w:val="auto"/>
              </w:rPr>
              <w:t>, 8.88% (LIBOR +</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4,125,000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3,870,025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3,869,663</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7.61%, due July 17, 2030)</w:t>
            </w: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North End CLO, Ltd.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shd w:val="clear" w:color="auto" w:fill="CCEEFF"/>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secured notes – Class F</w:t>
            </w:r>
            <w:r>
              <w:rPr>
                <w:rFonts w:ascii="Times New Roman" w:cs="Times New Roman" w:eastAsia="Times New Roman" w:hAnsi="Times New Roman"/>
                <w:sz w:val="19"/>
                <w:szCs w:val="19"/>
                <w:color w:val="auto"/>
                <w:vertAlign w:val="superscript"/>
              </w:rPr>
              <w:t>(3)(4)(6)</w:t>
            </w:r>
            <w:r>
              <w:rPr>
                <w:rFonts w:ascii="Times New Roman" w:cs="Times New Roman" w:eastAsia="Times New Roman" w:hAnsi="Times New Roman"/>
                <w:sz w:val="12"/>
                <w:szCs w:val="12"/>
                <w:color w:val="auto"/>
              </w:rPr>
              <w:t>, 5.90% (LIBOR +</w:t>
            </w: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716,477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727,050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4.60%, due July 17, 2025)</w:t>
            </w: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OZLM Funding IV</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secured notes – Class ER</w:t>
            </w:r>
            <w:r>
              <w:rPr>
                <w:rFonts w:ascii="Times New Roman" w:cs="Times New Roman" w:eastAsia="Times New Roman" w:hAnsi="Times New Roman"/>
                <w:sz w:val="19"/>
                <w:szCs w:val="19"/>
                <w:color w:val="auto"/>
                <w:vertAlign w:val="superscript"/>
              </w:rPr>
              <w:t>(3)(4)(6)(15)</w:t>
            </w:r>
            <w:r>
              <w:rPr>
                <w:rFonts w:ascii="Times New Roman" w:cs="Times New Roman" w:eastAsia="Times New Roman" w:hAnsi="Times New Roman"/>
                <w:sz w:val="12"/>
                <w:szCs w:val="12"/>
                <w:color w:val="auto"/>
              </w:rPr>
              <w:t>, 10.31%</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2,325,585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2,331,250</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(LIBOR + 9.00%, due October 22, 2030)</w:t>
            </w: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Parallel 2015-1, Ltd.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shd w:val="clear" w:color="auto" w:fill="CCEEFF"/>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secured notes – Class F</w:t>
            </w:r>
            <w:r>
              <w:rPr>
                <w:rFonts w:ascii="Times New Roman" w:cs="Times New Roman" w:eastAsia="Times New Roman" w:hAnsi="Times New Roman"/>
                <w:sz w:val="19"/>
                <w:szCs w:val="19"/>
                <w:color w:val="auto"/>
                <w:vertAlign w:val="superscript"/>
              </w:rPr>
              <w:t>(3)(4)(6)</w:t>
            </w:r>
            <w:r>
              <w:rPr>
                <w:rFonts w:ascii="Times New Roman" w:cs="Times New Roman" w:eastAsia="Times New Roman" w:hAnsi="Times New Roman"/>
                <w:sz w:val="12"/>
                <w:szCs w:val="12"/>
                <w:color w:val="auto"/>
              </w:rPr>
              <w:t>, 7.91% (LIBOR +</w:t>
            </w: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2,877,193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2,685,299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2,654,498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6.60%, due July 20, 2027)</w:t>
            </w: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Sound Point CLO IV, Ltd.</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secured notes – Class F</w:t>
            </w:r>
            <w:r>
              <w:rPr>
                <w:rFonts w:ascii="Times New Roman" w:cs="Times New Roman" w:eastAsia="Times New Roman" w:hAnsi="Times New Roman"/>
                <w:sz w:val="19"/>
                <w:szCs w:val="19"/>
                <w:color w:val="auto"/>
                <w:vertAlign w:val="superscript"/>
              </w:rPr>
              <w:t>(3)(4)(6)</w:t>
            </w:r>
            <w:r>
              <w:rPr>
                <w:rFonts w:ascii="Times New Roman" w:cs="Times New Roman" w:eastAsia="Times New Roman" w:hAnsi="Times New Roman"/>
                <w:sz w:val="12"/>
                <w:szCs w:val="12"/>
                <w:color w:val="auto"/>
              </w:rPr>
              <w:t>, 6.26% (LIBOR +</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3,263,015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3,259,200</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4.95%, due January 21, 2026)</w:t>
            </w: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Venture XXI CLO, Ltd.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shd w:val="clear" w:color="auto" w:fill="CCEEFF"/>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secured notes – Class F</w:t>
            </w:r>
            <w:r>
              <w:rPr>
                <w:rFonts w:ascii="Times New Roman" w:cs="Times New Roman" w:eastAsia="Times New Roman" w:hAnsi="Times New Roman"/>
                <w:sz w:val="19"/>
                <w:szCs w:val="19"/>
                <w:color w:val="auto"/>
                <w:vertAlign w:val="superscript"/>
              </w:rPr>
              <w:t>(3)(4)(6)</w:t>
            </w:r>
            <w:r>
              <w:rPr>
                <w:rFonts w:ascii="Times New Roman" w:cs="Times New Roman" w:eastAsia="Times New Roman" w:hAnsi="Times New Roman"/>
                <w:sz w:val="12"/>
                <w:szCs w:val="12"/>
                <w:color w:val="auto"/>
              </w:rPr>
              <w:t>, 7.90% (LIBOR +</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6.60%, due July 15, 2027)</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2,875,000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2,666,943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2,658,800</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Total Structured Finance</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29,039,200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28,743,475</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00" w:type="dxa"/>
            <w:vAlign w:val="bottom"/>
            <w:gridSpan w:val="3"/>
            <w:shd w:val="clear" w:color="auto" w:fill="CCEEFF"/>
          </w:tcPr>
          <w:p>
            <w:pPr>
              <w:ind w:left="340"/>
              <w:spacing w:after="0" w:line="124" w:lineRule="exact"/>
              <w:rPr>
                <w:sz w:val="20"/>
                <w:szCs w:val="20"/>
                <w:color w:val="auto"/>
              </w:rPr>
            </w:pPr>
            <w:r>
              <w:rPr>
                <w:rFonts w:ascii="Times New Roman" w:cs="Times New Roman" w:eastAsia="Times New Roman" w:hAnsi="Times New Roman"/>
                <w:sz w:val="14"/>
                <w:szCs w:val="14"/>
                <w:b w:val="1"/>
                <w:bCs w:val="1"/>
                <w:color w:val="auto"/>
              </w:rPr>
              <w:t>Total Collateralized Loan Obligation – Debt</w:t>
            </w: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29,039,200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28,743,475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11.74%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vMerge w:val="continue"/>
          </w:tcPr>
          <w:p>
            <w:pPr>
              <w:spacing w:after="0"/>
              <w:rPr>
                <w:sz w:val="14"/>
                <w:szCs w:val="14"/>
                <w:color w:val="auto"/>
              </w:rPr>
            </w:pPr>
          </w:p>
        </w:tc>
        <w:tc>
          <w:tcPr>
            <w:tcW w:w="3240" w:type="dxa"/>
            <w:vAlign w:val="bottom"/>
            <w:tcBorders>
              <w:bottom w:val="single" w:sz="8" w:color="auto"/>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2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Structured Finance</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AMMC CLO XII, Ltd.</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(5)(7)(15)</w:t>
            </w:r>
            <w:r>
              <w:rPr>
                <w:rFonts w:ascii="Times New Roman" w:cs="Times New Roman" w:eastAsia="Times New Roman" w:hAnsi="Times New Roman"/>
                <w:sz w:val="12"/>
                <w:szCs w:val="12"/>
                <w:color w:val="auto"/>
              </w:rPr>
              <w:t>, (Estimated yield</w:t>
            </w:r>
          </w:p>
        </w:tc>
        <w:tc>
          <w:tcPr>
            <w:tcW w:w="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8,428,571</w:t>
            </w:r>
          </w:p>
        </w:tc>
        <w:tc>
          <w:tcPr>
            <w:tcW w:w="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4,199,098</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3,540,000</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5.17%, maturity May 10, 2025)</w:t>
            </w:r>
          </w:p>
        </w:tc>
        <w:tc>
          <w:tcPr>
            <w:tcW w:w="2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Apidos CLO XXI</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shd w:val="clear" w:color="auto" w:fill="CCEEFF"/>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 14.56%,</w:t>
            </w: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6,000,808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5,916,000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maturity July 18, 2027)</w:t>
            </w: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Ares XLIII CLO, Ltd.</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 13.40%,</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16,320,000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14,175,641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12,480,781</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maturity October 15, 2029)</w:t>
            </w: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Ares XXV CLO Ltd.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shd w:val="clear" w:color="auto" w:fill="CCEEFF"/>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(5)(7)(13)</w:t>
            </w:r>
            <w:r>
              <w:rPr>
                <w:rFonts w:ascii="Times New Roman" w:cs="Times New Roman" w:eastAsia="Times New Roman" w:hAnsi="Times New Roman"/>
                <w:sz w:val="12"/>
                <w:szCs w:val="12"/>
                <w:color w:val="auto"/>
              </w:rPr>
              <w:t>, (Estimated yield</w:t>
            </w: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0.00%, maturity January 17, 2024)</w:t>
            </w: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Ares XXVI CLO Ltd.</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 9.04%,</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15,115,000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6,448,739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5,745,664</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maturity April 15, 2025)</w:t>
            </w: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8" w:name="page9"/>
    <w:bookmarkEnd w:id="8"/>
    <w:p>
      <w:pPr>
        <w:jc w:val="center"/>
        <w:ind w:left="160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3"/>
                <w:szCs w:val="13"/>
                <w:b w:val="1"/>
                <w:bCs w:val="1"/>
                <w:color w:val="auto"/>
              </w:rPr>
              <w:t>/INVESTMENT</w:t>
            </w:r>
          </w:p>
        </w:tc>
        <w:tc>
          <w:tcPr>
            <w:tcW w:w="200" w:type="dxa"/>
            <w:vAlign w:val="bottom"/>
          </w:tcPr>
          <w:p>
            <w:pPr>
              <w:spacing w:after="0"/>
              <w:rPr>
                <w:sz w:val="14"/>
                <w:szCs w:val="14"/>
                <w:color w:val="auto"/>
              </w:rPr>
            </w:pPr>
          </w:p>
        </w:tc>
        <w:tc>
          <w:tcPr>
            <w:tcW w:w="96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w w:val="99"/>
              </w:rPr>
              <w:t>PRINCIPAL</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51"/>
        </w:trPr>
        <w:tc>
          <w:tcPr>
            <w:tcW w:w="362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3"/>
                <w:szCs w:val="13"/>
                <w:color w:val="auto"/>
              </w:rPr>
            </w:pPr>
          </w:p>
        </w:tc>
        <w:tc>
          <w:tcPr>
            <w:tcW w:w="86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3"/>
                <w:szCs w:val="13"/>
                <w:color w:val="auto"/>
              </w:rPr>
            </w:pPr>
          </w:p>
        </w:tc>
        <w:tc>
          <w:tcPr>
            <w:tcW w:w="860" w:type="dxa"/>
            <w:vAlign w:val="bottom"/>
          </w:tcPr>
          <w:p>
            <w:pPr>
              <w:jc w:val="right"/>
              <w:ind w:right="149"/>
              <w:spacing w:after="0" w:line="151" w:lineRule="exact"/>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160"/>
        </w:trPr>
        <w:tc>
          <w:tcPr>
            <w:tcW w:w="362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0" w:type="dxa"/>
            <w:vAlign w:val="bottom"/>
            <w:tcBorders>
              <w:top w:val="single" w:sz="8" w:color="auto"/>
            </w:tcBorders>
          </w:tcPr>
          <w:p>
            <w:pPr>
              <w:spacing w:after="0"/>
              <w:rPr>
                <w:sz w:val="11"/>
                <w:szCs w:val="11"/>
                <w:color w:val="auto"/>
              </w:rPr>
            </w:pPr>
          </w:p>
        </w:tc>
        <w:tc>
          <w:tcPr>
            <w:tcW w:w="30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(continued)</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Structured Finance (continued)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Atrium XII CLO</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18.02%,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34,762,500</w:t>
            </w:r>
          </w:p>
        </w:tc>
        <w:tc>
          <w:tcPr>
            <w:tcW w:w="2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27,659,100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36,153,000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October 22, 2026)</w:t>
            </w:r>
          </w:p>
        </w:tc>
        <w:tc>
          <w:tcPr>
            <w:tcW w:w="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Battalion CLO VII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5.96%,</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17,105,348</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11,280,000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October 17, 2026)</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Benefit Street Partners CLO V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 xml:space="preserve">CLO preference shares </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18.91%,</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7,366,675</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6,440,000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October 20, 2026)</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Blue Hill CLO,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12.42%,</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15,125,000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5,038,042</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3,676,666</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January 15, 2026)</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fee notes</w:t>
            </w:r>
            <w:r>
              <w:rPr>
                <w:rFonts w:ascii="Times New Roman" w:cs="Times New Roman" w:eastAsia="Times New Roman" w:hAnsi="Times New Roman"/>
                <w:sz w:val="22"/>
                <w:szCs w:val="22"/>
                <w:color w:val="auto"/>
                <w:vertAlign w:val="superscript"/>
              </w:rPr>
              <w:t>(8)(15)</w:t>
            </w:r>
            <w:r>
              <w:rPr>
                <w:rFonts w:ascii="Times New Roman" w:cs="Times New Roman" w:eastAsia="Times New Roman" w:hAnsi="Times New Roman"/>
                <w:sz w:val="14"/>
                <w:szCs w:val="14"/>
                <w:color w:val="auto"/>
              </w:rPr>
              <w:t>, (Maturity January 15,</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96,635</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17,931</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11,177</w:t>
            </w:r>
          </w:p>
        </w:tc>
        <w:tc>
          <w:tcPr>
            <w:tcW w:w="0" w:type="dxa"/>
            <w:vAlign w:val="bottom"/>
          </w:tcPr>
          <w:p>
            <w:pPr>
              <w:spacing w:after="0"/>
              <w:rPr>
                <w:sz w:val="1"/>
                <w:szCs w:val="1"/>
                <w:color w:val="auto"/>
              </w:rPr>
            </w:pPr>
          </w:p>
        </w:tc>
      </w:tr>
      <w:tr>
        <w:trPr>
          <w:trHeight w:val="188"/>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2026)</w:t>
            </w:r>
          </w:p>
        </w:tc>
        <w:tc>
          <w:tcPr>
            <w:tcW w:w="2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B&amp;M CLO 2014-1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5.57%,</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942,367</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April 16, 2026)</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Bristol Park CLO,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income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14.91%,</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5,732,820</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5,530,000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April 15, 2029)</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Carlyle Global Market Strategies CLO 2013-2,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7.31%,</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10,820,462</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10,161,361</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April 18, 2025)</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CENT CLO 16, L.P.</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52.67%,</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6,281,653</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6,405,000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August 01, 2024)</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CIFC Funding 2014-III,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income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20.11%,</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6,414,901</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6,400,000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July 22, 2026)</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CIFC Funding 2015-I,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(5)(7)(15)</w:t>
            </w:r>
            <w:r>
              <w:rPr>
                <w:rFonts w:ascii="Times New Roman" w:cs="Times New Roman" w:eastAsia="Times New Roman" w:hAnsi="Times New Roman"/>
                <w:sz w:val="14"/>
                <w:szCs w:val="14"/>
                <w:color w:val="auto"/>
              </w:rPr>
              <w:t>, (Estimated yield</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9,750,000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7,416,972</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7,410,000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15.85%, maturity January 22, 2027)</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Dryden 42 Senior Loan Fund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16.54%,</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5,873,051</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5,767,468</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July 15, 2027)</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Golub Capital Partners CLO 35(B),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(5)(7)(9)</w:t>
            </w:r>
            <w:r>
              <w:rPr>
                <w:rFonts w:ascii="Times New Roman" w:cs="Times New Roman" w:eastAsia="Times New Roman" w:hAnsi="Times New Roman"/>
                <w:sz w:val="14"/>
                <w:szCs w:val="14"/>
                <w:color w:val="auto"/>
              </w:rPr>
              <w:t>, (Estimated yield 13.11%,</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4,423,730</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3,850,000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July 20, 2029)</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Halcyon Loan Advisors Funding 2015-1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(5)(7)(15)</w:t>
            </w:r>
            <w:r>
              <w:rPr>
                <w:rFonts w:ascii="Times New Roman" w:cs="Times New Roman" w:eastAsia="Times New Roman" w:hAnsi="Times New Roman"/>
                <w:sz w:val="14"/>
                <w:szCs w:val="14"/>
                <w:color w:val="auto"/>
              </w:rPr>
              <w:t>, (Estimated yield</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3,133,559</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3,240,000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37.49%, maturity April 20, 2027)</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Hull Street CLO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 1.77%,</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8,955,084</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4,050,000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October 18, 2026)</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Ivy Hill Middle Market Credit VII,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(5)(7)(15)</w:t>
            </w:r>
            <w:r>
              <w:rPr>
                <w:rFonts w:ascii="Times New Roman" w:cs="Times New Roman" w:eastAsia="Times New Roman" w:hAnsi="Times New Roman"/>
                <w:sz w:val="14"/>
                <w:szCs w:val="14"/>
                <w:color w:val="auto"/>
              </w:rPr>
              <w:t>, (Estimated yield</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5,732,209</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5,107,664</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28.35%, maturity October 20, 2025)</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-7282180</wp:posOffset>
            </wp:positionV>
            <wp:extent cx="5145405"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2146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-6948170</wp:posOffset>
            </wp:positionV>
            <wp:extent cx="514540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-6587490</wp:posOffset>
            </wp:positionV>
            <wp:extent cx="5145405"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-6373495</wp:posOffset>
            </wp:positionV>
            <wp:extent cx="514540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-6038850</wp:posOffset>
            </wp:positionV>
            <wp:extent cx="514540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-5678805</wp:posOffset>
            </wp:positionV>
            <wp:extent cx="5145405"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-5464175</wp:posOffset>
            </wp:positionV>
            <wp:extent cx="5145405"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-4984115</wp:posOffset>
            </wp:positionV>
            <wp:extent cx="5145405"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-4769485</wp:posOffset>
            </wp:positionV>
            <wp:extent cx="5145405"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-4435475</wp:posOffset>
            </wp:positionV>
            <wp:extent cx="5145405"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-4074795</wp:posOffset>
            </wp:positionV>
            <wp:extent cx="5145405"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-3860800</wp:posOffset>
            </wp:positionV>
            <wp:extent cx="5145405"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-3526155</wp:posOffset>
            </wp:positionV>
            <wp:extent cx="5145405"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-3166110</wp:posOffset>
            </wp:positionV>
            <wp:extent cx="5145405"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-2951480</wp:posOffset>
            </wp:positionV>
            <wp:extent cx="5145405"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-2617470</wp:posOffset>
            </wp:positionV>
            <wp:extent cx="514540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-2256790</wp:posOffset>
            </wp:positionV>
            <wp:extent cx="5145405" cy="94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-2042795</wp:posOffset>
            </wp:positionV>
            <wp:extent cx="5145405"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-1708150</wp:posOffset>
            </wp:positionV>
            <wp:extent cx="5145405"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-1348105</wp:posOffset>
            </wp:positionV>
            <wp:extent cx="5145405" cy="94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-1133475</wp:posOffset>
            </wp:positionV>
            <wp:extent cx="5145405"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-798830</wp:posOffset>
            </wp:positionV>
            <wp:extent cx="5145405"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-438785</wp:posOffset>
            </wp:positionV>
            <wp:extent cx="5145405" cy="946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-224790</wp:posOffset>
            </wp:positionV>
            <wp:extent cx="5145405"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240030"/>
                    </a:xfrm>
                    <a:prstGeom prst="rect">
                      <a:avLst/>
                    </a:prstGeom>
                    <a:noFill/>
                  </pic:spPr>
                </pic:pic>
              </a:graphicData>
            </a:graphic>
          </wp:anchor>
        </w:drawing>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18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60" w:hanging="154"/>
        <w:spacing w:after="0"/>
        <w:tabs>
          <w:tab w:leader="none" w:pos="36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OF</w:t>
      </w:r>
    </w:p>
    <w:p>
      <w:pPr>
        <w:spacing w:after="0" w:line="1"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2"/>
          <w:szCs w:val="12"/>
          <w:b w:val="1"/>
          <w:bCs w:val="1"/>
          <w:color w:val="auto"/>
        </w:rPr>
        <w:t>NET ASSETS</w:t>
      </w:r>
    </w:p>
    <w:p>
      <w:pPr>
        <w:spacing w:after="0" w:line="12462" w:lineRule="exact"/>
        <w:rPr>
          <w:sz w:val="20"/>
          <w:szCs w:val="20"/>
          <w:color w:val="auto"/>
        </w:rPr>
      </w:pPr>
    </w:p>
    <w:p>
      <w:pPr>
        <w:sectPr>
          <w:pgSz w:w="11900" w:h="16838" w:orient="portrait"/>
          <w:cols w:equalWidth="0" w:num="2">
            <w:col w:w="7420" w:space="260"/>
            <w:col w:w="1339"/>
          </w:cols>
          <w:pgMar w:left="1440" w:top="333"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9" w:name="page10"/>
    <w:bookmarkEnd w:id="9"/>
    <w:p>
      <w:pPr>
        <w:ind w:left="314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1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360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3"/>
                <w:szCs w:val="13"/>
                <w:b w:val="1"/>
                <w:bCs w:val="1"/>
                <w:color w:val="auto"/>
              </w:rPr>
              <w:t>/INVESTMENT</w:t>
            </w:r>
          </w:p>
        </w:tc>
        <w:tc>
          <w:tcPr>
            <w:tcW w:w="200" w:type="dxa"/>
            <w:vAlign w:val="bottom"/>
          </w:tcPr>
          <w:p>
            <w:pPr>
              <w:spacing w:after="0"/>
              <w:rPr>
                <w:sz w:val="14"/>
                <w:szCs w:val="14"/>
                <w:color w:val="auto"/>
              </w:rPr>
            </w:pPr>
          </w:p>
        </w:tc>
        <w:tc>
          <w:tcPr>
            <w:tcW w:w="96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w w:val="99"/>
              </w:rPr>
              <w:t>PRINCIPAL</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51"/>
        </w:trPr>
        <w:tc>
          <w:tcPr>
            <w:tcW w:w="36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3"/>
                <w:szCs w:val="13"/>
                <w:color w:val="auto"/>
              </w:rPr>
            </w:pPr>
          </w:p>
        </w:tc>
        <w:tc>
          <w:tcPr>
            <w:tcW w:w="860" w:type="dxa"/>
            <w:vAlign w:val="bottom"/>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3"/>
                <w:szCs w:val="13"/>
                <w:color w:val="auto"/>
              </w:rPr>
            </w:pPr>
          </w:p>
        </w:tc>
        <w:tc>
          <w:tcPr>
            <w:tcW w:w="840" w:type="dxa"/>
            <w:vAlign w:val="bottom"/>
          </w:tcPr>
          <w:p>
            <w:pPr>
              <w:jc w:val="right"/>
              <w:ind w:right="149"/>
              <w:spacing w:after="0" w:line="151" w:lineRule="exact"/>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160"/>
        </w:trPr>
        <w:tc>
          <w:tcPr>
            <w:tcW w:w="360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0" w:type="dxa"/>
            <w:vAlign w:val="bottom"/>
            <w:tcBorders>
              <w:top w:val="single" w:sz="8" w:color="auto"/>
            </w:tcBorders>
          </w:tcPr>
          <w:p>
            <w:pPr>
              <w:spacing w:after="0"/>
              <w:rPr>
                <w:sz w:val="11"/>
                <w:szCs w:val="11"/>
                <w:color w:val="auto"/>
              </w:rPr>
            </w:pPr>
          </w:p>
        </w:tc>
        <w:tc>
          <w:tcPr>
            <w:tcW w:w="30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(continued)</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Structured Finance (continued)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Jamestown CLO III, Ltd.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29.93%,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15,575,000</w:t>
            </w:r>
          </w:p>
        </w:tc>
        <w:tc>
          <w:tcPr>
            <w:tcW w:w="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8,112,233</w:t>
            </w:r>
          </w:p>
        </w:tc>
        <w:tc>
          <w:tcPr>
            <w:tcW w:w="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7,943,250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January 15, 2026)</w:t>
            </w:r>
          </w:p>
        </w:tc>
        <w:tc>
          <w:tcPr>
            <w:tcW w:w="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Jamestown CLO IV,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40.51%,</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838,600</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769,984</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July 15, 2026)</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Apex Credit CLO 2015-II, Ltd. (fka: JFIN CLO 2015-</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II Ltd.)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23.45%,</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4,677,238</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4,811,186</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October 17, 2026)</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KVK 2014-3</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(5)(7)(15)</w:t>
            </w:r>
            <w:r>
              <w:rPr>
                <w:rFonts w:ascii="Times New Roman" w:cs="Times New Roman" w:eastAsia="Times New Roman" w:hAnsi="Times New Roman"/>
                <w:sz w:val="14"/>
                <w:szCs w:val="14"/>
                <w:color w:val="auto"/>
              </w:rPr>
              <w:t>, (Estimated yield</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10,833,000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3,212,912</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3,249,900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31.15%, maturity October 15, 2026)</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Midocean Credit CLO VI</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income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15.37%,</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20,851,414</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20,748,000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January 20, 2029)</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Mountain Hawk II CLO,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(5)(7)(15)</w:t>
            </w:r>
            <w:r>
              <w:rPr>
                <w:rFonts w:ascii="Times New Roman" w:cs="Times New Roman" w:eastAsia="Times New Roman" w:hAnsi="Times New Roman"/>
                <w:sz w:val="14"/>
                <w:szCs w:val="14"/>
                <w:color w:val="auto"/>
              </w:rPr>
              <w:t>, (Estimated yield</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25,670,000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9,253,283</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3,850,500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12.02%, maturity July 20, 2024)</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Mountain Hawk III CLO,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CLO M notes</w:t>
            </w:r>
            <w:r>
              <w:rPr>
                <w:rFonts w:ascii="Times New Roman" w:cs="Times New Roman" w:eastAsia="Times New Roman" w:hAnsi="Times New Roman"/>
                <w:sz w:val="23"/>
                <w:szCs w:val="23"/>
                <w:color w:val="auto"/>
                <w:vertAlign w:val="superscript"/>
              </w:rPr>
              <w:t>(8)(15)</w:t>
            </w:r>
            <w:r>
              <w:rPr>
                <w:rFonts w:ascii="Times New Roman" w:cs="Times New Roman" w:eastAsia="Times New Roman" w:hAnsi="Times New Roman"/>
                <w:sz w:val="14"/>
                <w:szCs w:val="14"/>
                <w:color w:val="auto"/>
              </w:rPr>
              <w:t>, (Maturity April 18, 2025)</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2,389,676</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109,020</w:t>
            </w: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Neuberger Berman CLO XII, Ltd.</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(5)(7)(11)</w:t>
            </w:r>
            <w:r>
              <w:rPr>
                <w:rFonts w:ascii="Times New Roman" w:cs="Times New Roman" w:eastAsia="Times New Roman" w:hAnsi="Times New Roman"/>
                <w:sz w:val="14"/>
                <w:szCs w:val="14"/>
                <w:color w:val="auto"/>
              </w:rPr>
              <w:t>, (Estimated yield 0.00%,</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July 25, 2023)</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Neuberger Berman CLO XIII,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(5)(7)(13)</w:t>
            </w:r>
            <w:r>
              <w:rPr>
                <w:rFonts w:ascii="Times New Roman" w:cs="Times New Roman" w:eastAsia="Times New Roman" w:hAnsi="Times New Roman"/>
                <w:sz w:val="14"/>
                <w:szCs w:val="14"/>
                <w:color w:val="auto"/>
              </w:rPr>
              <w:t>, (Estimated yield 3.83%,</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6,255,000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303,076</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62,550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January 23, 2024)</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North End CLO,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6.90%,</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1,859,138</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977,705</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July 17, 2025)</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Octagon Investment Partners 27,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(5)(7)(15)</w:t>
            </w:r>
            <w:r>
              <w:rPr>
                <w:rFonts w:ascii="Times New Roman" w:cs="Times New Roman" w:eastAsia="Times New Roman" w:hAnsi="Times New Roman"/>
                <w:sz w:val="14"/>
                <w:szCs w:val="14"/>
                <w:color w:val="auto"/>
              </w:rPr>
              <w:t>, (Estimated yield</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3,906,552</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3,939,724</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12.22%, maturity July 15, 2027)</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OFSI Fund VII,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20.05%,</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28,840,000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21,391,172</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17,880,800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October 18, 2026)</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OZLM XIV,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16.05%,</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17,000,000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13,295,858</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13,137,423</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January 15, 2029)</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Parallel 2015-1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11.46%,</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10,250,000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6,993,307</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6,457,500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July 20, 2027)</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Race Point IX CLO,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preferred shares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17.63%,</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5,645,000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3,133,425</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3,307,162</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October 15, 2030)</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Regatta III Funding Ltd.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42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40.65%,</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3,750,000</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1,625,486</w:t>
            </w: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1,513,466</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April 15, 2026)</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-7496810</wp:posOffset>
            </wp:positionV>
            <wp:extent cx="5145405"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2146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-7162165</wp:posOffset>
            </wp:positionV>
            <wp:extent cx="5145405"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-6802120</wp:posOffset>
            </wp:positionV>
            <wp:extent cx="5145405" cy="94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-6587490</wp:posOffset>
            </wp:positionV>
            <wp:extent cx="5145405"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-6253480</wp:posOffset>
            </wp:positionV>
            <wp:extent cx="5145405"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2146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-5798820</wp:posOffset>
            </wp:positionV>
            <wp:extent cx="5145405"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-5584190</wp:posOffset>
            </wp:positionV>
            <wp:extent cx="5145405"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-5250180</wp:posOffset>
            </wp:positionV>
            <wp:extent cx="5145405"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-4889500</wp:posOffset>
            </wp:positionV>
            <wp:extent cx="5145405"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-4675505</wp:posOffset>
            </wp:positionV>
            <wp:extent cx="5145405"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-4340860</wp:posOffset>
            </wp:positionV>
            <wp:extent cx="514540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-4074795</wp:posOffset>
            </wp:positionV>
            <wp:extent cx="5145405"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-3860800</wp:posOffset>
            </wp:positionV>
            <wp:extent cx="5145405"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-3526155</wp:posOffset>
            </wp:positionV>
            <wp:extent cx="5145405"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-3166110</wp:posOffset>
            </wp:positionV>
            <wp:extent cx="5145405"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-2951480</wp:posOffset>
            </wp:positionV>
            <wp:extent cx="5145405"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-2617470</wp:posOffset>
            </wp:positionV>
            <wp:extent cx="5145405"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-2256790</wp:posOffset>
            </wp:positionV>
            <wp:extent cx="5145405"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-2042795</wp:posOffset>
            </wp:positionV>
            <wp:extent cx="5145405"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-1708150</wp:posOffset>
            </wp:positionV>
            <wp:extent cx="5145405"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-1348105</wp:posOffset>
            </wp:positionV>
            <wp:extent cx="5145405"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-1133475</wp:posOffset>
            </wp:positionV>
            <wp:extent cx="5145405"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-798830</wp:posOffset>
            </wp:positionV>
            <wp:extent cx="5145405"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-438785</wp:posOffset>
            </wp:positionV>
            <wp:extent cx="5145405"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-224790</wp:posOffset>
            </wp:positionV>
            <wp:extent cx="5145405"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5405" cy="240030"/>
                    </a:xfrm>
                    <a:prstGeom prst="rect">
                      <a:avLst/>
                    </a:prstGeom>
                    <a:noFill/>
                  </pic:spPr>
                </pic:pic>
              </a:graphicData>
            </a:graphic>
          </wp:anchor>
        </w:drawing>
      </w:r>
    </w:p>
    <w:p>
      <w:pPr>
        <w:spacing w:after="0" w:line="3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11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80" w:hanging="161"/>
        <w:spacing w:after="0"/>
        <w:tabs>
          <w:tab w:leader="none" w:pos="38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OF</w:t>
      </w:r>
    </w:p>
    <w:p>
      <w:pPr>
        <w:spacing w:after="0" w:line="1"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2"/>
          <w:szCs w:val="12"/>
          <w:b w:val="1"/>
          <w:bCs w:val="1"/>
          <w:color w:val="auto"/>
        </w:rPr>
        <w:t>NET ASSETS</w:t>
      </w:r>
    </w:p>
    <w:p>
      <w:pPr>
        <w:spacing w:after="0" w:line="12880" w:lineRule="exact"/>
        <w:rPr>
          <w:sz w:val="20"/>
          <w:szCs w:val="20"/>
          <w:color w:val="auto"/>
        </w:rPr>
      </w:pPr>
    </w:p>
    <w:p>
      <w:pPr>
        <w:sectPr>
          <w:pgSz w:w="11900" w:h="16838" w:orient="portrait"/>
          <w:cols w:equalWidth="0" w:num="2">
            <w:col w:w="7400" w:space="260"/>
            <w:col w:w="1359"/>
          </w:cols>
          <w:pgMar w:left="1440" w:top="333"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0" w:name="page11"/>
    <w:bookmarkEnd w:id="10"/>
    <w:p>
      <w:pPr>
        <w:ind w:left="314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5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34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3"/>
                <w:szCs w:val="13"/>
                <w:b w:val="1"/>
                <w:bCs w:val="1"/>
                <w:color w:val="auto"/>
              </w:rPr>
              <w:t>/INVESTMENT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w w:val="99"/>
              </w:rPr>
              <w:t>PRINCIPAL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62"/>
        </w:trPr>
        <w:tc>
          <w:tcPr>
            <w:tcW w:w="342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9"/>
              <w:spacing w:after="0" w:line="162" w:lineRule="exact"/>
              <w:rPr>
                <w:sz w:val="20"/>
                <w:szCs w:val="20"/>
                <w:color w:val="auto"/>
              </w:rPr>
            </w:pPr>
            <w:r>
              <w:rPr>
                <w:rFonts w:ascii="Times New Roman" w:cs="Times New Roman" w:eastAsia="Times New Roman" w:hAnsi="Times New Roman"/>
                <w:sz w:val="12"/>
                <w:szCs w:val="12"/>
                <w:b w:val="1"/>
                <w:bCs w:val="1"/>
                <w:color w:val="auto"/>
              </w:rPr>
              <w:t>VALUE</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29"/>
        </w:trPr>
        <w:tc>
          <w:tcPr>
            <w:tcW w:w="342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0" w:type="dxa"/>
            <w:vAlign w:val="bottom"/>
            <w:tcBorders>
              <w:top w:val="single" w:sz="8" w:color="auto"/>
            </w:tcBorders>
          </w:tcPr>
          <w:p>
            <w:pPr>
              <w:spacing w:after="0"/>
              <w:rPr>
                <w:sz w:val="11"/>
                <w:szCs w:val="11"/>
                <w:color w:val="auto"/>
              </w:rPr>
            </w:pPr>
          </w:p>
        </w:tc>
        <w:tc>
          <w:tcPr>
            <w:tcW w:w="30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(continued)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Structured Finance (continued)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Shackleton II CLO, Ltd.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(5)(7)(12)</w:t>
            </w:r>
            <w:r>
              <w:rPr>
                <w:rFonts w:ascii="Times New Roman" w:cs="Times New Roman" w:eastAsia="Times New Roman" w:hAnsi="Times New Roman"/>
                <w:sz w:val="14"/>
                <w:szCs w:val="14"/>
                <w:color w:val="auto"/>
              </w:rPr>
              <w:t>, (Estimated yield</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28,000,000</w:t>
            </w: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1,969,719</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0.00%, maturity October 20, 2023)</w:t>
            </w:r>
          </w:p>
        </w:tc>
        <w:tc>
          <w:tcPr>
            <w:tcW w:w="2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Shackleton 2015-VII CLO,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21.92%,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8,454,410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7,798,093</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April 15, 2027)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Shackelton 2017-X CLO,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(5)(7)(9)</w:t>
            </w:r>
            <w:r>
              <w:rPr>
                <w:rFonts w:ascii="Times New Roman" w:cs="Times New Roman" w:eastAsia="Times New Roman" w:hAnsi="Times New Roman"/>
                <w:sz w:val="14"/>
                <w:szCs w:val="14"/>
                <w:color w:val="auto"/>
              </w:rPr>
              <w:t>, (Estimated yield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21,382,596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20,680,000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15.00%, maturity April 20, 2029)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Shackelton 2017-XI CLO,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(5)(7)(9)</w:t>
            </w:r>
            <w:r>
              <w:rPr>
                <w:rFonts w:ascii="Times New Roman" w:cs="Times New Roman" w:eastAsia="Times New Roman" w:hAnsi="Times New Roman"/>
                <w:sz w:val="14"/>
                <w:szCs w:val="14"/>
                <w:color w:val="auto"/>
              </w:rPr>
              <w:t>, (Estimated yield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9,563,344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9,175,000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16.61%, maturity August 15, 2030)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Sheridan Square CLO,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(5)(7)(12)</w:t>
            </w:r>
            <w:r>
              <w:rPr>
                <w:rFonts w:ascii="Times New Roman" w:cs="Times New Roman" w:eastAsia="Times New Roman" w:hAnsi="Times New Roman"/>
                <w:sz w:val="14"/>
                <w:szCs w:val="14"/>
                <w:color w:val="auto"/>
              </w:rPr>
              <w:t>, (Estimated yield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303,883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0.00%, maturity April 15, 2025)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Sound Point CLO VIII,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fee notes</w:t>
            </w:r>
            <w:r>
              <w:rPr>
                <w:rFonts w:ascii="Times New Roman" w:cs="Times New Roman" w:eastAsia="Times New Roman" w:hAnsi="Times New Roman"/>
                <w:sz w:val="22"/>
                <w:szCs w:val="22"/>
                <w:color w:val="auto"/>
                <w:vertAlign w:val="superscript"/>
              </w:rPr>
              <w:t>(8)(15)</w:t>
            </w:r>
            <w:r>
              <w:rPr>
                <w:rFonts w:ascii="Times New Roman" w:cs="Times New Roman" w:eastAsia="Times New Roman" w:hAnsi="Times New Roman"/>
                <w:sz w:val="14"/>
                <w:szCs w:val="14"/>
                <w:color w:val="auto"/>
              </w:rPr>
              <w:t>, (Maturity April 15,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224,719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202,247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73,197</w:t>
            </w:r>
          </w:p>
        </w:tc>
        <w:tc>
          <w:tcPr>
            <w:tcW w:w="0" w:type="dxa"/>
            <w:vAlign w:val="bottom"/>
          </w:tcPr>
          <w:p>
            <w:pPr>
              <w:spacing w:after="0"/>
              <w:rPr>
                <w:sz w:val="1"/>
                <w:szCs w:val="1"/>
                <w:color w:val="auto"/>
              </w:rPr>
            </w:pPr>
          </w:p>
        </w:tc>
      </w:tr>
      <w:tr>
        <w:trPr>
          <w:trHeight w:val="188"/>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2027)</w:t>
            </w: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Telos CLO 2013-3,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30.18%,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14,332,210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8,672,117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7,882,716</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July 17, 2026)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Telos CLO 2013-4,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31.27%,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11,350,000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6,760,629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6,578,091</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July 17, 2024)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THL Credit Wind River 2014-3 CLO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18.01%,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18,530,000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14,761,493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15,009,300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January 22, 2027)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THL Credit Wind River 2017-1 CLO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14.01%,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10,618,444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10,080,000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April 18, 2029)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Venture XIV CLO,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24.61%,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5,287,669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4,860,000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August 28, 2029)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Venture XVII CLO,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w:t>
            </w:r>
            <w:r>
              <w:rPr>
                <w:rFonts w:ascii="Times New Roman" w:cs="Times New Roman" w:eastAsia="Times New Roman" w:hAnsi="Times New Roman"/>
                <w:sz w:val="14"/>
                <w:szCs w:val="14"/>
                <w:color w:val="auto"/>
              </w:rPr>
              <w:t>, (Estimated yield 19.70%,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11,639,941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10,224,330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maturity July 15, 2026)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Venture XVIII CLO,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fee notes</w:t>
            </w:r>
            <w:r>
              <w:rPr>
                <w:rFonts w:ascii="Times New Roman" w:cs="Times New Roman" w:eastAsia="Times New Roman" w:hAnsi="Times New Roman"/>
                <w:sz w:val="22"/>
                <w:szCs w:val="22"/>
                <w:color w:val="auto"/>
                <w:vertAlign w:val="superscript"/>
              </w:rPr>
              <w:t>(8)(15)</w:t>
            </w:r>
            <w:r>
              <w:rPr>
                <w:rFonts w:ascii="Times New Roman" w:cs="Times New Roman" w:eastAsia="Times New Roman" w:hAnsi="Times New Roman"/>
                <w:sz w:val="14"/>
                <w:szCs w:val="14"/>
                <w:color w:val="auto"/>
              </w:rPr>
              <w:t>, (Maturity October</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357,055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263,854</w:t>
            </w:r>
          </w:p>
        </w:tc>
        <w:tc>
          <w:tcPr>
            <w:tcW w:w="0" w:type="dxa"/>
            <w:vAlign w:val="bottom"/>
          </w:tcPr>
          <w:p>
            <w:pPr>
              <w:spacing w:after="0"/>
              <w:rPr>
                <w:sz w:val="1"/>
                <w:szCs w:val="1"/>
                <w:color w:val="auto"/>
              </w:rPr>
            </w:pPr>
          </w:p>
        </w:tc>
      </w:tr>
      <w:tr>
        <w:trPr>
          <w:trHeight w:val="188"/>
        </w:trPr>
        <w:tc>
          <w:tcPr>
            <w:tcW w:w="326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15, 2026)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Venture XXI CLO,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fee notes</w:t>
            </w:r>
            <w:r>
              <w:rPr>
                <w:rFonts w:ascii="Times New Roman" w:cs="Times New Roman" w:eastAsia="Times New Roman" w:hAnsi="Times New Roman"/>
                <w:sz w:val="22"/>
                <w:szCs w:val="22"/>
                <w:color w:val="auto"/>
                <w:vertAlign w:val="superscript"/>
              </w:rPr>
              <w:t>(8)(15)</w:t>
            </w:r>
            <w:r>
              <w:rPr>
                <w:rFonts w:ascii="Times New Roman" w:cs="Times New Roman" w:eastAsia="Times New Roman" w:hAnsi="Times New Roman"/>
                <w:sz w:val="14"/>
                <w:szCs w:val="14"/>
                <w:color w:val="auto"/>
              </w:rPr>
              <w:t>, (Maturity July 15,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15,825,000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11,143,525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11,552,250</w:t>
            </w:r>
          </w:p>
        </w:tc>
        <w:tc>
          <w:tcPr>
            <w:tcW w:w="0" w:type="dxa"/>
            <w:vAlign w:val="bottom"/>
          </w:tcPr>
          <w:p>
            <w:pPr>
              <w:spacing w:after="0"/>
              <w:rPr>
                <w:sz w:val="1"/>
                <w:szCs w:val="1"/>
                <w:color w:val="auto"/>
              </w:rPr>
            </w:pPr>
          </w:p>
        </w:tc>
      </w:tr>
      <w:tr>
        <w:trPr>
          <w:trHeight w:val="188"/>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2027)</w:t>
            </w: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Venture XXV CLO,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(5)(7)(15)</w:t>
            </w:r>
            <w:r>
              <w:rPr>
                <w:rFonts w:ascii="Times New Roman" w:cs="Times New Roman" w:eastAsia="Times New Roman" w:hAnsi="Times New Roman"/>
                <w:sz w:val="14"/>
                <w:szCs w:val="14"/>
                <w:color w:val="auto"/>
              </w:rPr>
              <w:t>, (Estimated yield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3,701,445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3,440,000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15.90%, maturity April 20, 2029)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Venture XXX CLO, Ltd.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240" w:type="dxa"/>
            <w:vAlign w:val="bottom"/>
            <w:gridSpan w:val="3"/>
          </w:tcPr>
          <w:p>
            <w:pPr>
              <w:spacing w:after="0" w:line="190" w:lineRule="exact"/>
              <w:rPr>
                <w:sz w:val="20"/>
                <w:szCs w:val="20"/>
                <w:color w:val="auto"/>
              </w:rPr>
            </w:pPr>
            <w:r>
              <w:rPr>
                <w:rFonts w:ascii="Times New Roman" w:cs="Times New Roman" w:eastAsia="Times New Roman" w:hAnsi="Times New Roman"/>
                <w:sz w:val="14"/>
                <w:szCs w:val="14"/>
                <w:color w:val="auto"/>
              </w:rPr>
              <w:t>CLO subordinated notes</w:t>
            </w:r>
            <w:r>
              <w:rPr>
                <w:rFonts w:ascii="Times New Roman" w:cs="Times New Roman" w:eastAsia="Times New Roman" w:hAnsi="Times New Roman"/>
                <w:sz w:val="22"/>
                <w:szCs w:val="22"/>
                <w:color w:val="auto"/>
                <w:vertAlign w:val="superscript"/>
              </w:rPr>
              <w:t>(5)(7)(9)(10)</w:t>
            </w:r>
            <w:r>
              <w:rPr>
                <w:rFonts w:ascii="Times New Roman" w:cs="Times New Roman" w:eastAsia="Times New Roman" w:hAnsi="Times New Roman"/>
                <w:sz w:val="14"/>
                <w:szCs w:val="14"/>
                <w:color w:val="auto"/>
              </w:rPr>
              <w:t>, (Estimated yield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11.51%, maturity March 31, 2018)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-7496810</wp:posOffset>
            </wp:positionV>
            <wp:extent cx="5145405" cy="214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5405" cy="2146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-7162165</wp:posOffset>
            </wp:positionV>
            <wp:extent cx="5145405"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-6802120</wp:posOffset>
            </wp:positionV>
            <wp:extent cx="5145405"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-6587490</wp:posOffset>
            </wp:positionV>
            <wp:extent cx="5145405"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-6253480</wp:posOffset>
            </wp:positionV>
            <wp:extent cx="5145405"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-5893435</wp:posOffset>
            </wp:positionV>
            <wp:extent cx="5145405"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-5678805</wp:posOffset>
            </wp:positionV>
            <wp:extent cx="5145405"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-5344160</wp:posOffset>
            </wp:positionV>
            <wp:extent cx="5145405"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-4984115</wp:posOffset>
            </wp:positionV>
            <wp:extent cx="5145405"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-4769485</wp:posOffset>
            </wp:positionV>
            <wp:extent cx="5145405"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-4435475</wp:posOffset>
            </wp:positionV>
            <wp:extent cx="5145405"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-4074795</wp:posOffset>
            </wp:positionV>
            <wp:extent cx="5145405"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-3860800</wp:posOffset>
            </wp:positionV>
            <wp:extent cx="5145405"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-3526155</wp:posOffset>
            </wp:positionV>
            <wp:extent cx="5145405"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-3166110</wp:posOffset>
            </wp:positionV>
            <wp:extent cx="5145405"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-2951480</wp:posOffset>
            </wp:positionV>
            <wp:extent cx="5145405"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-2617470</wp:posOffset>
            </wp:positionV>
            <wp:extent cx="5145405" cy="120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-2256790</wp:posOffset>
            </wp:positionV>
            <wp:extent cx="5145405"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-2042795</wp:posOffset>
            </wp:positionV>
            <wp:extent cx="5145405" cy="240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-1708150</wp:posOffset>
            </wp:positionV>
            <wp:extent cx="5145405"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-1348105</wp:posOffset>
            </wp:positionV>
            <wp:extent cx="5145405"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-1133475</wp:posOffset>
            </wp:positionV>
            <wp:extent cx="5145405"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5405" cy="2400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-798830</wp:posOffset>
            </wp:positionV>
            <wp:extent cx="5145405"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5405" cy="1200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-438785</wp:posOffset>
            </wp:positionV>
            <wp:extent cx="5145405"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-224790</wp:posOffset>
            </wp:positionV>
            <wp:extent cx="5145405" cy="24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5405" cy="240030"/>
                    </a:xfrm>
                    <a:prstGeom prst="rect">
                      <a:avLst/>
                    </a:prstGeom>
                    <a:noFill/>
                  </pic:spPr>
                </pic:pic>
              </a:graphicData>
            </a:graphic>
          </wp:anchor>
        </w:drawing>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20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 w:hanging="161"/>
        <w:spacing w:after="0"/>
        <w:tabs>
          <w:tab w:leader="none" w:pos="380"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OF</w:t>
      </w:r>
    </w:p>
    <w:p>
      <w:pPr>
        <w:spacing w:after="0" w:line="1"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2"/>
          <w:szCs w:val="12"/>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635</wp:posOffset>
            </wp:positionV>
            <wp:extent cx="711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12799" w:lineRule="exact"/>
        <w:rPr>
          <w:sz w:val="20"/>
          <w:szCs w:val="20"/>
          <w:color w:val="auto"/>
        </w:rPr>
      </w:pPr>
    </w:p>
    <w:p>
      <w:pPr>
        <w:sectPr>
          <w:pgSz w:w="11900" w:h="16838" w:orient="portrait"/>
          <w:cols w:equalWidth="0" w:num="2">
            <w:col w:w="7320" w:space="300"/>
            <w:col w:w="1399"/>
          </w:cols>
          <w:pgMar w:left="1440" w:top="333"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352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3"/>
                <w:szCs w:val="13"/>
                <w:b w:val="1"/>
                <w:bCs w:val="1"/>
                <w:color w:val="auto"/>
              </w:rPr>
              <w:t>/INVESTMENT</w:t>
            </w:r>
          </w:p>
        </w:tc>
        <w:tc>
          <w:tcPr>
            <w:tcW w:w="280" w:type="dxa"/>
            <w:vAlign w:val="bottom"/>
          </w:tcPr>
          <w:p>
            <w:pPr>
              <w:spacing w:after="0"/>
              <w:rPr>
                <w:sz w:val="14"/>
                <w:szCs w:val="14"/>
                <w:color w:val="auto"/>
              </w:rPr>
            </w:pP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FAIR</w:t>
            </w:r>
          </w:p>
        </w:tc>
        <w:tc>
          <w:tcPr>
            <w:tcW w:w="980" w:type="dxa"/>
            <w:vAlign w:val="bottom"/>
            <w:gridSpan w:val="2"/>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76"/>
        </w:trPr>
        <w:tc>
          <w:tcPr>
            <w:tcW w:w="3520" w:type="dxa"/>
            <w:vAlign w:val="bottom"/>
            <w:gridSpan w:val="6"/>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20"/>
                <w:szCs w:val="20"/>
                <w:b w:val="1"/>
                <w:bCs w:val="1"/>
                <w:color w:val="auto"/>
                <w:w w:val="88"/>
                <w:vertAlign w:val="superscript"/>
              </w:rPr>
              <w:t>(2)</w:t>
            </w:r>
          </w:p>
        </w:tc>
        <w:tc>
          <w:tcPr>
            <w:tcW w:w="9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 Equity Investments</w:t>
            </w: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080" w:type="dxa"/>
            <w:vAlign w:val="bottom"/>
            <w:tcBorders>
              <w:top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(continued)</w:t>
            </w:r>
          </w:p>
        </w:tc>
        <w:tc>
          <w:tcPr>
            <w:tcW w:w="2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Structured Finance (continued)</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Wellfleet 2016-2 CLO, Ltd.</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5"/>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2"/>
                <w:szCs w:val="12"/>
                <w:color w:val="auto"/>
              </w:rPr>
              <w:t>, (Estimated yield 16.95%,</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8,375,580</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8,500,000</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maturity October 15, 2028)</w:t>
            </w:r>
          </w:p>
        </w:tc>
        <w:tc>
          <w:tcPr>
            <w:tcW w:w="2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Zais CLO 7, Limited</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5"/>
            <w:shd w:val="clear" w:color="auto" w:fill="CCEEFF"/>
          </w:tcPr>
          <w:p>
            <w:pPr>
              <w:ind w:left="160"/>
              <w:spacing w:after="0" w:line="166" w:lineRule="exact"/>
              <w:rPr>
                <w:sz w:val="20"/>
                <w:szCs w:val="20"/>
                <w:color w:val="auto"/>
              </w:rPr>
            </w:pPr>
            <w:r>
              <w:rPr>
                <w:rFonts w:ascii="Times New Roman" w:cs="Times New Roman" w:eastAsia="Times New Roman" w:hAnsi="Times New Roman"/>
                <w:sz w:val="12"/>
                <w:szCs w:val="12"/>
                <w:color w:val="auto"/>
              </w:rPr>
              <w:t>CLO income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2"/>
                <w:szCs w:val="12"/>
                <w:color w:val="auto"/>
              </w:rPr>
              <w:t>, (Estimated yield 18.38%,</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9,425,000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7,800,527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7,917,000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3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maturity April 15, 2030)</w:t>
            </w: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Other CLO equity related investments</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Borders>
              <w:bottom w:val="single" w:sz="8" w:color="CCEEFF"/>
            </w:tcBorders>
            <w:gridSpan w:val="5"/>
          </w:tcPr>
          <w:p>
            <w:pPr>
              <w:ind w:left="160"/>
              <w:spacing w:after="0" w:line="230" w:lineRule="exact"/>
              <w:rPr>
                <w:sz w:val="20"/>
                <w:szCs w:val="20"/>
                <w:color w:val="auto"/>
              </w:rPr>
            </w:pPr>
            <w:r>
              <w:rPr>
                <w:rFonts w:ascii="Times New Roman" w:cs="Times New Roman" w:eastAsia="Times New Roman" w:hAnsi="Times New Roman"/>
                <w:sz w:val="14"/>
                <w:szCs w:val="14"/>
                <w:color w:val="auto"/>
              </w:rPr>
              <w:t>CLO other</w:t>
            </w:r>
            <w:r>
              <w:rPr>
                <w:rFonts w:ascii="Times New Roman" w:cs="Times New Roman" w:eastAsia="Times New Roman" w:hAnsi="Times New Roman"/>
                <w:sz w:val="23"/>
                <w:szCs w:val="23"/>
                <w:color w:val="auto"/>
                <w:vertAlign w:val="superscript"/>
              </w:rPr>
              <w:t>(8)(15)</w:t>
            </w: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2,482,680</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Total Structured Finance</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391,329,453</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366,837,462</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40" w:type="dxa"/>
            <w:vAlign w:val="bottom"/>
            <w:gridSpan w:val="4"/>
          </w:tcPr>
          <w:p>
            <w:pPr>
              <w:ind w:left="180"/>
              <w:spacing w:after="0" w:line="104" w:lineRule="exact"/>
              <w:rPr>
                <w:sz w:val="20"/>
                <w:szCs w:val="20"/>
                <w:color w:val="auto"/>
              </w:rPr>
            </w:pPr>
            <w:r>
              <w:rPr>
                <w:rFonts w:ascii="Times New Roman" w:cs="Times New Roman" w:eastAsia="Times New Roman" w:hAnsi="Times New Roman"/>
                <w:sz w:val="12"/>
                <w:szCs w:val="12"/>
                <w:b w:val="1"/>
                <w:bCs w:val="1"/>
                <w:color w:val="auto"/>
              </w:rPr>
              <w:t>Total Collateralized Loan Obligation – Equity</w:t>
            </w: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391,329,453</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366,837,462</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149.84%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Total Investments In Securities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420,368,653</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395,580,937</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161.58%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gridSpan w:val="5"/>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Cash Equivalents</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gridSpan w:val="5"/>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First American Government Obligations Fund</w:t>
            </w:r>
            <w:r>
              <w:rPr>
                <w:rFonts w:ascii="Times New Roman" w:cs="Times New Roman" w:eastAsia="Times New Roman" w:hAnsi="Times New Roman"/>
                <w:sz w:val="23"/>
                <w:szCs w:val="23"/>
                <w:color w:val="auto"/>
                <w:vertAlign w:val="superscript"/>
              </w:rPr>
              <w:t>(14)</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4,857,840</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4,857,840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Cash Equivalents</w:t>
            </w: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50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4,857,840</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4,857,840</w:t>
            </w: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Borders>
              <w:top w:val="single" w:sz="8" w:color="CCEEFF"/>
              <w:bottom w:val="single" w:sz="8" w:color="CCEE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 In Securities and Cash Equivalents</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425,226,493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400,438,777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163.58</w:t>
            </w:r>
          </w:p>
        </w:tc>
        <w:tc>
          <w:tcPr>
            <w:tcW w:w="16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ind w:left="780" w:right="479" w:hanging="318"/>
        <w:spacing w:after="0" w:line="250" w:lineRule="auto"/>
        <w:tabs>
          <w:tab w:leader="none" w:pos="7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1" w:lineRule="exact"/>
        <w:rPr>
          <w:rFonts w:ascii="Times New Roman" w:cs="Times New Roman" w:eastAsia="Times New Roman" w:hAnsi="Times New Roman"/>
          <w:sz w:val="18"/>
          <w:szCs w:val="18"/>
          <w:color w:val="auto"/>
        </w:rPr>
      </w:pPr>
    </w:p>
    <w:p>
      <w:pPr>
        <w:ind w:left="800" w:hanging="338"/>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determined in good faith by the Board of Directors of the Fund.</w:t>
      </w:r>
    </w:p>
    <w:p>
      <w:pPr>
        <w:spacing w:after="0" w:line="9" w:lineRule="exact"/>
        <w:rPr>
          <w:rFonts w:ascii="Times New Roman" w:cs="Times New Roman" w:eastAsia="Times New Roman" w:hAnsi="Times New Roman"/>
          <w:sz w:val="18"/>
          <w:szCs w:val="18"/>
          <w:color w:val="auto"/>
        </w:rPr>
      </w:pPr>
    </w:p>
    <w:p>
      <w:pPr>
        <w:ind w:left="800" w:hanging="338"/>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bear interest at variable rates.</w:t>
      </w:r>
    </w:p>
    <w:p>
      <w:pPr>
        <w:spacing w:after="0" w:line="9" w:lineRule="exact"/>
        <w:rPr>
          <w:rFonts w:ascii="Times New Roman" w:cs="Times New Roman" w:eastAsia="Times New Roman" w:hAnsi="Times New Roman"/>
          <w:sz w:val="18"/>
          <w:szCs w:val="18"/>
          <w:color w:val="auto"/>
        </w:rPr>
      </w:pPr>
    </w:p>
    <w:p>
      <w:pPr>
        <w:ind w:left="800" w:hanging="338"/>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value reflects accretion of original issue discount or market discount.</w:t>
      </w:r>
    </w:p>
    <w:p>
      <w:pPr>
        <w:spacing w:after="0" w:line="9" w:lineRule="exact"/>
        <w:rPr>
          <w:rFonts w:ascii="Times New Roman" w:cs="Times New Roman" w:eastAsia="Times New Roman" w:hAnsi="Times New Roman"/>
          <w:sz w:val="18"/>
          <w:szCs w:val="18"/>
          <w:color w:val="auto"/>
        </w:rPr>
      </w:pPr>
    </w:p>
    <w:p>
      <w:pPr>
        <w:ind w:left="780" w:right="499" w:hanging="318"/>
        <w:spacing w:after="0" w:line="250" w:lineRule="auto"/>
        <w:tabs>
          <w:tab w:leader="none" w:pos="7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value reflects accretion of effective yield less any cash distributions received or entitled to be received from CLO equity investments.</w:t>
      </w:r>
    </w:p>
    <w:p>
      <w:pPr>
        <w:ind w:left="780" w:right="779" w:hanging="318"/>
        <w:spacing w:after="0" w:line="265" w:lineRule="auto"/>
        <w:tabs>
          <w:tab w:leader="none" w:pos="78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 secured notes generally bear interest at a rate determined by reference to three-month LIBOR which resets quarterly. For each CLO debt investment, the rate provided is as of September 30, 2017.</w:t>
      </w:r>
    </w:p>
    <w:p>
      <w:pPr>
        <w:ind w:left="780" w:right="579" w:hanging="318"/>
        <w:spacing w:after="0" w:line="250" w:lineRule="auto"/>
        <w:tabs>
          <w:tab w:leader="none" w:pos="7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 subordinated notes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spacing w:after="0" w:line="2" w:lineRule="exact"/>
        <w:rPr>
          <w:rFonts w:ascii="Times New Roman" w:cs="Times New Roman" w:eastAsia="Times New Roman" w:hAnsi="Times New Roman"/>
          <w:sz w:val="18"/>
          <w:szCs w:val="18"/>
          <w:color w:val="auto"/>
        </w:rPr>
      </w:pPr>
    </w:p>
    <w:p>
      <w:pPr>
        <w:ind w:left="800" w:hanging="338"/>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represents discounted cash flows associated with fees earned from CLO equity investments</w:t>
      </w:r>
    </w:p>
    <w:p>
      <w:pPr>
        <w:spacing w:after="0" w:line="9" w:lineRule="exact"/>
        <w:rPr>
          <w:rFonts w:ascii="Times New Roman" w:cs="Times New Roman" w:eastAsia="Times New Roman" w:hAnsi="Times New Roman"/>
          <w:sz w:val="18"/>
          <w:szCs w:val="18"/>
          <w:color w:val="auto"/>
        </w:rPr>
      </w:pPr>
    </w:p>
    <w:p>
      <w:pPr>
        <w:ind w:left="780" w:right="1199" w:hanging="318"/>
        <w:spacing w:after="0" w:line="250" w:lineRule="auto"/>
        <w:tabs>
          <w:tab w:leader="none" w:pos="7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has not made inaugural distribution for relevant period end. See “Note 3. Summary of Significant Accounting Policies — Investment Income Recognition.”</w:t>
      </w:r>
    </w:p>
    <w:p>
      <w:pPr>
        <w:ind w:left="780" w:right="819" w:hanging="318"/>
        <w:spacing w:after="0" w:line="250" w:lineRule="auto"/>
        <w:tabs>
          <w:tab w:leader="none" w:pos="8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shares represent an investment in a warehouse facility, which is a financing structure intended to aggregate loans that may be used to form the basis of a CLO vehicle.</w:t>
      </w:r>
    </w:p>
    <w:p>
      <w:pPr>
        <w:ind w:left="780" w:right="999" w:hanging="318"/>
        <w:spacing w:after="0" w:line="250" w:lineRule="auto"/>
        <w:tabs>
          <w:tab w:leader="none" w:pos="7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 was optionally redeemed during the quarter ended March 31, 2017. The cost basis reflects distributions received in excess of investment carrying value.</w:t>
      </w:r>
    </w:p>
    <w:p>
      <w:pPr>
        <w:ind w:left="780" w:right="1139" w:hanging="318"/>
        <w:spacing w:after="0" w:line="250" w:lineRule="auto"/>
        <w:tabs>
          <w:tab w:leader="none" w:pos="8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 was optionally redeemed during the quarter ended June 30, 2017. The cost basis reflects distributions received in excess of investment carrying value.</w:t>
      </w:r>
    </w:p>
    <w:p>
      <w:pPr>
        <w:ind w:left="780" w:right="699" w:hanging="318"/>
        <w:spacing w:after="0" w:line="250" w:lineRule="auto"/>
        <w:tabs>
          <w:tab w:leader="none" w:pos="8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 was optionally redeemed during the quarter ended September 30, 2017. The cost basis reflects distributions received in excess of investment carrying value.</w:t>
      </w:r>
    </w:p>
    <w:p>
      <w:pPr>
        <w:ind w:left="800" w:hanging="338"/>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equivalents held in a money market account as of September 30, 2017.</w:t>
      </w:r>
    </w:p>
    <w:p>
      <w:pPr>
        <w:spacing w:after="0" w:line="9" w:lineRule="exact"/>
        <w:rPr>
          <w:rFonts w:ascii="Times New Roman" w:cs="Times New Roman" w:eastAsia="Times New Roman" w:hAnsi="Times New Roman"/>
          <w:sz w:val="18"/>
          <w:szCs w:val="18"/>
          <w:color w:val="auto"/>
        </w:rPr>
      </w:pPr>
    </w:p>
    <w:p>
      <w:pPr>
        <w:ind w:left="780" w:right="659" w:hanging="318"/>
        <w:spacing w:after="0" w:line="261" w:lineRule="auto"/>
        <w:tabs>
          <w:tab w:leader="none" w:pos="8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 was determined using significant unobservable inputs. See “Note 4. Fair Value.”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2" w:name="page13"/>
    <w:bookmarkEnd w:id="12"/>
    <w:p>
      <w:pPr>
        <w:ind w:left="314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ind w:left="2329"/>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31" w:lineRule="exact"/>
        <w:rPr>
          <w:sz w:val="20"/>
          <w:szCs w:val="20"/>
          <w:color w:val="auto"/>
        </w:rPr>
      </w:pPr>
    </w:p>
    <w:p>
      <w:pPr>
        <w:jc w:val="center"/>
        <w:ind w:left="232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-116840</wp:posOffset>
            </wp:positionV>
            <wp:extent cx="514540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from securitization vehicles and investments</w:t>
      </w:r>
    </w:p>
    <w:p>
      <w:pPr>
        <w:spacing w:after="0" w:line="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income – debt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-119380</wp:posOffset>
            </wp:positionV>
            <wp:extent cx="514540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spacing w:after="0" w:line="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income</w:t>
      </w:r>
    </w:p>
    <w:p>
      <w:pPr>
        <w:spacing w:after="0" w:line="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-119380</wp:posOffset>
            </wp:positionV>
            <wp:extent cx="514540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-116840</wp:posOffset>
            </wp:positionV>
            <wp:extent cx="5145405"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expense on mandatorily redeemable preferred stock</w:t>
      </w:r>
    </w:p>
    <w:p>
      <w:pPr>
        <w:spacing w:after="0" w:line="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Investment advisory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-119380</wp:posOffset>
            </wp:positionV>
            <wp:extent cx="5145405"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spacing w:after="0" w:line="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Incentive fees</w:t>
      </w:r>
    </w:p>
    <w:p>
      <w:pPr>
        <w:spacing w:after="0" w:line="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-119380</wp:posOffset>
            </wp:positionV>
            <wp:extent cx="5145405"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spacing w:after="0" w:line="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Administrator expense</w:t>
      </w:r>
    </w:p>
    <w:p>
      <w:pPr>
        <w:spacing w:after="0" w:line="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Directors’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-119380</wp:posOffset>
            </wp:positionV>
            <wp:extent cx="5145405"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spacing w:after="0" w:line="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Insurance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-119380</wp:posOffset>
            </wp:positionV>
            <wp:extent cx="5145405"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spacing w:after="0" w:line="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Transfer agent and custodian fees</w:t>
      </w:r>
    </w:p>
    <w:p>
      <w:pPr>
        <w:spacing w:after="0" w:line="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-119380</wp:posOffset>
            </wp:positionV>
            <wp:extent cx="5145405"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-127635</wp:posOffset>
            </wp:positionV>
            <wp:extent cx="514540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5405" cy="171450"/>
                    </a:xfrm>
                    <a:prstGeom prst="rect">
                      <a:avLst/>
                    </a:prstGeom>
                    <a:noFill/>
                  </pic:spPr>
                </pic:pic>
              </a:graphicData>
            </a:graphic>
          </wp:anchor>
        </w:drawing>
      </w:r>
    </w:p>
    <w:p>
      <w:pPr>
        <w:spacing w:after="0" w:line="30" w:lineRule="exact"/>
        <w:rPr>
          <w:sz w:val="20"/>
          <w:szCs w:val="20"/>
          <w:color w:val="auto"/>
        </w:rPr>
      </w:pPr>
    </w:p>
    <w:p>
      <w:pPr>
        <w:ind w:left="460" w:right="571"/>
        <w:spacing w:after="0" w:line="297" w:lineRule="auto"/>
        <w:rPr>
          <w:sz w:val="20"/>
          <w:szCs w:val="20"/>
          <w:color w:val="auto"/>
        </w:rPr>
      </w:pPr>
      <w:r>
        <w:rPr>
          <w:rFonts w:ascii="Times New Roman" w:cs="Times New Roman" w:eastAsia="Times New Roman" w:hAnsi="Times New Roman"/>
          <w:sz w:val="18"/>
          <w:szCs w:val="18"/>
          <w:color w:val="auto"/>
        </w:rPr>
        <w:t>Net realized loss on the redemption of mandatorily redeemable preferred stock Net 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-149860</wp:posOffset>
            </wp:positionV>
            <wp:extent cx="5145405"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ind w:left="460" w:right="2011"/>
        <w:spacing w:after="0" w:line="329" w:lineRule="auto"/>
        <w:rPr>
          <w:sz w:val="20"/>
          <w:szCs w:val="20"/>
          <w:color w:val="auto"/>
        </w:rPr>
      </w:pPr>
      <w:r>
        <w:rPr>
          <w:rFonts w:ascii="Times New Roman" w:cs="Times New Roman" w:eastAsia="Times New Roman" w:hAnsi="Times New Roman"/>
          <w:sz w:val="18"/>
          <w:szCs w:val="18"/>
          <w:color w:val="auto"/>
        </w:rPr>
        <w:t>Net realized loss and net change in unrealized depreciation Net increase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-185420</wp:posOffset>
            </wp:positionV>
            <wp:extent cx="5145405"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spacing w:after="0" w:line="142" w:lineRule="exact"/>
        <w:rPr>
          <w:sz w:val="20"/>
          <w:szCs w:val="20"/>
          <w:color w:val="auto"/>
        </w:rPr>
      </w:pPr>
    </w:p>
    <w:p>
      <w:pPr>
        <w:jc w:val="center"/>
        <w:ind w:left="232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85" w:lineRule="exact"/>
        <w:rPr>
          <w:sz w:val="20"/>
          <w:szCs w:val="20"/>
          <w:color w:val="auto"/>
        </w:rPr>
      </w:pPr>
    </w:p>
    <w:p>
      <w:pPr>
        <w:jc w:val="center"/>
        <w:ind w:left="232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50"/>
        <w:spacing w:after="0"/>
        <w:rPr>
          <w:sz w:val="20"/>
          <w:szCs w:val="20"/>
          <w:color w:val="auto"/>
        </w:rPr>
      </w:pPr>
      <w:r>
        <w:rPr>
          <w:rFonts w:ascii="Times New Roman" w:cs="Times New Roman" w:eastAsia="Times New Roman" w:hAnsi="Times New Roman"/>
          <w:sz w:val="16"/>
          <w:szCs w:val="16"/>
          <w:b w:val="1"/>
          <w:bCs w:val="1"/>
          <w:color w:val="auto"/>
        </w:rPr>
        <w:t>Six Months</w:t>
      </w:r>
    </w:p>
    <w:p>
      <w:pPr>
        <w:spacing w:after="0" w:line="28" w:lineRule="exact"/>
        <w:rPr>
          <w:sz w:val="20"/>
          <w:szCs w:val="20"/>
          <w:color w:val="auto"/>
        </w:rPr>
      </w:pPr>
    </w:p>
    <w:p>
      <w:pPr>
        <w:jc w:val="center"/>
        <w:ind w:right="450"/>
        <w:spacing w:after="0"/>
        <w:rPr>
          <w:sz w:val="20"/>
          <w:szCs w:val="20"/>
          <w:color w:val="auto"/>
        </w:rPr>
      </w:pPr>
      <w:r>
        <w:rPr>
          <w:rFonts w:ascii="Times New Roman" w:cs="Times New Roman" w:eastAsia="Times New Roman" w:hAnsi="Times New Roman"/>
          <w:sz w:val="16"/>
          <w:szCs w:val="16"/>
          <w:b w:val="1"/>
          <w:bCs w:val="1"/>
          <w:color w:val="auto"/>
        </w:rPr>
        <w:t>Ended</w:t>
      </w:r>
    </w:p>
    <w:p>
      <w:pPr>
        <w:spacing w:after="0" w:line="19" w:lineRule="exact"/>
        <w:rPr>
          <w:sz w:val="20"/>
          <w:szCs w:val="20"/>
          <w:color w:val="auto"/>
        </w:rPr>
      </w:pPr>
    </w:p>
    <w:p>
      <w:pPr>
        <w:jc w:val="center"/>
        <w:ind w:right="45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19" w:lineRule="exact"/>
        <w:rPr>
          <w:sz w:val="20"/>
          <w:szCs w:val="20"/>
          <w:color w:val="auto"/>
        </w:rPr>
      </w:pPr>
    </w:p>
    <w:p>
      <w:pPr>
        <w:jc w:val="center"/>
        <w:ind w:right="450"/>
        <w:spacing w:after="0"/>
        <w:rPr>
          <w:sz w:val="20"/>
          <w:szCs w:val="20"/>
          <w:color w:val="auto"/>
        </w:rPr>
      </w:pPr>
      <w:r>
        <w:rPr>
          <w:rFonts w:ascii="Times New Roman" w:cs="Times New Roman" w:eastAsia="Times New Roman" w:hAnsi="Times New Roman"/>
          <w:sz w:val="16"/>
          <w:szCs w:val="16"/>
          <w:b w:val="1"/>
          <w:bCs w:val="1"/>
          <w:color w:val="auto"/>
        </w:rPr>
        <w:t>2017</w:t>
      </w:r>
    </w:p>
    <w:p>
      <w:pPr>
        <w:spacing w:after="0" w:line="276" w:lineRule="exact"/>
        <w:rPr>
          <w:sz w:val="20"/>
          <w:szCs w:val="20"/>
          <w:color w:val="auto"/>
        </w:rPr>
      </w:pPr>
    </w:p>
    <w:p>
      <w:pPr>
        <w:ind w:left="229" w:hanging="229"/>
        <w:spacing w:after="0"/>
        <w:tabs>
          <w:tab w:leader="none" w:pos="22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33,371,191</w:t>
      </w:r>
    </w:p>
    <w:p>
      <w:pPr>
        <w:spacing w:after="0" w:line="49" w:lineRule="exact"/>
        <w:rPr>
          <w:rFonts w:ascii="Times New Roman" w:cs="Times New Roman" w:eastAsia="Times New Roman" w:hAnsi="Times New Roman"/>
          <w:sz w:val="18"/>
          <w:szCs w:val="18"/>
          <w:color w:val="auto"/>
        </w:rPr>
      </w:pPr>
    </w:p>
    <w:p>
      <w:pPr>
        <w:ind w:left="4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802,171</w:t>
      </w:r>
    </w:p>
    <w:p>
      <w:pPr>
        <w:spacing w:after="0" w:line="90" w:lineRule="exact"/>
        <w:rPr>
          <w:sz w:val="20"/>
          <w:szCs w:val="20"/>
          <w:color w:val="auto"/>
        </w:rPr>
      </w:pPr>
    </w:p>
    <w:p>
      <w:pPr>
        <w:ind w:left="329"/>
        <w:spacing w:after="0"/>
        <w:rPr>
          <w:sz w:val="20"/>
          <w:szCs w:val="20"/>
          <w:color w:val="auto"/>
        </w:rPr>
      </w:pPr>
      <w:r>
        <w:rPr>
          <w:rFonts w:ascii="Times New Roman" w:cs="Times New Roman" w:eastAsia="Times New Roman" w:hAnsi="Times New Roman"/>
          <w:sz w:val="18"/>
          <w:szCs w:val="18"/>
          <w:color w:val="auto"/>
        </w:rPr>
        <w:t>1,255,582</w:t>
      </w:r>
    </w:p>
    <w:p>
      <w:pPr>
        <w:spacing w:after="0" w:line="50" w:lineRule="exact"/>
        <w:rPr>
          <w:sz w:val="20"/>
          <w:szCs w:val="20"/>
          <w:color w:val="auto"/>
        </w:rPr>
      </w:pPr>
    </w:p>
    <w:p>
      <w:pPr>
        <w:ind w:left="229"/>
        <w:spacing w:after="0"/>
        <w:rPr>
          <w:sz w:val="20"/>
          <w:szCs w:val="20"/>
          <w:color w:val="auto"/>
        </w:rPr>
      </w:pPr>
      <w:r>
        <w:rPr>
          <w:rFonts w:ascii="Times New Roman" w:cs="Times New Roman" w:eastAsia="Times New Roman" w:hAnsi="Times New Roman"/>
          <w:sz w:val="18"/>
          <w:szCs w:val="18"/>
          <w:color w:val="auto"/>
        </w:rPr>
        <w:t>35,428,944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604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6,556,582</w:t>
      </w:r>
    </w:p>
    <w:p>
      <w:pPr>
        <w:spacing w:after="0" w:line="50"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4,073,268</w:t>
      </w:r>
    </w:p>
    <w:p>
      <w:pPr>
        <w:spacing w:after="0" w:line="50"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4,716,166</w:t>
      </w:r>
    </w:p>
    <w:p>
      <w:pPr>
        <w:spacing w:after="0" w:line="50"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374,391</w:t>
      </w:r>
    </w:p>
    <w:p>
      <w:pPr>
        <w:spacing w:after="0" w:line="50"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306,287</w:t>
      </w:r>
    </w:p>
    <w:p>
      <w:pPr>
        <w:spacing w:after="0" w:line="50"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144,500</w:t>
      </w:r>
    </w:p>
    <w:p>
      <w:pPr>
        <w:spacing w:after="0" w:line="50"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245,994</w:t>
      </w:r>
    </w:p>
    <w:p>
      <w:pPr>
        <w:spacing w:after="0" w:line="50"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82,989</w:t>
      </w:r>
    </w:p>
    <w:p>
      <w:pPr>
        <w:spacing w:after="0" w:line="90"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8"/>
          <w:szCs w:val="18"/>
          <w:color w:val="auto"/>
        </w:rPr>
        <w:t>64,110</w:t>
      </w:r>
    </w:p>
    <w:p>
      <w:pPr>
        <w:spacing w:after="0" w:line="50" w:lineRule="exact"/>
        <w:rPr>
          <w:sz w:val="20"/>
          <w:szCs w:val="20"/>
          <w:color w:val="auto"/>
        </w:rPr>
      </w:pPr>
    </w:p>
    <w:p>
      <w:pPr>
        <w:ind w:left="229"/>
        <w:spacing w:after="0"/>
        <w:rPr>
          <w:sz w:val="20"/>
          <w:szCs w:val="20"/>
          <w:color w:val="auto"/>
        </w:rPr>
      </w:pPr>
      <w:r>
        <w:rPr>
          <w:rFonts w:ascii="Times New Roman" w:cs="Times New Roman" w:eastAsia="Times New Roman" w:hAnsi="Times New Roman"/>
          <w:sz w:val="18"/>
          <w:szCs w:val="18"/>
          <w:color w:val="auto"/>
        </w:rPr>
        <w:t>16,564,287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604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0" w:lineRule="exact"/>
        <w:rPr>
          <w:sz w:val="20"/>
          <w:szCs w:val="20"/>
          <w:color w:val="auto"/>
        </w:rPr>
      </w:pPr>
    </w:p>
    <w:p>
      <w:pPr>
        <w:ind w:left="229"/>
        <w:spacing w:after="0"/>
        <w:rPr>
          <w:sz w:val="20"/>
          <w:szCs w:val="20"/>
          <w:color w:val="auto"/>
        </w:rPr>
      </w:pPr>
      <w:r>
        <w:rPr>
          <w:rFonts w:ascii="Times New Roman" w:cs="Times New Roman" w:eastAsia="Times New Roman" w:hAnsi="Times New Roman"/>
          <w:sz w:val="18"/>
          <w:szCs w:val="18"/>
          <w:color w:val="auto"/>
        </w:rPr>
        <w:t>18,864,657</w:t>
      </w:r>
    </w:p>
    <w:p>
      <w:pPr>
        <w:spacing w:after="0" w:line="27"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(10,946,650)</w:t>
      </w:r>
    </w:p>
    <w:p>
      <w:pPr>
        <w:spacing w:after="0" w:line="45"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(1,709,991)</w:t>
      </w:r>
    </w:p>
    <w:p>
      <w:pPr>
        <w:spacing w:after="0" w:line="90" w:lineRule="exact"/>
        <w:rPr>
          <w:sz w:val="20"/>
          <w:szCs w:val="20"/>
          <w:color w:val="auto"/>
        </w:rPr>
      </w:pPr>
    </w:p>
    <w:p>
      <w:pPr>
        <w:ind w:left="449"/>
        <w:spacing w:after="0"/>
        <w:rPr>
          <w:sz w:val="20"/>
          <w:szCs w:val="20"/>
          <w:color w:val="auto"/>
        </w:rPr>
      </w:pPr>
      <w:r>
        <w:rPr>
          <w:rFonts w:ascii="Times New Roman" w:cs="Times New Roman" w:eastAsia="Times New Roman" w:hAnsi="Times New Roman"/>
          <w:sz w:val="18"/>
          <w:szCs w:val="18"/>
          <w:color w:val="auto"/>
        </w:rPr>
        <w:t>222,573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604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0"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8"/>
          <w:szCs w:val="18"/>
          <w:color w:val="auto"/>
        </w:rPr>
        <w:t>(12,434,068)</w:t>
      </w:r>
    </w:p>
    <w:p>
      <w:pPr>
        <w:spacing w:after="0" w:line="36" w:lineRule="exact"/>
        <w:rPr>
          <w:sz w:val="20"/>
          <w:szCs w:val="20"/>
          <w:color w:val="auto"/>
        </w:rPr>
      </w:pPr>
    </w:p>
    <w:p>
      <w:pPr>
        <w:ind w:left="329" w:hanging="329"/>
        <w:spacing w:after="0"/>
        <w:tabs>
          <w:tab w:leader="none" w:pos="329" w:val="left"/>
        </w:tabs>
        <w:numPr>
          <w:ilvl w:val="0"/>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6,430,589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6604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ectPr>
          <w:pgSz w:w="11900" w:h="16838" w:orient="portrait"/>
          <w:cols w:equalWidth="0" w:num="2">
            <w:col w:w="6711" w:space="720"/>
            <w:col w:w="1588"/>
          </w:cols>
          <w:pgMar w:left="1440" w:top="333"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NET ASSETS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40" w:type="dxa"/>
            <w:vAlign w:val="bottom"/>
          </w:tcPr>
          <w:p>
            <w:pPr>
              <w:spacing w:after="0"/>
              <w:rPr>
                <w:sz w:val="17"/>
                <w:szCs w:val="17"/>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7"/>
                <w:szCs w:val="17"/>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80" w:type="dxa"/>
            <w:vAlign w:val="bottom"/>
            <w:gridSpan w:val="2"/>
          </w:tcPr>
          <w:p>
            <w:pPr>
              <w:jc w:val="center"/>
              <w:ind w:left="232"/>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80" w:type="dxa"/>
            <w:vAlign w:val="bottom"/>
          </w:tcPr>
          <w:p>
            <w:pPr>
              <w:spacing w:after="0"/>
              <w:rPr>
                <w:sz w:val="18"/>
                <w:szCs w:val="18"/>
                <w:color w:val="auto"/>
              </w:rPr>
            </w:pPr>
          </w:p>
        </w:tc>
        <w:tc>
          <w:tcPr>
            <w:tcW w:w="1180" w:type="dxa"/>
            <w:vAlign w:val="bottom"/>
            <w:gridSpan w:val="2"/>
          </w:tcPr>
          <w:p>
            <w:pPr>
              <w:jc w:val="center"/>
              <w:ind w:left="91"/>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from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18,864,657</w:t>
            </w:r>
          </w:p>
        </w:tc>
        <w:tc>
          <w:tcPr>
            <w:tcW w:w="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30,760,679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realized losses</w:t>
            </w: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(1,487,418)</w:t>
            </w: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(6,250,464)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tc>
        <w:tc>
          <w:tcPr>
            <w:tcW w:w="24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(10,946,650)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80,691,611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24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6,430,589</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105,201,826</w:t>
            </w: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from net investment income</w:t>
            </w:r>
          </w:p>
        </w:tc>
        <w:tc>
          <w:tcPr>
            <w:tcW w:w="2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(19,580,225)</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(49,601,273)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distributions to shareholders</w:t>
            </w: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(19,580,225)</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(49,601,273)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Capital share transaction:</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Issuance of common stock (net of underwriting fees and offering costs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$616,947 and $1,038,300, respectively)</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25,913,973</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43,800,085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Reinvestment of dividends</w:t>
            </w:r>
          </w:p>
        </w:tc>
        <w:tc>
          <w:tcPr>
            <w:tcW w:w="24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697,925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from capital share transactions</w:t>
            </w:r>
          </w:p>
        </w:tc>
        <w:tc>
          <w:tcPr>
            <w:tcW w:w="24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25,913,973</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44,498,010</w:t>
            </w: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333" w:right="1440" w:bottom="1440" w:gutter="0" w:footer="0" w:header="0"/>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increase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-119380</wp:posOffset>
            </wp:positionV>
            <wp:extent cx="5145405"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5405" cy="16319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assets at beginning of period</w:t>
      </w:r>
    </w:p>
    <w:p>
      <w:pPr>
        <w:spacing w:after="0" w:line="50" w:lineRule="exact"/>
        <w:rPr>
          <w:sz w:val="20"/>
          <w:szCs w:val="20"/>
          <w:color w:val="auto"/>
        </w:rPr>
      </w:pPr>
    </w:p>
    <w:p>
      <w:pPr>
        <w:ind w:left="640" w:right="60" w:hanging="179"/>
        <w:spacing w:after="0" w:line="282" w:lineRule="auto"/>
        <w:rPr>
          <w:sz w:val="20"/>
          <w:szCs w:val="20"/>
          <w:color w:val="auto"/>
        </w:rPr>
      </w:pPr>
      <w:r>
        <w:rPr>
          <w:rFonts w:ascii="Times New Roman" w:cs="Times New Roman" w:eastAsia="Times New Roman" w:hAnsi="Times New Roman"/>
          <w:sz w:val="18"/>
          <w:szCs w:val="18"/>
          <w:color w:val="auto"/>
        </w:rPr>
        <w:t>Net assets at end of period (including distributions in excess of net investment income of $25,768,723 and $25,053,155,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-296545</wp:posOffset>
            </wp:positionV>
            <wp:extent cx="5145405" cy="3003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5405"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left="240"/>
        <w:spacing w:after="0"/>
        <w:tabs>
          <w:tab w:leader="none" w:pos="1360" w:val="left"/>
        </w:tabs>
        <w:rPr>
          <w:sz w:val="20"/>
          <w:szCs w:val="20"/>
          <w:color w:val="auto"/>
        </w:rPr>
      </w:pPr>
      <w:r>
        <w:rPr>
          <w:rFonts w:ascii="Times New Roman" w:cs="Times New Roman" w:eastAsia="Times New Roman" w:hAnsi="Times New Roman"/>
          <w:sz w:val="18"/>
          <w:szCs w:val="18"/>
          <w:color w:val="auto"/>
        </w:rPr>
        <w:t>12,764,337</w:t>
      </w:r>
      <w:r>
        <w:rPr>
          <w:sz w:val="20"/>
          <w:szCs w:val="20"/>
          <w:color w:val="auto"/>
        </w:rPr>
        <w:tab/>
      </w:r>
      <w:r>
        <w:rPr>
          <w:rFonts w:ascii="Times New Roman" w:cs="Times New Roman" w:eastAsia="Times New Roman" w:hAnsi="Times New Roman"/>
          <w:sz w:val="18"/>
          <w:szCs w:val="18"/>
          <w:color w:val="auto"/>
        </w:rPr>
        <w:t>100,098,563</w:t>
      </w:r>
    </w:p>
    <w:p>
      <w:pPr>
        <w:spacing w:after="0" w:line="90" w:lineRule="exact"/>
        <w:rPr>
          <w:sz w:val="20"/>
          <w:szCs w:val="20"/>
          <w:color w:val="auto"/>
        </w:rPr>
      </w:pPr>
    </w:p>
    <w:p>
      <w:pPr>
        <w:ind w:left="140"/>
        <w:spacing w:after="0"/>
        <w:tabs>
          <w:tab w:leader="none" w:pos="1360" w:val="left"/>
        </w:tabs>
        <w:rPr>
          <w:sz w:val="20"/>
          <w:szCs w:val="20"/>
          <w:color w:val="auto"/>
        </w:rPr>
      </w:pPr>
      <w:r>
        <w:rPr>
          <w:rFonts w:ascii="Times New Roman" w:cs="Times New Roman" w:eastAsia="Times New Roman" w:hAnsi="Times New Roman"/>
          <w:sz w:val="18"/>
          <w:szCs w:val="18"/>
          <w:u w:val="single" w:color="auto"/>
          <w:color w:val="auto"/>
        </w:rPr>
        <w:t>232,048,445</w:t>
      </w:r>
      <w:r>
        <w:rPr>
          <w:sz w:val="20"/>
          <w:szCs w:val="20"/>
          <w:color w:val="auto"/>
        </w:rPr>
        <w:tab/>
      </w:r>
      <w:r>
        <w:rPr>
          <w:rFonts w:ascii="Times New Roman" w:cs="Times New Roman" w:eastAsia="Times New Roman" w:hAnsi="Times New Roman"/>
          <w:sz w:val="18"/>
          <w:szCs w:val="18"/>
          <w:u w:val="single" w:color="auto"/>
          <w:color w:val="auto"/>
        </w:rPr>
        <w:t>131,949,882</w:t>
      </w:r>
    </w:p>
    <w:p>
      <w:pPr>
        <w:spacing w:after="0" w:line="25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u w:val="single" w:color="auto"/>
          <w:color w:val="auto"/>
        </w:rPr>
        <w:t>$ 244,812,782</w:t>
        <w:tab/>
        <w:t>$ 232,048,445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4490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5480" w:space="720"/>
            <w:col w:w="2819"/>
          </w:cols>
          <w:pgMar w:left="1440" w:top="333" w:right="1440" w:bottom="1440" w:gutter="0" w:footer="0" w:header="0"/>
          <w:type w:val="continuous"/>
        </w:sectPr>
      </w:pP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share activity:</w:t>
            </w: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34"/>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2,461,008</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3,929,836</w:t>
            </w:r>
          </w:p>
        </w:tc>
        <w:tc>
          <w:tcPr>
            <w:tcW w:w="80" w:type="dxa"/>
            <w:vAlign w:val="bottom"/>
          </w:tcPr>
          <w:p>
            <w:pPr>
              <w:spacing w:after="0"/>
              <w:rPr>
                <w:sz w:val="20"/>
                <w:szCs w:val="20"/>
                <w:color w:val="auto"/>
              </w:rPr>
            </w:pPr>
          </w:p>
        </w:tc>
      </w:tr>
      <w:tr>
        <w:trPr>
          <w:trHeight w:val="22"/>
        </w:trPr>
        <w:tc>
          <w:tcPr>
            <w:tcW w:w="5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from reinvestment of dividends</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69,900</w:t>
            </w:r>
          </w:p>
        </w:tc>
        <w:tc>
          <w:tcPr>
            <w:tcW w:w="80" w:type="dxa"/>
            <w:vAlign w:val="bottom"/>
            <w:shd w:val="clear" w:color="auto" w:fill="CCEEFF"/>
          </w:tcPr>
          <w:p>
            <w:pPr>
              <w:spacing w:after="0"/>
              <w:rPr>
                <w:sz w:val="22"/>
                <w:szCs w:val="22"/>
                <w:color w:val="auto"/>
              </w:rPr>
            </w:pPr>
          </w:p>
        </w:tc>
      </w:tr>
      <w:tr>
        <w:trPr>
          <w:trHeight w:val="223"/>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in capital share activity</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2,461,008</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3,999,736</w:t>
            </w:r>
          </w:p>
        </w:tc>
        <w:tc>
          <w:tcPr>
            <w:tcW w:w="8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4" w:name="page15"/>
    <w:bookmarkEnd w:id="14"/>
    <w:p>
      <w:pPr>
        <w:ind w:left="314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5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6,430,589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increase in net assets resulting from operations to net cash</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Amortization/accretion of discounts and premiums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(130,231)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issuance costs on mandatorily redeemable preferred stock</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343,085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discount on mandatorily redeemable preferred stock</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(149,030,163)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of investments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58,179,677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principal and reductions to investment cost value</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10,946,650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realized losses</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1,487,418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Reductions to CLO equity cost value</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30,869,725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distributions receivable</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fee receivable</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(170,491)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interest receivable</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(211,159)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prepaid expenses and other assets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investment advisory fee payable</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317,392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incentive fee payable</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(188,143)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directors’ fees payable</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administrator expense payable</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accrued offering costs</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(78,275)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accrued expenses</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(30,940,342)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paid (net of dividend reinvestment plan of $0)</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(19,580,225)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26,530,920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Underwriting fees and offering costs for the issuance of common stock</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(616,947)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offering costs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of mandatorily redeemable preferred stock</w:t>
            </w: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(50,504,475)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issuance of mandatorily redeemable preferred stock</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68,235,375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issuance costs for the issuance of preferred stock</w:t>
            </w: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(2,359,378)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21,780,323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(9,160,019)</w:t>
            </w:r>
          </w:p>
        </w:tc>
        <w:tc>
          <w:tcPr>
            <w:tcW w:w="0" w:type="dxa"/>
            <w:vAlign w:val="bottom"/>
          </w:tcPr>
          <w:p>
            <w:pPr>
              <w:spacing w:after="0"/>
              <w:rPr>
                <w:sz w:val="1"/>
                <w:szCs w:val="1"/>
                <w:color w:val="auto"/>
              </w:rPr>
            </w:pPr>
          </w:p>
        </w:tc>
      </w:tr>
      <w:tr>
        <w:trPr>
          <w:trHeight w:val="22"/>
        </w:trPr>
        <w:tc>
          <w:tcPr>
            <w:tcW w:w="6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6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14,017,859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4,857,840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66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5,933,222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NON-CASH ACTIVITIES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sold not settled</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1,395,557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purchased not settled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7,722,770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9019"/>
          </w:cols>
          <w:pgMar w:left="1440" w:top="333"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UNAUDITED INTERIM FINANCIAL STATEMENTS</w:t>
      </w:r>
    </w:p>
    <w:p>
      <w:pPr>
        <w:spacing w:after="0" w:line="189" w:lineRule="exact"/>
        <w:rPr>
          <w:sz w:val="20"/>
          <w:szCs w:val="20"/>
          <w:color w:val="auto"/>
        </w:rPr>
      </w:pPr>
    </w:p>
    <w:p>
      <w:pPr>
        <w:ind w:left="460" w:right="519" w:firstLine="324"/>
        <w:spacing w:after="0" w:line="254" w:lineRule="auto"/>
        <w:rPr>
          <w:sz w:val="20"/>
          <w:szCs w:val="20"/>
          <w:color w:val="auto"/>
        </w:rPr>
      </w:pPr>
      <w:r>
        <w:rPr>
          <w:rFonts w:ascii="Times New Roman" w:cs="Times New Roman" w:eastAsia="Times New Roman" w:hAnsi="Times New Roman"/>
          <w:sz w:val="18"/>
          <w:szCs w:val="18"/>
          <w:color w:val="auto"/>
        </w:rPr>
        <w:t>Interim financial statements of Oxford Lane Capital Corp. (“OXLC,” “we,” “us,” “our,” or the “Fund”) are prepared in accordance with generally accepted accounting principles in the United States of America (“GAAP”) for interim financial information and pursuant to the requirements for reporting on Form N-CSR. Accordingly, certain disclosures accompanying annual financial statements prepared in accordance with GAAP are omitted. In the opinion of management, all adjustments, consisting of normal recurring accruals, necessary for the fair statement of financial results for the interim periods have been included. The current period’s results of operations are not necessarily indicative of results that may be achieved for the year. The interim financial statements and notes thereto should be read in conjunction with the financial statements and notes thereto included in the Fund’s Form N-CSR for the year ended March 31, 2017, as filed with the Securities and Exchange Commission (“SEC”).</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ORGANIZATION</w:t>
      </w:r>
    </w:p>
    <w:p>
      <w:pPr>
        <w:spacing w:after="0" w:line="202" w:lineRule="exact"/>
        <w:rPr>
          <w:sz w:val="20"/>
          <w:szCs w:val="20"/>
          <w:color w:val="auto"/>
        </w:rPr>
      </w:pPr>
    </w:p>
    <w:p>
      <w:pPr>
        <w:ind w:left="460" w:right="499" w:firstLine="324"/>
        <w:spacing w:after="0" w:line="255" w:lineRule="auto"/>
        <w:rPr>
          <w:sz w:val="20"/>
          <w:szCs w:val="20"/>
          <w:color w:val="auto"/>
        </w:rPr>
      </w:pPr>
      <w:r>
        <w:rPr>
          <w:rFonts w:ascii="Times New Roman" w:cs="Times New Roman" w:eastAsia="Times New Roman" w:hAnsi="Times New Roman"/>
          <w:sz w:val="18"/>
          <w:szCs w:val="18"/>
          <w:color w:val="auto"/>
        </w:rPr>
        <w:t>OXLC was incorporated under the General Corporation Laws of the State of Maryland on June 9, 2010. The Fund is a non-diversified closed-end management investment company that has registered under the Investment Company Act of 1940, as amended (the “1940 Act”). In addition, the Fund has elected to be treated for tax purposes as a regulated investment company (“RIC”) under Subchapter M of the Internal Revenue Code of 1986, as amended (the “Code”). The Fund’s investment objective is to maximize its portfolio’s risk adjusted total return, and it currently seeks to achieve its investment objective by investing in structured finance investments, specifically collateralized loan obligation (“CLO”) vehicles, which primarily own senior corporate debt securities.</w:t>
      </w:r>
    </w:p>
    <w:p>
      <w:pPr>
        <w:spacing w:after="0" w:line="145" w:lineRule="exact"/>
        <w:rPr>
          <w:sz w:val="20"/>
          <w:szCs w:val="20"/>
          <w:color w:val="auto"/>
        </w:rPr>
      </w:pPr>
    </w:p>
    <w:p>
      <w:pPr>
        <w:ind w:left="460" w:right="499" w:firstLine="324"/>
        <w:spacing w:after="0" w:line="255" w:lineRule="auto"/>
        <w:rPr>
          <w:sz w:val="20"/>
          <w:szCs w:val="20"/>
          <w:color w:val="auto"/>
        </w:rPr>
      </w:pPr>
      <w:r>
        <w:rPr>
          <w:rFonts w:ascii="Times New Roman" w:cs="Times New Roman" w:eastAsia="Times New Roman" w:hAnsi="Times New Roman"/>
          <w:sz w:val="18"/>
          <w:szCs w:val="18"/>
          <w:color w:val="auto"/>
        </w:rPr>
        <w:t>OXLC’s investment activities are managed by Oxford Lane Management, LLC (“OXLC Management”), a registered investment adviser under the Investment Advisers Act of 1940, as amended. BDC Partners, LLC (“BDC Partners”), a related party, is the managing member of OXLC Management and serves as the administrator of OXLC. Under the investment advisory agreement with OXLC Management (the “Investment Advisory Agreement”), OXLC has agreed to pay OXLC Management an annual base management fee based on gross assets as well as an incentive fee based on its performance. For further detail please refer to “Note 5. Related Party Transactions.”</w:t>
      </w:r>
    </w:p>
    <w:p>
      <w:pPr>
        <w:spacing w:after="0" w:line="185" w:lineRule="exact"/>
        <w:rPr>
          <w:sz w:val="20"/>
          <w:szCs w:val="20"/>
          <w:color w:val="auto"/>
        </w:rPr>
      </w:pPr>
    </w:p>
    <w:p>
      <w:pPr>
        <w:ind w:left="460" w:right="3139"/>
        <w:spacing w:after="0" w:line="286" w:lineRule="auto"/>
        <w:rPr>
          <w:sz w:val="20"/>
          <w:szCs w:val="20"/>
          <w:color w:val="auto"/>
        </w:rPr>
      </w:pPr>
      <w:r>
        <w:rPr>
          <w:rFonts w:ascii="Times New Roman" w:cs="Times New Roman" w:eastAsia="Times New Roman" w:hAnsi="Times New Roman"/>
          <w:sz w:val="18"/>
          <w:szCs w:val="18"/>
          <w:b w:val="1"/>
          <w:bCs w:val="1"/>
          <w:color w:val="auto"/>
        </w:rPr>
        <w:t>NOTE 3. SUMMARY OF SIGNIFICANT ACCOUNTING POLICIES BASIS OF PRESENTATION</w:t>
      </w:r>
    </w:p>
    <w:p>
      <w:pPr>
        <w:spacing w:after="0" w:line="118" w:lineRule="exact"/>
        <w:rPr>
          <w:sz w:val="20"/>
          <w:szCs w:val="20"/>
          <w:color w:val="auto"/>
        </w:rPr>
      </w:pPr>
    </w:p>
    <w:p>
      <w:pPr>
        <w:ind w:left="460" w:right="5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accompanying financial statements, which have been prepared in accordance with GAAP, include the accounts of the Fund. The Fund follows the accounting and reporting guidance in Financial Accounting Standards Board (“FASB”) Accounting Standards Codification (“ASC”) Topic 946, </w:t>
      </w:r>
      <w:r>
        <w:rPr>
          <w:rFonts w:ascii="Times New Roman" w:cs="Times New Roman" w:eastAsia="Times New Roman" w:hAnsi="Times New Roman"/>
          <w:sz w:val="18"/>
          <w:szCs w:val="18"/>
          <w:i w:val="1"/>
          <w:iCs w:val="1"/>
          <w:color w:val="auto"/>
        </w:rPr>
        <w:t>Financial Services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Companies</w:t>
      </w:r>
      <w:r>
        <w:rPr>
          <w:rFonts w:ascii="Times New Roman" w:cs="Times New Roman" w:eastAsia="Times New Roman" w:hAnsi="Times New Roman"/>
          <w:sz w:val="18"/>
          <w:szCs w:val="18"/>
          <w:color w:val="auto"/>
        </w:rPr>
        <w:t>. Certain prior period figures have been reclassified from those originally published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N-CSR to conform to the current period presentation for comparative purposes. The Fund maintains its accounting records in U.S. dollars.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460" w:right="559"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GAAP, which requires management to make estimates and assumptions that affect the amounts reported in the financial statements and accompanying notes. Actual results may differ from those estimates.</w:t>
      </w:r>
    </w:p>
    <w:p>
      <w:pPr>
        <w:spacing w:after="0" w:line="136" w:lineRule="exact"/>
        <w:rPr>
          <w:sz w:val="20"/>
          <w:szCs w:val="20"/>
          <w:color w:val="auto"/>
        </w:rPr>
      </w:pPr>
    </w:p>
    <w:p>
      <w:pPr>
        <w:ind w:left="460" w:right="499"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Fund may enter into contracts that contain a variety of representations and provide indemnifications. The Fund’s maximum exposure under these arrangements is unknown as this would involve future claims that may be made against the Fund that have not yet occurred. However, based upon experience, the Fund expects the risk of loss to be remote.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 – (continued)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ind w:left="460" w:right="499"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demand deposits and cash held in a money market fund which contain investments with original maturities of three months or less. The Fund places its cash and cash equivalents with financial institutions and, at times, cash held in bank accounts may exceed the Federal Deposit Insurance Corporation insured limit. Cash equivalents are classified as Level 1 assets and are included on the Fund’s Schedule of Investments. Cash equivalents are carried at cost or amortized cost which approximates fair value.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VALUATION</w:t>
      </w:r>
    </w:p>
    <w:p>
      <w:pPr>
        <w:spacing w:after="0" w:line="173" w:lineRule="exact"/>
        <w:rPr>
          <w:sz w:val="20"/>
          <w:szCs w:val="20"/>
          <w:color w:val="auto"/>
        </w:rPr>
      </w:pPr>
    </w:p>
    <w:p>
      <w:pPr>
        <w:ind w:left="460" w:right="5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Fund fair values its investment portfolio in accordance with the provisions of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and Disclosure</w:t>
      </w:r>
      <w:r>
        <w:rPr>
          <w:rFonts w:ascii="Times New Roman" w:cs="Times New Roman" w:eastAsia="Times New Roman" w:hAnsi="Times New Roman"/>
          <w:sz w:val="18"/>
          <w:szCs w:val="18"/>
          <w:color w:val="auto"/>
        </w:rPr>
        <w:t>. Estimates made in the preparation of OXLC’s financial statements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valuation of investments and the related 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w:t>
      </w:r>
    </w:p>
    <w:p>
      <w:pPr>
        <w:spacing w:after="0" w:line="131" w:lineRule="exact"/>
        <w:rPr>
          <w:sz w:val="20"/>
          <w:szCs w:val="20"/>
          <w:color w:val="auto"/>
        </w:rPr>
      </w:pPr>
    </w:p>
    <w:p>
      <w:pPr>
        <w:ind w:left="460" w:right="479" w:firstLine="324"/>
        <w:spacing w:after="0" w:line="253" w:lineRule="auto"/>
        <w:rPr>
          <w:sz w:val="20"/>
          <w:szCs w:val="20"/>
          <w:color w:val="auto"/>
        </w:rPr>
      </w:pPr>
      <w:r>
        <w:rPr>
          <w:rFonts w:ascii="Times New Roman" w:cs="Times New Roman" w:eastAsia="Times New Roman" w:hAnsi="Times New Roman"/>
          <w:sz w:val="18"/>
          <w:szCs w:val="18"/>
          <w:color w:val="auto"/>
        </w:rPr>
        <w:t>ASC 820-10 clarifies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 all of OXLC’s investments are valued based upon “Level 3” inputs as of September 30, 2017.</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Collateralized Loan Obligations — Debt and Equity</w:t>
      </w:r>
    </w:p>
    <w:p>
      <w:pPr>
        <w:spacing w:after="0" w:line="175" w:lineRule="exact"/>
        <w:rPr>
          <w:sz w:val="20"/>
          <w:szCs w:val="20"/>
          <w:color w:val="auto"/>
        </w:rPr>
      </w:pPr>
    </w:p>
    <w:p>
      <w:pPr>
        <w:ind w:left="460" w:right="539" w:firstLine="324"/>
        <w:spacing w:after="0" w:line="252" w:lineRule="auto"/>
        <w:rPr>
          <w:sz w:val="20"/>
          <w:szCs w:val="20"/>
          <w:color w:val="auto"/>
        </w:rPr>
      </w:pPr>
      <w:r>
        <w:rPr>
          <w:rFonts w:ascii="Times New Roman" w:cs="Times New Roman" w:eastAsia="Times New Roman" w:hAnsi="Times New Roman"/>
          <w:sz w:val="18"/>
          <w:szCs w:val="18"/>
          <w:color w:val="auto"/>
        </w:rPr>
        <w:t>OXLC has acquired debt and equity positions in CLO investment vehicles and has purchased CLO warehouse facilities. These investments are special purpose financing vehicles. In valuing such investments,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OXLC considers the operating metrics of the specific investment vehicle, including compliance with collateralization tests, defaulted and restructured securities, and payment defaults, if any. OXLC Management or the Fund’s board of directors (the “Board of Directors”) may request an additional analysis by a third-party firm to assist in the valuation process of CLO investment vehicles. All information is presented to the Board of Directors for its determination of fair value of these investments.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75" w:lineRule="exact"/>
        <w:rPr>
          <w:sz w:val="20"/>
          <w:szCs w:val="20"/>
          <w:color w:val="auto"/>
        </w:rPr>
      </w:pPr>
    </w:p>
    <w:p>
      <w:pPr>
        <w:ind w:left="460" w:right="47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Board of Directors may authorize a share repurchase program under which shares of the Fund’s common stock are purchased in open market transactions. Since the Fund is incorporated in the State of Maryland, state law requires share repurchases to be accounted for as a share retirement. The cost of repurchased shares is charged against capital on the settlement date. There were no share repurchases of the Fund’s common stock for the six months ended September 30, 2017.</w:t>
      </w:r>
    </w:p>
    <w:p>
      <w:pPr>
        <w:sectPr>
          <w:pgSz w:w="11900" w:h="16838" w:orient="portrait"/>
          <w:cols w:equalWidth="0" w:num="1">
            <w:col w:w="9019"/>
          </w:cols>
          <w:pgMar w:left="1440" w:top="333"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 – (continued)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ind w:left="460" w:right="459" w:firstLine="324"/>
        <w:spacing w:after="0" w:line="313" w:lineRule="auto"/>
        <w:rPr>
          <w:sz w:val="20"/>
          <w:szCs w:val="20"/>
          <w:color w:val="auto"/>
        </w:rPr>
      </w:pPr>
      <w:r>
        <w:rPr>
          <w:rFonts w:ascii="Times New Roman" w:cs="Times New Roman" w:eastAsia="Times New Roman" w:hAnsi="Times New Roman"/>
          <w:sz w:val="17"/>
          <w:szCs w:val="17"/>
          <w:color w:val="auto"/>
        </w:rPr>
        <w:t>The Fund carries its mandatorily redeemable preferred stock at accreted cost on the Statement of Assets and Liabilities, and not fair value. Refer to “Note 8. Mandatorily Redeemable Preferred Stock” for further details.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20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Prepaid expenses and other assets consist primarily of insurance costs.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from securitization vehicles and investments</w:t>
      </w:r>
    </w:p>
    <w:p>
      <w:pPr>
        <w:spacing w:after="0" w:line="189" w:lineRule="exact"/>
        <w:rPr>
          <w:sz w:val="20"/>
          <w:szCs w:val="20"/>
          <w:color w:val="auto"/>
        </w:rPr>
      </w:pPr>
    </w:p>
    <w:p>
      <w:pPr>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Income from investments in the equity class securities of CLO vehicles (typically income notes or subordinated notes) is recorded using the effective interest method in accordance with the provisions of ASC 325-40, based upon an effective yield to the expected redemption utilizing estimated cash flows, including those CLO equity investments that have not made their inaugural distribution for the relevant period end. The Fund monitors the expected residual payments, and effective yield is determined and updated periodically, as needed. Accordingly, investment income recognized on CLO equity securities in the GAAP statement of operations differs from both the tax-basis investment income and from the cash distributions actually received by the Fund during the period.</w:t>
      </w:r>
    </w:p>
    <w:p>
      <w:pPr>
        <w:spacing w:after="0" w:line="145" w:lineRule="exact"/>
        <w:rPr>
          <w:sz w:val="20"/>
          <w:szCs w:val="20"/>
          <w:color w:val="auto"/>
        </w:rPr>
      </w:pPr>
    </w:p>
    <w:p>
      <w:pPr>
        <w:ind w:left="460" w:right="459" w:firstLine="324"/>
        <w:spacing w:after="0" w:line="261" w:lineRule="auto"/>
        <w:rPr>
          <w:sz w:val="20"/>
          <w:szCs w:val="20"/>
          <w:color w:val="auto"/>
        </w:rPr>
      </w:pPr>
      <w:r>
        <w:rPr>
          <w:rFonts w:ascii="Times New Roman" w:cs="Times New Roman" w:eastAsia="Times New Roman" w:hAnsi="Times New Roman"/>
          <w:sz w:val="18"/>
          <w:szCs w:val="18"/>
          <w:color w:val="auto"/>
        </w:rPr>
        <w:t>The Fund also records income on its investments in certain securitization vehicles (or “CLO warehouse facilities”) based on a stated rate as per the underlying note purchase agreement or, if there is no stated rate, then an estimated rate is calculated using a base case model projecting the timing of the ramp-up of the CLO warehouse facility.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 Debt Investments</w:t>
      </w:r>
    </w:p>
    <w:p>
      <w:pPr>
        <w:spacing w:after="0" w:line="202" w:lineRule="exact"/>
        <w:rPr>
          <w:sz w:val="20"/>
          <w:szCs w:val="20"/>
          <w:color w:val="auto"/>
        </w:rPr>
      </w:pPr>
    </w:p>
    <w:p>
      <w:pPr>
        <w:ind w:left="460" w:right="479" w:firstLine="324"/>
        <w:spacing w:after="0" w:line="258" w:lineRule="auto"/>
        <w:rPr>
          <w:sz w:val="20"/>
          <w:szCs w:val="20"/>
          <w:color w:val="auto"/>
        </w:rPr>
      </w:pPr>
      <w:r>
        <w:rPr>
          <w:rFonts w:ascii="Times New Roman" w:cs="Times New Roman" w:eastAsia="Times New Roman" w:hAnsi="Times New Roman"/>
          <w:sz w:val="18"/>
          <w:szCs w:val="18"/>
          <w:color w:val="auto"/>
        </w:rPr>
        <w:t>Interest income is recorded on an accrual basis using the contractual rate applicable to each debt investment and includes the accretion of discounts and amortization of premiums. Discounts from and premiums to par value on securities purchased are accreted/amortized into interest income over the life of the respective security using the effective interest method. The amortized cost of investments represents the original cost adjusted for the accretion of discounts and amortization of premiums, if any.</w:t>
      </w:r>
    </w:p>
    <w:p>
      <w:pPr>
        <w:spacing w:after="0" w:line="143" w:lineRule="exact"/>
        <w:rPr>
          <w:sz w:val="20"/>
          <w:szCs w:val="20"/>
          <w:color w:val="auto"/>
        </w:rPr>
      </w:pPr>
    </w:p>
    <w:p>
      <w:pPr>
        <w:ind w:left="460" w:right="539" w:firstLine="324"/>
        <w:spacing w:after="0" w:line="255" w:lineRule="auto"/>
        <w:rPr>
          <w:sz w:val="20"/>
          <w:szCs w:val="20"/>
          <w:color w:val="auto"/>
        </w:rPr>
      </w:pPr>
      <w:r>
        <w:rPr>
          <w:rFonts w:ascii="Times New Roman" w:cs="Times New Roman" w:eastAsia="Times New Roman" w:hAnsi="Times New Roman"/>
          <w:sz w:val="18"/>
          <w:szCs w:val="18"/>
          <w:color w:val="auto"/>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September 30, 2017, the Fund had no non-accrual investments in its portfolio.</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89" w:lineRule="exact"/>
        <w:rPr>
          <w:sz w:val="20"/>
          <w:szCs w:val="20"/>
          <w:color w:val="auto"/>
        </w:rPr>
      </w:pPr>
    </w:p>
    <w:p>
      <w:pPr>
        <w:ind w:left="460" w:right="519" w:firstLine="324"/>
        <w:spacing w:after="0" w:line="258" w:lineRule="auto"/>
        <w:rPr>
          <w:sz w:val="20"/>
          <w:szCs w:val="20"/>
          <w:color w:val="auto"/>
        </w:rPr>
      </w:pPr>
      <w:r>
        <w:rPr>
          <w:rFonts w:ascii="Times New Roman" w:cs="Times New Roman" w:eastAsia="Times New Roman" w:hAnsi="Times New Roman"/>
          <w:sz w:val="18"/>
          <w:szCs w:val="18"/>
          <w:color w:val="auto"/>
        </w:rPr>
        <w:t>Other income includes distributions from fee letters and success fees associated with portfolio investments. Distributions from fee letters are based upon a percentage of the collateral manager’s fees, and are recorded as other income when earned. The Fund may also earn success fees associated with its investments in CLO warehouse facilities, which are contingent upon a repayment of the warehouse by a permanent CLO securitization structure; such fees are earned and recognized when the repayment is completed.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 – (continued)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FEDERAL INCOME TAXES</w:t>
      </w:r>
    </w:p>
    <w:p>
      <w:pPr>
        <w:spacing w:after="0" w:line="189" w:lineRule="exact"/>
        <w:rPr>
          <w:sz w:val="20"/>
          <w:szCs w:val="20"/>
          <w:color w:val="auto"/>
        </w:rPr>
      </w:pPr>
    </w:p>
    <w:p>
      <w:pPr>
        <w:ind w:left="460" w:right="599" w:firstLine="324"/>
        <w:spacing w:after="0" w:line="261" w:lineRule="auto"/>
        <w:rPr>
          <w:sz w:val="20"/>
          <w:szCs w:val="20"/>
          <w:color w:val="auto"/>
        </w:rPr>
      </w:pPr>
      <w:r>
        <w:rPr>
          <w:rFonts w:ascii="Times New Roman" w:cs="Times New Roman" w:eastAsia="Times New Roman" w:hAnsi="Times New Roman"/>
          <w:sz w:val="18"/>
          <w:szCs w:val="18"/>
          <w:color w:val="auto"/>
        </w:rPr>
        <w:t>The Fund intends to operate so as to continue to qualify to be taxed as a RIC under Subchapter M of the Code and, as such, to not be subject to U.S. federal income tax on the portion of its taxable income and gains distributed to stockholders. To qualify for RIC tax treatment, OXLC is required to distribute at least 90% of its investment company taxable income, as defined by the Code.</w:t>
      </w:r>
    </w:p>
    <w:p>
      <w:pPr>
        <w:spacing w:after="0" w:line="153" w:lineRule="exact"/>
        <w:rPr>
          <w:sz w:val="20"/>
          <w:szCs w:val="20"/>
          <w:color w:val="auto"/>
        </w:rPr>
      </w:pPr>
    </w:p>
    <w:p>
      <w:pPr>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47" w:lineRule="exact"/>
        <w:rPr>
          <w:sz w:val="20"/>
          <w:szCs w:val="20"/>
          <w:color w:val="auto"/>
        </w:rPr>
      </w:pPr>
    </w:p>
    <w:p>
      <w:pPr>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The Fund recognizes the tax benefits of uncertain tax positions only when the position is more likely than not to be sustained, assuming examination by tax authorities. Management has analyzed the Fund’s tax positions and concluded that no liability for unrecognized tax benefits should be recorded related to uncertain tax positions expected to be taken in the Fund’s 2018 tax returns. The Fund identifies its major tax jurisdictions as U.S Federal and Connecticut State. The Fund is not aware of any tax position for which it is reasonably possible that the total amounts of unrecognized tax benefits will change materially in the next six months.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89" w:lineRule="exact"/>
        <w:rPr>
          <w:sz w:val="20"/>
          <w:szCs w:val="20"/>
          <w:color w:val="auto"/>
        </w:rPr>
      </w:pPr>
    </w:p>
    <w:p>
      <w:pPr>
        <w:ind w:left="460" w:right="539" w:firstLine="324"/>
        <w:spacing w:after="0" w:line="254" w:lineRule="auto"/>
        <w:rPr>
          <w:sz w:val="20"/>
          <w:szCs w:val="20"/>
          <w:color w:val="auto"/>
        </w:rPr>
      </w:pPr>
      <w:r>
        <w:rPr>
          <w:rFonts w:ascii="Times New Roman" w:cs="Times New Roman" w:eastAsia="Times New Roman" w:hAnsi="Times New Roman"/>
          <w:sz w:val="18"/>
          <w:szCs w:val="18"/>
          <w:color w:val="auto"/>
        </w:rPr>
        <w:t>Our distribution policy is based upon our estimate of our distributable net investment income, which includes actual distributions from our CLO equity class investments, with further consideration given to our realized gains or losses on a taxable basis. Distributions from net investment income and capital gain distributions are determined in accordance with U.S. federal income tax regulations, which differ from GAAP. Distributions from net investment income, if any, are expected to be declared and paid quarterly. Net realized capital gains, unless offset by any available capital loss carry-forward, are typically distributed to shareholders annually. Distributions to shareholders are recorded on the ex-dividend date and are automatically reinvested in full and fractional shares of the Fund in accordance with the Fund’s distribution reinvestment plan, unless the shareholder has elected to have them paid in cash.</w:t>
      </w:r>
    </w:p>
    <w:p>
      <w:pPr>
        <w:spacing w:after="0" w:line="162" w:lineRule="exact"/>
        <w:rPr>
          <w:sz w:val="20"/>
          <w:szCs w:val="20"/>
          <w:color w:val="auto"/>
        </w:rPr>
      </w:pPr>
    </w:p>
    <w:p>
      <w:pPr>
        <w:ind w:left="460" w:right="679" w:firstLine="324"/>
        <w:spacing w:after="0" w:line="282" w:lineRule="auto"/>
        <w:rPr>
          <w:sz w:val="20"/>
          <w:szCs w:val="20"/>
          <w:color w:val="auto"/>
        </w:rPr>
      </w:pPr>
      <w:r>
        <w:rPr>
          <w:rFonts w:ascii="Times New Roman" w:cs="Times New Roman" w:eastAsia="Times New Roman" w:hAnsi="Times New Roman"/>
          <w:sz w:val="18"/>
          <w:szCs w:val="18"/>
          <w:color w:val="auto"/>
        </w:rPr>
        <w:t>Amounts required to be distributed reflect estimates made by the Fund. Distributions paid by the Fund in accordance with RIC requirements are subject to re-characterization for tax purposes.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SECURITIES TRANSACTIONS</w:t>
      </w:r>
    </w:p>
    <w:p>
      <w:pPr>
        <w:spacing w:after="0" w:line="189" w:lineRule="exact"/>
        <w:rPr>
          <w:sz w:val="20"/>
          <w:szCs w:val="20"/>
          <w:color w:val="auto"/>
        </w:rPr>
      </w:pPr>
    </w:p>
    <w:p>
      <w:pPr>
        <w:ind w:left="460" w:right="1039" w:firstLine="324"/>
        <w:spacing w:after="0" w:line="282" w:lineRule="auto"/>
        <w:rPr>
          <w:sz w:val="20"/>
          <w:szCs w:val="20"/>
          <w:color w:val="auto"/>
        </w:rPr>
      </w:pPr>
      <w:r>
        <w:rPr>
          <w:rFonts w:ascii="Times New Roman" w:cs="Times New Roman" w:eastAsia="Times New Roman" w:hAnsi="Times New Roman"/>
          <w:sz w:val="18"/>
          <w:szCs w:val="18"/>
          <w:color w:val="auto"/>
        </w:rPr>
        <w:t>Securities transactions are recorded on trade date. Realized gains and losses on investments sold are recorded on the basis of specific identification.</w:t>
      </w:r>
    </w:p>
    <w:p>
      <w:pPr>
        <w:spacing w:after="0" w:line="121" w:lineRule="exact"/>
        <w:rPr>
          <w:sz w:val="20"/>
          <w:szCs w:val="20"/>
          <w:color w:val="auto"/>
        </w:rPr>
      </w:pPr>
    </w:p>
    <w:p>
      <w:pPr>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Distributions received on CLO equity investments which were optionally redeemed for which the cost basis has been reduced to zero are recorded as realized gains.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 ON COMMON STOCK</w:t>
      </w:r>
    </w:p>
    <w:p>
      <w:pPr>
        <w:spacing w:after="0" w:line="202" w:lineRule="exact"/>
        <w:rPr>
          <w:sz w:val="20"/>
          <w:szCs w:val="20"/>
          <w:color w:val="auto"/>
        </w:rPr>
      </w:pPr>
    </w:p>
    <w:p>
      <w:pPr>
        <w:ind w:left="460" w:right="479" w:firstLine="324"/>
        <w:spacing w:after="0" w:line="261" w:lineRule="auto"/>
        <w:rPr>
          <w:sz w:val="20"/>
          <w:szCs w:val="20"/>
          <w:color w:val="auto"/>
        </w:rPr>
      </w:pPr>
      <w:r>
        <w:rPr>
          <w:rFonts w:ascii="Times New Roman" w:cs="Times New Roman" w:eastAsia="Times New Roman" w:hAnsi="Times New Roman"/>
          <w:sz w:val="18"/>
          <w:szCs w:val="18"/>
          <w:color w:val="auto"/>
        </w:rPr>
        <w:t>Deferred offering costs on common stock consist of fees and expenses incurred in connection with the registration and public offer and sale of the Fund’s common stock, including legal, accounting and printing fees. These costs are deferred at the time of incurrence and are subsequently charged as a reduction to capital when the offering takes place or as shares are issued.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 – (continued)</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SECURITIES TRANSACTIONS – (continued)</w:t>
      </w:r>
    </w:p>
    <w:p>
      <w:pPr>
        <w:spacing w:after="0" w:line="180" w:lineRule="exact"/>
        <w:rPr>
          <w:sz w:val="20"/>
          <w:szCs w:val="20"/>
          <w:color w:val="auto"/>
        </w:rPr>
      </w:pPr>
    </w:p>
    <w:p>
      <w:pPr>
        <w:ind w:left="460" w:right="499"/>
        <w:spacing w:after="0" w:line="282" w:lineRule="auto"/>
        <w:rPr>
          <w:sz w:val="20"/>
          <w:szCs w:val="20"/>
          <w:color w:val="auto"/>
        </w:rPr>
      </w:pPr>
      <w:r>
        <w:rPr>
          <w:rFonts w:ascii="Times New Roman" w:cs="Times New Roman" w:eastAsia="Times New Roman" w:hAnsi="Times New Roman"/>
          <w:sz w:val="18"/>
          <w:szCs w:val="18"/>
          <w:color w:val="auto"/>
        </w:rPr>
        <w:t>Deferred costs are periodically reviewed and expensed if the related registration statement is no longer active or if the offering is unsuccessful.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ISSUANCE COSTS ON MANDATORILY REDEEMABLE PREFERRED STOCK</w:t>
      </w:r>
    </w:p>
    <w:p>
      <w:pPr>
        <w:spacing w:after="0" w:line="189" w:lineRule="exact"/>
        <w:rPr>
          <w:sz w:val="20"/>
          <w:szCs w:val="20"/>
          <w:color w:val="auto"/>
        </w:rPr>
      </w:pPr>
    </w:p>
    <w:p>
      <w:pPr>
        <w:ind w:left="460" w:right="479" w:firstLine="324"/>
        <w:spacing w:after="0" w:line="255" w:lineRule="auto"/>
        <w:rPr>
          <w:sz w:val="20"/>
          <w:szCs w:val="20"/>
          <w:color w:val="auto"/>
        </w:rPr>
      </w:pPr>
      <w:r>
        <w:rPr>
          <w:rFonts w:ascii="Times New Roman" w:cs="Times New Roman" w:eastAsia="Times New Roman" w:hAnsi="Times New Roman"/>
          <w:sz w:val="18"/>
          <w:szCs w:val="18"/>
          <w:color w:val="auto"/>
        </w:rPr>
        <w:t>Deferred issuance costs on mandatorily redeemable preferred stock consist of fees and expenses incurred in connection with the closing of preferred stock offerings, and are capitalized at the time of payment. These costs are amortized using the straight line method over the term of the respective preferred stock series. This amortization expense is included in interest expense on mandatorily redeemable preferred stock in the Fund’s financial statements. Upon early termination of preferred stock, the remaining balance of unamortized fees related to such debt is accelerated into realized loss on Extinguishment of mandatorily redeemable preferred stock on the Fund’s Statement of Operations. Deferred issuance costs are presented on the balance sheet as a direct deduction from the related debt liability.</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Fund’s assets measured at fair value on a recurring basis subject to the disclosure requirements of ASC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820-10 at September 30, 2017, were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 at Reporting Date Using</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Active Markets for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2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 ($ in millions)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debt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CLO equity</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0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8"/>
                <w:szCs w:val="18"/>
                <w:color w:val="auto"/>
              </w:rPr>
              <w:t>Total assets at fair value</w:t>
            </w:r>
            <w:r>
              <w:rPr>
                <w:rFonts w:ascii="Times New Roman" w:cs="Times New Roman" w:eastAsia="Times New Roman" w:hAnsi="Times New Roman"/>
                <w:sz w:val="30"/>
                <w:szCs w:val="30"/>
                <w:color w:val="auto"/>
                <w:vertAlign w:val="superscript"/>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4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Totals may not sum due to rounding.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Financial Instruments Disclosed, But Not Carried, At Fair Value</w:t>
      </w:r>
    </w:p>
    <w:p>
      <w:pPr>
        <w:spacing w:after="0" w:line="187" w:lineRule="exact"/>
        <w:rPr>
          <w:sz w:val="20"/>
          <w:szCs w:val="20"/>
          <w:color w:val="auto"/>
        </w:rPr>
      </w:pPr>
    </w:p>
    <w:p>
      <w:pPr>
        <w:ind w:left="460" w:right="6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of the Fund’s financial liabilities disclosed, but not carried at fair value as of September 30, 2017 and the level of each financial liability within the fair value hierarchy:</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2"/>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36"/>
        </w:trPr>
        <w:tc>
          <w:tcPr>
            <w:tcW w:w="20" w:type="dxa"/>
            <w:vAlign w:val="bottom"/>
            <w:tcBorders>
              <w:top w:val="single" w:sz="8" w:color="auto"/>
            </w:tcBorders>
          </w:tcPr>
          <w:p>
            <w:pPr>
              <w:spacing w:after="0"/>
              <w:rPr>
                <w:sz w:val="20"/>
                <w:szCs w:val="20"/>
                <w:color w:val="auto"/>
              </w:rPr>
            </w:pPr>
          </w:p>
        </w:tc>
        <w:tc>
          <w:tcPr>
            <w:tcW w:w="30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2023 Term Preferred Shares</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r>
      <w:tr>
        <w:trPr>
          <w:trHeight w:val="257"/>
        </w:trPr>
        <w:tc>
          <w:tcPr>
            <w:tcW w:w="20" w:type="dxa"/>
            <w:vAlign w:val="bottom"/>
          </w:tcPr>
          <w:p>
            <w:pPr>
              <w:spacing w:after="0"/>
              <w:rPr>
                <w:sz w:val="22"/>
                <w:szCs w:val="22"/>
                <w:color w:val="auto"/>
              </w:rPr>
            </w:pPr>
          </w:p>
        </w:tc>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New Series 2024 Term Preferred Shares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20" w:type="dxa"/>
            <w:vAlign w:val="bottom"/>
          </w:tcPr>
          <w:p>
            <w:pPr>
              <w:spacing w:after="0"/>
              <w:rPr>
                <w:sz w:val="19"/>
                <w:szCs w:val="19"/>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FAIR VALUE – (continued)</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Significant Unobservable Inputs for Level 3 Investments</w:t>
      </w:r>
    </w:p>
    <w:p>
      <w:pPr>
        <w:spacing w:after="0" w:line="187" w:lineRule="exact"/>
        <w:rPr>
          <w:sz w:val="20"/>
          <w:szCs w:val="20"/>
          <w:color w:val="auto"/>
        </w:rPr>
      </w:pPr>
    </w:p>
    <w:p>
      <w:pPr>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ASC 820-10, the following table provides quantitative information about the Fund’s Level 3 fair value measurements as of September 30, 2017. The Fund’s valuation policy, as described above, establishes parameters for the sources and types of valuation analysis, as well as the methodologies and inputs that the Fund uses in determining fair value. If the Board of Directors or OXLC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 and methodology and asset category.</w:t>
      </w:r>
    </w:p>
    <w:p>
      <w:pPr>
        <w:sectPr>
          <w:pgSz w:w="11900" w:h="16838" w:orient="portrait"/>
          <w:cols w:equalWidth="0" w:num="1">
            <w:col w:w="9019"/>
          </w:cols>
          <w:pgMar w:left="1440" w:top="3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21590</wp:posOffset>
            </wp:positionV>
            <wp:extent cx="9347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CLO debt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CLO equity</w:t>
      </w:r>
    </w:p>
    <w:p>
      <w:pPr>
        <w:spacing w:after="0" w:line="311" w:lineRule="exact"/>
        <w:rPr>
          <w:sz w:val="20"/>
          <w:szCs w:val="20"/>
          <w:color w:val="auto"/>
        </w:rPr>
      </w:pPr>
    </w:p>
    <w:p>
      <w:pPr>
        <w:ind w:left="640" w:right="80" w:hanging="179"/>
        <w:spacing w:after="0" w:line="290" w:lineRule="auto"/>
        <w:rPr>
          <w:sz w:val="20"/>
          <w:szCs w:val="20"/>
          <w:color w:val="auto"/>
        </w:rPr>
      </w:pPr>
      <w:r>
        <w:rPr>
          <w:rFonts w:ascii="Times New Roman" w:cs="Times New Roman" w:eastAsia="Times New Roman" w:hAnsi="Times New Roman"/>
          <w:sz w:val="16"/>
          <w:szCs w:val="16"/>
          <w:color w:val="auto"/>
        </w:rPr>
        <w:t>CLO equity – side letters</w:t>
      </w:r>
    </w:p>
    <w:p>
      <w:pPr>
        <w:spacing w:after="0" w:line="1" w:lineRule="exact"/>
        <w:rPr>
          <w:sz w:val="20"/>
          <w:szCs w:val="20"/>
          <w:color w:val="auto"/>
        </w:rPr>
      </w:pPr>
    </w:p>
    <w:p>
      <w:pPr>
        <w:ind w:left="640" w:hanging="179"/>
        <w:spacing w:after="0" w:line="269" w:lineRule="auto"/>
        <w:rPr>
          <w:sz w:val="20"/>
          <w:szCs w:val="20"/>
          <w:color w:val="auto"/>
        </w:rPr>
      </w:pPr>
      <w:r>
        <w:rPr>
          <w:rFonts w:ascii="Times New Roman" w:cs="Times New Roman" w:eastAsia="Times New Roman" w:hAnsi="Times New Roman"/>
          <w:sz w:val="16"/>
          <w:szCs w:val="16"/>
          <w:color w:val="auto"/>
        </w:rPr>
        <w:t>Total Fair Value for Level 3</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Investments</w:t>
      </w:r>
      <w:r>
        <w:rPr>
          <w:rFonts w:ascii="Times New Roman" w:cs="Times New Roman" w:eastAsia="Times New Roman" w:hAnsi="Times New Roman"/>
          <w:sz w:val="27"/>
          <w:szCs w:val="27"/>
          <w:color w:val="auto"/>
          <w:vertAlign w:val="superscript"/>
        </w:rPr>
        <w:t>(7)</w:t>
      </w:r>
    </w:p>
    <w:p>
      <w:pPr>
        <w:spacing w:after="0" w:line="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____________</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30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Quantitative Information about Level 3 Fair Value Measurements</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Impact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Fair Value as of</w:t>
            </w:r>
          </w:p>
        </w:tc>
        <w:tc>
          <w:tcPr>
            <w:tcW w:w="10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Valuation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Techniques/</w:t>
            </w: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Range/Weighted Average</w:t>
            </w:r>
            <w:r>
              <w:rPr>
                <w:rFonts w:ascii="Times New Roman" w:cs="Times New Roman" w:eastAsia="Times New Roman" w:hAnsi="Times New Roman"/>
                <w:sz w:val="23"/>
                <w:szCs w:val="23"/>
                <w:b w:val="1"/>
                <w:bCs w:val="1"/>
                <w:color w:val="auto"/>
                <w:vertAlign w:val="superscript"/>
              </w:rPr>
              <w:t>(5)</w:t>
            </w: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 Increase in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Methodologies</w:t>
            </w:r>
          </w:p>
        </w:tc>
        <w:tc>
          <w:tcPr>
            <w:tcW w:w="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00" w:type="dxa"/>
            <w:vAlign w:val="bottom"/>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Input</w:t>
            </w:r>
            <w:r>
              <w:rPr>
                <w:rFonts w:ascii="Times New Roman" w:cs="Times New Roman" w:eastAsia="Times New Roman" w:hAnsi="Times New Roman"/>
                <w:sz w:val="20"/>
                <w:szCs w:val="20"/>
                <w:b w:val="1"/>
                <w:bCs w:val="1"/>
                <w:color w:val="auto"/>
                <w:w w:val="93"/>
                <w:vertAlign w:val="superscript"/>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2"/>
                <w:szCs w:val="22"/>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rPr>
              <w:t>Market quotes</w:t>
            </w:r>
          </w:p>
        </w:tc>
        <w:tc>
          <w:tcPr>
            <w:tcW w:w="80" w:type="dxa"/>
            <w:vAlign w:val="bottom"/>
          </w:tcPr>
          <w:p>
            <w:pPr>
              <w:spacing w:after="0"/>
              <w:rPr>
                <w:sz w:val="22"/>
                <w:szCs w:val="22"/>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8"/>
                <w:szCs w:val="18"/>
                <w:color w:val="auto"/>
                <w:w w:val="94"/>
              </w:rPr>
              <w:t>NBIB</w:t>
            </w:r>
            <w:r>
              <w:rPr>
                <w:rFonts w:ascii="Times New Roman" w:cs="Times New Roman" w:eastAsia="Times New Roman" w:hAnsi="Times New Roman"/>
                <w:sz w:val="21"/>
                <w:szCs w:val="21"/>
                <w:color w:val="auto"/>
                <w:w w:val="94"/>
                <w:vertAlign w:val="superscript"/>
              </w:rPr>
              <w:t>(1)</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81.8%-97.2%/93.3%</w:t>
            </w: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122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rPr>
              <w:t>Yield Analysis</w:t>
            </w:r>
          </w:p>
        </w:tc>
        <w:tc>
          <w:tcPr>
            <w:tcW w:w="80" w:type="dxa"/>
            <w:vAlign w:val="bottom"/>
          </w:tcPr>
          <w:p>
            <w:pPr>
              <w:spacing w:after="0"/>
              <w:rPr>
                <w:sz w:val="22"/>
                <w:szCs w:val="22"/>
                <w:color w:val="auto"/>
              </w:rPr>
            </w:pPr>
          </w:p>
        </w:tc>
        <w:tc>
          <w:tcPr>
            <w:tcW w:w="100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rPr>
              <w:t>Discount rate</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10.5%</w:t>
            </w:r>
            <w:r>
              <w:rPr>
                <w:rFonts w:ascii="Times New Roman" w:cs="Times New Roman" w:eastAsia="Times New Roman" w:hAnsi="Times New Roman"/>
                <w:sz w:val="21"/>
                <w:szCs w:val="21"/>
                <w:color w:val="auto"/>
                <w:vertAlign w:val="superscript"/>
              </w:rPr>
              <w:t>(3)</w:t>
            </w: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7"/>
                <w:szCs w:val="17"/>
                <w:color w:val="auto"/>
              </w:rPr>
            </w:pPr>
          </w:p>
        </w:tc>
        <w:tc>
          <w:tcPr>
            <w:tcW w:w="122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w w:val="98"/>
              </w:rPr>
              <w:t>Recent</w:t>
            </w:r>
          </w:p>
        </w:tc>
        <w:tc>
          <w:tcPr>
            <w:tcW w:w="80" w:type="dxa"/>
            <w:vAlign w:val="bottom"/>
          </w:tcPr>
          <w:p>
            <w:pPr>
              <w:spacing w:after="0"/>
              <w:rPr>
                <w:sz w:val="17"/>
                <w:szCs w:val="17"/>
                <w:color w:val="auto"/>
              </w:rPr>
            </w:pPr>
          </w:p>
        </w:tc>
        <w:tc>
          <w:tcPr>
            <w:tcW w:w="100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8"/>
              </w:rPr>
              <w:t>Actual</w:t>
            </w:r>
          </w:p>
        </w:tc>
        <w:tc>
          <w:tcPr>
            <w:tcW w:w="1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93.3%</w:t>
            </w:r>
            <w:r>
              <w:rPr>
                <w:rFonts w:ascii="Times New Roman" w:cs="Times New Roman" w:eastAsia="Times New Roman" w:hAnsi="Times New Roman"/>
                <w:sz w:val="21"/>
                <w:szCs w:val="21"/>
                <w:color w:val="auto"/>
                <w:vertAlign w:val="superscript"/>
              </w:rPr>
              <w:t>(3)</w:t>
            </w:r>
          </w:p>
        </w:tc>
        <w:tc>
          <w:tcPr>
            <w:tcW w:w="8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rPr>
              <w:t>Transactions</w:t>
            </w:r>
          </w:p>
        </w:tc>
        <w:tc>
          <w:tcPr>
            <w:tcW w:w="80" w:type="dxa"/>
            <w:vAlign w:val="bottom"/>
          </w:tcPr>
          <w:p>
            <w:pPr>
              <w:spacing w:after="0"/>
              <w:rPr>
                <w:sz w:val="20"/>
                <w:szCs w:val="20"/>
                <w:color w:val="auto"/>
              </w:rPr>
            </w:pPr>
          </w:p>
        </w:tc>
        <w:tc>
          <w:tcPr>
            <w:tcW w:w="100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rPr>
              <w:t>trade</w:t>
            </w:r>
            <w:r>
              <w:rPr>
                <w:rFonts w:ascii="Times New Roman" w:cs="Times New Roman" w:eastAsia="Times New Roman" w:hAnsi="Times New Roman"/>
                <w:sz w:val="8"/>
                <w:szCs w:val="8"/>
                <w:color w:val="auto"/>
              </w:rPr>
              <w:t>(2)</w:t>
            </w:r>
          </w:p>
        </w:tc>
        <w:tc>
          <w:tcPr>
            <w:tcW w:w="1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22"/>
                <w:szCs w:val="22"/>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rPr>
              <w:t>Market quotes</w:t>
            </w:r>
          </w:p>
        </w:tc>
        <w:tc>
          <w:tcPr>
            <w:tcW w:w="80" w:type="dxa"/>
            <w:vAlign w:val="bottom"/>
          </w:tcPr>
          <w:p>
            <w:pPr>
              <w:spacing w:after="0"/>
              <w:rPr>
                <w:sz w:val="22"/>
                <w:szCs w:val="22"/>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8"/>
                <w:szCs w:val="18"/>
                <w:color w:val="auto"/>
                <w:w w:val="94"/>
              </w:rPr>
              <w:t>NBIB</w:t>
            </w:r>
            <w:r>
              <w:rPr>
                <w:rFonts w:ascii="Times New Roman" w:cs="Times New Roman" w:eastAsia="Times New Roman" w:hAnsi="Times New Roman"/>
                <w:sz w:val="21"/>
                <w:szCs w:val="21"/>
                <w:color w:val="auto"/>
                <w:w w:val="94"/>
                <w:vertAlign w:val="superscript"/>
              </w:rPr>
              <w:t>(1)</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1.0%-104.0%/66.3%</w:t>
            </w:r>
          </w:p>
        </w:tc>
        <w:tc>
          <w:tcPr>
            <w:tcW w:w="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0"/>
                <w:szCs w:val="20"/>
                <w:color w:val="auto"/>
              </w:rPr>
            </w:pPr>
          </w:p>
        </w:tc>
        <w:tc>
          <w:tcPr>
            <w:tcW w:w="122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rPr>
              <w:t>Yield Analysis</w:t>
            </w:r>
          </w:p>
        </w:tc>
        <w:tc>
          <w:tcPr>
            <w:tcW w:w="80" w:type="dxa"/>
            <w:vAlign w:val="bottom"/>
          </w:tcPr>
          <w:p>
            <w:pPr>
              <w:spacing w:after="0"/>
              <w:rPr>
                <w:sz w:val="20"/>
                <w:szCs w:val="20"/>
                <w:color w:val="auto"/>
              </w:rPr>
            </w:pPr>
          </w:p>
        </w:tc>
        <w:tc>
          <w:tcPr>
            <w:tcW w:w="1000" w:type="dxa"/>
            <w:vAlign w:val="bottom"/>
          </w:tcPr>
          <w:p>
            <w:pPr>
              <w:jc w:val="center"/>
              <w:ind w:right="18"/>
              <w:spacing w:after="0"/>
              <w:rPr>
                <w:sz w:val="20"/>
                <w:szCs w:val="20"/>
                <w:color w:val="auto"/>
              </w:rPr>
            </w:pPr>
            <w:r>
              <w:rPr>
                <w:rFonts w:ascii="Times New Roman" w:cs="Times New Roman" w:eastAsia="Times New Roman" w:hAnsi="Times New Roman"/>
                <w:sz w:val="18"/>
                <w:szCs w:val="18"/>
                <w:color w:val="auto"/>
              </w:rPr>
              <w:t>NBIB</w:t>
            </w:r>
            <w:r>
              <w:rPr>
                <w:rFonts w:ascii="Times New Roman" w:cs="Times New Roman" w:eastAsia="Times New Roman" w:hAnsi="Times New Roman"/>
                <w:sz w:val="8"/>
                <w:szCs w:val="8"/>
                <w:color w:val="auto"/>
              </w:rPr>
              <w:t>(1)</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15.0%-86.0%/44.0%</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rPr>
              <w:t>Discounted cash</w:t>
            </w:r>
          </w:p>
        </w:tc>
        <w:tc>
          <w:tcPr>
            <w:tcW w:w="80" w:type="dxa"/>
            <w:vAlign w:val="bottom"/>
          </w:tcPr>
          <w:p>
            <w:pPr>
              <w:spacing w:after="0"/>
              <w:rPr>
                <w:sz w:val="19"/>
                <w:szCs w:val="19"/>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6"/>
                <w:szCs w:val="16"/>
                <w:color w:val="auto"/>
              </w:rPr>
              <w:t>Discount</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Decrease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122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rPr>
              <w:t>flow</w:t>
            </w:r>
            <w:r>
              <w:rPr>
                <w:rFonts w:ascii="Times New Roman" w:cs="Times New Roman" w:eastAsia="Times New Roman" w:hAnsi="Times New Roman"/>
                <w:sz w:val="8"/>
                <w:szCs w:val="8"/>
                <w:color w:val="auto"/>
              </w:rPr>
              <w:t>(4)</w:t>
            </w:r>
          </w:p>
        </w:tc>
        <w:tc>
          <w:tcPr>
            <w:tcW w:w="80" w:type="dxa"/>
            <w:vAlign w:val="bottom"/>
          </w:tcPr>
          <w:p>
            <w:pPr>
              <w:spacing w:after="0"/>
              <w:rPr>
                <w:sz w:val="22"/>
                <w:szCs w:val="22"/>
                <w:color w:val="auto"/>
              </w:rPr>
            </w:pPr>
          </w:p>
        </w:tc>
        <w:tc>
          <w:tcPr>
            <w:tcW w:w="100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rPr>
              <w:t>rate</w:t>
            </w:r>
            <w:r>
              <w:rPr>
                <w:rFonts w:ascii="Times New Roman" w:cs="Times New Roman" w:eastAsia="Times New Roman" w:hAnsi="Times New Roman"/>
                <w:sz w:val="8"/>
                <w:szCs w:val="8"/>
                <w:color w:val="auto"/>
              </w:rPr>
              <w:t>(4)</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12.5%-16.5%/13.7%</w:t>
            </w:r>
          </w:p>
        </w:tc>
        <w:tc>
          <w:tcPr>
            <w:tcW w:w="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-1225550</wp:posOffset>
            </wp:positionV>
            <wp:extent cx="5145405"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5405" cy="16319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-899795</wp:posOffset>
            </wp:positionV>
            <wp:extent cx="5145405" cy="2832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5405" cy="283210"/>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-454025</wp:posOffset>
            </wp:positionV>
            <wp:extent cx="5145405"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5405" cy="16319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-8255</wp:posOffset>
            </wp:positionV>
            <wp:extent cx="5145405" cy="43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5405" cy="4375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80" w:hanging="67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6775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1740" w:space="280"/>
            <w:col w:w="6999"/>
          </w:cols>
          <w:pgMar w:left="1440" w:top="333" w:right="1440" w:bottom="1440" w:gutter="0" w:footer="0" w:header="0"/>
          <w:type w:val="continuous"/>
        </w:sectPr>
      </w:pPr>
    </w:p>
    <w:p>
      <w:pPr>
        <w:ind w:left="780" w:right="479" w:hanging="318"/>
        <w:spacing w:after="0" w:line="250" w:lineRule="auto"/>
        <w:tabs>
          <w:tab w:leader="none" w:pos="7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generally uses non-binding indicative bid (“NBIB”) prices provided by an independent pricing service or broker on or near the valuation date as the primary basis for the fair value determinations for CLO debt and equity investments, which may be adjusted for pending equity distributions as of the valuation date. These bid prices are non-binding, and may not be determinative of fair value. Each bid price is evaluated by the Board of Directors in conjunction with additional information compiled by OXLC Management, including performance and covenant compliance information as provided by the independent trustee.</w:t>
      </w:r>
    </w:p>
    <w:p>
      <w:pPr>
        <w:spacing w:after="0" w:line="3" w:lineRule="exact"/>
        <w:rPr>
          <w:rFonts w:ascii="Times New Roman" w:cs="Times New Roman" w:eastAsia="Times New Roman" w:hAnsi="Times New Roman"/>
          <w:sz w:val="18"/>
          <w:szCs w:val="18"/>
          <w:color w:val="auto"/>
        </w:rPr>
      </w:pPr>
    </w:p>
    <w:p>
      <w:pPr>
        <w:ind w:left="780" w:right="519" w:hanging="318"/>
        <w:spacing w:after="0" w:line="250" w:lineRule="auto"/>
        <w:tabs>
          <w:tab w:leader="none" w:pos="7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provided by independent pricing services are evaluated in conjunction with actual trades, and in certain cases, the value represented by actual trades may be more representative of fair value as determined by the Board of Directors.</w:t>
      </w:r>
    </w:p>
    <w:p>
      <w:pPr>
        <w:spacing w:after="0" w:line="1" w:lineRule="exact"/>
        <w:rPr>
          <w:rFonts w:ascii="Times New Roman" w:cs="Times New Roman" w:eastAsia="Times New Roman" w:hAnsi="Times New Roman"/>
          <w:sz w:val="18"/>
          <w:szCs w:val="18"/>
          <w:color w:val="auto"/>
        </w:rPr>
      </w:pPr>
    </w:p>
    <w:p>
      <w:pPr>
        <w:ind w:left="780" w:right="1139" w:hanging="318"/>
        <w:spacing w:after="0" w:line="250" w:lineRule="auto"/>
        <w:tabs>
          <w:tab w:leader="none" w:pos="7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single investment fair value position, and therefore the range/weighted average is not applicable.</w:t>
      </w:r>
    </w:p>
    <w:p>
      <w:pPr>
        <w:ind w:left="780" w:right="539" w:hanging="318"/>
        <w:spacing w:after="0" w:line="250" w:lineRule="auto"/>
        <w:tabs>
          <w:tab w:leader="none" w:pos="7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calculate the fair value of CLO equity side letters based upon the net present value of expected contractual payment streams discounted using estimated market yields for the equity tranche of the respective CLO vehicle. OXLC will also consider those investments in which the record date for an equity distribution payment falls on the last day of the period, and the likelihood that a prospective purchaser would require an adjustment to the transaction price representing substantially all of the pending distribution.</w:t>
      </w:r>
    </w:p>
    <w:p>
      <w:pPr>
        <w:spacing w:after="0" w:line="2" w:lineRule="exact"/>
        <w:rPr>
          <w:rFonts w:ascii="Times New Roman" w:cs="Times New Roman" w:eastAsia="Times New Roman" w:hAnsi="Times New Roman"/>
          <w:sz w:val="18"/>
          <w:szCs w:val="18"/>
          <w:color w:val="auto"/>
        </w:rPr>
      </w:pPr>
    </w:p>
    <w:p>
      <w:pPr>
        <w:ind w:left="800" w:hanging="338"/>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averages are calculated based on fair value of investments.</w:t>
      </w:r>
    </w:p>
    <w:p>
      <w:pPr>
        <w:spacing w:after="0" w:line="9" w:lineRule="exact"/>
        <w:rPr>
          <w:rFonts w:ascii="Times New Roman" w:cs="Times New Roman" w:eastAsia="Times New Roman" w:hAnsi="Times New Roman"/>
          <w:sz w:val="18"/>
          <w:szCs w:val="18"/>
          <w:color w:val="auto"/>
        </w:rPr>
      </w:pPr>
    </w:p>
    <w:p>
      <w:pPr>
        <w:ind w:left="780" w:right="779" w:hanging="318"/>
        <w:spacing w:after="0" w:line="250" w:lineRule="auto"/>
        <w:tabs>
          <w:tab w:leader="none" w:pos="7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fair value measurement of an increase in each unobservable input is in isolation. The discount rate is the rate used to discount future cash flows in a discounted cash flow calculation. An increase in discount rate, in isolation, would result in a decrease in a fair value measurement.</w:t>
      </w:r>
    </w:p>
    <w:p>
      <w:pPr>
        <w:spacing w:after="0" w:line="1" w:lineRule="exact"/>
        <w:rPr>
          <w:rFonts w:ascii="Times New Roman" w:cs="Times New Roman" w:eastAsia="Times New Roman" w:hAnsi="Times New Roman"/>
          <w:sz w:val="18"/>
          <w:szCs w:val="18"/>
          <w:color w:val="auto"/>
        </w:rPr>
      </w:pPr>
    </w:p>
    <w:p>
      <w:pPr>
        <w:ind w:left="800" w:hanging="338"/>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may not sum due to rounding.</w:t>
      </w:r>
    </w:p>
    <w:p>
      <w:pPr>
        <w:spacing w:after="0" w:line="166" w:lineRule="exact"/>
        <w:rPr>
          <w:sz w:val="20"/>
          <w:szCs w:val="20"/>
          <w:color w:val="auto"/>
        </w:rPr>
      </w:pPr>
    </w:p>
    <w:p>
      <w:pPr>
        <w:ind w:left="460" w:right="459" w:firstLine="324"/>
        <w:spacing w:after="0" w:line="282" w:lineRule="auto"/>
        <w:rPr>
          <w:sz w:val="20"/>
          <w:szCs w:val="20"/>
          <w:color w:val="auto"/>
        </w:rPr>
      </w:pPr>
      <w:r>
        <w:rPr>
          <w:rFonts w:ascii="Times New Roman" w:cs="Times New Roman" w:eastAsia="Times New Roman" w:hAnsi="Times New Roman"/>
          <w:sz w:val="18"/>
          <w:szCs w:val="18"/>
          <w:color w:val="auto"/>
        </w:rPr>
        <w:t>Significant increases or decreases in any of the unobservable inputs in isolation may result in a significantly lower or higher fair value measurement.</w:t>
      </w:r>
    </w:p>
    <w:p>
      <w:pPr>
        <w:sectPr>
          <w:pgSz w:w="11900" w:h="16838" w:orient="portrait"/>
          <w:cols w:equalWidth="0" w:num="1">
            <w:col w:w="9019"/>
          </w:cols>
          <w:pgMar w:left="1440" w:top="333" w:right="1440" w:bottom="1440" w:gutter="0" w:footer="0" w:header="0"/>
          <w:type w:val="continuous"/>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FAIR VALUE – (continued)</w:t>
      </w:r>
    </w:p>
    <w:p>
      <w:pPr>
        <w:spacing w:after="0" w:line="166" w:lineRule="exact"/>
        <w:rPr>
          <w:sz w:val="20"/>
          <w:szCs w:val="20"/>
          <w:color w:val="auto"/>
        </w:rPr>
      </w:pPr>
    </w:p>
    <w:p>
      <w:pPr>
        <w:ind w:left="460" w:right="779"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fair value of investments for the six months ended September 30, 2017, utilizing significant unobservable inputs, is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Collateralized</w:t>
            </w:r>
          </w:p>
        </w:tc>
        <w:tc>
          <w:tcPr>
            <w:tcW w:w="120" w:type="dxa"/>
            <w:vAlign w:val="bottom"/>
          </w:tcPr>
          <w:p>
            <w:pPr>
              <w:spacing w:after="0"/>
              <w:rPr>
                <w:sz w:val="17"/>
                <w:szCs w:val="17"/>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Collateralized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Obligation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Obligation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Debt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 included in earnings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appreciation included in earnings</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discounts and premiums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Repayments and sales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vMerge w:val="continue"/>
          </w:tcPr>
          <w:p>
            <w:pPr>
              <w:spacing w:after="0"/>
              <w:rPr>
                <w:sz w:val="24"/>
                <w:szCs w:val="24"/>
                <w:color w:val="auto"/>
              </w:rPr>
            </w:pPr>
          </w:p>
        </w:tc>
        <w:tc>
          <w:tcPr>
            <w:tcW w:w="4420" w:type="dxa"/>
            <w:vAlign w:val="bottom"/>
            <w:shd w:val="clear" w:color="auto" w:fill="CCEEFF"/>
          </w:tcPr>
          <w:p>
            <w:pPr>
              <w:spacing w:after="0" w:line="310" w:lineRule="exact"/>
              <w:rPr>
                <w:sz w:val="20"/>
                <w:szCs w:val="20"/>
                <w:color w:val="auto"/>
              </w:rPr>
            </w:pPr>
            <w:r>
              <w:rPr>
                <w:rFonts w:ascii="Times New Roman" w:cs="Times New Roman" w:eastAsia="Times New Roman" w:hAnsi="Times New Roman"/>
                <w:sz w:val="18"/>
                <w:szCs w:val="18"/>
                <w:color w:val="auto"/>
              </w:rPr>
              <w:t>Reductions to CLO equity cost value</w:t>
            </w:r>
            <w:r>
              <w:rPr>
                <w:rFonts w:ascii="Times New Roman" w:cs="Times New Roman" w:eastAsia="Times New Roman" w:hAnsi="Times New Roman"/>
                <w:sz w:val="32"/>
                <w:szCs w:val="32"/>
                <w:color w:val="auto"/>
                <w:vertAlign w:val="superscript"/>
              </w:rPr>
              <w:t>(1)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Transfers in and/or out of level 3</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2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8"/>
                <w:szCs w:val="18"/>
                <w:color w:val="auto"/>
              </w:rPr>
              <w:t>Balance at September 30, 2017</w:t>
            </w:r>
            <w:r>
              <w:rPr>
                <w:rFonts w:ascii="Times New Roman" w:cs="Times New Roman" w:eastAsia="Times New Roman" w:hAnsi="Times New Roman"/>
                <w:sz w:val="30"/>
                <w:szCs w:val="30"/>
                <w:color w:val="auto"/>
                <w:vertAlign w:val="superscript"/>
              </w:rPr>
              <w:t>(2)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The amount of total gains for the period included in earnings</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attributable to the change in unrealized gains or losses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the Fund’s Level 3 assets still held at the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reporting date and reported within the net change in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gains or losses on investments in our Statement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Operations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80" w:right="859" w:hanging="318"/>
        <w:spacing w:after="0" w:line="250" w:lineRule="auto"/>
        <w:tabs>
          <w:tab w:leader="none" w:pos="7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to cost value on OXLC’s CLO equity investments represents the difference between distributions received, or entitled to be received, for the six months ended September 30, 2017, of approximately $64.2 million and the effective yield interest income of approximately $33.4 million. A reduction to cost value is not made for CLO warehouse investments.</w:t>
      </w:r>
    </w:p>
    <w:p>
      <w:pPr>
        <w:spacing w:after="0" w:line="1" w:lineRule="exact"/>
        <w:rPr>
          <w:rFonts w:ascii="Times New Roman" w:cs="Times New Roman" w:eastAsia="Times New Roman" w:hAnsi="Times New Roman"/>
          <w:sz w:val="18"/>
          <w:szCs w:val="18"/>
          <w:color w:val="auto"/>
        </w:rPr>
      </w:pPr>
    </w:p>
    <w:p>
      <w:pPr>
        <w:ind w:left="800" w:hanging="338"/>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may not sum due to rounding.</w:t>
      </w:r>
    </w:p>
    <w:p>
      <w:pPr>
        <w:spacing w:after="0" w:line="166" w:lineRule="exact"/>
        <w:rPr>
          <w:sz w:val="20"/>
          <w:szCs w:val="20"/>
          <w:color w:val="auto"/>
        </w:rPr>
      </w:pPr>
    </w:p>
    <w:p>
      <w:pPr>
        <w:ind w:left="460" w:right="479" w:firstLine="324"/>
        <w:spacing w:after="0" w:line="266" w:lineRule="auto"/>
        <w:rPr>
          <w:sz w:val="20"/>
          <w:szCs w:val="20"/>
          <w:color w:val="auto"/>
        </w:rPr>
      </w:pPr>
      <w:r>
        <w:rPr>
          <w:rFonts w:ascii="Times New Roman" w:cs="Times New Roman" w:eastAsia="Times New Roman" w:hAnsi="Times New Roman"/>
          <w:sz w:val="18"/>
          <w:szCs w:val="18"/>
          <w:color w:val="auto"/>
        </w:rPr>
        <w:t>The Fund’s policy is to recognize transfers in and transfers out of valuation levels as of the beginning of the reporting period. There were no transfers among Level 1, Level 2 and Level 3 during the six months ended September 30, 2017.</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89" w:lineRule="exact"/>
        <w:rPr>
          <w:sz w:val="20"/>
          <w:szCs w:val="20"/>
          <w:color w:val="auto"/>
        </w:rPr>
      </w:pPr>
    </w:p>
    <w:p>
      <w:pPr>
        <w:ind w:left="460" w:right="499" w:firstLine="324"/>
        <w:spacing w:after="0" w:line="289" w:lineRule="auto"/>
        <w:rPr>
          <w:sz w:val="20"/>
          <w:szCs w:val="20"/>
          <w:color w:val="auto"/>
        </w:rPr>
      </w:pPr>
      <w:r>
        <w:rPr>
          <w:rFonts w:ascii="Times New Roman" w:cs="Times New Roman" w:eastAsia="Times New Roman" w:hAnsi="Times New Roman"/>
          <w:sz w:val="17"/>
          <w:szCs w:val="17"/>
          <w:color w:val="auto"/>
        </w:rPr>
        <w:t>Effective September 9, 2010, the Fund entered into an agreement (“Investment Advisory Agreement”) with OXLC Management, a registered investment adviser under the Investment Advisers Act of 1940, as amended. BDC Partners is the managing member of OXLC Management and serves as the administrator of OXLC.</w:t>
      </w:r>
    </w:p>
    <w:p>
      <w:pPr>
        <w:spacing w:after="0" w:line="131" w:lineRule="exact"/>
        <w:rPr>
          <w:sz w:val="20"/>
          <w:szCs w:val="20"/>
          <w:color w:val="auto"/>
        </w:rPr>
      </w:pPr>
    </w:p>
    <w:p>
      <w:pPr>
        <w:ind w:left="460" w:right="479" w:firstLine="324"/>
        <w:spacing w:after="0" w:line="258" w:lineRule="auto"/>
        <w:rPr>
          <w:sz w:val="20"/>
          <w:szCs w:val="20"/>
          <w:color w:val="auto"/>
        </w:rPr>
      </w:pPr>
      <w:r>
        <w:rPr>
          <w:rFonts w:ascii="Times New Roman" w:cs="Times New Roman" w:eastAsia="Times New Roman" w:hAnsi="Times New Roman"/>
          <w:sz w:val="18"/>
          <w:szCs w:val="18"/>
          <w:color w:val="auto"/>
        </w:rPr>
        <w:t>Effective September 9, 2010, the Fund entered into an agreement (“Administration Agreement”) with BDC Partners to serve as its administrator. Under the Administration Agreement, BDC Partners performs, or oversees the performance of, the Fund’s required administrative services, which include, among other things, being responsible for the financial records which the Fund is required to maintain and for preparation of the reports to the Fund’s stockholders.</w:t>
      </w:r>
    </w:p>
    <w:p>
      <w:pPr>
        <w:spacing w:after="0" w:line="143" w:lineRule="exact"/>
        <w:rPr>
          <w:sz w:val="20"/>
          <w:szCs w:val="20"/>
          <w:color w:val="auto"/>
        </w:rPr>
      </w:pPr>
    </w:p>
    <w:p>
      <w:pPr>
        <w:jc w:val="both"/>
        <w:ind w:left="460" w:right="519" w:firstLine="324"/>
        <w:spacing w:after="0" w:line="266" w:lineRule="auto"/>
        <w:rPr>
          <w:sz w:val="20"/>
          <w:szCs w:val="20"/>
          <w:color w:val="auto"/>
        </w:rPr>
      </w:pPr>
      <w:r>
        <w:rPr>
          <w:rFonts w:ascii="Times New Roman" w:cs="Times New Roman" w:eastAsia="Times New Roman" w:hAnsi="Times New Roman"/>
          <w:sz w:val="18"/>
          <w:szCs w:val="18"/>
          <w:color w:val="auto"/>
        </w:rPr>
        <w:t>Pursuant to the Investment Advisory Agreement, the Fund has agreed to pay OXLC Management a fee for advisory and management services consisting of two components — a base management fee (the “Base Fee” or “Investment Advisory Fee”) and an incentive fee.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RELATED PARTY TRANSACTIONS – (continued)</w:t>
      </w:r>
    </w:p>
    <w:p>
      <w:pPr>
        <w:spacing w:after="0" w:line="202" w:lineRule="exact"/>
        <w:rPr>
          <w:sz w:val="20"/>
          <w:szCs w:val="20"/>
          <w:color w:val="auto"/>
        </w:rPr>
      </w:pPr>
    </w:p>
    <w:p>
      <w:pPr>
        <w:ind w:left="460" w:right="579" w:firstLine="324"/>
        <w:spacing w:after="0" w:line="256" w:lineRule="auto"/>
        <w:rPr>
          <w:sz w:val="20"/>
          <w:szCs w:val="20"/>
          <w:color w:val="auto"/>
        </w:rPr>
      </w:pPr>
      <w:r>
        <w:rPr>
          <w:rFonts w:ascii="Times New Roman" w:cs="Times New Roman" w:eastAsia="Times New Roman" w:hAnsi="Times New Roman"/>
          <w:sz w:val="18"/>
          <w:szCs w:val="18"/>
          <w:color w:val="auto"/>
        </w:rPr>
        <w:t>The base management fee is calculated at an annual rate of 2.00% of the Fund’s gross assets. For services rendered under the Investment Advisory Agreement, the base management fee is payable quarterly in arrears. The base management fee is calculated based on the average value of the Fund’s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147" w:lineRule="exact"/>
        <w:rPr>
          <w:sz w:val="20"/>
          <w:szCs w:val="20"/>
          <w:color w:val="auto"/>
        </w:rPr>
      </w:pPr>
    </w:p>
    <w:p>
      <w:pPr>
        <w:ind w:left="460" w:right="479" w:firstLine="324"/>
        <w:spacing w:after="0" w:line="252" w:lineRule="auto"/>
        <w:rPr>
          <w:sz w:val="20"/>
          <w:szCs w:val="20"/>
          <w:color w:val="auto"/>
        </w:rPr>
      </w:pPr>
      <w:r>
        <w:rPr>
          <w:rFonts w:ascii="Times New Roman" w:cs="Times New Roman" w:eastAsia="Times New Roman" w:hAnsi="Times New Roman"/>
          <w:sz w:val="18"/>
          <w:szCs w:val="18"/>
          <w:color w:val="auto"/>
        </w:rPr>
        <w:t>The incentive fee is calculated and payable quarterly in arrears based on the pre-incentive fee net investment income for the immediately preceding calendar quarter. For this purpose, pre-incentive fee net investment income means income from securitization vehicles and investments, interest income from debt investments and any other income (including any other fees, such as commitment, origination, structuring, diligence and consulting fees or other fees that are received from an investment) accrued during the calendar quarter, minus the Fund’s operating expenses for the quarter (including the base management fee, expenses payable under the Administration Agreement to BDC Partners, and any interest expense and dividends paid on any issued and outstanding preferred stock, but excluding the incentive fee). Pre-incentive fee net investment income includes accrued income that OXLC has not yet received in cash, such as the amount of any market discount it may accrete on debt instruments purchased below par value. Pre-incentive fee net investment income does not include any realized or unrealized capital gains or losses, and the Fund could incur incentive fees in periods when there is a net decrease in net assets from operations. Pre-incentive fee net investment income, expressed as a rate of return on the value of our net assets at the end of the immediately preceding calendar quarter, is compared to a hurdle of 1.75% per quarter (7.00% annualized). For such purposes, the Fund’s quarterly rate of return is determined by dividing its pre-incentive net investment income by its reported net assets as of the prior period end. OXLC’s net investment income used to calculate the incentive fee is also included in the amount of its gross assets used to calculate the 2.00% base management fee. The Fund pays OXLC Management an incentive fee with respect to the Fund’s pre-incentive fee net investment income in each calendar quarter as follows:</w:t>
      </w:r>
    </w:p>
    <w:p>
      <w:pPr>
        <w:spacing w:after="0" w:line="152" w:lineRule="exact"/>
        <w:rPr>
          <w:sz w:val="20"/>
          <w:szCs w:val="20"/>
          <w:color w:val="auto"/>
        </w:rPr>
      </w:pPr>
    </w:p>
    <w:p>
      <w:pPr>
        <w:ind w:left="1120" w:right="639" w:hanging="333"/>
        <w:spacing w:after="0" w:line="282" w:lineRule="auto"/>
        <w:tabs>
          <w:tab w:leader="none" w:pos="10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the Fund’s pre-incentive fee net investment income does not exceed the hurdle of 1.75%;</w:t>
      </w:r>
    </w:p>
    <w:p>
      <w:pPr>
        <w:spacing w:after="0" w:line="134" w:lineRule="exact"/>
        <w:rPr>
          <w:rFonts w:ascii="Times New Roman" w:cs="Times New Roman" w:eastAsia="Times New Roman" w:hAnsi="Times New Roman"/>
          <w:sz w:val="18"/>
          <w:szCs w:val="18"/>
          <w:color w:val="auto"/>
        </w:rPr>
      </w:pPr>
    </w:p>
    <w:p>
      <w:pPr>
        <w:ind w:left="1120" w:right="539" w:hanging="333"/>
        <w:spacing w:after="0" w:line="256" w:lineRule="auto"/>
        <w:tabs>
          <w:tab w:leader="none" w:pos="10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pre-incentive fee net investment income with respect to that portion of such pre-incentive fee net investment income, if any, that exceeds the hurdle but is less than 2.1875% in any calendar quarter (8.75% annualized). The Fund refers to this portion of the pre-incentive fee net investment income (which exceeds the hurdle but is less than 2.1875%) as the “catch-up.” The “catch-up” is meant to provide the investment adviser with 20% of the pre-incentive fee net investment income as if a hurdle did not apply if the net investment income exceeds 2.1875% in any calendar quarter; and</w:t>
      </w:r>
    </w:p>
    <w:p>
      <w:pPr>
        <w:spacing w:after="0" w:line="147" w:lineRule="exact"/>
        <w:rPr>
          <w:rFonts w:ascii="Times New Roman" w:cs="Times New Roman" w:eastAsia="Times New Roman" w:hAnsi="Times New Roman"/>
          <w:sz w:val="18"/>
          <w:szCs w:val="18"/>
          <w:color w:val="auto"/>
        </w:rPr>
      </w:pPr>
    </w:p>
    <w:p>
      <w:pPr>
        <w:ind w:left="1120" w:right="459" w:hanging="333"/>
        <w:spacing w:after="0" w:line="261" w:lineRule="auto"/>
        <w:tabs>
          <w:tab w:leader="none" w:pos="10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amount of pre-incentive fee net investment income, if any, that exceeds 2.1875% in any calendar quarter (8.75% annualized) is payable to OXLC Management (once the hurdle is reached and the “catch-up” is achieved, 20% of all pre-incentive fee net investment income thereafter is allocated to OXLC Management).</w:t>
      </w:r>
    </w:p>
    <w:p>
      <w:pPr>
        <w:spacing w:after="0" w:line="140" w:lineRule="exact"/>
        <w:rPr>
          <w:sz w:val="20"/>
          <w:szCs w:val="20"/>
          <w:color w:val="auto"/>
        </w:rPr>
      </w:pPr>
    </w:p>
    <w:p>
      <w:pPr>
        <w:ind w:left="460" w:right="519" w:firstLine="324"/>
        <w:spacing w:after="0" w:line="266" w:lineRule="auto"/>
        <w:rPr>
          <w:sz w:val="20"/>
          <w:szCs w:val="20"/>
          <w:color w:val="auto"/>
        </w:rPr>
      </w:pPr>
      <w:r>
        <w:rPr>
          <w:rFonts w:ascii="Times New Roman" w:cs="Times New Roman" w:eastAsia="Times New Roman" w:hAnsi="Times New Roman"/>
          <w:sz w:val="18"/>
          <w:szCs w:val="18"/>
          <w:color w:val="auto"/>
        </w:rPr>
        <w:t>There is no offset in subsequent quarters for any quarter in which an incentive fee is not earned. For the six months ended September 30, 2017, the Fund recognized incentive fee expense of approximately $4.7 million. At September 30, 2017, the Fund had an incentive fee payable of approximately $2.3 million.</w:t>
      </w:r>
    </w:p>
    <w:p>
      <w:pPr>
        <w:spacing w:after="0" w:line="149" w:lineRule="exact"/>
        <w:rPr>
          <w:sz w:val="20"/>
          <w:szCs w:val="20"/>
          <w:color w:val="auto"/>
        </w:rPr>
      </w:pPr>
    </w:p>
    <w:p>
      <w:pPr>
        <w:ind w:left="460" w:right="779" w:firstLine="324"/>
        <w:spacing w:after="0" w:line="256" w:lineRule="auto"/>
        <w:rPr>
          <w:sz w:val="20"/>
          <w:szCs w:val="20"/>
          <w:color w:val="auto"/>
        </w:rPr>
      </w:pPr>
      <w:r>
        <w:rPr>
          <w:rFonts w:ascii="Times New Roman" w:cs="Times New Roman" w:eastAsia="Times New Roman" w:hAnsi="Times New Roman"/>
          <w:sz w:val="18"/>
          <w:szCs w:val="18"/>
          <w:color w:val="auto"/>
        </w:rPr>
        <w:t>BDC Partners assists the Fund in determining and publishing the Fund’s net asset value, overseeing the preparation and filing of the Fund’s tax returns and the printing and dissemination of reports to the Fund’s stockholders, and generally overseeing the payment of the Fund’s expenses and the performance of administrative and professional services rendered to the Fund by others. Payments under the Administration Agreement are equal to an amount based upon the Fund’s allocable portion of BDC Partners’ overhead in performing its obligations under the Administration Agreement, including rent,</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RELATED PARTY TRANSACTIONS – (continued)</w:t>
      </w:r>
    </w:p>
    <w:p>
      <w:pPr>
        <w:spacing w:after="0" w:line="202" w:lineRule="exact"/>
        <w:rPr>
          <w:sz w:val="20"/>
          <w:szCs w:val="20"/>
          <w:color w:val="auto"/>
        </w:rPr>
      </w:pPr>
    </w:p>
    <w:p>
      <w:pPr>
        <w:ind w:left="460" w:right="559"/>
        <w:spacing w:after="0" w:line="255" w:lineRule="auto"/>
        <w:rPr>
          <w:sz w:val="20"/>
          <w:szCs w:val="20"/>
          <w:color w:val="auto"/>
        </w:rPr>
      </w:pPr>
      <w:r>
        <w:rPr>
          <w:rFonts w:ascii="Times New Roman" w:cs="Times New Roman" w:eastAsia="Times New Roman" w:hAnsi="Times New Roman"/>
          <w:sz w:val="18"/>
          <w:szCs w:val="18"/>
          <w:color w:val="auto"/>
        </w:rPr>
        <w:t>and the Fund’s allocable portion of the compensation of the Fund’s chief financial officer and any administrative support staff, including accounting personnel. Other expenses that are paid by the Fund include legal, compliance, audit and tax services, market data services, excise taxes, if any, and miscellaneous office expenses. The Administration Agreement may be terminated by either party without penalty upon 60 days’ written notice to the other party. The costs associated with the functions performed by OXLC’s chief compliance officer are paid indirectly by the Fund pursuant to the terms of an agreement between the Fund and Alaric Compliance Services, LLC.</w:t>
      </w:r>
    </w:p>
    <w:p>
      <w:pPr>
        <w:spacing w:after="0" w:line="149" w:lineRule="exact"/>
        <w:rPr>
          <w:sz w:val="20"/>
          <w:szCs w:val="20"/>
          <w:color w:val="auto"/>
        </w:rPr>
      </w:pPr>
    </w:p>
    <w:p>
      <w:pPr>
        <w:ind w:left="460" w:right="519" w:firstLine="324"/>
        <w:spacing w:after="0" w:line="255" w:lineRule="auto"/>
        <w:rPr>
          <w:sz w:val="20"/>
          <w:szCs w:val="20"/>
          <w:color w:val="auto"/>
        </w:rPr>
      </w:pPr>
      <w:r>
        <w:rPr>
          <w:rFonts w:ascii="Times New Roman" w:cs="Times New Roman" w:eastAsia="Times New Roman" w:hAnsi="Times New Roman"/>
          <w:sz w:val="18"/>
          <w:szCs w:val="18"/>
          <w:color w:val="auto"/>
        </w:rPr>
        <w:t>The independent directors receive an annual fee of $75,000. In addition, the independent directors receive $2,000 plus reimbursement of reasonable out-of-pocket expenses incurred in connection with attending each Board of Directors meeting, $1,500 plus reimbursement of reasonable out-of-pocket expenses incurred in connection with attending each Valuation Committee meeting and $1,000 plus reimbursement of reasonable out-of-pocket expenses incurred in connection with attending each Audit Committee meeting. The Chairman of the Audit Committee also receives an additional annual fee of $10,000. No compensation is paid to directors who are interested persons of the Fund as defined in the 1940 Act.</w:t>
      </w:r>
    </w:p>
    <w:p>
      <w:pPr>
        <w:spacing w:after="0" w:line="149" w:lineRule="exact"/>
        <w:rPr>
          <w:sz w:val="20"/>
          <w:szCs w:val="20"/>
          <w:color w:val="auto"/>
        </w:rPr>
      </w:pPr>
    </w:p>
    <w:p>
      <w:pPr>
        <w:ind w:left="460" w:right="799" w:firstLine="324"/>
        <w:spacing w:after="0" w:line="282" w:lineRule="auto"/>
        <w:rPr>
          <w:sz w:val="20"/>
          <w:szCs w:val="20"/>
          <w:color w:val="auto"/>
        </w:rPr>
      </w:pPr>
      <w:r>
        <w:rPr>
          <w:rFonts w:ascii="Times New Roman" w:cs="Times New Roman" w:eastAsia="Times New Roman" w:hAnsi="Times New Roman"/>
          <w:sz w:val="18"/>
          <w:szCs w:val="18"/>
          <w:color w:val="auto"/>
        </w:rPr>
        <w:t>Certain directors, officers and other related parties, including members of OXLC Management, owned, directly or indirectly, an aggregate 2.2% of the common stock of the Fund at September 30, 2017.</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Co-Investment Exemptive Relief</w:t>
      </w:r>
    </w:p>
    <w:p>
      <w:pPr>
        <w:spacing w:after="0" w:line="202" w:lineRule="exact"/>
        <w:rPr>
          <w:sz w:val="20"/>
          <w:szCs w:val="20"/>
          <w:color w:val="auto"/>
        </w:rPr>
      </w:pPr>
    </w:p>
    <w:p>
      <w:pPr>
        <w:ind w:left="460" w:right="519" w:firstLine="324"/>
        <w:spacing w:after="0" w:line="255" w:lineRule="auto"/>
        <w:rPr>
          <w:sz w:val="20"/>
          <w:szCs w:val="20"/>
          <w:color w:val="auto"/>
        </w:rPr>
      </w:pPr>
      <w:r>
        <w:rPr>
          <w:rFonts w:ascii="Times New Roman" w:cs="Times New Roman" w:eastAsia="Times New Roman" w:hAnsi="Times New Roman"/>
          <w:sz w:val="18"/>
          <w:szCs w:val="18"/>
          <w:color w:val="auto"/>
        </w:rPr>
        <w:t>On June 14, 2017, the SEC issued an order permitting OXLC and certain of its affiliates to complete negotiated co-investment transactions in portfolio companies, subject to certain conditions (the “Order”). Subject to satisfaction of certain conditions to the Order, OXLC and certain of its affiliates are now permitted, together with any future business development companies, registered closed-end funds and certain private funds, each of whose investment adviser is OXLC’s investment adviser or an investment adviser controlling, controlled by, or under common control with OXLC’s investment adviser, to co-invest in negotiated investment opportunities where doing so would otherwise be prohibited under the 1940 Act, providing OXLC’s stockholders with access to a broader array of investment opportunities.</w:t>
      </w:r>
    </w:p>
    <w:p>
      <w:pPr>
        <w:spacing w:after="0" w:line="145" w:lineRule="exact"/>
        <w:rPr>
          <w:sz w:val="20"/>
          <w:szCs w:val="20"/>
          <w:color w:val="auto"/>
        </w:rPr>
      </w:pPr>
    </w:p>
    <w:p>
      <w:pPr>
        <w:ind w:left="460" w:right="519" w:firstLine="324"/>
        <w:spacing w:after="0" w:line="255" w:lineRule="auto"/>
        <w:rPr>
          <w:sz w:val="20"/>
          <w:szCs w:val="20"/>
          <w:color w:val="auto"/>
        </w:rPr>
      </w:pPr>
      <w:r>
        <w:rPr>
          <w:rFonts w:ascii="Times New Roman" w:cs="Times New Roman" w:eastAsia="Times New Roman" w:hAnsi="Times New Roman"/>
          <w:sz w:val="18"/>
          <w:szCs w:val="18"/>
          <w:color w:val="auto"/>
        </w:rPr>
        <w:t>Pursuant to the Order, OXLC is permitted to co-invest in such investment opportunities with its affiliates if a “required majority” (as defined in Section 57(o) of the 1940 Act) of its independent directors make certain conclusions in connection with a co-investment transaction, including, but not limited to, that (1) the terms of the potential co-investment transaction, including the consideration to be paid, are reasonable and fair to OXLC and its stockholders and do not involve overreaching in respect of OXLC or its stockholders on the part of any person concerned, and (2) the potential co-investment transaction is consistent with the interests of OXLC’s stockholders and is consistent with OXLC’s then-current investment objective and strategies.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CONCENTRATION OF CREDIT RISK</w:t>
      </w:r>
    </w:p>
    <w:p>
      <w:pPr>
        <w:spacing w:after="0" w:line="189" w:lineRule="exact"/>
        <w:rPr>
          <w:sz w:val="20"/>
          <w:szCs w:val="20"/>
          <w:color w:val="auto"/>
        </w:rPr>
      </w:pPr>
    </w:p>
    <w:p>
      <w:pPr>
        <w:jc w:val="both"/>
        <w:ind w:left="460" w:right="579" w:firstLine="324"/>
        <w:spacing w:after="0" w:line="261" w:lineRule="auto"/>
        <w:rPr>
          <w:sz w:val="20"/>
          <w:szCs w:val="20"/>
          <w:color w:val="auto"/>
        </w:rPr>
      </w:pPr>
      <w:r>
        <w:rPr>
          <w:rFonts w:ascii="Times New Roman" w:cs="Times New Roman" w:eastAsia="Times New Roman" w:hAnsi="Times New Roman"/>
          <w:sz w:val="18"/>
          <w:szCs w:val="18"/>
          <w:color w:val="auto"/>
        </w:rPr>
        <w:t>The Fund places its cash in an overnight money market account and, at times, cash and cash equivalents may exceed the Federal Deposit Insurance Corporation insured limit. In addition, the Fund’s portfolio may be concentrated in a limited number of investments, which will subject the Fund to a risk of significant loss if any of these investments defaults on its obligations if those sectors experience a market downturn.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DISTRIBUTIONS</w:t>
      </w:r>
    </w:p>
    <w:p>
      <w:pPr>
        <w:spacing w:after="0" w:line="189" w:lineRule="exact"/>
        <w:rPr>
          <w:sz w:val="20"/>
          <w:szCs w:val="20"/>
          <w:color w:val="auto"/>
        </w:rPr>
      </w:pPr>
    </w:p>
    <w:p>
      <w:pPr>
        <w:ind w:left="460" w:right="519" w:firstLine="324"/>
        <w:spacing w:after="0" w:line="256" w:lineRule="auto"/>
        <w:rPr>
          <w:sz w:val="20"/>
          <w:szCs w:val="20"/>
          <w:color w:val="auto"/>
        </w:rPr>
      </w:pPr>
      <w:r>
        <w:rPr>
          <w:rFonts w:ascii="Times New Roman" w:cs="Times New Roman" w:eastAsia="Times New Roman" w:hAnsi="Times New Roman"/>
          <w:sz w:val="18"/>
          <w:szCs w:val="18"/>
          <w:color w:val="auto"/>
        </w:rPr>
        <w:t>For the six months ended September 30, 2017, the Fund declared and paid dividends on common stock of $0.80 per share, or $19,580,225. The Fund declared and paid dividends on common stock of $2.40 per share, or $49,601,273, for the year ended March 31, 2017. The tax character of distributions paid for the six months ended September 30, 2017 will be determined when the Fund reports on its fiscal year-end financial statements. The tax character of distributions paid for the year ended March 31, 2017 represented ordinary income with no return of capital.</w:t>
      </w:r>
    </w:p>
    <w:p>
      <w:pPr>
        <w:spacing w:after="0" w:line="161" w:lineRule="exact"/>
        <w:rPr>
          <w:sz w:val="20"/>
          <w:szCs w:val="20"/>
          <w:color w:val="auto"/>
        </w:rPr>
      </w:pPr>
    </w:p>
    <w:p>
      <w:pPr>
        <w:ind w:left="460" w:right="659"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September 30, 2017 and the year ended March 31, 2017 the Fund also declared and paid dividends on preferred stock of $5,933,222 and $9,947,082, respectively. The tax character of distributions paid on preferred stock represented ordinary income.</w:t>
      </w:r>
    </w:p>
    <w:p>
      <w:pPr>
        <w:spacing w:after="0" w:line="136" w:lineRule="exact"/>
        <w:rPr>
          <w:sz w:val="20"/>
          <w:szCs w:val="20"/>
          <w:color w:val="auto"/>
        </w:rPr>
      </w:pPr>
    </w:p>
    <w:p>
      <w:pPr>
        <w:ind w:left="460" w:right="459" w:firstLine="324"/>
        <w:spacing w:after="0" w:line="254" w:lineRule="auto"/>
        <w:rPr>
          <w:sz w:val="20"/>
          <w:szCs w:val="20"/>
          <w:color w:val="auto"/>
        </w:rPr>
      </w:pPr>
      <w:r>
        <w:rPr>
          <w:rFonts w:ascii="Times New Roman" w:cs="Times New Roman" w:eastAsia="Times New Roman" w:hAnsi="Times New Roman"/>
          <w:sz w:val="18"/>
          <w:szCs w:val="18"/>
          <w:color w:val="auto"/>
        </w:rPr>
        <w:t>In December 2010, the Regulated Investment Company Modernization Act of 2010 (the “Act”) was enacted, which changed various technical rules governing the tax treatment of regulated investment companies. The changes are generally effective for taxable years beginning after the date of enactment. Under the Act, the Fund is permitted to carry forward capital losses incurred in taxable years beginning after the date of enactment for an unlimited period. However, any losses incurred during those future taxable years will be required to be utilized prior to the losses incurred in pre-enactment taxable years, which carry an expiration date. As a result of this ordering rule, pre-enactment capital loss carryforwards may be more likely to expire unused. Additionally, post-enactment capital losses that are carried forward will retain their character as either short-term or long-term losses rather than being considered all short-term as under previous law.</w:t>
      </w:r>
    </w:p>
    <w:p>
      <w:pPr>
        <w:spacing w:after="0" w:line="149" w:lineRule="exact"/>
        <w:rPr>
          <w:sz w:val="20"/>
          <w:szCs w:val="20"/>
          <w:color w:val="auto"/>
        </w:rPr>
      </w:pPr>
    </w:p>
    <w:p>
      <w:pPr>
        <w:ind w:left="460" w:right="499" w:firstLine="324"/>
        <w:spacing w:after="0" w:line="256" w:lineRule="auto"/>
        <w:rPr>
          <w:sz w:val="20"/>
          <w:szCs w:val="20"/>
          <w:color w:val="auto"/>
        </w:rPr>
      </w:pPr>
      <w:r>
        <w:rPr>
          <w:rFonts w:ascii="Times New Roman" w:cs="Times New Roman" w:eastAsia="Times New Roman" w:hAnsi="Times New Roman"/>
          <w:sz w:val="18"/>
          <w:szCs w:val="18"/>
          <w:color w:val="auto"/>
        </w:rPr>
        <w:t>For the fiscal year ended March 31, 2017, the Fund had available $49,584,288 of long-term capital losses, which can be used to offset future capital gains. These losses represent post-RIC modernization losses not subject to expiration. Under the current law, capital losses related to securities realized after October 31 and prior to the Fund’s fiscal year end may be deferred as occurring the first day of the following fiscal year. For the fiscal year ended March 31, 2017, the Fund deferred such losses in the amount of $7,048,829, which is comprised of long-term losses.</w:t>
      </w:r>
    </w:p>
    <w:p>
      <w:pPr>
        <w:spacing w:after="0" w:line="16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As of March 31, 2017, the estimated components of accumulated earnings on a tax basis were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Distributable ordinary income</w:t>
            </w:r>
          </w:p>
        </w:tc>
        <w:tc>
          <w:tcPr>
            <w:tcW w:w="2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2,881,975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Distributable long-term capital gains (capital loss carry forward)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(49,584,288)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depreciation on investments</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(42,543,339)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timing differences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(7,057,579)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right="539" w:firstLine="324"/>
        <w:spacing w:after="0" w:line="255" w:lineRule="auto"/>
        <w:rPr>
          <w:sz w:val="20"/>
          <w:szCs w:val="20"/>
          <w:color w:val="auto"/>
        </w:rPr>
      </w:pPr>
      <w:r>
        <w:rPr>
          <w:rFonts w:ascii="Times New Roman" w:cs="Times New Roman" w:eastAsia="Times New Roman" w:hAnsi="Times New Roman"/>
          <w:sz w:val="18"/>
          <w:szCs w:val="18"/>
          <w:color w:val="auto"/>
        </w:rPr>
        <w:t>The tax basis components of accumulated earnings differ from the amounts reflected in the Statement of Assets and Liabilities due to temporary book/tax differences primarily arising from investments in CLO equity investments and permanent book/tax differences attributable to non-deductible excise taxes. For the year ended March 31, 2017, the permanent differences between financial and tax reporting were due to basis adjustments on the sale of CLO equity investments, resulting in a decrease of distributions in excess of investment income, and an increase in accumulated net realized loss on investments of $5,178,533. These amounts will be finalized before filing the federal tax return.</w:t>
      </w:r>
    </w:p>
    <w:p>
      <w:pPr>
        <w:spacing w:after="0" w:line="162" w:lineRule="exact"/>
        <w:rPr>
          <w:sz w:val="20"/>
          <w:szCs w:val="20"/>
          <w:color w:val="auto"/>
        </w:rPr>
      </w:pPr>
    </w:p>
    <w:p>
      <w:pPr>
        <w:jc w:val="both"/>
        <w:ind w:left="460" w:right="57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2017, the aggregate gross unrealized appreciation for tax purposes was $24,326,087, and aggregate gross unrealized depreciation was $111,883,539. For tax purposes, the cost basis of the portfolio investments at September 30, 2017 was $483,138,389.</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MANDATORILY REDEEMABLE PREFERRED STOCK</w:t>
      </w:r>
    </w:p>
    <w:p>
      <w:pPr>
        <w:spacing w:after="0" w:line="121" w:lineRule="exact"/>
        <w:rPr>
          <w:sz w:val="20"/>
          <w:szCs w:val="20"/>
          <w:color w:val="auto"/>
        </w:rPr>
      </w:pPr>
    </w:p>
    <w:p>
      <w:pPr>
        <w:ind w:left="460" w:right="479" w:firstLine="324"/>
        <w:spacing w:after="0" w:line="252" w:lineRule="auto"/>
        <w:rPr>
          <w:sz w:val="20"/>
          <w:szCs w:val="20"/>
          <w:color w:val="auto"/>
        </w:rPr>
      </w:pPr>
      <w:r>
        <w:rPr>
          <w:rFonts w:ascii="Times New Roman" w:cs="Times New Roman" w:eastAsia="Times New Roman" w:hAnsi="Times New Roman"/>
          <w:sz w:val="18"/>
          <w:szCs w:val="18"/>
          <w:color w:val="auto"/>
        </w:rPr>
        <w:t>The Fund has authorized 10 million shares of mandatorily redeemable preferred stock, at a par value of $0.01 per share, and had 6,345,416 shares issued and outstanding at September 30, 2017. Since 2012 and through June 2017, the Fund completed underwritten public offerings of its 7.50% Series 2023 Term Preferred Shares (the “Series 2023 Shares”); 8.125% Series 2024 Term Preferred Shares (the “Series 2024 Shares”) and 6.75% Series 2024 Term Preferred Shares (the “New Series 2024 Shares”), collectively the “Term Preferred Shares” or “Term Shares.” The Fund is required to redeem all of the outstanding Term Preferred Shares on their respective redemption dates, at a redemption price equal to $25 per share plus an amount equal to accumulated but unpaid dividends, if any, to the date of the redemption. OXLC cannot effect any amendment, alteration, or repeal of the Fund’s obligation to redeem all of the Term Shares without the prior unanimous vote or consent of the holders of such Term Shares. At any time on or after the optional redemption date, at the Fund’s sole option, the Fund may redeem the Term Shares at a redemption price per share equal to the sum of the $25 liquidation preference per share plus an amount equal to accumulated but unpaid dividends, if any, on such Term Shares. The Fund, with the authorization by the Board of Directors, may repurchase any of the Term Preferred Shares from time to time in the open market and effectively extinguish the debt.</w:t>
      </w:r>
    </w:p>
    <w:p>
      <w:pPr>
        <w:spacing w:after="0" w:line="158" w:lineRule="exact"/>
        <w:rPr>
          <w:sz w:val="20"/>
          <w:szCs w:val="20"/>
          <w:color w:val="auto"/>
        </w:rPr>
      </w:pPr>
    </w:p>
    <w:p>
      <w:pPr>
        <w:ind w:left="460" w:right="459" w:firstLine="324"/>
        <w:spacing w:after="0" w:line="253" w:lineRule="auto"/>
        <w:rPr>
          <w:sz w:val="20"/>
          <w:szCs w:val="20"/>
          <w:color w:val="auto"/>
        </w:rPr>
      </w:pPr>
      <w:r>
        <w:rPr>
          <w:rFonts w:ascii="Times New Roman" w:cs="Times New Roman" w:eastAsia="Times New Roman" w:hAnsi="Times New Roman"/>
          <w:sz w:val="18"/>
          <w:szCs w:val="18"/>
          <w:color w:val="auto"/>
        </w:rPr>
        <w:t>On March 21, 2016, the Fund announced a program for the purpose of repurchasing up to $25 million worth of the outstanding shares of the Series 2023 Shares and up to $25 million worth of the outstanding shares of the Series 2024 Shares. Under this repurchase program, the Fund repurchased 609,537 shares of the Series 2023 Shares, at an average price of $25.20 per share, and 2,712 shares of the Series 2024 Shares, at an average price of $25.40 per share, for the year ended March 31, 2017. In connection with the repurchased Series 2023 Shares, the Fund realized a net extinguishment loss of approximately $615,000, consisting of previously unamortized deferred issuance costs of approximately $490,000, in addition to repurchases at a net premium to par of approximately $125,000. In connection with the repurchased Series 2024 Shares, the Fund realized a net extinguishment loss of approximately $3,000, consisting of previously unamortized deferred issuance costs of approximately $2,000, in addition to repurchases at a net premium to par of approximately $1,000.</w:t>
      </w:r>
    </w:p>
    <w:p>
      <w:pPr>
        <w:spacing w:after="0" w:line="384" w:lineRule="exact"/>
        <w:rPr>
          <w:sz w:val="20"/>
          <w:szCs w:val="20"/>
          <w:color w:val="auto"/>
        </w:rPr>
      </w:pPr>
    </w:p>
    <w:p>
      <w:pPr>
        <w:ind w:left="460" w:right="539" w:firstLine="324"/>
        <w:spacing w:after="0" w:line="256" w:lineRule="auto"/>
        <w:rPr>
          <w:sz w:val="20"/>
          <w:szCs w:val="20"/>
          <w:color w:val="auto"/>
        </w:rPr>
      </w:pPr>
      <w:r>
        <w:rPr>
          <w:rFonts w:ascii="Times New Roman" w:cs="Times New Roman" w:eastAsia="Times New Roman" w:hAnsi="Times New Roman"/>
          <w:sz w:val="18"/>
          <w:szCs w:val="18"/>
          <w:color w:val="auto"/>
        </w:rPr>
        <w:t>On March 14, 2017, the Fund entered into an equity distribution agreement to sell, through an “at-the-market” offering, up to 600,000 shares of the Fund’s Series 2023 Shares and up to 600,000 shares of the Fund’s Series 2024 Shares. The Fund sold a total of 600,000 shares of its Series 2023 Shares and 1,300 shares of its Series 2024 Shares pursuant to the “at-the-market” offering during the year ended March 31, 2017. The total amount of net proceeds raised under this “at-the-market” offering was approximately $15.0 million after deducting the sales agent’s commissions and offering expenses.</w:t>
      </w:r>
    </w:p>
    <w:p>
      <w:pPr>
        <w:spacing w:after="0" w:line="147" w:lineRule="exact"/>
        <w:rPr>
          <w:sz w:val="20"/>
          <w:szCs w:val="20"/>
          <w:color w:val="auto"/>
        </w:rPr>
      </w:pPr>
    </w:p>
    <w:p>
      <w:pPr>
        <w:ind w:left="460" w:right="479" w:firstLine="324"/>
        <w:spacing w:after="0" w:line="289" w:lineRule="auto"/>
        <w:rPr>
          <w:sz w:val="20"/>
          <w:szCs w:val="20"/>
          <w:color w:val="auto"/>
        </w:rPr>
      </w:pPr>
      <w:r>
        <w:rPr>
          <w:rFonts w:ascii="Times New Roman" w:cs="Times New Roman" w:eastAsia="Times New Roman" w:hAnsi="Times New Roman"/>
          <w:sz w:val="17"/>
          <w:szCs w:val="17"/>
          <w:color w:val="auto"/>
        </w:rPr>
        <w:t>On June 14, 2017, the Fund completed an underwritten public offering of 2,729,415 shares of its newly designated New Series 2024 Shares at a public offering price of $25 per share, raising $68.2 million in gross proceeds. The New Series 2024 Shares are listed on the NASDAQ Global Select Market and trade under the symbol “OXLCM”.</w:t>
      </w:r>
    </w:p>
    <w:p>
      <w:pPr>
        <w:spacing w:after="0" w:line="118" w:lineRule="exact"/>
        <w:rPr>
          <w:sz w:val="20"/>
          <w:szCs w:val="20"/>
          <w:color w:val="auto"/>
        </w:rPr>
      </w:pPr>
    </w:p>
    <w:p>
      <w:pPr>
        <w:ind w:left="460" w:right="519" w:firstLine="324"/>
        <w:spacing w:after="0" w:line="255" w:lineRule="auto"/>
        <w:rPr>
          <w:sz w:val="20"/>
          <w:szCs w:val="20"/>
          <w:color w:val="auto"/>
        </w:rPr>
      </w:pPr>
      <w:r>
        <w:rPr>
          <w:rFonts w:ascii="Times New Roman" w:cs="Times New Roman" w:eastAsia="Times New Roman" w:hAnsi="Times New Roman"/>
          <w:sz w:val="18"/>
          <w:szCs w:val="18"/>
          <w:color w:val="auto"/>
        </w:rPr>
        <w:t>On July 14, 2017 (the “Redemption Date”), the Fund redeemed all of the issued and outstanding shares (an aggregate of 2,020,179 shares) of the Series 2024 Shares for a redemption price of $25 per share plus $0.07336 in accrued but unpaid dividends per share to the Redemption Date, for an aggregate redemption price of $25.07336 per share. In connection with the July 14, 2017 redemption of approximately $50.5 million of the Series 2024 Shares, the Fund incurred extinguishment costs of approximately $1.7 million, which consisted of accelerated deferred issuance costs. The accelerated deferred issuance costs are recorded within net realized loss on the redemption of mandatorily redeemable preferred stock in the Statement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NOTE 8. MANDATORILY REDEEMABLE PREFERRED STOCK – (continued)</w:t>
      </w: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Fund’s Term Preferred Share activity for the six months ended September 30, 2017, was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Series 2024</w:t>
            </w: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Series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Series 2023</w:t>
            </w: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2024 Term</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Term Preferred</w:t>
            </w:r>
          </w:p>
        </w:tc>
        <w:tc>
          <w:tcPr>
            <w:tcW w:w="120" w:type="dxa"/>
            <w:vAlign w:val="bottom"/>
          </w:tcPr>
          <w:p>
            <w:pPr>
              <w:spacing w:after="0"/>
              <w:rPr>
                <w:sz w:val="17"/>
                <w:szCs w:val="17"/>
                <w:color w:val="auto"/>
              </w:rPr>
            </w:pPr>
          </w:p>
        </w:tc>
        <w:tc>
          <w:tcPr>
            <w:tcW w:w="12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Term Preferred</w:t>
            </w: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22"/>
                <w:szCs w:val="22"/>
                <w:color w:val="auto"/>
              </w:rPr>
            </w:pPr>
          </w:p>
        </w:tc>
        <w:tc>
          <w:tcPr>
            <w:tcW w:w="1220" w:type="dxa"/>
            <w:vAlign w:val="bottom"/>
            <w:tcBorders>
              <w:bottom w:val="single" w:sz="8" w:color="auto"/>
            </w:tcBorders>
            <w:gridSpan w:val="2"/>
          </w:tcPr>
          <w:p>
            <w:pPr>
              <w:jc w:val="center"/>
              <w:spacing w:after="0" w:line="257" w:lineRule="exact"/>
              <w:rPr>
                <w:sz w:val="20"/>
                <w:szCs w:val="20"/>
                <w:color w:val="auto"/>
              </w:rPr>
            </w:pPr>
            <w:r>
              <w:rPr>
                <w:rFonts w:ascii="Times New Roman" w:cs="Times New Roman" w:eastAsia="Times New Roman" w:hAnsi="Times New Roman"/>
                <w:sz w:val="16"/>
                <w:szCs w:val="16"/>
                <w:b w:val="1"/>
                <w:bCs w:val="1"/>
                <w:color w:val="auto"/>
                <w:w w:val="92"/>
              </w:rPr>
              <w:t>Shares</w:t>
            </w:r>
            <w:r>
              <w:rPr>
                <w:rFonts w:ascii="Times New Roman" w:cs="Times New Roman" w:eastAsia="Times New Roman" w:hAnsi="Times New Roman"/>
                <w:sz w:val="27"/>
                <w:szCs w:val="27"/>
                <w:b w:val="1"/>
                <w:bCs w:val="1"/>
                <w:color w:val="auto"/>
                <w:w w:val="92"/>
                <w:vertAlign w:val="superscript"/>
              </w:rPr>
              <w:t>(1)</w:t>
            </w:r>
          </w:p>
        </w:tc>
        <w:tc>
          <w:tcPr>
            <w:tcW w:w="14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22"/>
                <w:szCs w:val="22"/>
                <w:color w:val="auto"/>
              </w:rPr>
            </w:pPr>
          </w:p>
        </w:tc>
        <w:tc>
          <w:tcPr>
            <w:tcW w:w="10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March 31, 2017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3,616,001</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2,020,179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5,636,180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2,729,415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2,729,415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extinguished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(2,020,179)</w:t>
            </w: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(2,020,179)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Shares outstanding at September 30,</w:t>
            </w: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160" w:type="dxa"/>
            <w:vAlign w:val="bottom"/>
            <w:gridSpan w:val="2"/>
          </w:tcPr>
          <w:p>
            <w:pPr>
              <w:jc w:val="right"/>
              <w:ind w:right="2530"/>
              <w:spacing w:after="0"/>
              <w:rPr>
                <w:sz w:val="20"/>
                <w:szCs w:val="20"/>
                <w:color w:val="auto"/>
              </w:rPr>
            </w:pPr>
            <w:r>
              <w:rPr>
                <w:rFonts w:ascii="Times New Roman" w:cs="Times New Roman" w:eastAsia="Times New Roman" w:hAnsi="Times New Roman"/>
                <w:sz w:val="18"/>
                <w:szCs w:val="18"/>
                <w:color w:val="auto"/>
              </w:rPr>
              <w:t>2017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3,616,001</w:t>
            </w:r>
          </w:p>
        </w:tc>
        <w:tc>
          <w:tcPr>
            <w:tcW w:w="1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2,729,415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6,345,416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80" w:right="859" w:hanging="318"/>
        <w:spacing w:after="0" w:line="261" w:lineRule="auto"/>
        <w:tabs>
          <w:tab w:leader="none" w:pos="7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14, 2017, OXLC redeemed all of the 2,020,179 Series 2024 Term Preferred Shares issued and outstanding.</w:t>
      </w:r>
    </w:p>
    <w:p>
      <w:pPr>
        <w:spacing w:after="0" w:line="139"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Term Preferred Share balances as of September 30, 2017, were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Series 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New Series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Series 2023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60"/>
              <w:spacing w:after="0" w:line="165" w:lineRule="exact"/>
              <w:rPr>
                <w:sz w:val="20"/>
                <w:szCs w:val="20"/>
                <w:color w:val="auto"/>
              </w:rPr>
            </w:pPr>
            <w:r>
              <w:rPr>
                <w:rFonts w:ascii="Times New Roman" w:cs="Times New Roman" w:eastAsia="Times New Roman" w:hAnsi="Times New Roman"/>
                <w:sz w:val="16"/>
                <w:szCs w:val="16"/>
                <w:b w:val="1"/>
                <w:bCs w:val="1"/>
                <w:color w:val="auto"/>
                <w:w w:val="99"/>
              </w:rPr>
              <w:t>2024 Term</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Term Preferred</w:t>
            </w:r>
          </w:p>
        </w:tc>
        <w:tc>
          <w:tcPr>
            <w:tcW w:w="8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 Preferred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center"/>
              <w:ind w:right="52"/>
              <w:spacing w:after="0" w:line="270" w:lineRule="exact"/>
              <w:rPr>
                <w:sz w:val="20"/>
                <w:szCs w:val="20"/>
                <w:color w:val="auto"/>
              </w:rPr>
            </w:pPr>
            <w:r>
              <w:rPr>
                <w:rFonts w:ascii="Times New Roman" w:cs="Times New Roman" w:eastAsia="Times New Roman" w:hAnsi="Times New Roman"/>
                <w:sz w:val="16"/>
                <w:szCs w:val="16"/>
                <w:b w:val="1"/>
                <w:bCs w:val="1"/>
                <w:color w:val="auto"/>
                <w:w w:val="92"/>
              </w:rPr>
              <w:t>Shares</w:t>
            </w:r>
            <w:r>
              <w:rPr>
                <w:rFonts w:ascii="Times New Roman" w:cs="Times New Roman" w:eastAsia="Times New Roman" w:hAnsi="Times New Roman"/>
                <w:sz w:val="27"/>
                <w:szCs w:val="27"/>
                <w:b w:val="1"/>
                <w:bCs w:val="1"/>
                <w:color w:val="auto"/>
                <w:w w:val="92"/>
                <w:vertAlign w:val="superscript"/>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23"/>
                <w:szCs w:val="23"/>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value</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90,400,025</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68,235,375</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$ 158,635,400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Deferred issuance cost</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(2,009,887)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(2,253,053)</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(4,262,940)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w:t>
            </w: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(3,310,705)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(3,310,705)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6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85,079,433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65,982,322</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$ 151,061,755</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8"/>
                <w:szCs w:val="18"/>
                <w:color w:val="auto"/>
              </w:rPr>
              <w:t>Fair value</w:t>
            </w:r>
            <w:r>
              <w:rPr>
                <w:rFonts w:ascii="Times New Roman" w:cs="Times New Roman" w:eastAsia="Times New Roman" w:hAnsi="Times New Roman"/>
                <w:sz w:val="21"/>
                <w:szCs w:val="21"/>
                <w:color w:val="auto"/>
                <w:vertAlign w:val="superscript"/>
              </w:rPr>
              <w:t>(1)</w:t>
            </w: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91,737,945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69,299,847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$ 161,038,065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40" w:type="dxa"/>
            <w:vAlign w:val="bottom"/>
          </w:tcPr>
          <w:p>
            <w:pPr>
              <w:spacing w:after="0" w:line="238" w:lineRule="exact"/>
              <w:rPr>
                <w:sz w:val="20"/>
                <w:szCs w:val="20"/>
                <w:color w:val="auto"/>
              </w:rPr>
            </w:pPr>
            <w:r>
              <w:rPr>
                <w:rFonts w:ascii="Times New Roman" w:cs="Times New Roman" w:eastAsia="Times New Roman" w:hAnsi="Times New Roman"/>
                <w:sz w:val="18"/>
                <w:szCs w:val="18"/>
                <w:color w:val="auto"/>
              </w:rPr>
              <w:t>Fair value price per share</w:t>
            </w:r>
            <w:r>
              <w:rPr>
                <w:rFonts w:ascii="Times New Roman" w:cs="Times New Roman" w:eastAsia="Times New Roman" w:hAnsi="Times New Roman"/>
                <w:sz w:val="21"/>
                <w:szCs w:val="21"/>
                <w:color w:val="auto"/>
                <w:vertAlign w:val="superscript"/>
              </w:rPr>
              <w:t>(1)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780" w:right="1059" w:hanging="318"/>
        <w:spacing w:after="0" w:line="250" w:lineRule="auto"/>
        <w:tabs>
          <w:tab w:leader="none" w:pos="7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September 30, 2017 closing market price per share of each respective series of Term Preferred Shares on the NASDAQ Global Select Market.</w:t>
      </w:r>
    </w:p>
    <w:p>
      <w:pPr>
        <w:ind w:left="780" w:right="859" w:hanging="318"/>
        <w:spacing w:after="0" w:line="261" w:lineRule="auto"/>
        <w:tabs>
          <w:tab w:leader="none" w:pos="7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14, 2017, OXLC redeemed all of the 2,020,179 Series 2024 Term Preferred Shares issued and outstanding.</w:t>
      </w:r>
    </w:p>
    <w:p>
      <w:pPr>
        <w:spacing w:after="0" w:line="152"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Fund’s Term Preferred Share offerings are as set forth in the table below:</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Series 2024</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Series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Series 2023</w:t>
            </w: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6"/>
              </w:rPr>
              <w:t>2024 Term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 Preferred</w:t>
            </w: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Term Preferred</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22"/>
                <w:szCs w:val="22"/>
                <w:color w:val="auto"/>
              </w:rPr>
            </w:pPr>
          </w:p>
        </w:tc>
        <w:tc>
          <w:tcPr>
            <w:tcW w:w="1200" w:type="dxa"/>
            <w:vAlign w:val="bottom"/>
            <w:tcBorders>
              <w:bottom w:val="single" w:sz="8" w:color="auto"/>
            </w:tcBorders>
          </w:tcPr>
          <w:p>
            <w:pPr>
              <w:jc w:val="center"/>
              <w:spacing w:after="0" w:line="257" w:lineRule="exact"/>
              <w:rPr>
                <w:sz w:val="20"/>
                <w:szCs w:val="20"/>
                <w:color w:val="auto"/>
              </w:rPr>
            </w:pPr>
            <w:r>
              <w:rPr>
                <w:rFonts w:ascii="Times New Roman" w:cs="Times New Roman" w:eastAsia="Times New Roman" w:hAnsi="Times New Roman"/>
                <w:sz w:val="16"/>
                <w:szCs w:val="16"/>
                <w:b w:val="1"/>
                <w:bCs w:val="1"/>
                <w:color w:val="auto"/>
                <w:w w:val="92"/>
              </w:rPr>
              <w:t>Shares</w:t>
            </w:r>
            <w:r>
              <w:rPr>
                <w:rFonts w:ascii="Times New Roman" w:cs="Times New Roman" w:eastAsia="Times New Roman" w:hAnsi="Times New Roman"/>
                <w:sz w:val="27"/>
                <w:szCs w:val="27"/>
                <w:b w:val="1"/>
                <w:bCs w:val="1"/>
                <w:color w:val="auto"/>
                <w:w w:val="92"/>
                <w:vertAlign w:val="superscript"/>
              </w:rPr>
              <w:t>(1)</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Term redemption 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2024</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redemption price per share</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$25.00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 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2016</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30, 2017</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7.50%</w:t>
            </w:r>
          </w:p>
        </w:tc>
        <w:tc>
          <w:tcPr>
            <w:tcW w:w="1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8.13%</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80" w:right="859" w:hanging="318"/>
        <w:spacing w:after="0" w:line="259" w:lineRule="auto"/>
        <w:tabs>
          <w:tab w:leader="none" w:pos="7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14, 2017, OXLC redeemed all of the 2,020,179 Series 2024 Term Preferred Shares issued and outstanding.</w:t>
      </w:r>
    </w:p>
    <w:p>
      <w:pPr>
        <w:spacing w:after="0" w:line="141" w:lineRule="exact"/>
        <w:rPr>
          <w:sz w:val="20"/>
          <w:szCs w:val="20"/>
          <w:color w:val="auto"/>
        </w:rPr>
      </w:pPr>
    </w:p>
    <w:p>
      <w:pPr>
        <w:ind w:left="460" w:right="519" w:firstLine="324"/>
        <w:spacing w:after="0" w:line="261" w:lineRule="auto"/>
        <w:rPr>
          <w:sz w:val="20"/>
          <w:szCs w:val="20"/>
          <w:color w:val="auto"/>
        </w:rPr>
      </w:pPr>
      <w:r>
        <w:rPr>
          <w:rFonts w:ascii="Times New Roman" w:cs="Times New Roman" w:eastAsia="Times New Roman" w:hAnsi="Times New Roman"/>
          <w:sz w:val="18"/>
          <w:szCs w:val="18"/>
          <w:color w:val="auto"/>
        </w:rPr>
        <w:t>The Fund’s Term Preferred Shares had no accrued interest payable at September 30, 2017. Deferred issuance costs represent underwriting fees and other direct costs incurred that are related to the Fund’s Term Preferred Shares. As of September 30, 2017, OXLC had a deferred debt issuance cost balance of approximately $4.3 million related to the Term</w:t>
      </w:r>
    </w:p>
    <w:p>
      <w:pPr>
        <w:sectPr>
          <w:pgSz w:w="11900" w:h="16838" w:orient="portrait"/>
          <w:cols w:equalWidth="0" w:num="1">
            <w:col w:w="9019"/>
          </w:cols>
          <w:pgMar w:left="1440" w:top="333"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MANDATORILY REDEEMABLE PREFERRED STOCK – (continued)</w:t>
      </w:r>
    </w:p>
    <w:p>
      <w:pPr>
        <w:spacing w:after="0" w:line="202" w:lineRule="exact"/>
        <w:rPr>
          <w:sz w:val="20"/>
          <w:szCs w:val="20"/>
          <w:color w:val="auto"/>
        </w:rPr>
      </w:pPr>
    </w:p>
    <w:p>
      <w:pPr>
        <w:ind w:left="460" w:right="659"/>
        <w:spacing w:after="0" w:line="261" w:lineRule="auto"/>
        <w:rPr>
          <w:sz w:val="20"/>
          <w:szCs w:val="20"/>
          <w:color w:val="auto"/>
        </w:rPr>
      </w:pPr>
      <w:r>
        <w:rPr>
          <w:rFonts w:ascii="Times New Roman" w:cs="Times New Roman" w:eastAsia="Times New Roman" w:hAnsi="Times New Roman"/>
          <w:sz w:val="18"/>
          <w:szCs w:val="18"/>
          <w:color w:val="auto"/>
        </w:rPr>
        <w:t>Preferred Share issuances. Aggregate net discount on the Series 2023 Shares at the time of issuance totaled approximately $5.3 million. As of September 30, 2017, OXLC had an unamortized discount balance of approximately $3.3 million. These amounts are being amortized and are included in interest expense on mandatorily redeemable preferred stock in the Statement of Operations over the term of the respective shares.</w:t>
      </w:r>
    </w:p>
    <w:p>
      <w:pPr>
        <w:spacing w:after="0" w:line="140" w:lineRule="exact"/>
        <w:rPr>
          <w:sz w:val="20"/>
          <w:szCs w:val="20"/>
          <w:color w:val="auto"/>
        </w:rPr>
      </w:pPr>
    </w:p>
    <w:p>
      <w:pPr>
        <w:ind w:left="460" w:right="659"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components of interest expense, effective interest rates and cash paid on the Term Preferred Shares for the six months ended September 30, 2017:</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Series 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New</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Series 2023</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Series 2024</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Term Preferred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 Preferred</w:t>
            </w:r>
          </w:p>
        </w:tc>
        <w:tc>
          <w:tcPr>
            <w:tcW w:w="6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 Preferred</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vMerge w:val="restart"/>
          </w:tcPr>
          <w:p>
            <w:pPr>
              <w:jc w:val="center"/>
              <w:ind w:right="200"/>
              <w:spacing w:after="0" w:line="345" w:lineRule="exact"/>
              <w:rPr>
                <w:sz w:val="20"/>
                <w:szCs w:val="20"/>
                <w:color w:val="auto"/>
              </w:rPr>
            </w:pPr>
            <w:r>
              <w:rPr>
                <w:rFonts w:ascii="Times New Roman" w:cs="Times New Roman" w:eastAsia="Times New Roman" w:hAnsi="Times New Roman"/>
                <w:sz w:val="16"/>
                <w:szCs w:val="16"/>
                <w:b w:val="1"/>
                <w:bCs w:val="1"/>
                <w:color w:val="auto"/>
                <w:w w:val="90"/>
              </w:rPr>
              <w:t>Shares</w:t>
            </w:r>
            <w:r>
              <w:rPr>
                <w:rFonts w:ascii="Times New Roman" w:cs="Times New Roman" w:eastAsia="Times New Roman" w:hAnsi="Times New Roman"/>
                <w:sz w:val="40"/>
                <w:szCs w:val="40"/>
                <w:b w:val="1"/>
                <w:bCs w:val="1"/>
                <w:color w:val="auto"/>
                <w:w w:val="90"/>
                <w:vertAlign w:val="superscript"/>
              </w:rPr>
              <w:t>(3)</w:t>
            </w:r>
          </w:p>
        </w:tc>
        <w:tc>
          <w:tcPr>
            <w:tcW w:w="8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Stated interest expense</w:t>
            </w:r>
            <w:r>
              <w:rPr>
                <w:rFonts w:ascii="Times New Roman" w:cs="Times New Roman" w:eastAsia="Times New Roman" w:hAnsi="Times New Roman"/>
                <w:sz w:val="21"/>
                <w:szCs w:val="21"/>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3,390,001</w:t>
            </w:r>
          </w:p>
        </w:tc>
        <w:tc>
          <w:tcPr>
            <w:tcW w:w="2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1,174,249</w:t>
            </w:r>
          </w:p>
        </w:tc>
        <w:tc>
          <w:tcPr>
            <w:tcW w:w="2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1,368,972</w:t>
            </w:r>
          </w:p>
        </w:tc>
        <w:tc>
          <w:tcPr>
            <w:tcW w:w="2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5,933,222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issuance costs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175,175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343,085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expense</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280,273</w:t>
            </w: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280,273</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3,845,449</w:t>
            </w:r>
          </w:p>
        </w:tc>
        <w:tc>
          <w:tcPr>
            <w:tcW w:w="2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1,244,806</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1,466,325</w:t>
            </w:r>
          </w:p>
        </w:tc>
        <w:tc>
          <w:tcPr>
            <w:tcW w:w="22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6,556,580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interest rate</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3,390,001</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1,174,249</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1,368,972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5,933,222</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80" w:right="819" w:hanging="318"/>
        <w:spacing w:after="0" w:line="249" w:lineRule="auto"/>
        <w:tabs>
          <w:tab w:leader="none" w:pos="7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Stated interest is composed of distributions declared and paid of approximately $5.9 million for the six months ended September 30, 2017.</w:t>
      </w:r>
    </w:p>
    <w:p>
      <w:pPr>
        <w:ind w:left="800" w:hanging="338"/>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effective rate for each respective series of Term Preferred Shares.</w:t>
      </w:r>
    </w:p>
    <w:p>
      <w:pPr>
        <w:spacing w:after="0" w:line="9" w:lineRule="exact"/>
        <w:rPr>
          <w:rFonts w:ascii="Times New Roman" w:cs="Times New Roman" w:eastAsia="Times New Roman" w:hAnsi="Times New Roman"/>
          <w:sz w:val="18"/>
          <w:szCs w:val="18"/>
          <w:color w:val="auto"/>
        </w:rPr>
      </w:pPr>
    </w:p>
    <w:p>
      <w:pPr>
        <w:ind w:left="780" w:right="859" w:hanging="318"/>
        <w:spacing w:after="0" w:line="261" w:lineRule="auto"/>
        <w:tabs>
          <w:tab w:leader="none" w:pos="7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14, 2017, OXLC redeemed all of the 2,020,179 Series 2024 Term Preferred Shares issued and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PURCHASES, SALES AND REPAYMENTS OF SECURITIES</w:t>
      </w:r>
    </w:p>
    <w:p>
      <w:pPr>
        <w:spacing w:after="0" w:line="202" w:lineRule="exact"/>
        <w:rPr>
          <w:sz w:val="20"/>
          <w:szCs w:val="20"/>
          <w:color w:val="auto"/>
        </w:rPr>
      </w:pPr>
    </w:p>
    <w:p>
      <w:pPr>
        <w:ind w:left="460" w:right="559" w:firstLine="324"/>
        <w:spacing w:after="0" w:line="258" w:lineRule="auto"/>
        <w:rPr>
          <w:sz w:val="20"/>
          <w:szCs w:val="20"/>
          <w:color w:val="auto"/>
        </w:rPr>
      </w:pPr>
      <w:r>
        <w:rPr>
          <w:rFonts w:ascii="Times New Roman" w:cs="Times New Roman" w:eastAsia="Times New Roman" w:hAnsi="Times New Roman"/>
          <w:sz w:val="18"/>
          <w:szCs w:val="18"/>
          <w:color w:val="auto"/>
        </w:rPr>
        <w:t>Purchases of securities totaled approximately $149.9 million, comprised of approximately $142.2 million of purchases for the six months ended September 30, 2017 and approximately $7.7 million of purchases unsettled as of September 30, 2017. The Fund’s sales and repayments of securities totaled approximately $69.6 million, comprised of approximately $59.6 million of sales and approximately $10.0 million of repayments, excluding short-term investments, for the six months ended September 30, 2017.</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35" w:lineRule="exact"/>
        <w:rPr>
          <w:sz w:val="20"/>
          <w:szCs w:val="20"/>
          <w:color w:val="auto"/>
        </w:rPr>
      </w:pPr>
    </w:p>
    <w:p>
      <w:pPr>
        <w:ind w:left="460" w:right="699"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Fund enters into a variety of undertakings containing a variety of warranties and indemnifications that may expose the Fund to some risk of loss. The risk of future loss arising from such undertakings, while not quantifiable, is expected to be remote.</w:t>
      </w:r>
    </w:p>
    <w:p>
      <w:pPr>
        <w:spacing w:after="0" w:line="82" w:lineRule="exact"/>
        <w:rPr>
          <w:sz w:val="20"/>
          <w:szCs w:val="20"/>
          <w:color w:val="auto"/>
        </w:rPr>
      </w:pPr>
    </w:p>
    <w:p>
      <w:pPr>
        <w:ind w:left="460" w:right="79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2017, the Fund had one commitment to fund an additional $3.0 million of Venture XXX CLO, Ltd. Subordinated Notes.</w:t>
      </w:r>
    </w:p>
    <w:p>
      <w:pPr>
        <w:spacing w:after="0" w:line="81" w:lineRule="exact"/>
        <w:rPr>
          <w:sz w:val="20"/>
          <w:szCs w:val="20"/>
          <w:color w:val="auto"/>
        </w:rPr>
      </w:pPr>
    </w:p>
    <w:p>
      <w:pPr>
        <w:ind w:left="460" w:right="519" w:firstLine="324"/>
        <w:spacing w:after="0" w:line="258" w:lineRule="auto"/>
        <w:rPr>
          <w:sz w:val="20"/>
          <w:szCs w:val="20"/>
          <w:color w:val="auto"/>
        </w:rPr>
      </w:pPr>
      <w:r>
        <w:rPr>
          <w:rFonts w:ascii="Times New Roman" w:cs="Times New Roman" w:eastAsia="Times New Roman" w:hAnsi="Times New Roman"/>
          <w:sz w:val="18"/>
          <w:szCs w:val="18"/>
          <w:color w:val="auto"/>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 of these legal proceedings, if any, cannot be predicted with certainty, the Fund does not expect that these proceedings will have a material effect upon its financial condition or results of operations.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11. INDEMNIFICATION</w:t>
      </w:r>
    </w:p>
    <w:p>
      <w:pPr>
        <w:spacing w:after="0" w:line="189" w:lineRule="exact"/>
        <w:rPr>
          <w:sz w:val="20"/>
          <w:szCs w:val="20"/>
          <w:color w:val="auto"/>
        </w:rPr>
      </w:pPr>
    </w:p>
    <w:p>
      <w:pPr>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Under the Fund’s organizational documents, its officers and directors are indemnified against certain liabilities arising out of the performance of their duties to the Fund. In addition, in the normal course of business the Fund enters into contracts that contain a variety of representations which provide general indemnifications. The Fund’s maximum exposure under these agreements cannot be known, however, the Fund expects any risk of loss to be remote.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FINANCIAL HIGHLIGHTS</w:t>
      </w:r>
    </w:p>
    <w:p>
      <w:pPr>
        <w:spacing w:after="0" w:line="202" w:lineRule="exact"/>
        <w:rPr>
          <w:sz w:val="20"/>
          <w:szCs w:val="20"/>
          <w:color w:val="auto"/>
        </w:rPr>
      </w:pPr>
    </w:p>
    <w:p>
      <w:pPr>
        <w:ind w:left="460" w:right="519" w:firstLine="324"/>
        <w:spacing w:after="0" w:line="282" w:lineRule="auto"/>
        <w:rPr>
          <w:sz w:val="20"/>
          <w:szCs w:val="20"/>
          <w:color w:val="auto"/>
        </w:rPr>
      </w:pPr>
      <w:r>
        <w:rPr>
          <w:rFonts w:ascii="Times New Roman" w:cs="Times New Roman" w:eastAsia="Times New Roman" w:hAnsi="Times New Roman"/>
          <w:sz w:val="18"/>
          <w:szCs w:val="18"/>
          <w:color w:val="auto"/>
        </w:rPr>
        <w:t>Financial highlights for the six months ended September 30, 2017 and for the years ended March 31, 2017, 2016, 2015 and 2014 are as follows:</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Per Share Data</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auto"/>
            </w:tcBorders>
            <w:vMerge w:val="restart"/>
          </w:tcPr>
          <w:p>
            <w:pPr>
              <w:spacing w:after="0"/>
              <w:rPr>
                <w:sz w:val="5"/>
                <w:szCs w:val="5"/>
                <w:color w:val="auto"/>
              </w:rPr>
            </w:pPr>
          </w:p>
        </w:tc>
        <w:tc>
          <w:tcPr>
            <w:tcW w:w="104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asset value at beginning of</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period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4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3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40" w:type="dxa"/>
            <w:vAlign w:val="bottom"/>
            <w:tcBorders>
              <w:top w:val="single" w:sz="8" w:color="CCEEFF"/>
            </w:tcBorders>
            <w:gridSpan w:val="3"/>
            <w:shd w:val="clear" w:color="auto" w:fill="CCEEFF"/>
          </w:tcPr>
          <w:p>
            <w:pPr>
              <w:spacing w:after="0" w:line="270" w:lineRule="exact"/>
              <w:rPr>
                <w:sz w:val="20"/>
                <w:szCs w:val="20"/>
                <w:color w:val="auto"/>
              </w:rPr>
            </w:pPr>
            <w:r>
              <w:rPr>
                <w:rFonts w:ascii="Times New Roman" w:cs="Times New Roman" w:eastAsia="Times New Roman" w:hAnsi="Times New Roman"/>
                <w:sz w:val="16"/>
                <w:szCs w:val="16"/>
                <w:color w:val="auto"/>
              </w:rPr>
              <w:t>Net investment income</w:t>
            </w:r>
            <w:r>
              <w:rPr>
                <w:rFonts w:ascii="Times New Roman" w:cs="Times New Roman" w:eastAsia="Times New Roman" w:hAnsi="Times New Roman"/>
                <w:sz w:val="27"/>
                <w:szCs w:val="27"/>
                <w:color w:val="auto"/>
                <w:vertAlign w:val="superscript"/>
              </w:rPr>
              <w:t>(1)</w:t>
            </w: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4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3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realized and unrealized (losses)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440" w:type="dxa"/>
            <w:vAlign w:val="bottom"/>
            <w:gridSpan w:val="3"/>
          </w:tcPr>
          <w:p>
            <w:pPr>
              <w:ind w:left="160"/>
              <w:spacing w:after="0" w:line="297" w:lineRule="exact"/>
              <w:rPr>
                <w:sz w:val="20"/>
                <w:szCs w:val="20"/>
                <w:color w:val="auto"/>
              </w:rPr>
            </w:pPr>
            <w:r>
              <w:rPr>
                <w:rFonts w:ascii="Times New Roman" w:cs="Times New Roman" w:eastAsia="Times New Roman" w:hAnsi="Times New Roman"/>
                <w:sz w:val="16"/>
                <w:szCs w:val="16"/>
                <w:color w:val="auto"/>
              </w:rPr>
              <w:t>gains</w:t>
            </w:r>
            <w:r>
              <w:rPr>
                <w:rFonts w:ascii="Times New Roman" w:cs="Times New Roman" w:eastAsia="Times New Roman" w:hAnsi="Times New Roman"/>
                <w:sz w:val="27"/>
                <w:szCs w:val="27"/>
                <w:color w:val="auto"/>
                <w:vertAlign w:val="superscript"/>
              </w:rPr>
              <w:t>(2)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(6.28)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from investment operations</w:t>
            </w: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auto"/>
              </w:rPr>
              <w:t>Distributions per share from net</w:t>
            </w: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investment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440" w:type="dxa"/>
            <w:vAlign w:val="bottom"/>
            <w:gridSpan w:val="3"/>
          </w:tcPr>
          <w:p>
            <w:pPr>
              <w:ind w:left="160"/>
              <w:spacing w:after="0" w:line="297" w:lineRule="exact"/>
              <w:rPr>
                <w:sz w:val="20"/>
                <w:szCs w:val="20"/>
                <w:color w:val="auto"/>
              </w:rPr>
            </w:pPr>
            <w:r>
              <w:rPr>
                <w:rFonts w:ascii="Times New Roman" w:cs="Times New Roman" w:eastAsia="Times New Roman" w:hAnsi="Times New Roman"/>
                <w:sz w:val="16"/>
                <w:szCs w:val="16"/>
                <w:color w:val="auto"/>
              </w:rPr>
              <w:t>income</w:t>
            </w:r>
            <w:r>
              <w:rPr>
                <w:rFonts w:ascii="Times New Roman" w:cs="Times New Roman" w:eastAsia="Times New Roman" w:hAnsi="Times New Roman"/>
                <w:sz w:val="27"/>
                <w:szCs w:val="27"/>
                <w:color w:val="auto"/>
                <w:vertAlign w:val="superscript"/>
              </w:rPr>
              <w:t>(3)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per share from realized</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440" w:type="dxa"/>
            <w:vAlign w:val="bottom"/>
            <w:gridSpan w:val="3"/>
            <w:shd w:val="clear" w:color="auto" w:fill="CCEEFF"/>
          </w:tcPr>
          <w:p>
            <w:pPr>
              <w:ind w:left="160"/>
              <w:spacing w:after="0" w:line="297" w:lineRule="exact"/>
              <w:rPr>
                <w:sz w:val="20"/>
                <w:szCs w:val="20"/>
                <w:color w:val="auto"/>
              </w:rPr>
            </w:pPr>
            <w:r>
              <w:rPr>
                <w:rFonts w:ascii="Times New Roman" w:cs="Times New Roman" w:eastAsia="Times New Roman" w:hAnsi="Times New Roman"/>
                <w:sz w:val="16"/>
                <w:szCs w:val="16"/>
                <w:color w:val="auto"/>
              </w:rPr>
              <w:t>gain on investments</w:t>
            </w:r>
            <w:r>
              <w:rPr>
                <w:rFonts w:ascii="Times New Roman" w:cs="Times New Roman" w:eastAsia="Times New Roman" w:hAnsi="Times New Roman"/>
                <w:sz w:val="27"/>
                <w:szCs w:val="27"/>
                <w:color w:val="auto"/>
                <w:vertAlign w:val="superscript"/>
              </w:rPr>
              <w:t>(3)</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(0.14)</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Distributions per share based 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440" w:type="dxa"/>
            <w:vAlign w:val="bottom"/>
            <w:gridSpan w:val="3"/>
          </w:tcPr>
          <w:p>
            <w:pPr>
              <w:ind w:left="160"/>
              <w:spacing w:after="0" w:line="297" w:lineRule="exact"/>
              <w:rPr>
                <w:sz w:val="20"/>
                <w:szCs w:val="20"/>
                <w:color w:val="auto"/>
              </w:rPr>
            </w:pPr>
            <w:r>
              <w:rPr>
                <w:rFonts w:ascii="Times New Roman" w:cs="Times New Roman" w:eastAsia="Times New Roman" w:hAnsi="Times New Roman"/>
                <w:sz w:val="16"/>
                <w:szCs w:val="16"/>
                <w:color w:val="auto"/>
              </w:rPr>
              <w:t>weighted average share impact</w:t>
            </w:r>
            <w:r>
              <w:rPr>
                <w:rFonts w:ascii="Times New Roman" w:cs="Times New Roman" w:eastAsia="Times New Roman" w:hAnsi="Times New Roman"/>
                <w:sz w:val="27"/>
                <w:szCs w:val="27"/>
                <w:color w:val="auto"/>
                <w:vertAlign w:val="superscript"/>
              </w:rPr>
              <w:t>(3)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gridSpan w:val="3"/>
            <w:vMerge w:val="restart"/>
            <w:shd w:val="clear" w:color="auto" w:fill="CCEEFF"/>
          </w:tcPr>
          <w:p>
            <w:pPr>
              <w:spacing w:after="0" w:line="284" w:lineRule="exact"/>
              <w:rPr>
                <w:sz w:val="20"/>
                <w:szCs w:val="20"/>
                <w:color w:val="auto"/>
              </w:rPr>
            </w:pPr>
            <w:r>
              <w:rPr>
                <w:rFonts w:ascii="Times New Roman" w:cs="Times New Roman" w:eastAsia="Times New Roman" w:hAnsi="Times New Roman"/>
                <w:sz w:val="16"/>
                <w:szCs w:val="16"/>
                <w:color w:val="auto"/>
              </w:rPr>
              <w:t>Total distributions</w:t>
            </w:r>
            <w:r>
              <w:rPr>
                <w:rFonts w:ascii="Times New Roman" w:cs="Times New Roman" w:eastAsia="Times New Roman" w:hAnsi="Times New Roman"/>
                <w:sz w:val="27"/>
                <w:szCs w:val="27"/>
                <w:color w:val="auto"/>
                <w:vertAlign w:val="superscript"/>
              </w:rPr>
              <w:t>(3)</w:t>
            </w: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440" w:type="dxa"/>
            <w:vAlign w:val="bottom"/>
            <w:gridSpan w:val="3"/>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gridSpan w:val="3"/>
          </w:tcPr>
          <w:p>
            <w:pPr>
              <w:spacing w:after="0" w:line="170" w:lineRule="exact"/>
              <w:rPr>
                <w:sz w:val="20"/>
                <w:szCs w:val="20"/>
                <w:color w:val="auto"/>
              </w:rPr>
            </w:pPr>
            <w:r>
              <w:rPr>
                <w:rFonts w:ascii="Times New Roman" w:cs="Times New Roman" w:eastAsia="Times New Roman" w:hAnsi="Times New Roman"/>
                <w:sz w:val="16"/>
                <w:szCs w:val="16"/>
                <w:color w:val="auto"/>
              </w:rPr>
              <w:t>Effect of shares issued/repurchased,</w:t>
            </w: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440" w:type="dxa"/>
            <w:vAlign w:val="bottom"/>
            <w:gridSpan w:val="3"/>
          </w:tcPr>
          <w:p>
            <w:pPr>
              <w:ind w:left="160"/>
              <w:spacing w:after="0" w:line="297" w:lineRule="exact"/>
              <w:rPr>
                <w:sz w:val="20"/>
                <w:szCs w:val="20"/>
                <w:color w:val="auto"/>
              </w:rPr>
            </w:pPr>
            <w:r>
              <w:rPr>
                <w:rFonts w:ascii="Times New Roman" w:cs="Times New Roman" w:eastAsia="Times New Roman" w:hAnsi="Times New Roman"/>
                <w:sz w:val="16"/>
                <w:szCs w:val="16"/>
                <w:color w:val="auto"/>
              </w:rPr>
              <w:t>net of underwriting expense</w:t>
            </w:r>
            <w:r>
              <w:rPr>
                <w:rFonts w:ascii="Times New Roman" w:cs="Times New Roman" w:eastAsia="Times New Roman" w:hAnsi="Times New Roman"/>
                <w:sz w:val="27"/>
                <w:szCs w:val="27"/>
                <w:color w:val="auto"/>
                <w:vertAlign w:val="superscript"/>
              </w:rPr>
              <w:t>(4)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40" w:type="dxa"/>
            <w:vAlign w:val="bottom"/>
            <w:gridSpan w:val="3"/>
            <w:shd w:val="clear" w:color="auto" w:fill="CCEEFF"/>
          </w:tcPr>
          <w:p>
            <w:pPr>
              <w:spacing w:after="0" w:line="284" w:lineRule="exact"/>
              <w:rPr>
                <w:sz w:val="20"/>
                <w:szCs w:val="20"/>
                <w:color w:val="auto"/>
              </w:rPr>
            </w:pPr>
            <w:r>
              <w:rPr>
                <w:rFonts w:ascii="Times New Roman" w:cs="Times New Roman" w:eastAsia="Times New Roman" w:hAnsi="Times New Roman"/>
                <w:sz w:val="16"/>
                <w:szCs w:val="16"/>
                <w:color w:val="auto"/>
              </w:rPr>
              <w:t>Effect of offering costs</w:t>
            </w:r>
            <w:r>
              <w:rPr>
                <w:rFonts w:ascii="Times New Roman" w:cs="Times New Roman" w:eastAsia="Times New Roman" w:hAnsi="Times New Roman"/>
                <w:sz w:val="27"/>
                <w:szCs w:val="27"/>
                <w:color w:val="auto"/>
                <w:vertAlign w:val="superscript"/>
              </w:rPr>
              <w:t>(4)</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gridSpan w:val="3"/>
          </w:tcPr>
          <w:p>
            <w:pPr>
              <w:spacing w:after="0" w:line="170" w:lineRule="exact"/>
              <w:rPr>
                <w:sz w:val="20"/>
                <w:szCs w:val="20"/>
                <w:color w:val="auto"/>
              </w:rPr>
            </w:pPr>
            <w:r>
              <w:rPr>
                <w:rFonts w:ascii="Times New Roman" w:cs="Times New Roman" w:eastAsia="Times New Roman" w:hAnsi="Times New Roman"/>
                <w:sz w:val="16"/>
                <w:szCs w:val="16"/>
                <w:color w:val="auto"/>
              </w:rPr>
              <w:t>Effect of shares issued/repurchased,</w:t>
            </w: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440" w:type="dxa"/>
            <w:vAlign w:val="bottom"/>
            <w:tcBorders>
              <w:bottom w:val="single" w:sz="8" w:color="CCEEFF"/>
            </w:tcBorders>
            <w:gridSpan w:val="3"/>
          </w:tcPr>
          <w:p>
            <w:pPr>
              <w:ind w:left="160"/>
              <w:spacing w:after="0" w:line="296" w:lineRule="exact"/>
              <w:rPr>
                <w:sz w:val="20"/>
                <w:szCs w:val="20"/>
                <w:color w:val="auto"/>
              </w:rPr>
            </w:pPr>
            <w:r>
              <w:rPr>
                <w:rFonts w:ascii="Times New Roman" w:cs="Times New Roman" w:eastAsia="Times New Roman" w:hAnsi="Times New Roman"/>
                <w:sz w:val="32"/>
                <w:szCs w:val="32"/>
                <w:color w:val="auto"/>
                <w:vertAlign w:val="subscript"/>
              </w:rPr>
              <w:t>net</w:t>
            </w: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Per share market value at beginning</w:t>
            </w: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of period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3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share market value at end of</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period</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4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40" w:type="dxa"/>
            <w:vAlign w:val="bottom"/>
            <w:gridSpan w:val="3"/>
          </w:tcPr>
          <w:p>
            <w:pPr>
              <w:spacing w:after="0" w:line="284" w:lineRule="exact"/>
              <w:rPr>
                <w:sz w:val="20"/>
                <w:szCs w:val="20"/>
                <w:color w:val="auto"/>
              </w:rPr>
            </w:pPr>
            <w:r>
              <w:rPr>
                <w:rFonts w:ascii="Times New Roman" w:cs="Times New Roman" w:eastAsia="Times New Roman" w:hAnsi="Times New Roman"/>
                <w:sz w:val="16"/>
                <w:szCs w:val="16"/>
                <w:color w:val="auto"/>
              </w:rPr>
              <w:t>Total return</w:t>
            </w:r>
            <w:r>
              <w:rPr>
                <w:rFonts w:ascii="Times New Roman" w:cs="Times New Roman" w:eastAsia="Times New Roman" w:hAnsi="Times New Roman"/>
                <w:sz w:val="27"/>
                <w:szCs w:val="27"/>
                <w:color w:val="auto"/>
                <w:vertAlign w:val="superscript"/>
              </w:rPr>
              <w:t>(5)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66.38%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(28.97)%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outstanding at end of period</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25,212,440</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22,751,432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18,751,696</w:t>
            </w: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15,972,381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15,240,729</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Ratios/Supplemental Data</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auto"/>
            </w:tcBorders>
            <w:vMerge w:val="restart"/>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4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at end of period (000’s)</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244,813</w:t>
            </w:r>
          </w:p>
        </w:tc>
        <w:tc>
          <w:tcPr>
            <w:tcW w:w="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232,048</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131,950</w:t>
            </w: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224,933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247,829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Average net assets (000’s)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235,528</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173,005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185,211</w:t>
            </w:r>
          </w:p>
        </w:tc>
        <w:tc>
          <w:tcPr>
            <w:tcW w:w="3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239,703</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Ratio of net investment income to</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16.02%</w:t>
            </w:r>
            <w:r>
              <w:rPr>
                <w:rFonts w:ascii="Times New Roman" w:cs="Times New Roman" w:eastAsia="Times New Roman" w:hAnsi="Times New Roman"/>
                <w:sz w:val="27"/>
                <w:szCs w:val="27"/>
                <w:color w:val="auto"/>
                <w:vertAlign w:val="superscript"/>
              </w:rPr>
              <w:t>(6)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average daily net assets</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15.57%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8.88%</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Ratio of expenses to average daily</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14.07%</w:t>
            </w:r>
            <w:r>
              <w:rPr>
                <w:rFonts w:ascii="Times New Roman" w:cs="Times New Roman" w:eastAsia="Times New Roman" w:hAnsi="Times New Roman"/>
                <w:sz w:val="27"/>
                <w:szCs w:val="27"/>
                <w:color w:val="auto"/>
                <w:vertAlign w:val="superscript"/>
              </w:rPr>
              <w:t>(6)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net assets</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16.60%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10.58%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Portfolio turnover rate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28.81%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60"/>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ind w:left="800" w:hanging="338"/>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net investment income per share for the period, based upon average shares outstanding.</w:t>
      </w:r>
    </w:p>
    <w:p>
      <w:pPr>
        <w:spacing w:after="0" w:line="9" w:lineRule="exact"/>
        <w:rPr>
          <w:rFonts w:ascii="Times New Roman" w:cs="Times New Roman" w:eastAsia="Times New Roman" w:hAnsi="Times New Roman"/>
          <w:sz w:val="18"/>
          <w:szCs w:val="18"/>
          <w:color w:val="auto"/>
        </w:rPr>
      </w:pPr>
    </w:p>
    <w:p>
      <w:pPr>
        <w:ind w:left="780" w:right="1099" w:hanging="318"/>
        <w:spacing w:after="0" w:line="250" w:lineRule="auto"/>
        <w:tabs>
          <w:tab w:leader="none" w:pos="7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realized and unrealized capital gains and losses based upon average shares outstanding include adjustments to reconcile change in net asset value per share.</w:t>
      </w:r>
    </w:p>
    <w:p>
      <w:pPr>
        <w:ind w:left="780" w:right="739" w:hanging="318"/>
        <w:spacing w:after="0" w:line="254" w:lineRule="auto"/>
        <w:tabs>
          <w:tab w:leader="none" w:pos="8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monitors estimated taxable earnings, including net investment income and realized capital gains, to determine if a tax return of capital may occur for the year. To the extent the Fund’s taxable earnings fall below the total amount of the Fund’s distributions for that fiscal year, a portion of those distributions may be deemed a tax return of</w:t>
      </w:r>
    </w:p>
    <w:p>
      <w:pPr>
        <w:sectPr>
          <w:pgSz w:w="11900" w:h="16838" w:orient="portrait"/>
          <w:cols w:equalWidth="0" w:num="1">
            <w:col w:w="9019"/>
          </w:cols>
          <w:pgMar w:left="1440" w:top="333" w:right="1440" w:bottom="792"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792"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FINANCIAL HIGHLIGHTS – (continued)</w:t>
      </w:r>
    </w:p>
    <w:p>
      <w:pPr>
        <w:spacing w:after="0" w:line="202" w:lineRule="exact"/>
        <w:rPr>
          <w:sz w:val="20"/>
          <w:szCs w:val="20"/>
          <w:color w:val="auto"/>
        </w:rPr>
      </w:pPr>
    </w:p>
    <w:p>
      <w:pPr>
        <w:ind w:left="780" w:right="779"/>
        <w:spacing w:after="0" w:line="261" w:lineRule="auto"/>
        <w:rPr>
          <w:sz w:val="20"/>
          <w:szCs w:val="20"/>
          <w:color w:val="auto"/>
        </w:rPr>
      </w:pPr>
      <w:r>
        <w:rPr>
          <w:rFonts w:ascii="Times New Roman" w:cs="Times New Roman" w:eastAsia="Times New Roman" w:hAnsi="Times New Roman"/>
          <w:sz w:val="18"/>
          <w:szCs w:val="18"/>
          <w:color w:val="auto"/>
        </w:rPr>
        <w:t>capital to the Fund’s stockholders. The final determination of the nature of our distributions can only be made upon the filing of our tax return.</w:t>
      </w:r>
    </w:p>
    <w:p>
      <w:pPr>
        <w:ind w:left="800" w:hanging="338"/>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actual shares outstanding for the period end.</w:t>
      </w:r>
    </w:p>
    <w:p>
      <w:pPr>
        <w:spacing w:after="0" w:line="9" w:lineRule="exact"/>
        <w:rPr>
          <w:rFonts w:ascii="Times New Roman" w:cs="Times New Roman" w:eastAsia="Times New Roman" w:hAnsi="Times New Roman"/>
          <w:sz w:val="18"/>
          <w:szCs w:val="18"/>
          <w:color w:val="auto"/>
        </w:rPr>
      </w:pPr>
    </w:p>
    <w:p>
      <w:pPr>
        <w:ind w:left="780" w:right="479" w:hanging="318"/>
        <w:spacing w:after="0" w:line="250" w:lineRule="auto"/>
        <w:tabs>
          <w:tab w:leader="none" w:pos="7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calculated assuming that shares of the Fund’s common stock were purchased at the market price as of the beginning of the period, and that distribution, capital gains and other distributions were reinvested as provided for in the Fund’s distribution reinvestment plan, excluding any discounts, and that the total number of shares were sold at the closing market price per share on the last day of the period. The computation does not reflect any sales commission investors may incur in purchasing or selling shares of the Fund.</w:t>
      </w:r>
    </w:p>
    <w:p>
      <w:pPr>
        <w:spacing w:after="0" w:line="2" w:lineRule="exact"/>
        <w:rPr>
          <w:rFonts w:ascii="Times New Roman" w:cs="Times New Roman" w:eastAsia="Times New Roman" w:hAnsi="Times New Roman"/>
          <w:sz w:val="18"/>
          <w:szCs w:val="18"/>
          <w:color w:val="auto"/>
        </w:rPr>
      </w:pPr>
    </w:p>
    <w:p>
      <w:pPr>
        <w:ind w:left="780" w:hanging="318"/>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RISKS AND UNCERTAINTIES</w:t>
      </w:r>
    </w:p>
    <w:p>
      <w:pPr>
        <w:spacing w:after="0" w:line="189" w:lineRule="exact"/>
        <w:rPr>
          <w:sz w:val="20"/>
          <w:szCs w:val="20"/>
          <w:color w:val="auto"/>
        </w:rPr>
      </w:pPr>
    </w:p>
    <w:p>
      <w:pPr>
        <w:ind w:left="460" w:right="499" w:firstLine="324"/>
        <w:spacing w:after="0" w:line="255" w:lineRule="auto"/>
        <w:rPr>
          <w:sz w:val="20"/>
          <w:szCs w:val="20"/>
          <w:color w:val="auto"/>
        </w:rPr>
      </w:pPr>
      <w:r>
        <w:rPr>
          <w:rFonts w:ascii="Times New Roman" w:cs="Times New Roman" w:eastAsia="Times New Roman" w:hAnsi="Times New Roman"/>
          <w:sz w:val="18"/>
          <w:szCs w:val="18"/>
          <w:color w:val="auto"/>
        </w:rPr>
        <w:t>The U.S. capital markets have experienced periods of volatility and disruption. Disruptions in the capital markets tend to increase the spread between the yields realized on risk-free and higher risk securities, resulting in illiquidity in parts of the capital markets. The Fund believes these conditions may reoccur in the future. A prolonged period of market illiquidity may have an adverse effect on the Fund’s business, financial condition and results of operations. Adverse economic conditions could also limit the Fund’s access to the capital markets or result in a decision by lenders not to extend credit to the Fund. These events could limit the Fund’s investment purchases, limit the Fund’s ability to grow and negatively impact the Fund’s operating results.</w:t>
      </w:r>
    </w:p>
    <w:p>
      <w:pPr>
        <w:spacing w:after="0" w:line="149" w:lineRule="exact"/>
        <w:rPr>
          <w:sz w:val="20"/>
          <w:szCs w:val="20"/>
          <w:color w:val="auto"/>
        </w:rPr>
      </w:pPr>
    </w:p>
    <w:p>
      <w:pPr>
        <w:ind w:left="460" w:right="479" w:firstLine="324"/>
        <w:spacing w:after="0" w:line="252" w:lineRule="auto"/>
        <w:rPr>
          <w:sz w:val="20"/>
          <w:szCs w:val="20"/>
          <w:color w:val="auto"/>
        </w:rPr>
      </w:pPr>
      <w:r>
        <w:rPr>
          <w:rFonts w:ascii="Times New Roman" w:cs="Times New Roman" w:eastAsia="Times New Roman" w:hAnsi="Times New Roman"/>
          <w:sz w:val="18"/>
          <w:szCs w:val="18"/>
          <w:color w:val="auto"/>
        </w:rPr>
        <w:t>OXLC Management’s investment team also presently manages the portfolios of TICC Capital Corp., a publicly-traded business development company that invests principally in the debt of U.S.-based companies, and TICC CLO 2012-1 LLC, a direct subsidiary of TICC Capital Corp., the assets of which are consolidated into the gross assets of TICC Capital Corp. Additionally, the OXLC Management’s investment team manages the portfolio of Oxford Bridge, LLC, a limited liability company that invests principally in the equity of CLOs. In certain instances, the Fund may co-invest on a concurrent basis with affiliates of its investment adviser, subject to compliance with applicable regulations and regulatory guidance and our written allocation policies. On June 14, 2017, the Securities and Exchange Commission issued an order permitting us and certain of our affiliates to complete negotiated co-investment transactions in portfolio companies, subject to certain conditions (the “Order”). Subject to satisfaction of certain conditions to the Order, we and certain of our affiliates are now permitted, together with any future business development companies, registered closed-end funds and certain private funds, each of whose investment adviser is our investment adviser or an investment adviser controlling, controlled by, or under common control with our investment adviser, to co-invest in negotiated investment opportunities where doing so would otherwise be prohibited under the 1940 Act, providing our stockholders with access to a broader array of investment opportunities.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62" w:lineRule="exact"/>
        <w:rPr>
          <w:sz w:val="20"/>
          <w:szCs w:val="20"/>
          <w:color w:val="auto"/>
        </w:rPr>
      </w:pPr>
    </w:p>
    <w:p>
      <w:pPr>
        <w:ind w:left="460" w:right="499" w:firstLine="324"/>
        <w:spacing w:after="0" w:line="254" w:lineRule="auto"/>
        <w:rPr>
          <w:sz w:val="20"/>
          <w:szCs w:val="20"/>
          <w:color w:val="auto"/>
        </w:rPr>
      </w:pPr>
      <w:r>
        <w:rPr>
          <w:rFonts w:ascii="Times New Roman" w:cs="Times New Roman" w:eastAsia="Times New Roman" w:hAnsi="Times New Roman"/>
          <w:sz w:val="18"/>
          <w:szCs w:val="18"/>
          <w:color w:val="auto"/>
        </w:rPr>
        <w:t>Given the structure of the Fund’s Investment Advisory Agreement with OXLC Management, any general increase in interest rates will likely have the effect of making it easier for OXLC Management to meet the quarterly hurdle rate for payment of net investment income incentive fees under the Investment Advisory Agreement without any additional increase in relative performance on the part of the Fund’s investment adviser. In addition, in view of the catch-up provision applicable to income incentive fees under the Investment Advisory Agreement, OXLC Management could potentially receive a significant portion of the increase in the Fund’s investment income attributable to such a general increase in interest rates. If that were to occur, the Fund’s increase in net earnings, if any, would likely be significantly smaller than the relative increase in OXLC Management’s net investment income incentive fee resulting from such a general increase in interest rates.</w:t>
      </w:r>
    </w:p>
    <w:p>
      <w:pPr>
        <w:spacing w:after="0" w:line="149" w:lineRule="exact"/>
        <w:rPr>
          <w:sz w:val="20"/>
          <w:szCs w:val="20"/>
          <w:color w:val="auto"/>
        </w:rPr>
      </w:pPr>
    </w:p>
    <w:p>
      <w:pPr>
        <w:ind w:left="460" w:right="579" w:firstLine="324"/>
        <w:spacing w:after="0" w:line="256" w:lineRule="auto"/>
        <w:rPr>
          <w:sz w:val="20"/>
          <w:szCs w:val="20"/>
          <w:color w:val="auto"/>
        </w:rPr>
      </w:pPr>
      <w:r>
        <w:rPr>
          <w:rFonts w:ascii="Times New Roman" w:cs="Times New Roman" w:eastAsia="Times New Roman" w:hAnsi="Times New Roman"/>
          <w:sz w:val="18"/>
          <w:szCs w:val="18"/>
          <w:color w:val="auto"/>
        </w:rPr>
        <w:t>The Fund’s portfolio consists of equity and junior debt investments in CLO vehicles, which involve a number of significant risks. CLO vehicles are typically highly levered, and therefore the junior debt and equity tranches that the Fund invests in are subject to a higher degree of risk of total loss. As of September 30, 2017, the CLO vehicles in which the Fund was invested had average leverage of 10.6 times and ranged from approximately 7.1 times to 12.7 times levered. In particular, investors in CLO vehicles indirectly bear risks of the underlying debt investments held by such CLO vehicles.</w:t>
      </w:r>
    </w:p>
    <w:p>
      <w:pPr>
        <w:sectPr>
          <w:pgSz w:w="11900" w:h="16838" w:orient="portrait"/>
          <w:cols w:equalWidth="0" w:num="1">
            <w:col w:w="9019"/>
          </w:cols>
          <w:pgMar w:left="1440" w:top="333" w:right="1440" w:bottom="1076"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076"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RISKS AND UNCERTAINTIES – (continued)</w:t>
      </w:r>
    </w:p>
    <w:p>
      <w:pPr>
        <w:spacing w:after="0" w:line="202" w:lineRule="exact"/>
        <w:rPr>
          <w:sz w:val="20"/>
          <w:szCs w:val="20"/>
          <w:color w:val="auto"/>
        </w:rPr>
      </w:pPr>
    </w:p>
    <w:p>
      <w:pPr>
        <w:ind w:left="460" w:right="459" w:firstLine="324"/>
        <w:spacing w:after="0" w:line="252" w:lineRule="auto"/>
        <w:rPr>
          <w:sz w:val="20"/>
          <w:szCs w:val="20"/>
          <w:color w:val="auto"/>
        </w:rPr>
      </w:pPr>
      <w:r>
        <w:rPr>
          <w:rFonts w:ascii="Times New Roman" w:cs="Times New Roman" w:eastAsia="Times New Roman" w:hAnsi="Times New Roman"/>
          <w:sz w:val="18"/>
          <w:szCs w:val="18"/>
          <w:color w:val="auto"/>
        </w:rPr>
        <w:t>The Fund generally has the right to receive payments only from the CLO vehicles, and generally does not have direct rights against the underlying borrowers or the entity that sponsored the CLO vehicle. While the CLO vehicles the Fund targets generally enable the investor to acquire interests in a pool of senior loans without the expenses associated with directly holding the same investments, the Fund generally pays a proportionate share of the CLO vehicles’ administrative and other expenses. Although it is difficult to predict whether the prices of indices and securities underlying CLO vehicles will rise or fall, these prices (and, therefore, the prices of the CLO vehicles) will be influenced by the same types of political and economic events that affect issuers of securities and capital markets generally. The failure by a CLO vehicle in which we invest to satisfy certain financial covenants, including with respect to adequate collateralization and/or interest coverage tests, could lead to a reduction in its payments to us. In the event that a CLO vehicle fails certain tests, holders of debt senior to us may be entitled to additional payments that would, in turn, reduce the payments we would otherwise be entitled to receive. Separately, OXLC may incur expenses to the extent necessary to seek recovery upon default or to negotiate new terms with a defaulting CLO vehicle or any other investment we may make. If any of these occur, it could materially and adversely affect the Fund’s operating results and cash flows.</w:t>
      </w:r>
    </w:p>
    <w:p>
      <w:pPr>
        <w:spacing w:after="0" w:line="158" w:lineRule="exact"/>
        <w:rPr>
          <w:sz w:val="20"/>
          <w:szCs w:val="20"/>
          <w:color w:val="auto"/>
        </w:rPr>
      </w:pPr>
    </w:p>
    <w:p>
      <w:pPr>
        <w:ind w:left="460" w:right="459" w:firstLine="324"/>
        <w:spacing w:after="0" w:line="253" w:lineRule="auto"/>
        <w:rPr>
          <w:sz w:val="20"/>
          <w:szCs w:val="20"/>
          <w:color w:val="auto"/>
        </w:rPr>
      </w:pPr>
      <w:r>
        <w:rPr>
          <w:rFonts w:ascii="Times New Roman" w:cs="Times New Roman" w:eastAsia="Times New Roman" w:hAnsi="Times New Roman"/>
          <w:sz w:val="18"/>
          <w:szCs w:val="18"/>
          <w:color w:val="auto"/>
        </w:rPr>
        <w:t>The interests the Fund has acquired in CLO vehicles are generally thinly traded or have only a limited trading market. CLO vehicles are typically privately offered and sold, even in the secondary market. As a result, investments in CLO vehicles may be characterized as illiquid securities. In addition to the general risks associated with investing in debt securities, CLO vehicles carry additional risks, including, but not limited to: (i) the possibility that distributions from collateral securities will not be adequate to make interest or other payments; (ii) the quality of the collateral may decline in value or default; (iii) the fact that the Fund’s investments in CLO tranches will likely be subordinate to other senior classes of note tranches thereof; and (iv) the complex structure of the security may not be fully understood at the time of investment and may produce disputes with the CLO vehicle or unexpected investment results. The Fund’s net asset value may also decline over time if the Fund’s principal recovery with respect to CLO equity investments is less than the price that the Fund paid for those investments.</w:t>
      </w:r>
    </w:p>
    <w:p>
      <w:pPr>
        <w:spacing w:after="0" w:line="152" w:lineRule="exact"/>
        <w:rPr>
          <w:sz w:val="20"/>
          <w:szCs w:val="20"/>
          <w:color w:val="auto"/>
        </w:rPr>
      </w:pPr>
    </w:p>
    <w:p>
      <w:pPr>
        <w:ind w:left="460" w:right="479" w:firstLine="324"/>
        <w:spacing w:after="0" w:line="252" w:lineRule="auto"/>
        <w:rPr>
          <w:sz w:val="20"/>
          <w:szCs w:val="20"/>
          <w:color w:val="auto"/>
        </w:rPr>
      </w:pPr>
      <w:r>
        <w:rPr>
          <w:rFonts w:ascii="Times New Roman" w:cs="Times New Roman" w:eastAsia="Times New Roman" w:hAnsi="Times New Roman"/>
          <w:sz w:val="18"/>
          <w:szCs w:val="18"/>
          <w:color w:val="auto"/>
        </w:rPr>
        <w:t>Section 941 of the Dodd-Frank Wall Street Reform and Consumer Protection Act added a provision to the Securities Exchange Act of 1934, as amended, requiring the seller, sponsor or securitizer of a securitization vehicle to retain no less than five percent of the credit risk in assets it sells into a securitization and prohibiting such securitizer from directly or indirectly hedging or otherwise transferring the retained credit risk. The responsible federal agencies adopted final rules implementing these restrictions on October 22, 2014. The risk retention rules became effective with respect to CLOs two years after publication in the Federal Register. Under the final rules, the asset manager of a CLO is considered the sponsor of a securitization vehicle and is required to retain five percent of the credit risk in the CLO, which may be retained horizontally in the equity tranche of the CLO or vertically as a five percent interest in each tranche of the securities issued by the CLO. Although the final rules contain an exemption from such requirements for the asset manager of a CLO if, among other things, the originator or lead arranger of all of the loans acquired by the CLO retain such risk at the asset level and, at origination of such asset, takes a loan tranche of at least 20% of the aggregate principal balance, it is possible that the originators and lead arrangers of loans in this market will not agree to assume this risk or provide such retention at origination of the asset in a manner that would provide meaningful relief from the risk retention requirements for CLO managers.</w:t>
      </w:r>
    </w:p>
    <w:p>
      <w:pPr>
        <w:spacing w:after="0" w:line="170" w:lineRule="exact"/>
        <w:rPr>
          <w:sz w:val="20"/>
          <w:szCs w:val="20"/>
          <w:color w:val="auto"/>
        </w:rPr>
      </w:pPr>
    </w:p>
    <w:p>
      <w:pPr>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The Fund believes that the U.S. risk retention requirements imposed for CLO managers under Section 941 of the Dodd-Frank Wall Street Reform and Consumer Protection Act has created some uncertainty in the market in regard to future CLO issuance. Given that certain CLO managers may require capital provider partners to satisfy this requirement, the Fund believes that this may create additional opportunities (and additional risks) for the Fund in the future.</w:t>
      </w:r>
    </w:p>
    <w:p>
      <w:pPr>
        <w:spacing w:after="0" w:line="143" w:lineRule="exact"/>
        <w:rPr>
          <w:sz w:val="20"/>
          <w:szCs w:val="20"/>
          <w:color w:val="auto"/>
        </w:rPr>
      </w:pPr>
    </w:p>
    <w:p>
      <w:pPr>
        <w:ind w:left="460" w:right="599" w:firstLine="324"/>
        <w:spacing w:after="0" w:line="261" w:lineRule="auto"/>
        <w:rPr>
          <w:sz w:val="20"/>
          <w:szCs w:val="20"/>
          <w:color w:val="auto"/>
        </w:rPr>
      </w:pPr>
      <w:r>
        <w:rPr>
          <w:rFonts w:ascii="Times New Roman" w:cs="Times New Roman" w:eastAsia="Times New Roman" w:hAnsi="Times New Roman"/>
          <w:sz w:val="18"/>
          <w:szCs w:val="18"/>
          <w:color w:val="auto"/>
        </w:rPr>
        <w:t>Further, to the extent income from the Fund’s CLO equity investments (which the Fund expects to decline as those vehicles deleverage after the end of their respective reinvestment periods) declines or if the Fund transitions its portfolio into lower yielding investments, the Fund’s ability to pay future distributions may be harmed.</w:t>
      </w:r>
    </w:p>
    <w:p>
      <w:pPr>
        <w:sectPr>
          <w:pgSz w:w="11900" w:h="16838" w:orient="portrait"/>
          <w:cols w:equalWidth="0" w:num="1">
            <w:col w:w="9019"/>
          </w:cols>
          <w:pgMar w:left="1440" w:top="333"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RISKS AND UNCERTAINTIES – (continued)</w:t>
      </w:r>
    </w:p>
    <w:p>
      <w:pPr>
        <w:spacing w:after="0" w:line="202" w:lineRule="exact"/>
        <w:rPr>
          <w:sz w:val="20"/>
          <w:szCs w:val="20"/>
          <w:color w:val="auto"/>
        </w:rPr>
      </w:pPr>
    </w:p>
    <w:p>
      <w:pPr>
        <w:jc w:val="both"/>
        <w:ind w:left="460" w:right="619" w:firstLine="324"/>
        <w:spacing w:after="0" w:line="266" w:lineRule="auto"/>
        <w:rPr>
          <w:sz w:val="20"/>
          <w:szCs w:val="20"/>
          <w:color w:val="auto"/>
        </w:rPr>
      </w:pPr>
      <w:r>
        <w:rPr>
          <w:rFonts w:ascii="Times New Roman" w:cs="Times New Roman" w:eastAsia="Times New Roman" w:hAnsi="Times New Roman"/>
          <w:sz w:val="18"/>
          <w:szCs w:val="18"/>
          <w:color w:val="auto"/>
        </w:rPr>
        <w:t>An increase in LIBOR would materially increase the CLO vehicles’ financing costs. However, since most of the collateral positions within the CLO investments have LIBOR floors below LIBOR currently, there may be corresponding increases in investment income with an increase in LIBOR.</w:t>
      </w:r>
    </w:p>
    <w:p>
      <w:pPr>
        <w:spacing w:after="0" w:line="136" w:lineRule="exact"/>
        <w:rPr>
          <w:sz w:val="20"/>
          <w:szCs w:val="20"/>
          <w:color w:val="auto"/>
        </w:rPr>
      </w:pPr>
    </w:p>
    <w:p>
      <w:pPr>
        <w:ind w:left="460" w:right="499" w:firstLine="324"/>
        <w:spacing w:after="0" w:line="255" w:lineRule="auto"/>
        <w:rPr>
          <w:sz w:val="20"/>
          <w:szCs w:val="20"/>
          <w:color w:val="auto"/>
        </w:rPr>
      </w:pPr>
      <w:r>
        <w:rPr>
          <w:rFonts w:ascii="Times New Roman" w:cs="Times New Roman" w:eastAsia="Times New Roman" w:hAnsi="Times New Roman"/>
          <w:sz w:val="18"/>
          <w:szCs w:val="18"/>
          <w:color w:val="auto"/>
        </w:rPr>
        <w:t>OXLC Management anticipates that the CLO vehicles in which the Fund invests may constitute “passive foreign investment companies” (“PFICs”). If the Fund acquires shares in a PFIC (including equity tranche investments in CLO vehicles that are PFICs), the Fund may be subject to federal income tax on a portion of any “excess distribution” or gain from the disposition of such shares even if such income is distributed as a taxable dividend by the Fund to its stockholders. Certain elections may be available to mitigate or eliminate such tax on excess distributions, but such elections (if available) will generally require the Fund to recognize its share of the PFIC’s income for each year regardless of whether the Fund receives any distributions from such PFIC. The Fund must nonetheless distribute such income to maintain its tax treatment as a RIC.</w:t>
      </w:r>
    </w:p>
    <w:p>
      <w:pPr>
        <w:spacing w:after="0" w:line="145" w:lineRule="exact"/>
        <w:rPr>
          <w:sz w:val="20"/>
          <w:szCs w:val="20"/>
          <w:color w:val="auto"/>
        </w:rPr>
      </w:pPr>
    </w:p>
    <w:p>
      <w:pPr>
        <w:ind w:left="460" w:right="479" w:firstLine="324"/>
        <w:spacing w:after="0" w:line="255" w:lineRule="auto"/>
        <w:rPr>
          <w:sz w:val="20"/>
          <w:szCs w:val="20"/>
          <w:color w:val="auto"/>
        </w:rPr>
      </w:pPr>
      <w:r>
        <w:rPr>
          <w:rFonts w:ascii="Times New Roman" w:cs="Times New Roman" w:eastAsia="Times New Roman" w:hAnsi="Times New Roman"/>
          <w:sz w:val="18"/>
          <w:szCs w:val="18"/>
          <w:color w:val="auto"/>
        </w:rPr>
        <w:t>If the Fund holds more than 10% of the shares in a foreign corporation that is treated as a controlled foreign corporation (“CFC”) (including equity tranche investments in a CLO vehicle treated as a CFC), the Fund may be treated as receiving a deemed distribution (taxable as ordinary income) each year from such foreign corporation in an amount equal to the Fund’s pro rata share of the corporation’s income for the tax year (including both ordinary earnings and capital gains). If the Fund is required to include such deemed distributions from a CFC in the Fund’s income, it will be required to distribute such income to maintain its RIC tax treatment regardless of whether or not the CFC makes an actual distribution during such year.</w:t>
      </w:r>
    </w:p>
    <w:p>
      <w:pPr>
        <w:spacing w:after="0" w:line="162" w:lineRule="exact"/>
        <w:rPr>
          <w:sz w:val="20"/>
          <w:szCs w:val="20"/>
          <w:color w:val="auto"/>
        </w:rPr>
      </w:pPr>
    </w:p>
    <w:p>
      <w:pPr>
        <w:ind w:left="460" w:right="459" w:firstLine="324"/>
        <w:spacing w:after="0" w:line="252" w:lineRule="auto"/>
        <w:rPr>
          <w:sz w:val="20"/>
          <w:szCs w:val="20"/>
          <w:color w:val="auto"/>
        </w:rPr>
      </w:pPr>
      <w:r>
        <w:rPr>
          <w:rFonts w:ascii="Times New Roman" w:cs="Times New Roman" w:eastAsia="Times New Roman" w:hAnsi="Times New Roman"/>
          <w:sz w:val="18"/>
          <w:szCs w:val="18"/>
          <w:color w:val="auto"/>
        </w:rPr>
        <w:t>We may be required to include in our income our proportionate share of the income of certain CLO investments to the extent that such CLOs are PFICs for which we have made a qualifying electing fund (“QEF”) election or are CFCs. To qualify as a RIC, we must, among other thing, derive in each taxable year at least 90% of our gross income from certain sources specified in the Code (the “90% Income Test”). Although the Code generally provides that the income inclusions from a QEF or a CFC will be “good income” for purposes of this 90% Income Test to the extent that the QEF or the CFC distributes such income to us in the same taxable year to which the income is included in our income, the Code does not specifically provide whether these income inclusions would be “good income” for this 90% Income Test if we do not receive distributions from the QEF or CFC during such taxable year. The IRS has issued a series of private rulings in which it has concluded that all income inclusions from a QEF or a CFC included in a RIC’s gross income would constitute “good income” for purposes of the 90% Income Test. Such rulings are not binding on the IRS except with respect to the taxpayers to whom such rulings were issued. Accordingly, under current law, we believe that the income inclusions from a CLO that is a QEF or a CFC would be “good income” for purposes of the 90% Income Test. On September 28, 2016, the IRS and U.S. Treasury Department issued proposed regulations that provide that the income inclusions from a QEF or a CFC would not be good income for purposes of the 90% Income Test unless the Fund receives a cash distribution from such entity in the same year attributable to the included income. If such income were not considered “good income” for purposes of the 90% Income Test, the Fund may fail to qualify as a RIC. If these regulations are finalized, the Fund will carefully monitor our investments in CLOs to avoid disqualification as a RIC.</w:t>
      </w:r>
    </w:p>
    <w:p>
      <w:pPr>
        <w:spacing w:after="0" w:line="152" w:lineRule="exact"/>
        <w:rPr>
          <w:sz w:val="20"/>
          <w:szCs w:val="20"/>
          <w:color w:val="auto"/>
        </w:rPr>
      </w:pPr>
    </w:p>
    <w:p>
      <w:pPr>
        <w:ind w:left="460" w:right="479" w:firstLine="324"/>
        <w:spacing w:after="0" w:line="256" w:lineRule="auto"/>
        <w:rPr>
          <w:sz w:val="20"/>
          <w:szCs w:val="20"/>
          <w:color w:val="auto"/>
        </w:rPr>
      </w:pPr>
      <w:r>
        <w:rPr>
          <w:rFonts w:ascii="Times New Roman" w:cs="Times New Roman" w:eastAsia="Times New Roman" w:hAnsi="Times New Roman"/>
          <w:sz w:val="18"/>
          <w:szCs w:val="18"/>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(“IGA”) with the United States to collect and share such information and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13. RISKS AND UNCERTAINTIES – (continued)</w:t>
      </w:r>
    </w:p>
    <w:p>
      <w:pPr>
        <w:spacing w:after="0" w:line="202" w:lineRule="exact"/>
        <w:rPr>
          <w:sz w:val="20"/>
          <w:szCs w:val="20"/>
          <w:color w:val="auto"/>
        </w:rPr>
      </w:pPr>
    </w:p>
    <w:p>
      <w:pPr>
        <w:ind w:left="460" w:right="599"/>
        <w:spacing w:after="0" w:line="266" w:lineRule="auto"/>
        <w:rPr>
          <w:sz w:val="20"/>
          <w:szCs w:val="20"/>
          <w:color w:val="auto"/>
        </w:rPr>
      </w:pPr>
      <w:r>
        <w:rPr>
          <w:rFonts w:ascii="Times New Roman" w:cs="Times New Roman" w:eastAsia="Times New Roman" w:hAnsi="Times New Roman"/>
          <w:sz w:val="18"/>
          <w:szCs w:val="18"/>
          <w:color w:val="auto"/>
        </w:rPr>
        <w:t>are in compliance with the terms of such IGA and any enabling legislation or regulations. The types of income subject to the tax include U.S. source interest and dividends, and the gross proceeds from the sale of any property that could produce U.S.-source interest or dividends received after December 31, 2018.</w:t>
      </w:r>
    </w:p>
    <w:p>
      <w:pPr>
        <w:spacing w:after="0" w:line="136" w:lineRule="exact"/>
        <w:rPr>
          <w:sz w:val="20"/>
          <w:szCs w:val="20"/>
          <w:color w:val="auto"/>
        </w:rPr>
      </w:pPr>
    </w:p>
    <w:p>
      <w:pPr>
        <w:ind w:left="460" w:right="519" w:firstLine="324"/>
        <w:spacing w:after="0" w:line="258" w:lineRule="auto"/>
        <w:rPr>
          <w:sz w:val="20"/>
          <w:szCs w:val="20"/>
          <w:color w:val="auto"/>
        </w:rPr>
      </w:pPr>
      <w:r>
        <w:rPr>
          <w:rFonts w:ascii="Times New Roman" w:cs="Times New Roman" w:eastAsia="Times New Roman" w:hAnsi="Times New Roman"/>
          <w:sz w:val="18"/>
          <w:szCs w:val="18"/>
          <w:color w:val="auto"/>
        </w:rPr>
        <w:t>Most CLO vehicles in which OXLC invests will be treated as non-U.S. financial entities for this purpose, and therefore will be required to comply with these reporting requirements to avoid the 30% withholding tax. If a CLO vehicle in which OXLC invests fails to properly comply with these reporting requirements, it could reduce the amounts available to distribute to equity and junior debt holders in such CLO vehicle, which could materially and adversely affect OXLC’s operating results and cash flows.</w:t>
      </w:r>
    </w:p>
    <w:p>
      <w:pPr>
        <w:spacing w:after="0" w:line="170" w:lineRule="exact"/>
        <w:rPr>
          <w:sz w:val="20"/>
          <w:szCs w:val="20"/>
          <w:color w:val="auto"/>
        </w:rPr>
      </w:pPr>
    </w:p>
    <w:p>
      <w:pPr>
        <w:ind w:left="460" w:right="459" w:firstLine="324"/>
        <w:spacing w:after="0" w:line="256" w:lineRule="auto"/>
        <w:rPr>
          <w:sz w:val="20"/>
          <w:szCs w:val="20"/>
          <w:color w:val="auto"/>
        </w:rPr>
      </w:pPr>
      <w:r>
        <w:rPr>
          <w:rFonts w:ascii="Times New Roman" w:cs="Times New Roman" w:eastAsia="Times New Roman" w:hAnsi="Times New Roman"/>
          <w:sz w:val="18"/>
          <w:szCs w:val="18"/>
          <w:color w:val="auto"/>
        </w:rPr>
        <w:t>If the Fund is required to include amounts in income prior to receiving distributions representing such income, the Fund may have to sell some of its investments at times and/or at prices management would not consider advantageous, raise additional debt or equity capital or forgo new investment opportunities. If the Fund is not able to obtain cash from other sources, it may fail to qualify for RIC tax treatment and thus become subject to corporate-level income tax. For additional discussion regarding the tax implications of a RIC, see “Note 3. Summary of Significant Accounting Policies — U.S. Federal Income Taxes.”</w:t>
      </w:r>
    </w:p>
    <w:p>
      <w:pPr>
        <w:spacing w:after="0" w:line="161" w:lineRule="exact"/>
        <w:rPr>
          <w:sz w:val="20"/>
          <w:szCs w:val="20"/>
          <w:color w:val="auto"/>
        </w:rPr>
      </w:pPr>
    </w:p>
    <w:p>
      <w:pPr>
        <w:ind w:left="460" w:right="499" w:firstLine="324"/>
        <w:spacing w:after="0" w:line="255" w:lineRule="auto"/>
        <w:rPr>
          <w:sz w:val="20"/>
          <w:szCs w:val="20"/>
          <w:color w:val="auto"/>
        </w:rPr>
      </w:pPr>
      <w:r>
        <w:rPr>
          <w:rFonts w:ascii="Times New Roman" w:cs="Times New Roman" w:eastAsia="Times New Roman" w:hAnsi="Times New Roman"/>
          <w:sz w:val="18"/>
          <w:szCs w:val="18"/>
          <w:color w:val="auto"/>
        </w:rPr>
        <w:t>The Fund’s Series 2023 Shares and New Series 2024 Shares pay dividends at a fixed dividend rate. Prices of fixed income investments vary inversely with changes in market yields. The market yields on securities comparable to the Series 2023 Shares and New Series 2024 Shares may increase, which would likely result in a decline in the secondary market price of such shares prior to the term redemption date. The Fund may be unable to pay dividends on the Series 2023 Shares and New Series 2024 Shares under some circumstances. The terms of any future indebtedness OXLC may incur could preclude the payment of dividends in respect of equity securities, including such shares, under certain conditions.</w:t>
      </w:r>
    </w:p>
    <w:p>
      <w:pPr>
        <w:spacing w:after="0" w:line="176" w:lineRule="exact"/>
        <w:rPr>
          <w:sz w:val="20"/>
          <w:szCs w:val="20"/>
          <w:color w:val="auto"/>
        </w:rPr>
      </w:pPr>
    </w:p>
    <w:p>
      <w:pPr>
        <w:ind w:left="460" w:right="519" w:firstLine="324"/>
        <w:spacing w:after="0" w:line="252" w:lineRule="auto"/>
        <w:rPr>
          <w:sz w:val="20"/>
          <w:szCs w:val="20"/>
          <w:color w:val="auto"/>
        </w:rPr>
      </w:pPr>
      <w:r>
        <w:rPr>
          <w:rFonts w:ascii="Times New Roman" w:cs="Times New Roman" w:eastAsia="Times New Roman" w:hAnsi="Times New Roman"/>
          <w:sz w:val="18"/>
          <w:szCs w:val="18"/>
          <w:color w:val="auto"/>
        </w:rPr>
        <w:t>As a registered closed-end investment company, OXLC is required to comply with the asset coverage requirements of the 1940 Act and the Articles Supplementary governing OXLC’s Preferred Stock. Under the 1940 Act, the Fund may not issue additional Preferred Stock if immediately after such issuance the Fund will not have an asset coverage of at least 200% (defined as the ratio of the Fund’s gross assets (less all liabilities and indebtedness not represented by senior securities) to its outstanding senior securities representing indebtedness, plus the aggregate involuntary liquidation preference of OXLC’s outstanding Preferred Stock). In addition, the Articles Supplementary governing OXLC’s Term Preferred Shares require that the Fund have an asset coverage of at least 200% as of the end of each fiscal quarter. If the asset coverage is not at least 200% as of such measurement dates, OXLC may not be able to incur additional debt or issue additional shares of Preferred Stock and could be forced to sell a portion of its investments to repurchase or redeem some shares of Preferred Stock when it is disadvantageous to do so, which could have a material adverse effect on the Fund’s operations. Further, OXLC may be restricted from making distributions to holders of the Fund’s common stock if the Fund does not have asset coverage of at least 200%. See “Note 8. Mandatorily Redeemable Preferred Stock.”</w:t>
      </w:r>
    </w:p>
    <w:p>
      <w:pPr>
        <w:spacing w:after="0" w:line="185" w:lineRule="exact"/>
        <w:rPr>
          <w:sz w:val="20"/>
          <w:szCs w:val="20"/>
          <w:color w:val="auto"/>
        </w:rPr>
      </w:pPr>
    </w:p>
    <w:p>
      <w:pPr>
        <w:ind w:left="460" w:right="539" w:firstLine="324"/>
        <w:spacing w:after="0" w:line="258" w:lineRule="auto"/>
        <w:rPr>
          <w:sz w:val="20"/>
          <w:szCs w:val="20"/>
          <w:color w:val="auto"/>
        </w:rPr>
      </w:pPr>
      <w:r>
        <w:rPr>
          <w:rFonts w:ascii="Times New Roman" w:cs="Times New Roman" w:eastAsia="Times New Roman" w:hAnsi="Times New Roman"/>
          <w:sz w:val="18"/>
          <w:szCs w:val="18"/>
          <w:color w:val="auto"/>
        </w:rPr>
        <w:t>Given the ten-year original terms, and potential for early redemption, of the Series 2023 Shares and New Series 2024 Shares, holders of such shares may face an increased reinvestment risk, which is the risk that the return on an investment purchased with proceeds from the sale or redemption of such shares may be lower than the return previously obtained from the investment in such shares, see “Note 8. Mandatorily Redeemable Preferred Stock”.</w:t>
      </w:r>
    </w:p>
    <w:p>
      <w:pPr>
        <w:spacing w:after="0" w:line="157" w:lineRule="exact"/>
        <w:rPr>
          <w:sz w:val="20"/>
          <w:szCs w:val="20"/>
          <w:color w:val="auto"/>
        </w:rPr>
      </w:pPr>
    </w:p>
    <w:p>
      <w:pPr>
        <w:jc w:val="both"/>
        <w:ind w:left="460" w:right="559" w:firstLine="324"/>
        <w:spacing w:after="0" w:line="266" w:lineRule="auto"/>
        <w:rPr>
          <w:sz w:val="20"/>
          <w:szCs w:val="20"/>
          <w:color w:val="auto"/>
        </w:rPr>
      </w:pPr>
      <w:r>
        <w:rPr>
          <w:rFonts w:ascii="Times New Roman" w:cs="Times New Roman" w:eastAsia="Times New Roman" w:hAnsi="Times New Roman"/>
          <w:sz w:val="18"/>
          <w:szCs w:val="18"/>
          <w:color w:val="auto"/>
        </w:rPr>
        <w:t>The Fund does not intend to have the Term Preferred Shares rated by any rating agency. Unrated securities usually trade at a discount to similar, rated securities. As a result, there is a risk that any such shares may trade at a price that is lower than they might otherwise trade if rated by a rating agency.</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14. RECENT ACCOUNTING PRONOUNCEMENTS</w:t>
      </w:r>
    </w:p>
    <w:p>
      <w:pPr>
        <w:spacing w:after="0" w:line="187" w:lineRule="exact"/>
        <w:rPr>
          <w:sz w:val="20"/>
          <w:szCs w:val="20"/>
          <w:color w:val="auto"/>
        </w:rPr>
      </w:pPr>
    </w:p>
    <w:p>
      <w:pPr>
        <w:ind w:left="460" w:right="799" w:firstLine="324"/>
        <w:spacing w:after="0" w:line="275" w:lineRule="auto"/>
        <w:rPr>
          <w:sz w:val="20"/>
          <w:szCs w:val="20"/>
          <w:color w:val="auto"/>
        </w:rPr>
      </w:pPr>
      <w:r>
        <w:rPr>
          <w:rFonts w:ascii="Times New Roman" w:cs="Times New Roman" w:eastAsia="Times New Roman" w:hAnsi="Times New Roman"/>
          <w:sz w:val="17"/>
          <w:szCs w:val="17"/>
          <w:color w:val="auto"/>
        </w:rPr>
        <w:t xml:space="preserve">In August 2016, the FASB issued ASU No. 2016-15, </w:t>
      </w:r>
      <w:r>
        <w:rPr>
          <w:rFonts w:ascii="Times New Roman" w:cs="Times New Roman" w:eastAsia="Times New Roman" w:hAnsi="Times New Roman"/>
          <w:sz w:val="17"/>
          <w:szCs w:val="17"/>
          <w:i w:val="1"/>
          <w:iCs w:val="1"/>
          <w:color w:val="auto"/>
        </w:rPr>
        <w:t>Classification of Certain Cash Receipts and Cash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Payments (a Consensus of the Emerging Issues Task Force) </w:t>
      </w:r>
      <w:r>
        <w:rPr>
          <w:rFonts w:ascii="Times New Roman" w:cs="Times New Roman" w:eastAsia="Times New Roman" w:hAnsi="Times New Roman"/>
          <w:sz w:val="17"/>
          <w:szCs w:val="17"/>
          <w:color w:val="auto"/>
        </w:rPr>
        <w:t>(“ASU 2016-15”), which is intended to reduce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diversity in practice in how certain transactions are classified in the statement of cash flows. The Fund is currently assessing the impact of ASU 2016-15 and does not anticipate an impact on our financial position, results of operations or cash flows. ASU 2016-15 is effective for annual reporting periods beginning after December 15, 2017, including interim periods within those fiscal years, with early adoption permitted.</w:t>
      </w:r>
    </w:p>
    <w:p>
      <w:pPr>
        <w:spacing w:after="0" w:line="142" w:lineRule="exact"/>
        <w:rPr>
          <w:sz w:val="20"/>
          <w:szCs w:val="20"/>
          <w:color w:val="auto"/>
        </w:rPr>
      </w:pPr>
    </w:p>
    <w:p>
      <w:pPr>
        <w:ind w:left="460" w:right="4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 Consensus of the Emerging Issues Task Force) </w:t>
      </w:r>
      <w:r>
        <w:rPr>
          <w:rFonts w:ascii="Times New Roman" w:cs="Times New Roman" w:eastAsia="Times New Roman" w:hAnsi="Times New Roman"/>
          <w:sz w:val="18"/>
          <w:szCs w:val="18"/>
          <w:color w:val="auto"/>
        </w:rPr>
        <w:t>(“ASU 2016-18”), which requires that the statement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explain the change during the period in the total of cash, cash equivalents, and amounts generally described as restricted cash or restricted cash equivalents. ASU 2016-18 is effective for annual reporting periods beginning after December 15, 2017, including interim periods within those fiscal years, with early adoption permitted. The Fund is assessing the impact of ASU 2016-18 and guidance is not expected to have a material impact on our financial statements from adopting this standard, however, upon adoption of the standard, restricted cash, if any, will be included as part of beginning and ending cash and cash equivalents on the statement of cash flows.</w:t>
      </w:r>
    </w:p>
    <w:p>
      <w:pPr>
        <w:spacing w:after="0" w:line="151" w:lineRule="exact"/>
        <w:rPr>
          <w:sz w:val="20"/>
          <w:szCs w:val="20"/>
          <w:color w:val="auto"/>
        </w:rPr>
      </w:pPr>
    </w:p>
    <w:p>
      <w:pPr>
        <w:ind w:left="460" w:right="499" w:firstLine="324"/>
        <w:spacing w:after="0" w:line="273" w:lineRule="auto"/>
        <w:rPr>
          <w:sz w:val="20"/>
          <w:szCs w:val="20"/>
          <w:color w:val="auto"/>
        </w:rPr>
      </w:pPr>
      <w:r>
        <w:rPr>
          <w:rFonts w:ascii="Times New Roman" w:cs="Times New Roman" w:eastAsia="Times New Roman" w:hAnsi="Times New Roman"/>
          <w:sz w:val="17"/>
          <w:szCs w:val="17"/>
          <w:color w:val="auto"/>
        </w:rPr>
        <w:t>In December 2016, the FASB issued ASU 2016-19, Technical Corrections and Improvements. As part of this guidance, ASU 2016-19 amends FASB ASC 820 to clarify the difference between a valuation approach and a valuation technique. The amendment also requires an entity to disclose when there has been a change in either or both a valuation approach and/or a valuation technique. ASU 2016-19 is effective on a prospective basis for financial statements issued for fiscal years, and interim periods within those fiscal years, beginning after December 15, 2016 on a prospective basis. The Fund has adopted ASU 2016-19 on its financial statements and disclosures and the adoption of ASU 2016-19 has not had a material impact on its financial statements.</w:t>
      </w:r>
    </w:p>
    <w:p>
      <w:pPr>
        <w:spacing w:after="0" w:line="132" w:lineRule="exact"/>
        <w:rPr>
          <w:sz w:val="20"/>
          <w:szCs w:val="20"/>
          <w:color w:val="auto"/>
        </w:rPr>
      </w:pPr>
    </w:p>
    <w:p>
      <w:pPr>
        <w:ind w:left="460" w:right="479" w:firstLine="324"/>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(Topic 606),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In May 2016, ASU 2016-12 amended ASU 2014-09 and deferred the effective period to December 15, 2017. Management has concluded that its revenues associated with financial instruments are scoped out of Topic 606. The adoption of the requirements is not expected to have a significant impact on the financial statements.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15. ISSUANCES OF COMMON STOCK</w:t>
      </w:r>
    </w:p>
    <w:p>
      <w:pPr>
        <w:spacing w:after="0" w:line="202" w:lineRule="exact"/>
        <w:rPr>
          <w:sz w:val="20"/>
          <w:szCs w:val="20"/>
          <w:color w:val="auto"/>
        </w:rPr>
      </w:pPr>
    </w:p>
    <w:p>
      <w:pPr>
        <w:ind w:left="460" w:right="579" w:firstLine="324"/>
        <w:spacing w:after="0" w:line="261" w:lineRule="auto"/>
        <w:rPr>
          <w:sz w:val="20"/>
          <w:szCs w:val="20"/>
          <w:color w:val="auto"/>
        </w:rPr>
      </w:pPr>
      <w:r>
        <w:rPr>
          <w:rFonts w:ascii="Times New Roman" w:cs="Times New Roman" w:eastAsia="Times New Roman" w:hAnsi="Times New Roman"/>
          <w:sz w:val="18"/>
          <w:szCs w:val="18"/>
          <w:color w:val="auto"/>
        </w:rPr>
        <w:t>The Fund sold a total of 2,461,008 shares of common stock pursuant to an “at-the-market” offering during the six months ended September 30, 2017. The total amount of capital raised under these issuances was approximately $26.5 million and net proceeds were approximately $25.9 million after deducting the sales agent’s commissions and offering expenses.</w:t>
      </w:r>
    </w:p>
    <w:p>
      <w:pPr>
        <w:spacing w:after="0" w:line="14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Fund sold a total of 3,929,836 shares of common stock pursuant to an “at-the-market” offering during</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year ended March 31, 2017. The total amount of capital raised under these issuances was approximately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$44.8 million and net proceeds were approximately $43.8 million after deducting the sales agent’s commissions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offering expenses.</w:t>
      </w:r>
    </w:p>
    <w:p>
      <w:pPr>
        <w:spacing w:after="0" w:line="166" w:lineRule="exact"/>
        <w:rPr>
          <w:sz w:val="20"/>
          <w:szCs w:val="20"/>
          <w:color w:val="auto"/>
        </w:rPr>
      </w:pPr>
    </w:p>
    <w:p>
      <w:pPr>
        <w:ind w:left="460" w:right="499"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September 30, 2017 and for the year ended March 31, 2017, the Fund issued zero and 69,900 shares, respectively, of common stock under the distribution reinvestment plan.</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89" w:lineRule="exact"/>
        <w:rPr>
          <w:sz w:val="20"/>
          <w:szCs w:val="20"/>
          <w:color w:val="auto"/>
        </w:rPr>
      </w:pPr>
    </w:p>
    <w:p>
      <w:pPr>
        <w:ind w:left="460" w:right="579" w:firstLine="324"/>
        <w:spacing w:after="0" w:line="282" w:lineRule="auto"/>
        <w:rPr>
          <w:sz w:val="20"/>
          <w:szCs w:val="20"/>
          <w:color w:val="auto"/>
        </w:rPr>
      </w:pPr>
      <w:r>
        <w:rPr>
          <w:rFonts w:ascii="Times New Roman" w:cs="Times New Roman" w:eastAsia="Times New Roman" w:hAnsi="Times New Roman"/>
          <w:sz w:val="18"/>
          <w:szCs w:val="18"/>
          <w:color w:val="auto"/>
        </w:rPr>
        <w:t>On November 1, 2017, the Board of Directors declared a distribution of $0.40 per share for the third fiscal quarter, payable on December 29, 2017 to shareholders of record as of December 15, 2017.</w:t>
      </w:r>
    </w:p>
    <w:p>
      <w:pPr>
        <w:spacing w:after="0" w:line="135" w:lineRule="exact"/>
        <w:rPr>
          <w:sz w:val="20"/>
          <w:szCs w:val="20"/>
          <w:color w:val="auto"/>
        </w:rPr>
      </w:pPr>
    </w:p>
    <w:p>
      <w:pPr>
        <w:ind w:left="460" w:right="639" w:firstLine="324"/>
        <w:spacing w:after="0" w:line="282" w:lineRule="auto"/>
        <w:rPr>
          <w:sz w:val="20"/>
          <w:szCs w:val="20"/>
          <w:color w:val="auto"/>
        </w:rPr>
      </w:pPr>
      <w:r>
        <w:rPr>
          <w:rFonts w:ascii="Times New Roman" w:cs="Times New Roman" w:eastAsia="Times New Roman" w:hAnsi="Times New Roman"/>
          <w:sz w:val="18"/>
          <w:szCs w:val="18"/>
          <w:color w:val="auto"/>
        </w:rPr>
        <w:t>On November 1, 2017, the Board of Directors declared the required monthly dividends on its Series 2023 and New Series 2024 Term Preferred Shares (each, a “Share”),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Declared</w:t>
            </w:r>
          </w:p>
        </w:tc>
        <w:tc>
          <w:tcPr>
            <w:tcW w:w="12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2017/2018 Record Dates</w:t>
            </w: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2017/2018 Payable Dates</w:t>
            </w:r>
          </w:p>
        </w:tc>
      </w:tr>
      <w:tr>
        <w:trPr>
          <w:trHeight w:val="197"/>
        </w:trPr>
        <w:tc>
          <w:tcPr>
            <w:tcW w:w="20" w:type="dxa"/>
            <w:vAlign w:val="bottom"/>
          </w:tcPr>
          <w:p>
            <w:pPr>
              <w:spacing w:after="0"/>
              <w:rPr>
                <w:sz w:val="17"/>
                <w:szCs w:val="17"/>
                <w:color w:val="auto"/>
              </w:rPr>
            </w:pPr>
          </w:p>
        </w:tc>
        <w:tc>
          <w:tcPr>
            <w:tcW w:w="2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Series 2023</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0.15625</w:t>
            </w:r>
          </w:p>
        </w:tc>
        <w:tc>
          <w:tcPr>
            <w:tcW w:w="120" w:type="dxa"/>
            <w:vAlign w:val="bottom"/>
            <w:shd w:val="clear" w:color="auto" w:fill="CCEEFF"/>
          </w:tcPr>
          <w:p>
            <w:pPr>
              <w:spacing w:after="0"/>
              <w:rPr>
                <w:sz w:val="17"/>
                <w:szCs w:val="17"/>
                <w:color w:val="auto"/>
              </w:rPr>
            </w:pPr>
          </w:p>
        </w:tc>
        <w:tc>
          <w:tcPr>
            <w:tcW w:w="188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rPr>
              <w:t>December 15, January</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rPr>
              <w:t>December 29, January</w:t>
            </w:r>
          </w:p>
        </w:tc>
      </w:tr>
      <w:tr>
        <w:trPr>
          <w:trHeight w:val="255"/>
        </w:trPr>
        <w:tc>
          <w:tcPr>
            <w:tcW w:w="20" w:type="dxa"/>
            <w:vAlign w:val="bottom"/>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February 15</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 February 28</w:t>
            </w:r>
          </w:p>
        </w:tc>
      </w:tr>
      <w:tr>
        <w:trPr>
          <w:trHeight w:val="198"/>
        </w:trPr>
        <w:tc>
          <w:tcPr>
            <w:tcW w:w="20" w:type="dxa"/>
            <w:vAlign w:val="bottom"/>
          </w:tcPr>
          <w:p>
            <w:pPr>
              <w:spacing w:after="0"/>
              <w:rPr>
                <w:sz w:val="17"/>
                <w:szCs w:val="17"/>
                <w:color w:val="auto"/>
              </w:rPr>
            </w:pPr>
          </w:p>
        </w:tc>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New Series 2024</w:t>
            </w:r>
          </w:p>
        </w:tc>
        <w:tc>
          <w:tcPr>
            <w:tcW w:w="10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0.140625</w:t>
            </w:r>
          </w:p>
        </w:tc>
        <w:tc>
          <w:tcPr>
            <w:tcW w:w="120" w:type="dxa"/>
            <w:vAlign w:val="bottom"/>
          </w:tcPr>
          <w:p>
            <w:pPr>
              <w:spacing w:after="0"/>
              <w:rPr>
                <w:sz w:val="17"/>
                <w:szCs w:val="17"/>
                <w:color w:val="auto"/>
              </w:rPr>
            </w:pPr>
          </w:p>
        </w:tc>
        <w:tc>
          <w:tcPr>
            <w:tcW w:w="1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15, January</w:t>
            </w:r>
          </w:p>
        </w:tc>
        <w:tc>
          <w:tcPr>
            <w:tcW w:w="12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29, January</w:t>
            </w:r>
          </w:p>
        </w:tc>
      </w:t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February 15</w:t>
            </w:r>
          </w:p>
        </w:tc>
        <w:tc>
          <w:tcPr>
            <w:tcW w:w="1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 February 28</w:t>
            </w:r>
          </w:p>
        </w:tc>
      </w:tr>
    </w:tbl>
    <w:p>
      <w:pPr>
        <w:spacing w:after="0" w:line="198" w:lineRule="exact"/>
        <w:rPr>
          <w:sz w:val="20"/>
          <w:szCs w:val="20"/>
          <w:color w:val="auto"/>
        </w:rPr>
      </w:pPr>
    </w:p>
    <w:p>
      <w:pPr>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their terms, each of the Series 2023 Shares and New Series 2024 Shares will pay a monthly dividend at a fixed rate of 7.50% and 6.75%, respectively, of the $25.00 per share liquidation preference, or $1.875 and $1.6875 per share per year, respectively. This fixed annual dividend rate is subject to adjustment under certain circumstances, but will not in any case be lower than 7.50% and 6.75% per year, respectively, for each of the Series 2023 Shares and New Series 2024 Shares.</w:t>
      </w:r>
    </w:p>
    <w:p>
      <w:pPr>
        <w:spacing w:after="0" w:line="157" w:lineRule="exact"/>
        <w:rPr>
          <w:sz w:val="20"/>
          <w:szCs w:val="20"/>
          <w:color w:val="auto"/>
        </w:rPr>
      </w:pPr>
    </w:p>
    <w:p>
      <w:pPr>
        <w:ind w:left="460" w:right="899" w:firstLine="324"/>
        <w:spacing w:after="0" w:line="282" w:lineRule="auto"/>
        <w:rPr>
          <w:sz w:val="20"/>
          <w:szCs w:val="20"/>
          <w:color w:val="auto"/>
        </w:rPr>
      </w:pPr>
      <w:r>
        <w:rPr>
          <w:rFonts w:ascii="Times New Roman" w:cs="Times New Roman" w:eastAsia="Times New Roman" w:hAnsi="Times New Roman"/>
          <w:sz w:val="18"/>
          <w:szCs w:val="18"/>
          <w:color w:val="auto"/>
        </w:rPr>
        <w:t>The Fund has evaluated subsequent events through the date of issuance and noted no other events that necessitate adjustments to or disclosure in the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DISTRIBUTION REINVESTMENT PLAN</w:t>
      </w:r>
    </w:p>
    <w:p>
      <w:pPr>
        <w:spacing w:after="0" w:line="189" w:lineRule="exact"/>
        <w:rPr>
          <w:sz w:val="20"/>
          <w:szCs w:val="20"/>
          <w:color w:val="auto"/>
        </w:rPr>
      </w:pPr>
    </w:p>
    <w:p>
      <w:pPr>
        <w:ind w:left="460" w:right="459" w:firstLine="324"/>
        <w:spacing w:after="0" w:line="258" w:lineRule="auto"/>
        <w:rPr>
          <w:sz w:val="20"/>
          <w:szCs w:val="20"/>
          <w:color w:val="auto"/>
        </w:rPr>
      </w:pPr>
      <w:r>
        <w:rPr>
          <w:rFonts w:ascii="Times New Roman" w:cs="Times New Roman" w:eastAsia="Times New Roman" w:hAnsi="Times New Roman"/>
          <w:sz w:val="18"/>
          <w:szCs w:val="18"/>
          <w:color w:val="auto"/>
        </w:rPr>
        <w:t>We have adopted a distribution reinvestment plan that provides for reinvestment of our distributions on behalf of our stockholders, unless a stockholder elects to receive cash as provided below. As a result, if our Board of Directors authorizes, and we declare, a cash distribution, our stockholders who have not opted out of our distribution reinvestment plan will have their cash distributions automatically reinvested in additional shares of our common stock, rather than receiving the cash distributions.</w:t>
      </w:r>
    </w:p>
    <w:p>
      <w:pPr>
        <w:spacing w:after="0" w:line="157" w:lineRule="exact"/>
        <w:rPr>
          <w:sz w:val="20"/>
          <w:szCs w:val="20"/>
          <w:color w:val="auto"/>
        </w:rPr>
      </w:pPr>
    </w:p>
    <w:p>
      <w:pPr>
        <w:ind w:left="460" w:right="539" w:firstLine="324"/>
        <w:spacing w:after="0" w:line="254" w:lineRule="auto"/>
        <w:rPr>
          <w:sz w:val="20"/>
          <w:szCs w:val="20"/>
          <w:color w:val="auto"/>
        </w:rPr>
      </w:pPr>
      <w:r>
        <w:rPr>
          <w:rFonts w:ascii="Times New Roman" w:cs="Times New Roman" w:eastAsia="Times New Roman" w:hAnsi="Times New Roman"/>
          <w:sz w:val="18"/>
          <w:szCs w:val="18"/>
          <w:color w:val="auto"/>
        </w:rPr>
        <w:t>No action will be required on the part of a registered stockholder to have his cash distribution reinvested in shares of our common stock. A registered stockholder may elect to receive an entire distribution in cash by notifying Computershare Trust Company, N.A., the plan administrator and our transfer agent and registrar, by telephone, through the Internet or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by telephone, through the Internet or writing prior to the record date, the plan administrator will, instead of crediting shares to the participant’s account, issue a certificate registered in the participant’s name for the number of whole shares of our common stock and a check for any fractional share, less any applicable fees.</w:t>
      </w:r>
    </w:p>
    <w:p>
      <w:pPr>
        <w:spacing w:after="0" w:line="146" w:lineRule="exact"/>
        <w:rPr>
          <w:sz w:val="20"/>
          <w:szCs w:val="20"/>
          <w:color w:val="auto"/>
        </w:rPr>
      </w:pPr>
    </w:p>
    <w:p>
      <w:pPr>
        <w:ind w:left="460" w:right="1179" w:firstLine="324"/>
        <w:spacing w:after="0" w:line="282"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121" w:lineRule="exact"/>
        <w:rPr>
          <w:sz w:val="20"/>
          <w:szCs w:val="20"/>
          <w:color w:val="auto"/>
        </w:rPr>
      </w:pPr>
    </w:p>
    <w:p>
      <w:pPr>
        <w:ind w:left="460" w:right="539" w:firstLine="324"/>
        <w:spacing w:after="0" w:line="252" w:lineRule="auto"/>
        <w:rPr>
          <w:sz w:val="20"/>
          <w:szCs w:val="20"/>
          <w:color w:val="auto"/>
        </w:rPr>
      </w:pPr>
      <w:r>
        <w:rPr>
          <w:rFonts w:ascii="Times New Roman" w:cs="Times New Roman" w:eastAsia="Times New Roman" w:hAnsi="Times New Roman"/>
          <w:sz w:val="18"/>
          <w:szCs w:val="18"/>
          <w:color w:val="auto"/>
        </w:rPr>
        <w:t>We expect to use primarily newly-issued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fixed by our Board of Directors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Shares purchased in open market transactions by the plan administrator will be allocated to a stockholder based on the average purchase price, excluding any brokerage charges or other charges, of all shares of common stock purchased in the open market.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172" w:lineRule="exact"/>
        <w:rPr>
          <w:sz w:val="20"/>
          <w:szCs w:val="20"/>
          <w:color w:val="auto"/>
        </w:rPr>
      </w:pPr>
    </w:p>
    <w:p>
      <w:pPr>
        <w:ind w:left="460" w:right="479" w:firstLine="324"/>
        <w:spacing w:after="0" w:line="255" w:lineRule="auto"/>
        <w:rPr>
          <w:sz w:val="20"/>
          <w:szCs w:val="20"/>
          <w:color w:val="auto"/>
        </w:rPr>
      </w:pPr>
      <w:r>
        <w:rPr>
          <w:rFonts w:ascii="Times New Roman" w:cs="Times New Roman" w:eastAsia="Times New Roman" w:hAnsi="Times New Roman"/>
          <w:sz w:val="18"/>
          <w:szCs w:val="18"/>
          <w:color w:val="auto"/>
        </w:rPr>
        <w:t>There is no charge to stockholders for receiving their distributions in the form of additional shares of our common stock. Any transaction fees, brokerage charges, plan administrator’s fees or any other charges for handling distributions in stock are paid by us. There are no brokerage charges with respect to shares we have issued directly as a result of distributions payable in stock. If a participant elects by telephonic, Internet or written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charges from the proceeds.</w:t>
      </w:r>
    </w:p>
    <w:p>
      <w:pPr>
        <w:spacing w:after="0" w:line="149" w:lineRule="exact"/>
        <w:rPr>
          <w:sz w:val="20"/>
          <w:szCs w:val="20"/>
          <w:color w:val="auto"/>
        </w:rPr>
      </w:pPr>
    </w:p>
    <w:p>
      <w:pPr>
        <w:ind w:left="460" w:right="539" w:firstLine="324"/>
        <w:spacing w:after="0" w:line="258" w:lineRule="auto"/>
        <w:rPr>
          <w:sz w:val="20"/>
          <w:szCs w:val="20"/>
          <w:color w:val="auto"/>
        </w:rPr>
      </w:pPr>
      <w:r>
        <w:rPr>
          <w:rFonts w:ascii="Times New Roman" w:cs="Times New Roman" w:eastAsia="Times New Roman" w:hAnsi="Times New Roman"/>
          <w:sz w:val="18"/>
          <w:szCs w:val="18"/>
          <w:color w:val="auto"/>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spacing w:after="0" w:line="143" w:lineRule="exact"/>
        <w:rPr>
          <w:sz w:val="20"/>
          <w:szCs w:val="20"/>
          <w:color w:val="auto"/>
        </w:rPr>
      </w:pPr>
    </w:p>
    <w:p>
      <w:pPr>
        <w:ind w:left="460" w:right="4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plan may be terminated by us upon notice in writing mailed to each participant at least 30 days prior to any record date for the payment of any dividend or distribution by us. All correspondence concerning the plan should be directed to the plan administrator as follows: through the Internet at </w:t>
      </w:r>
      <w:r>
        <w:rPr>
          <w:rFonts w:ascii="Times New Roman" w:cs="Times New Roman" w:eastAsia="Times New Roman" w:hAnsi="Times New Roman"/>
          <w:sz w:val="18"/>
          <w:szCs w:val="18"/>
          <w:i w:val="1"/>
          <w:iCs w:val="1"/>
          <w:color w:val="auto"/>
        </w:rPr>
        <w:t>www.computershare/investor</w:t>
      </w:r>
      <w:r>
        <w:rPr>
          <w:rFonts w:ascii="Times New Roman" w:cs="Times New Roman" w:eastAsia="Times New Roman" w:hAnsi="Times New Roman"/>
          <w:sz w:val="18"/>
          <w:szCs w:val="18"/>
          <w:color w:val="auto"/>
        </w:rPr>
        <w:t>, telephone number is 1-800-426-5523 and written correspondence can be mailed to Computershare Trust Company, N.A., P.O. Box 30170, College Station, TX 77845.</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89" w:lineRule="exact"/>
        <w:rPr>
          <w:sz w:val="20"/>
          <w:szCs w:val="20"/>
          <w:color w:val="auto"/>
        </w:rPr>
      </w:pPr>
    </w:p>
    <w:p>
      <w:pPr>
        <w:ind w:left="460" w:right="659" w:firstLine="324"/>
        <w:spacing w:after="0" w:line="276" w:lineRule="auto"/>
        <w:rPr>
          <w:sz w:val="20"/>
          <w:szCs w:val="20"/>
          <w:color w:val="auto"/>
        </w:rPr>
      </w:pPr>
      <w:r>
        <w:rPr>
          <w:rFonts w:ascii="Times New Roman" w:cs="Times New Roman" w:eastAsia="Times New Roman" w:hAnsi="Times New Roman"/>
          <w:sz w:val="17"/>
          <w:szCs w:val="17"/>
          <w:color w:val="auto"/>
        </w:rPr>
        <w:t>Our Board of Directors oversees our management. The Board of Directors currently consists of five members, three of whom are not “interested persons” of Oxford Lane Capital Corp. as defined in Section 2(a)</w:t>
      </w:r>
    </w:p>
    <w:p>
      <w:pPr>
        <w:spacing w:after="0" w:line="1" w:lineRule="exact"/>
        <w:rPr>
          <w:sz w:val="20"/>
          <w:szCs w:val="20"/>
          <w:color w:val="auto"/>
        </w:rPr>
      </w:pPr>
    </w:p>
    <w:p>
      <w:pPr>
        <w:ind w:left="460" w:right="499" w:firstLine="2"/>
        <w:spacing w:after="0" w:line="253" w:lineRule="auto"/>
        <w:tabs>
          <w:tab w:leader="none" w:pos="8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1940 Act. We refer to these individuals as our independent directors. Our Board of Directors elects our officers, who serve at the discretion of the Board of Directors. The responsibilities of each director will include, among other things, the oversight of our investment activity, the quarterly valuation of our assets, and oversight of our financing arrangements. The Board of Directors has also established an Audit Committee and a Valuation Committee, and may establish additional committees in the future.</w:t>
      </w:r>
    </w:p>
    <w:p>
      <w:pPr>
        <w:spacing w:after="0" w:line="160" w:lineRule="exact"/>
        <w:rPr>
          <w:sz w:val="20"/>
          <w:szCs w:val="20"/>
          <w:color w:val="auto"/>
        </w:rPr>
      </w:pPr>
    </w:p>
    <w:p>
      <w:pPr>
        <w:jc w:val="both"/>
        <w:ind w:left="460" w:right="499" w:firstLine="324"/>
        <w:spacing w:after="0" w:line="289" w:lineRule="auto"/>
        <w:rPr>
          <w:sz w:val="20"/>
          <w:szCs w:val="20"/>
          <w:color w:val="auto"/>
        </w:rPr>
      </w:pPr>
      <w:r>
        <w:rPr>
          <w:rFonts w:ascii="Times New Roman" w:cs="Times New Roman" w:eastAsia="Times New Roman" w:hAnsi="Times New Roman"/>
          <w:sz w:val="17"/>
          <w:szCs w:val="17"/>
          <w:color w:val="auto"/>
        </w:rPr>
        <w:t xml:space="preserve">Our directors and officers and their principal occupations during the past five years are set forth below. Our prospectus includes additional information about our directors and is available without charge, upon request by calling (203) 983-5275, or on the Securities and Exchange Commission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 and Executive Officers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Information regarding the Board of Directors is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2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20" w:type="dxa"/>
            <w:vAlign w:val="bottom"/>
          </w:tcPr>
          <w:p>
            <w:pPr>
              <w:spacing w:after="0"/>
              <w:rPr>
                <w:sz w:val="19"/>
                <w:szCs w:val="19"/>
                <w:color w:val="auto"/>
              </w:rPr>
            </w:pPr>
          </w:p>
        </w:tc>
        <w:tc>
          <w:tcPr>
            <w:tcW w:w="27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Since</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 Term</w:t>
            </w: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Jonathan H. Cohen</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52</w:t>
            </w: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Saul B. Rosenthal</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48</w:t>
            </w: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and Director</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Mark J. Ashenfelter</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57</w:t>
            </w: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John Reardon</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50</w:t>
            </w: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David S. Shin</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48</w:t>
            </w: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bl>
    <w:p>
      <w:pPr>
        <w:spacing w:after="0" w:line="198" w:lineRule="exact"/>
        <w:rPr>
          <w:sz w:val="20"/>
          <w:szCs w:val="20"/>
          <w:color w:val="auto"/>
        </w:rPr>
      </w:pPr>
    </w:p>
    <w:p>
      <w:pPr>
        <w:jc w:val="both"/>
        <w:ind w:left="460" w:right="559" w:firstLine="324"/>
        <w:spacing w:after="0" w:line="282" w:lineRule="auto"/>
        <w:rPr>
          <w:sz w:val="20"/>
          <w:szCs w:val="20"/>
          <w:color w:val="auto"/>
        </w:rPr>
      </w:pPr>
      <w:r>
        <w:rPr>
          <w:rFonts w:ascii="Times New Roman" w:cs="Times New Roman" w:eastAsia="Times New Roman" w:hAnsi="Times New Roman"/>
          <w:sz w:val="18"/>
          <w:szCs w:val="18"/>
          <w:color w:val="auto"/>
        </w:rPr>
        <w:t>The address for each of our directors is c/o Oxford Lane Capital Corp., 8 Sound Shore Drive, Suite 255, Greenwich, CT 06830.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Directors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20" w:type="dxa"/>
            <w:vAlign w:val="bottom"/>
          </w:tcPr>
          <w:p>
            <w:pPr>
              <w:spacing w:after="0"/>
              <w:rPr>
                <w:sz w:val="18"/>
                <w:szCs w:val="18"/>
                <w:color w:val="auto"/>
              </w:rPr>
            </w:pPr>
          </w:p>
        </w:tc>
        <w:tc>
          <w:tcPr>
            <w:tcW w:w="44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Bruce L. Rubin</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57</w:t>
            </w:r>
          </w:p>
        </w:tc>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Treasurer and Corporate Secretary</w:t>
            </w: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Gerald Cummins</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Compliance Officer</w:t>
            </w:r>
          </w:p>
        </w:tc>
      </w:tr>
    </w:tbl>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02" w:lineRule="exact"/>
        <w:rPr>
          <w:sz w:val="20"/>
          <w:szCs w:val="20"/>
          <w:color w:val="auto"/>
        </w:rPr>
      </w:pPr>
    </w:p>
    <w:p>
      <w:pPr>
        <w:ind w:left="460" w:right="899" w:firstLine="324"/>
        <w:spacing w:after="0" w:line="282" w:lineRule="auto"/>
        <w:rPr>
          <w:sz w:val="20"/>
          <w:szCs w:val="20"/>
          <w:color w:val="auto"/>
        </w:rPr>
      </w:pPr>
      <w:r>
        <w:rPr>
          <w:rFonts w:ascii="Times New Roman" w:cs="Times New Roman" w:eastAsia="Times New Roman" w:hAnsi="Times New Roman"/>
          <w:sz w:val="18"/>
          <w:szCs w:val="18"/>
          <w:color w:val="auto"/>
        </w:rPr>
        <w:t>Our directors have been divided into two groups — interested directors and independent directors. An interested director is an “interested person” as defined in Section 2(a)(19) of the 1940 Act.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Interested Directors</w:t>
      </w:r>
    </w:p>
    <w:p>
      <w:pPr>
        <w:spacing w:after="0" w:line="187" w:lineRule="exact"/>
        <w:rPr>
          <w:sz w:val="20"/>
          <w:szCs w:val="20"/>
          <w:color w:val="auto"/>
        </w:rPr>
      </w:pPr>
    </w:p>
    <w:p>
      <w:pPr>
        <w:ind w:left="460" w:right="4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Messrs. Cohen and Rosenthal are “interested persons” of Oxford Lane Capital as defined in the 1940 Act due to their positions as Chief Executive Officer and President, respectively, of Oxford Lane Capital and Oxford Lane Management, Oxford Lane Capital’s investment adviser, and as the managing member and non-managing member, respectively, of BDC Partners, the administrator for Oxford Lane Capital.</w:t>
      </w:r>
    </w:p>
    <w:p>
      <w:pPr>
        <w:spacing w:after="0" w:line="138" w:lineRule="exact"/>
        <w:rPr>
          <w:sz w:val="20"/>
          <w:szCs w:val="20"/>
          <w:color w:val="auto"/>
        </w:rPr>
      </w:pPr>
    </w:p>
    <w:p>
      <w:pPr>
        <w:ind w:left="460" w:right="57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H. Cohen </w:t>
      </w:r>
      <w:r>
        <w:rPr>
          <w:rFonts w:ascii="Times New Roman" w:cs="Times New Roman" w:eastAsia="Times New Roman" w:hAnsi="Times New Roman"/>
          <w:sz w:val="18"/>
          <w:szCs w:val="18"/>
          <w:color w:val="auto"/>
        </w:rPr>
        <w:t>has served as Chief Executive Officer of both Oxford Lane Capital Corp. and Oxford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Lane Management since 2010. Mr. Cohen has also served since 2003 as Chief Executive Officer of both TICC Capital Corp. (NasdaqGS: TICC), a publicly traded business development company, and TICC Management, LLC, TICC Capital Corp.’s investment adviser, and as the managing member of BDC Partners. Mr. Cohen has also served since 2015 as Chief Executive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7" w:name="page38"/>
    <w:bookmarkEnd w:id="37"/>
    <w:p>
      <w:pPr>
        <w:ind w:left="460" w:right="599"/>
        <w:spacing w:after="0" w:line="255" w:lineRule="auto"/>
        <w:rPr>
          <w:sz w:val="20"/>
          <w:szCs w:val="20"/>
          <w:color w:val="auto"/>
        </w:rPr>
      </w:pPr>
      <w:r>
        <w:rPr>
          <w:rFonts w:ascii="Times New Roman" w:cs="Times New Roman" w:eastAsia="Times New Roman" w:hAnsi="Times New Roman"/>
          <w:sz w:val="18"/>
          <w:szCs w:val="18"/>
          <w:color w:val="auto"/>
        </w:rPr>
        <w:t>Officer of Oxford Bridge Management, LLC, the investment manager to Oxford Bridge, LLC, a private investment fund. Mr. Cohen is also a member of the Board of Directors of TICC Capital Corp. Previously, Mr. Cohen managed technology equity research groups at Wit Capital, Merrill Lynch, UBS and Smith Barney. Mr. Cohen is a member of the Board of Trustees of Connecticut College.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p>
      <w:pPr>
        <w:spacing w:after="0" w:line="154" w:lineRule="exact"/>
        <w:rPr>
          <w:sz w:val="20"/>
          <w:szCs w:val="20"/>
          <w:color w:val="auto"/>
        </w:rPr>
      </w:pPr>
    </w:p>
    <w:p>
      <w:pPr>
        <w:ind w:left="460" w:right="49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Saul B. Rosenthal </w:t>
      </w:r>
      <w:r>
        <w:rPr>
          <w:rFonts w:ascii="Times New Roman" w:cs="Times New Roman" w:eastAsia="Times New Roman" w:hAnsi="Times New Roman"/>
          <w:sz w:val="18"/>
          <w:szCs w:val="18"/>
          <w:color w:val="auto"/>
        </w:rPr>
        <w:t>has served as President of both Oxford Lane Capital Corp. and Oxford Lane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since 2010. Mr. Rosenthal has also served as President since 2004 of TICC Capital Corp. (NasdaqGS: TICC), a publicly traded business development company, and since 2015 as President of Oxford Bridge Management, LLC. Mr. Rosenthal was previously an attorney at the law firm of Shearman &amp; Sterling LLP. Mr. Rosenthal serves on the boards of LiftForward, Inc., the National Museum of Mathematics and YPO New York City. Mr. Rosenthal received a B.S., magna cum laude, from the Wharton School of the University of Pennsylvania, a J.D. from Columbia University Law School, where he was a Harlan Fiske Stone Scholar, and a LL.M. (Taxation) from New York University School of Law. Mr. Rosenthal’s depth of experience in managerial positions in investment management, as well as his intimate knowledge of our business and operations, gives the Board of Directors the valuable perspective of a knowledgeable corporate leader.</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18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The following directors are not “interested persons” of Oxford Lane Capital, as defined in the 1940 Act.</w:t>
      </w:r>
    </w:p>
    <w:p>
      <w:pPr>
        <w:spacing w:after="0" w:line="183" w:lineRule="exact"/>
        <w:rPr>
          <w:sz w:val="20"/>
          <w:szCs w:val="20"/>
          <w:color w:val="auto"/>
        </w:rPr>
      </w:pPr>
    </w:p>
    <w:p>
      <w:pPr>
        <w:ind w:left="460" w:right="57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J. Ashenfelter </w:t>
      </w:r>
      <w:r>
        <w:rPr>
          <w:rFonts w:ascii="Times New Roman" w:cs="Times New Roman" w:eastAsia="Times New Roman" w:hAnsi="Times New Roman"/>
          <w:sz w:val="18"/>
          <w:szCs w:val="18"/>
          <w:color w:val="auto"/>
        </w:rPr>
        <w:t>presently serves as a Senior Vice President and the General Counsel of Haebler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a private investment company located in Greenwich, CT. Prior to joining Haebler Capital in 1994, Mr. Ashenfelter was an associate at Cravath, Swaine &amp; Moore from 1985 to 1992 and Cadwalader, Wickersham &amp; Taft from 1992 to 1994. Mr. Ashenfelter received a B.A., cum laude, from Harvard University, a J.D., magna cum laude, from New York Law School, where he was Managing Editor of the Law Review, and a LL.M. (Taxation) from New York University School of Law. Mr. Ashenfelter’s extensive corporate legal experience, particularly in connection with investment companies, provides our Board of Directors with valuable insight and perspective.</w:t>
      </w:r>
    </w:p>
    <w:p>
      <w:pPr>
        <w:spacing w:after="0" w:line="158" w:lineRule="exact"/>
        <w:rPr>
          <w:sz w:val="20"/>
          <w:szCs w:val="20"/>
          <w:color w:val="auto"/>
        </w:rPr>
      </w:pPr>
    </w:p>
    <w:p>
      <w:pPr>
        <w:ind w:left="460" w:right="459" w:firstLine="32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Reardon </w:t>
      </w:r>
      <w:r>
        <w:rPr>
          <w:rFonts w:ascii="Times New Roman" w:cs="Times New Roman" w:eastAsia="Times New Roman" w:hAnsi="Times New Roman"/>
          <w:sz w:val="17"/>
          <w:szCs w:val="17"/>
          <w:color w:val="auto"/>
        </w:rPr>
        <w:t>is the principal of Reardon Consulting, LLP, which specializes in providing management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consulting services to technology companies in the telecom, software, and cyber security industries. Mr. Reardon also serves as the Managing Director of Choctaw Telecom LLC. Previously, Mr. Reardon managed telecommunications companies in the mobile voice, data and engineering services markets as Chief Executive Officer and a member of the Board of Directors of Mobex Communications, Inc. from 2001 to 2005. From 1997</w:t>
      </w:r>
    </w:p>
    <w:p>
      <w:pPr>
        <w:spacing w:after="0" w:line="3" w:lineRule="exact"/>
        <w:rPr>
          <w:sz w:val="20"/>
          <w:szCs w:val="20"/>
          <w:color w:val="auto"/>
        </w:rPr>
      </w:pPr>
    </w:p>
    <w:p>
      <w:pPr>
        <w:ind w:left="460" w:right="459"/>
        <w:spacing w:after="0" w:line="252" w:lineRule="auto"/>
        <w:rPr>
          <w:sz w:val="20"/>
          <w:szCs w:val="20"/>
          <w:color w:val="auto"/>
        </w:rPr>
      </w:pPr>
      <w:r>
        <w:rPr>
          <w:rFonts w:ascii="Times New Roman" w:cs="Times New Roman" w:eastAsia="Times New Roman" w:hAnsi="Times New Roman"/>
          <w:sz w:val="18"/>
          <w:szCs w:val="18"/>
          <w:color w:val="auto"/>
        </w:rPr>
        <w:t>– 2001, he served as General Counsel and Secretary of the Board of Directors of Mobex Communications, Inc. Mr. Reardon began his career in telecom law at the boutique Washington, DC firm of Keller and Heckman, LLP. Mr. Reardon received a Bachelor of Arts degree in Political Science, summa cum laude, from Boston University, and earned his J.D. from Columbia Law School. He is admitted to the New York State Bar and the Washington, DC Bar, and is the past president of the Columbia Law School Alumni Association of Washington, DC. Mr. Reardon’s extensive experience as a senior corporate executive provides our Board of Directors the perspective of a knowledgeable corporate leader.</w:t>
      </w:r>
    </w:p>
    <w:p>
      <w:pPr>
        <w:spacing w:after="0" w:line="145" w:lineRule="exact"/>
        <w:rPr>
          <w:sz w:val="20"/>
          <w:szCs w:val="20"/>
          <w:color w:val="auto"/>
        </w:rPr>
      </w:pPr>
    </w:p>
    <w:p>
      <w:pPr>
        <w:ind w:left="460" w:right="519" w:firstLine="324"/>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David S. Shin </w:t>
      </w:r>
      <w:r>
        <w:rPr>
          <w:rFonts w:ascii="Times New Roman" w:cs="Times New Roman" w:eastAsia="Times New Roman" w:hAnsi="Times New Roman"/>
          <w:sz w:val="17"/>
          <w:szCs w:val="17"/>
          <w:color w:val="auto"/>
        </w:rPr>
        <w:t>presently serves as an asset management consultant to Innovatus Capital Partners,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manager of certain assets of Perella Weinberg Partners, a financial services firm. From 2011 to 2016, Mr. Shin was an asset management professional at Perella Weinberg Partners. From 2010 to 2011, Mr. Shin served as a Managing Director at Bentley Associates, an investment banking firm. Prior to joining Bentley Associates, Mr. Shin worked in the Global Real Estate Investment Banking Group at Deutsche Bank Securities from 2005 to 2008, and in the Real Estate &amp; Lodging Group of Citigroup Global Markets from 2004 to 2005. Prior to that, Mr. Shin worked for William Street Advisors, LLC, a boutique financial advisory firm affiliated with Saratoga Management Company, from 2002 to 2004. After receiving his J.D. in 1995, Mr. Shin was a member of the Healthcare Group of Dean Witter Reynolds from 1995 to 1996, and was subsequently a member of the Mergers</w:t>
      </w:r>
    </w:p>
    <w:p>
      <w:pPr>
        <w:spacing w:after="0" w:line="2" w:lineRule="exact"/>
        <w:rPr>
          <w:sz w:val="20"/>
          <w:szCs w:val="20"/>
          <w:color w:val="auto"/>
        </w:rPr>
      </w:pPr>
    </w:p>
    <w:p>
      <w:pPr>
        <w:ind w:left="460" w:right="559" w:firstLine="2"/>
        <w:spacing w:after="0" w:line="252" w:lineRule="auto"/>
        <w:tabs>
          <w:tab w:leader="none" w:pos="6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Group of Merrill Lynch &amp; Co. from 1996 to 2002. Mr. Shin started his career as a CPA in the Corporate Tax Department of KPMG Peat Marwick’s Financial Institutions Group, where he served from 1990 to 1992, before attending law school. Mr. Shin received a B.S., magna cum laude, from The Wharton School at the University of Pennsylvania and a J.D. from Columbia Law School. Mr. Shin’s extensive experience in investment banking provides the Board of Directors with valuable insights of an experienced and diligent financial professional, as well as a diverse perspective.</w:t>
      </w:r>
    </w:p>
    <w:p>
      <w:pPr>
        <w:sectPr>
          <w:pgSz w:w="11900" w:h="16838" w:orient="portrait"/>
          <w:cols w:equalWidth="0" w:num="1">
            <w:col w:w="9019"/>
          </w:cols>
          <w:pgMar w:left="1440" w:top="297"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Directors</w:t>
      </w:r>
    </w:p>
    <w:p>
      <w:pPr>
        <w:spacing w:after="0" w:line="185" w:lineRule="exact"/>
        <w:rPr>
          <w:sz w:val="20"/>
          <w:szCs w:val="20"/>
          <w:color w:val="auto"/>
        </w:rPr>
      </w:pPr>
    </w:p>
    <w:p>
      <w:pPr>
        <w:ind w:left="460" w:right="51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L. Rubin </w:t>
      </w:r>
      <w:r>
        <w:rPr>
          <w:rFonts w:ascii="Times New Roman" w:cs="Times New Roman" w:eastAsia="Times New Roman" w:hAnsi="Times New Roman"/>
          <w:sz w:val="18"/>
          <w:szCs w:val="18"/>
          <w:color w:val="auto"/>
        </w:rPr>
        <w:t>has served as our Chief Financial Officer and Corporate Secretary since August 2015,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Treasurer and Controller since our initial public offering in 2011. Mr. Rubin has also served as TICC Capital Corp.’s Controller since 2005, TICC Capital Corp.’s Treasurer since 2009, and TICC Capital Corp.’s Chief Financial Officer, Chief Accounting Officer and Corporate Secretary since August 2015. Mr. Rubin also currently serves as the Chief Financial Officer and Secretary of Oxford Lane Management, TICC Management, LLC, BDC Partners, and Oxford Bridge Management, LLC, the investment manager of Oxford Bridge, LLC, a private investment fund. From 1995 to 2003, Mr. Rubin was the Assistant Treasurer &amp; Director of Financial Planning of the New York Mercantile Exchange, Inc., the largest physical commodities futures exchange in the world, and has extensive experience with Sarbanes-Oxley, treasury operations and SEC reporting requirements. From 1989 to 1995, Mr. Rubin was a manager in financial operations for the American Stock Exchange, where he was primarily responsible for budgeting matters. Mr. Rubin began his career in commercial banking as an auditor primarily of the commercial lending and municipal bond dealer areas. Mr. Rubin received his BBA in Accounting from Hofstra University where he also obtained his M.B.A. in Finance.</w:t>
      </w:r>
    </w:p>
    <w:p>
      <w:pPr>
        <w:spacing w:after="0" w:line="162" w:lineRule="exact"/>
        <w:rPr>
          <w:sz w:val="20"/>
          <w:szCs w:val="20"/>
          <w:color w:val="auto"/>
        </w:rPr>
      </w:pPr>
    </w:p>
    <w:p>
      <w:pPr>
        <w:ind w:left="460" w:right="49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Gerald Cummins </w:t>
      </w:r>
      <w:r>
        <w:rPr>
          <w:rFonts w:ascii="Times New Roman" w:cs="Times New Roman" w:eastAsia="Times New Roman" w:hAnsi="Times New Roman"/>
          <w:sz w:val="18"/>
          <w:szCs w:val="18"/>
          <w:color w:val="auto"/>
        </w:rPr>
        <w:t>has served as our Chief Compliance Officer, as well as the Chief Compliance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Oxford Lane Management, TICC Capital Corp., TICC Management, LLC, since June 2015 pursuant to an agreement between us and Alaric Compliance Services, LLC (“Alaric”), a compliance consulting firm. Mr. Cummins has also served since November 2015 as the Chief Compliance Officer of Oxford Bridge Management, LLC, the investment manager of Oxford Bridge, LLC, a private investment fund. Mr. Cummins has been a director of Alaric since June 2014 and in that capacity he also serves as the Chief Compliance Officer to a private equity firm. Prior to joining Alaric, Mr. Cummins was a consultant for Barclays Capital Inc. from 2012 to 2013, where he participated in numerous compliance projects on pricing and valuation, compliance assessments, and compliance policy and procedure development. Prior to his consulting work at Barclays, Mr. Cummins was from 2010 to 2011 the COO and the CCO for BroadArch Capital and from 2009 to 2011 the CFO and CCO to its predecessor New Castle Funds, a long-short equity asset manager. Prior to that, Mr. Cummins spent 25 years at Bear Stearns Asset Management (BSAM), where he was a Managing Director and held senior compliance, controllers and operations risk positions. Mr. Cummins graduated with a B.A. in Mathematics from Fordham University.</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 sets forth compensation of our directors for the six months ended September 30, 2017:</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Fees</w:t>
            </w:r>
          </w:p>
        </w:tc>
        <w:tc>
          <w:tcPr>
            <w:tcW w:w="13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00" w:type="dxa"/>
            <w:vAlign w:val="bottom"/>
          </w:tcPr>
          <w:p>
            <w:pPr>
              <w:spacing w:after="0"/>
              <w:rPr>
                <w:sz w:val="23"/>
                <w:szCs w:val="23"/>
                <w:color w:val="auto"/>
              </w:rPr>
            </w:pPr>
          </w:p>
        </w:tc>
        <w:tc>
          <w:tcPr>
            <w:tcW w:w="1020" w:type="dxa"/>
            <w:vAlign w:val="bottom"/>
          </w:tcPr>
          <w:p>
            <w:pPr>
              <w:jc w:val="right"/>
              <w:ind w:right="213"/>
              <w:spacing w:after="0" w:line="273" w:lineRule="exact"/>
              <w:rPr>
                <w:sz w:val="20"/>
                <w:szCs w:val="20"/>
                <w:color w:val="auto"/>
              </w:rPr>
            </w:pPr>
            <w:r>
              <w:rPr>
                <w:rFonts w:ascii="Times New Roman" w:cs="Times New Roman" w:eastAsia="Times New Roman" w:hAnsi="Times New Roman"/>
                <w:sz w:val="16"/>
                <w:szCs w:val="16"/>
                <w:b w:val="1"/>
                <w:bCs w:val="1"/>
                <w:color w:val="auto"/>
                <w:w w:val="97"/>
              </w:rPr>
              <w:t>Earned</w:t>
            </w:r>
            <w:r>
              <w:rPr>
                <w:rFonts w:ascii="Times New Roman" w:cs="Times New Roman" w:eastAsia="Times New Roman" w:hAnsi="Times New Roman"/>
                <w:sz w:val="27"/>
                <w:szCs w:val="27"/>
                <w:b w:val="1"/>
                <w:bCs w:val="1"/>
                <w:color w:val="auto"/>
                <w:w w:val="97"/>
                <w:vertAlign w:val="superscript"/>
              </w:rPr>
              <w:t>(1)</w:t>
            </w:r>
          </w:p>
        </w:tc>
        <w:tc>
          <w:tcPr>
            <w:tcW w:w="1380" w:type="dxa"/>
            <w:vAlign w:val="bottom"/>
          </w:tcPr>
          <w:p>
            <w:pPr>
              <w:ind w:left="100"/>
              <w:spacing w:after="0" w:line="273" w:lineRule="exact"/>
              <w:rPr>
                <w:sz w:val="20"/>
                <w:szCs w:val="20"/>
                <w:color w:val="auto"/>
              </w:rPr>
            </w:pPr>
            <w:r>
              <w:rPr>
                <w:rFonts w:ascii="Times New Roman" w:cs="Times New Roman" w:eastAsia="Times New Roman" w:hAnsi="Times New Roman"/>
                <w:sz w:val="16"/>
                <w:szCs w:val="16"/>
                <w:b w:val="1"/>
                <w:bCs w:val="1"/>
                <w:color w:val="auto"/>
              </w:rPr>
              <w:t>Compensation</w:t>
            </w:r>
            <w:r>
              <w:rPr>
                <w:rFonts w:ascii="Times New Roman" w:cs="Times New Roman" w:eastAsia="Times New Roman" w:hAnsi="Times New Roman"/>
                <w:sz w:val="27"/>
                <w:szCs w:val="27"/>
                <w:b w:val="1"/>
                <w:bCs w:val="1"/>
                <w:color w:val="auto"/>
                <w:vertAlign w:val="superscript"/>
              </w:rPr>
              <w:t>(2)</w:t>
            </w:r>
          </w:p>
        </w:tc>
        <w:tc>
          <w:tcPr>
            <w:tcW w:w="280" w:type="dxa"/>
            <w:vAlign w:val="bottom"/>
          </w:tcPr>
          <w:p>
            <w:pPr>
              <w:spacing w:after="0"/>
              <w:rPr>
                <w:sz w:val="23"/>
                <w:szCs w:val="23"/>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1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Jonathan H. Cohen</w:t>
            </w:r>
          </w:p>
        </w:tc>
        <w:tc>
          <w:tcPr>
            <w:tcW w:w="1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Saul B. Rosenthal</w:t>
            </w:r>
          </w:p>
        </w:tc>
        <w:tc>
          <w:tcPr>
            <w:tcW w:w="1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J. Ashenfelter</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w:t>
            </w:r>
          </w:p>
        </w:tc>
        <w:tc>
          <w:tcPr>
            <w:tcW w:w="13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John Reardon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46,500</w:t>
            </w:r>
          </w:p>
        </w:tc>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 Shin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138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800" w:hanging="338"/>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of the independent directors’ compensation, see below.</w:t>
      </w:r>
    </w:p>
    <w:p>
      <w:pPr>
        <w:spacing w:after="0" w:line="7" w:lineRule="exact"/>
        <w:rPr>
          <w:rFonts w:ascii="Times New Roman" w:cs="Times New Roman" w:eastAsia="Times New Roman" w:hAnsi="Times New Roman"/>
          <w:sz w:val="18"/>
          <w:szCs w:val="18"/>
          <w:color w:val="auto"/>
        </w:rPr>
      </w:pPr>
    </w:p>
    <w:p>
      <w:pPr>
        <w:ind w:left="800" w:hanging="338"/>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maintain a stock option plan, non-equity incentive plan or pension plan for our directors.</w:t>
      </w:r>
    </w:p>
    <w:p>
      <w:pPr>
        <w:spacing w:after="0" w:line="180" w:lineRule="exact"/>
        <w:rPr>
          <w:sz w:val="20"/>
          <w:szCs w:val="20"/>
          <w:color w:val="auto"/>
        </w:rPr>
      </w:pPr>
    </w:p>
    <w:p>
      <w:pPr>
        <w:ind w:left="460" w:right="519" w:firstLine="324"/>
        <w:spacing w:after="0" w:line="255" w:lineRule="auto"/>
        <w:rPr>
          <w:sz w:val="20"/>
          <w:szCs w:val="20"/>
          <w:color w:val="auto"/>
        </w:rPr>
      </w:pPr>
      <w:r>
        <w:rPr>
          <w:rFonts w:ascii="Times New Roman" w:cs="Times New Roman" w:eastAsia="Times New Roman" w:hAnsi="Times New Roman"/>
          <w:sz w:val="18"/>
          <w:szCs w:val="18"/>
          <w:color w:val="auto"/>
        </w:rPr>
        <w:t>The independent directors receive an annual fee of $75,000. In addition, the independent directors receive $2,000 plus reimbursement of reasonable out-of-pocket expenses incurred in connection with attending each Board of Directors meeting, $1,500 plus reimbursement of reasonable out-of-pocket expenses incurred in connection with attending each Valuation Committee meeting and $1,000 plus reimbursement of reasonable out-of-pocket expenses incurred in connection with attending each Audit Committee meeting. The Chairman of the Audit Committee also receives an additional annual fee of $10,000. No compensation is paid to directors who are interested persons of Oxford Lane Capital as defined in the 1940 Act.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Chief Executive Officer and Other Executive Officers</w:t>
      </w:r>
    </w:p>
    <w:p>
      <w:pPr>
        <w:spacing w:after="0" w:line="189" w:lineRule="exact"/>
        <w:rPr>
          <w:sz w:val="20"/>
          <w:szCs w:val="20"/>
          <w:color w:val="auto"/>
        </w:rPr>
      </w:pPr>
    </w:p>
    <w:p>
      <w:pPr>
        <w:ind w:left="460" w:right="659" w:firstLine="324"/>
        <w:spacing w:after="0" w:line="255" w:lineRule="auto"/>
        <w:rPr>
          <w:sz w:val="20"/>
          <w:szCs w:val="20"/>
          <w:color w:val="auto"/>
        </w:rPr>
      </w:pPr>
      <w:r>
        <w:rPr>
          <w:rFonts w:ascii="Times New Roman" w:cs="Times New Roman" w:eastAsia="Times New Roman" w:hAnsi="Times New Roman"/>
          <w:sz w:val="18"/>
          <w:szCs w:val="18"/>
          <w:color w:val="auto"/>
        </w:rPr>
        <w:t>We do not have a compensation committee because our executive officers do not receive any direct compensation from Oxford Lane Capital. Mr. Cohen, our Chief Executive Officer, and Mr. Rosenthal, our President, through their ownership interest in BDC Partners,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w:t>
      </w:r>
    </w:p>
    <w:p>
      <w:pPr>
        <w:spacing w:after="0" w:line="158" w:lineRule="exact"/>
        <w:rPr>
          <w:sz w:val="20"/>
          <w:szCs w:val="20"/>
          <w:color w:val="auto"/>
        </w:rPr>
      </w:pPr>
    </w:p>
    <w:p>
      <w:pPr>
        <w:jc w:val="both"/>
        <w:ind w:left="460" w:right="539" w:firstLine="324"/>
        <w:spacing w:after="0" w:line="266" w:lineRule="auto"/>
        <w:rPr>
          <w:sz w:val="20"/>
          <w:szCs w:val="20"/>
          <w:color w:val="auto"/>
        </w:rPr>
      </w:pPr>
      <w:r>
        <w:rPr>
          <w:rFonts w:ascii="Times New Roman" w:cs="Times New Roman" w:eastAsia="Times New Roman" w:hAnsi="Times New Roman"/>
          <w:sz w:val="18"/>
          <w:szCs w:val="18"/>
          <w:color w:val="auto"/>
        </w:rPr>
        <w:t>The compensation of Mr. Rubin, our Chief Financial Officer, Treasurer and Corporate Secretary, is paid by our administrator, BDC Partners, subject to reimbursement by us of an allocable portion of such compensation for services rendered by Mr. Rubin to Oxford Lane Capital.</w:t>
      </w:r>
    </w:p>
    <w:p>
      <w:pPr>
        <w:spacing w:after="0" w:line="136" w:lineRule="exact"/>
        <w:rPr>
          <w:sz w:val="20"/>
          <w:szCs w:val="20"/>
          <w:color w:val="auto"/>
        </w:rPr>
      </w:pPr>
    </w:p>
    <w:p>
      <w:pPr>
        <w:ind w:left="460" w:right="619" w:firstLine="324"/>
        <w:spacing w:after="0" w:line="282" w:lineRule="auto"/>
        <w:rPr>
          <w:sz w:val="20"/>
          <w:szCs w:val="20"/>
          <w:color w:val="auto"/>
        </w:rPr>
      </w:pPr>
      <w:r>
        <w:rPr>
          <w:rFonts w:ascii="Times New Roman" w:cs="Times New Roman" w:eastAsia="Times New Roman" w:hAnsi="Times New Roman"/>
          <w:sz w:val="18"/>
          <w:szCs w:val="18"/>
          <w:color w:val="auto"/>
        </w:rPr>
        <w:t>Mr. Cummins, our Chief Compliance Officer, is a director of Alaric, and performs his functions under the terms of an agreement between us and Alaric.</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BOARD APPROVAL OF THE INVESTMENT ADVISORY AGREEMENT</w:t>
      </w:r>
    </w:p>
    <w:p>
      <w:pPr>
        <w:spacing w:after="0" w:line="189" w:lineRule="exact"/>
        <w:rPr>
          <w:sz w:val="20"/>
          <w:szCs w:val="20"/>
          <w:color w:val="auto"/>
        </w:rPr>
      </w:pPr>
    </w:p>
    <w:p>
      <w:pPr>
        <w:ind w:left="460" w:right="759" w:firstLine="324"/>
        <w:spacing w:after="0" w:line="261" w:lineRule="auto"/>
        <w:rPr>
          <w:sz w:val="20"/>
          <w:szCs w:val="20"/>
          <w:color w:val="auto"/>
        </w:rPr>
      </w:pPr>
      <w:r>
        <w:rPr>
          <w:rFonts w:ascii="Times New Roman" w:cs="Times New Roman" w:eastAsia="Times New Roman" w:hAnsi="Times New Roman"/>
          <w:sz w:val="18"/>
          <w:szCs w:val="18"/>
          <w:color w:val="auto"/>
        </w:rPr>
        <w:t>At an in-person meeting of our Board of Directors held on July 26, 2017, our Board of Directors unanimously voted to re-approve the Investment Advisory Agreement. In reaching a decision to approve the Investment Advisory Agreement, the Board of Directors reviewed a significant amount of information and considered and concluded, among other things:</w:t>
      </w:r>
    </w:p>
    <w:p>
      <w:pPr>
        <w:spacing w:after="0" w:line="153" w:lineRule="exact"/>
        <w:rPr>
          <w:sz w:val="20"/>
          <w:szCs w:val="20"/>
          <w:color w:val="auto"/>
        </w:rPr>
      </w:pPr>
    </w:p>
    <w:p>
      <w:pPr>
        <w:ind w:left="1120" w:right="639" w:hanging="333"/>
        <w:spacing w:after="0" w:line="274" w:lineRule="auto"/>
        <w:tabs>
          <w:tab w:leader="none" w:pos="109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quality and extent of the advisory and other services to be provided to us by Oxford Lane Management, including the responses in a questionnaire regarding Oxford Lane Management’s investment process and Oxford Lane Management’s policies and guidelines currently in place to monitor and manage the risk and volatility associated with the Company’s portfolio, and the qualifications and abilities of the professional personnel of Oxford Lane Management and the compensation structure for such personnel, and concluded that such services are satisfactory;</w:t>
      </w:r>
    </w:p>
    <w:p>
      <w:pPr>
        <w:spacing w:after="0" w:line="133" w:lineRule="exact"/>
        <w:rPr>
          <w:rFonts w:ascii="Times New Roman" w:cs="Times New Roman" w:eastAsia="Times New Roman" w:hAnsi="Times New Roman"/>
          <w:sz w:val="17"/>
          <w:szCs w:val="17"/>
          <w:color w:val="auto"/>
        </w:rPr>
      </w:pPr>
    </w:p>
    <w:p>
      <w:pPr>
        <w:ind w:left="1120" w:right="699" w:hanging="333"/>
        <w:spacing w:after="0" w:line="266" w:lineRule="auto"/>
        <w:tabs>
          <w:tab w:leader="none" w:pos="10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performance of OXLC and Oxford Lane Management including a comparison to the performance of OXLC’s peer group, and concluded that OXLC’s performance is reasonable in comparison to its peers;</w:t>
      </w:r>
    </w:p>
    <w:p>
      <w:pPr>
        <w:spacing w:after="0" w:line="135" w:lineRule="exact"/>
        <w:rPr>
          <w:rFonts w:ascii="Times New Roman" w:cs="Times New Roman" w:eastAsia="Times New Roman" w:hAnsi="Times New Roman"/>
          <w:sz w:val="18"/>
          <w:szCs w:val="18"/>
          <w:color w:val="auto"/>
        </w:rPr>
      </w:pPr>
    </w:p>
    <w:p>
      <w:pPr>
        <w:ind w:left="1120" w:right="699" w:hanging="333"/>
        <w:spacing w:after="0" w:line="266" w:lineRule="auto"/>
        <w:tabs>
          <w:tab w:leader="none" w:pos="10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management investment companies with similar investment objectives, and concluded that the total advisory fees paid by OXLC to Oxford Lane Management were reasonable;</w:t>
      </w:r>
    </w:p>
    <w:p>
      <w:pPr>
        <w:spacing w:after="0" w:line="149" w:lineRule="exact"/>
        <w:rPr>
          <w:rFonts w:ascii="Times New Roman" w:cs="Times New Roman" w:eastAsia="Times New Roman" w:hAnsi="Times New Roman"/>
          <w:sz w:val="18"/>
          <w:szCs w:val="18"/>
          <w:color w:val="auto"/>
        </w:rPr>
      </w:pPr>
    </w:p>
    <w:p>
      <w:pPr>
        <w:ind w:left="1120" w:right="459" w:hanging="333"/>
        <w:spacing w:after="0" w:line="266" w:lineRule="auto"/>
        <w:tabs>
          <w:tab w:leader="none" w:pos="10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and projected operating expenses and expense ratio compared to management investment companies with similar investment objectives, and concluded that our operating expenses were reasonable;</w:t>
      </w:r>
    </w:p>
    <w:p>
      <w:pPr>
        <w:spacing w:after="0" w:line="135" w:lineRule="exact"/>
        <w:rPr>
          <w:rFonts w:ascii="Times New Roman" w:cs="Times New Roman" w:eastAsia="Times New Roman" w:hAnsi="Times New Roman"/>
          <w:sz w:val="18"/>
          <w:szCs w:val="18"/>
          <w:color w:val="auto"/>
        </w:rPr>
      </w:pPr>
    </w:p>
    <w:p>
      <w:pPr>
        <w:ind w:left="1120" w:right="699" w:hanging="333"/>
        <w:spacing w:after="0" w:line="266" w:lineRule="auto"/>
        <w:tabs>
          <w:tab w:leader="none" w:pos="10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Oxford Lane Management or BDC Partners from their relationships with OXLC and the profitability of those relationships, and concluded that Oxford Lane Management’s profitability was not excessive with respect to us;</w:t>
      </w:r>
    </w:p>
    <w:p>
      <w:pPr>
        <w:spacing w:after="0" w:line="135" w:lineRule="exact"/>
        <w:rPr>
          <w:rFonts w:ascii="Times New Roman" w:cs="Times New Roman" w:eastAsia="Times New Roman" w:hAnsi="Times New Roman"/>
          <w:sz w:val="18"/>
          <w:szCs w:val="18"/>
          <w:color w:val="auto"/>
        </w:rPr>
      </w:pPr>
    </w:p>
    <w:p>
      <w:pPr>
        <w:ind w:left="1120" w:right="699" w:hanging="333"/>
        <w:spacing w:after="0" w:line="266" w:lineRule="auto"/>
        <w:tabs>
          <w:tab w:leader="none" w:pos="10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to be performed and the personnel performing such services under the Investment Advisory Agreement, and concluded that the services to be performed and the personnel performing such services were satisfactory;</w:t>
      </w:r>
    </w:p>
    <w:p>
      <w:pPr>
        <w:spacing w:after="0" w:line="149" w:lineRule="exact"/>
        <w:rPr>
          <w:rFonts w:ascii="Times New Roman" w:cs="Times New Roman" w:eastAsia="Times New Roman" w:hAnsi="Times New Roman"/>
          <w:sz w:val="18"/>
          <w:szCs w:val="18"/>
          <w:color w:val="auto"/>
        </w:rPr>
      </w:pPr>
    </w:p>
    <w:p>
      <w:pPr>
        <w:ind w:left="1120" w:right="599" w:hanging="333"/>
        <w:spacing w:after="0" w:line="266" w:lineRule="auto"/>
        <w:tabs>
          <w:tab w:leader="none" w:pos="10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capability and financial condition of Oxford Lane Management and its affiliates, and concluded that the organizational capability and financial condition of Oxford Lane Management were reasonable;</w:t>
      </w:r>
    </w:p>
    <w:p>
      <w:pPr>
        <w:spacing w:after="0" w:line="135" w:lineRule="exact"/>
        <w:rPr>
          <w:rFonts w:ascii="Times New Roman" w:cs="Times New Roman" w:eastAsia="Times New Roman" w:hAnsi="Times New Roman"/>
          <w:sz w:val="18"/>
          <w:szCs w:val="18"/>
          <w:color w:val="auto"/>
        </w:rPr>
      </w:pPr>
    </w:p>
    <w:p>
      <w:pPr>
        <w:ind w:left="1120" w:right="739" w:hanging="333"/>
        <w:spacing w:after="0" w:line="282" w:lineRule="auto"/>
        <w:tabs>
          <w:tab w:leader="none" w:pos="10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due diligence-related expenses, travel expenses, and expenses associated with investigating and monitoring investments, and concluded that such expenses were reasonable; and</w:t>
      </w:r>
    </w:p>
    <w:p>
      <w:pPr>
        <w:spacing w:after="0" w:line="121" w:lineRule="exact"/>
        <w:rPr>
          <w:rFonts w:ascii="Times New Roman" w:cs="Times New Roman" w:eastAsia="Times New Roman" w:hAnsi="Times New Roman"/>
          <w:sz w:val="18"/>
          <w:szCs w:val="18"/>
          <w:color w:val="auto"/>
        </w:rPr>
      </w:pPr>
    </w:p>
    <w:p>
      <w:pPr>
        <w:ind w:left="1120" w:right="499" w:hanging="333"/>
        <w:spacing w:after="0" w:line="266" w:lineRule="auto"/>
        <w:tabs>
          <w:tab w:leader="none" w:pos="10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obtaining similar services from other third party service providers or through an internally managed structure, and concluded that our current externally managed structure with Oxford Lane Management as our investment advisor was satisfactory.</w:t>
      </w:r>
    </w:p>
    <w:p>
      <w:pPr>
        <w:spacing w:after="0" w:line="149" w:lineRule="exact"/>
        <w:rPr>
          <w:sz w:val="20"/>
          <w:szCs w:val="20"/>
          <w:color w:val="auto"/>
        </w:rPr>
      </w:pPr>
    </w:p>
    <w:p>
      <w:pPr>
        <w:ind w:left="460" w:right="479" w:firstLine="324"/>
        <w:spacing w:after="0" w:line="255" w:lineRule="auto"/>
        <w:rPr>
          <w:sz w:val="20"/>
          <w:szCs w:val="20"/>
          <w:color w:val="auto"/>
        </w:rPr>
      </w:pPr>
      <w:r>
        <w:rPr>
          <w:rFonts w:ascii="Times New Roman" w:cs="Times New Roman" w:eastAsia="Times New Roman" w:hAnsi="Times New Roman"/>
          <w:sz w:val="18"/>
          <w:szCs w:val="18"/>
          <w:color w:val="auto"/>
        </w:rPr>
        <w:t>Based on the information reviewed and the discussions detailed above, the Board of Directors, including all of the directors who are not “interested persons” as defined in the 1940 Act, concluded that the fees payable to Oxford Lane Management pursuant to the Investment Advisory Agreement were reasonable, and comparable to the fees paid by other management investment companies with similar investment objectives, in relation to the services to be provided. The Board of Directors did not assign relative weights to the above factors or the other factors considered by it. Individual members of the Board of Directors may have given different weights to different factors.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MATTERS TO A VOTE OF SHAREHOLDERS</w:t>
      </w:r>
    </w:p>
    <w:p>
      <w:pPr>
        <w:spacing w:after="0" w:line="189" w:lineRule="exact"/>
        <w:rPr>
          <w:sz w:val="20"/>
          <w:szCs w:val="20"/>
          <w:color w:val="auto"/>
        </w:rPr>
      </w:pPr>
    </w:p>
    <w:p>
      <w:pPr>
        <w:jc w:val="both"/>
        <w:ind w:left="460" w:right="559" w:firstLine="324"/>
        <w:spacing w:after="0" w:line="289" w:lineRule="auto"/>
        <w:rPr>
          <w:sz w:val="20"/>
          <w:szCs w:val="20"/>
          <w:color w:val="auto"/>
        </w:rPr>
      </w:pPr>
      <w:r>
        <w:rPr>
          <w:rFonts w:ascii="Times New Roman" w:cs="Times New Roman" w:eastAsia="Times New Roman" w:hAnsi="Times New Roman"/>
          <w:sz w:val="17"/>
          <w:szCs w:val="17"/>
          <w:color w:val="auto"/>
        </w:rPr>
        <w:t>The Fund held its Annual Meeting of Shareholders (the ‘‘Meeting’’) on September 19, 2017 and submitted one matter to vote of the shareholders. At the Meeting, shareholders elected a nominee for director, to serve for a three-year term to expire at the 2020 Annual Meeting of Shareholders based on the following votes: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Votes Withheld</w:t>
            </w:r>
          </w:p>
        </w:tc>
      </w:tr>
      <w:tr>
        <w:trPr>
          <w:trHeight w:val="25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Reardon</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4,034,415</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1,575,882</w:t>
            </w:r>
          </w:p>
        </w:tc>
      </w:tr>
      <w:tr>
        <w:trPr>
          <w:trHeight w:val="21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ind w:left="4420" w:right="1979" w:hanging="3958"/>
        <w:spacing w:after="0" w:line="462" w:lineRule="auto"/>
        <w:tabs>
          <w:tab w:leader="none" w:pos="79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Reardon was elected by the holders of our preferred stock, voting as a single class.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-120650</wp:posOffset>
            </wp:positionV>
            <wp:extent cx="51454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Portfolio Information</w:t>
      </w:r>
    </w:p>
    <w:p>
      <w:pPr>
        <w:spacing w:after="0" w:line="189" w:lineRule="exact"/>
        <w:rPr>
          <w:sz w:val="20"/>
          <w:szCs w:val="20"/>
          <w:color w:val="auto"/>
        </w:rPr>
      </w:pPr>
    </w:p>
    <w:p>
      <w:pPr>
        <w:ind w:left="460" w:right="4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Fund files its complete schedule of portfolio holdings with the Securities and Exchange Commission (the “Commission”) for the first and third quarters of each fiscal year on Form N-Q, within sixty days after the end of the relevant period. Form N-Q filings of the Fund are available on the Commission’s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and may be reviewed and copied at the Commission’s Public Reference Room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Washington, DC. Information on the operation of the Public Reference Room may be obtained by calling 1-800-SEC-0330. This information is also available free of charge by contacting the Fund by mail at 8 Sound Shore Drive, Suite 255, Greenwich, CT 06830, by telephone at (203) 983-5275 or on its website at </w:t>
      </w:r>
      <w:r>
        <w:rPr>
          <w:rFonts w:ascii="Times New Roman" w:cs="Times New Roman" w:eastAsia="Times New Roman" w:hAnsi="Times New Roman"/>
          <w:sz w:val="18"/>
          <w:szCs w:val="18"/>
          <w:i w:val="1"/>
          <w:iCs w:val="1"/>
          <w:color w:val="auto"/>
        </w:rPr>
        <w:t>http://www.oxfordlanecapital.com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Proxy Information</w:t>
      </w:r>
    </w:p>
    <w:p>
      <w:pPr>
        <w:spacing w:after="0" w:line="202" w:lineRule="exact"/>
        <w:rPr>
          <w:sz w:val="20"/>
          <w:szCs w:val="20"/>
          <w:color w:val="auto"/>
        </w:rPr>
      </w:pPr>
    </w:p>
    <w:p>
      <w:pPr>
        <w:ind w:left="460" w:right="679" w:firstLine="324"/>
        <w:spacing w:after="0" w:line="276" w:lineRule="auto"/>
        <w:rPr>
          <w:sz w:val="20"/>
          <w:szCs w:val="20"/>
          <w:color w:val="auto"/>
        </w:rPr>
      </w:pPr>
      <w:r>
        <w:rPr>
          <w:rFonts w:ascii="Times New Roman" w:cs="Times New Roman" w:eastAsia="Times New Roman" w:hAnsi="Times New Roman"/>
          <w:sz w:val="17"/>
          <w:szCs w:val="17"/>
          <w:color w:val="auto"/>
        </w:rPr>
        <w:t>A description of the policies and procedures that the Fund’s investment adviser uses to determine how to vote proxies relating to the Fund’s portfolio securities is available (i) without charge, upon request, by calling</w:t>
      </w:r>
    </w:p>
    <w:p>
      <w:pPr>
        <w:spacing w:after="0" w:line="1" w:lineRule="exact"/>
        <w:rPr>
          <w:sz w:val="20"/>
          <w:szCs w:val="20"/>
          <w:color w:val="auto"/>
        </w:rPr>
      </w:pPr>
    </w:p>
    <w:p>
      <w:pPr>
        <w:ind w:left="460" w:right="679" w:firstLine="2"/>
        <w:spacing w:after="0" w:line="265" w:lineRule="auto"/>
        <w:tabs>
          <w:tab w:leader="none" w:pos="89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983-5275; (ii) on the Fund’s website at </w:t>
      </w:r>
      <w:r>
        <w:rPr>
          <w:rFonts w:ascii="Times New Roman" w:cs="Times New Roman" w:eastAsia="Times New Roman" w:hAnsi="Times New Roman"/>
          <w:sz w:val="17"/>
          <w:szCs w:val="17"/>
          <w:i w:val="1"/>
          <w:iCs w:val="1"/>
          <w:color w:val="auto"/>
        </w:rPr>
        <w:t>http://www.oxfordlanecapital.com</w:t>
      </w:r>
      <w:r>
        <w:rPr>
          <w:rFonts w:ascii="Times New Roman" w:cs="Times New Roman" w:eastAsia="Times New Roman" w:hAnsi="Times New Roman"/>
          <w:sz w:val="17"/>
          <w:szCs w:val="17"/>
          <w:color w:val="auto"/>
        </w:rPr>
        <w:t>. Information about how the Fund’s investment adviser voted proxies with respect to the Fund’s portfolio securities during the most recent</w:t>
      </w:r>
    </w:p>
    <w:p>
      <w:pPr>
        <w:ind w:left="460" w:right="55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12-month period ended March 31 can be obtained by making a written request for proxy voting information to: Chief Compliance Officer, Oxford Lane Management, LLC, 8 Sound Shore Drive, Suite 255, Greenwich, CT 06830.</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 Information</w:t>
      </w:r>
    </w:p>
    <w:p>
      <w:pPr>
        <w:spacing w:after="0" w:line="189" w:lineRule="exact"/>
        <w:rPr>
          <w:sz w:val="20"/>
          <w:szCs w:val="20"/>
          <w:color w:val="auto"/>
        </w:rPr>
      </w:pPr>
    </w:p>
    <w:p>
      <w:pPr>
        <w:ind w:left="460" w:right="939" w:firstLine="324"/>
        <w:spacing w:after="0" w:line="282" w:lineRule="auto"/>
        <w:rPr>
          <w:sz w:val="20"/>
          <w:szCs w:val="20"/>
          <w:color w:val="auto"/>
        </w:rPr>
      </w:pPr>
      <w:r>
        <w:rPr>
          <w:rFonts w:ascii="Times New Roman" w:cs="Times New Roman" w:eastAsia="Times New Roman" w:hAnsi="Times New Roman"/>
          <w:sz w:val="18"/>
          <w:szCs w:val="18"/>
          <w:color w:val="auto"/>
        </w:rPr>
        <w:t>For tax purposes, distributions to shareholders during the six months ended September 30, 2017 were approximately $19.6 million.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Privacy Policy</w:t>
      </w:r>
    </w:p>
    <w:p>
      <w:pPr>
        <w:spacing w:after="0" w:line="189" w:lineRule="exact"/>
        <w:rPr>
          <w:sz w:val="20"/>
          <w:szCs w:val="20"/>
          <w:color w:val="auto"/>
        </w:rPr>
      </w:pPr>
    </w:p>
    <w:p>
      <w:pPr>
        <w:ind w:left="460" w:right="539" w:firstLine="324"/>
        <w:spacing w:after="0" w:line="261" w:lineRule="auto"/>
        <w:rPr>
          <w:sz w:val="20"/>
          <w:szCs w:val="20"/>
          <w:color w:val="auto"/>
        </w:rPr>
      </w:pPr>
      <w:r>
        <w:rPr>
          <w:rFonts w:ascii="Times New Roman" w:cs="Times New Roman" w:eastAsia="Times New Roman" w:hAnsi="Times New Roman"/>
          <w:sz w:val="18"/>
          <w:szCs w:val="18"/>
          <w:color w:val="auto"/>
        </w:rPr>
        <w:t>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w:t>
      </w:r>
    </w:p>
    <w:p>
      <w:pPr>
        <w:spacing w:after="0" w:line="153" w:lineRule="exact"/>
        <w:rPr>
          <w:sz w:val="20"/>
          <w:szCs w:val="20"/>
          <w:color w:val="auto"/>
        </w:rPr>
      </w:pPr>
    </w:p>
    <w:p>
      <w:pPr>
        <w:ind w:left="460" w:right="639" w:firstLine="324"/>
        <w:spacing w:after="0" w:line="266" w:lineRule="auto"/>
        <w:rPr>
          <w:sz w:val="20"/>
          <w:szCs w:val="20"/>
          <w:color w:val="auto"/>
        </w:rPr>
      </w:pPr>
      <w:r>
        <w:rPr>
          <w:rFonts w:ascii="Times New Roman" w:cs="Times New Roman" w:eastAsia="Times New Roman" w:hAnsi="Times New Roman"/>
          <w:sz w:val="18"/>
          <w:szCs w:val="18"/>
          <w:color w:val="auto"/>
        </w:rPr>
        <w:t>We will safeguard, according to strict standards of security and confidentiality, all information we receive about you. With regard to this information, we maintain procedural safeguards that comply with federal standards.</w:t>
      </w:r>
    </w:p>
    <w:p>
      <w:pPr>
        <w:spacing w:after="0" w:line="136" w:lineRule="exact"/>
        <w:rPr>
          <w:sz w:val="20"/>
          <w:szCs w:val="20"/>
          <w:color w:val="auto"/>
        </w:rPr>
      </w:pPr>
    </w:p>
    <w:p>
      <w:pPr>
        <w:ind w:left="460" w:right="679" w:firstLine="324"/>
        <w:spacing w:after="0" w:line="266" w:lineRule="auto"/>
        <w:rPr>
          <w:sz w:val="20"/>
          <w:szCs w:val="20"/>
          <w:color w:val="auto"/>
        </w:rPr>
      </w:pPr>
      <w:r>
        <w:rPr>
          <w:rFonts w:ascii="Times New Roman" w:cs="Times New Roman" w:eastAsia="Times New Roman" w:hAnsi="Times New Roman"/>
          <w:sz w:val="18"/>
          <w:szCs w:val="18"/>
          <w:color w:val="auto"/>
        </w:rPr>
        <w:t>Our goal is to limit the collection and use of information about you. When you purchase shares of our common stock, our transfer agent collects personal information about you, such as your name, address, social security number or tax identification number.</w:t>
      </w:r>
    </w:p>
    <w:p>
      <w:pPr>
        <w:spacing w:after="0" w:line="136" w:lineRule="exact"/>
        <w:rPr>
          <w:sz w:val="20"/>
          <w:szCs w:val="20"/>
          <w:color w:val="auto"/>
        </w:rPr>
      </w:pPr>
    </w:p>
    <w:p>
      <w:pPr>
        <w:ind w:left="460" w:right="1239" w:firstLine="324"/>
        <w:spacing w:after="0" w:line="282" w:lineRule="auto"/>
        <w:rPr>
          <w:sz w:val="20"/>
          <w:szCs w:val="20"/>
          <w:color w:val="auto"/>
        </w:rPr>
      </w:pPr>
      <w:r>
        <w:rPr>
          <w:rFonts w:ascii="Times New Roman" w:cs="Times New Roman" w:eastAsia="Times New Roman" w:hAnsi="Times New Roman"/>
          <w:sz w:val="18"/>
          <w:szCs w:val="18"/>
          <w:color w:val="auto"/>
        </w:rPr>
        <w:t>This information is used only so that we can send you annual reports, proxy statements and other information required by law, and to send you information we believe may be of interest to you.</w:t>
      </w:r>
    </w:p>
    <w:p>
      <w:pPr>
        <w:spacing w:after="0" w:line="13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We do not share such information with any non-affiliated third party except as described below:</w:t>
      </w:r>
    </w:p>
    <w:p>
      <w:pPr>
        <w:spacing w:after="0" w:line="185" w:lineRule="exact"/>
        <w:rPr>
          <w:sz w:val="20"/>
          <w:szCs w:val="20"/>
          <w:color w:val="auto"/>
        </w:rPr>
      </w:pPr>
    </w:p>
    <w:p>
      <w:pPr>
        <w:ind w:left="1120" w:right="659" w:hanging="333"/>
        <w:spacing w:after="0" w:line="282" w:lineRule="auto"/>
        <w:tabs>
          <w:tab w:leader="none" w:pos="10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our policy that only authorized employees of our investment adviser, Oxford Lane Management, LLC, who need to know your personal information will have access to it.</w:t>
      </w:r>
    </w:p>
    <w:p>
      <w:pPr>
        <w:spacing w:after="0" w:line="121" w:lineRule="exact"/>
        <w:rPr>
          <w:rFonts w:ascii="Times New Roman" w:cs="Times New Roman" w:eastAsia="Times New Roman" w:hAnsi="Times New Roman"/>
          <w:sz w:val="18"/>
          <w:szCs w:val="18"/>
          <w:color w:val="auto"/>
        </w:rPr>
      </w:pPr>
    </w:p>
    <w:p>
      <w:pPr>
        <w:jc w:val="both"/>
        <w:ind w:left="1120" w:right="799" w:hanging="333"/>
        <w:spacing w:after="0" w:line="289" w:lineRule="auto"/>
        <w:tabs>
          <w:tab w:leader="none" w:pos="109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w:t>
      </w:r>
    </w:p>
    <w:p>
      <w:pPr>
        <w:spacing w:after="0" w:line="131" w:lineRule="exact"/>
        <w:rPr>
          <w:rFonts w:ascii="Times New Roman" w:cs="Times New Roman" w:eastAsia="Times New Roman" w:hAnsi="Times New Roman"/>
          <w:sz w:val="17"/>
          <w:szCs w:val="17"/>
          <w:color w:val="auto"/>
        </w:rPr>
      </w:pPr>
    </w:p>
    <w:p>
      <w:pPr>
        <w:ind w:left="1120" w:right="479" w:hanging="333"/>
        <w:spacing w:after="0" w:line="266" w:lineRule="auto"/>
        <w:tabs>
          <w:tab w:leader="none" w:pos="10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law, we may disclose stockholder-related information in accordance with a court order or at the request of government regulators. Only that information required by law, subpoena, or court order will be disclosed.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9"/>
          <w:szCs w:val="29"/>
          <w:b w:val="1"/>
          <w:bCs w:val="1"/>
          <w:color w:val="auto"/>
        </w:rPr>
        <w:t>Oxford Lane Capital Corp.</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Independent Directors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 J. Ashenfelter, Chairman of the Board of Directors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John Reardon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David S. Shin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Interested Directors</w:t>
      </w:r>
      <w:r>
        <w:rPr>
          <w:rFonts w:ascii="Times New Roman" w:cs="Times New Roman" w:eastAsia="Times New Roman" w:hAnsi="Times New Roman"/>
          <w:sz w:val="21"/>
          <w:szCs w:val="21"/>
          <w:color w:val="auto"/>
          <w:vertAlign w:val="superscript"/>
        </w:rPr>
        <w:t>(1)</w:t>
      </w:r>
    </w:p>
    <w:p>
      <w:pPr>
        <w:ind w:left="460"/>
        <w:spacing w:after="0"/>
        <w:rPr>
          <w:sz w:val="20"/>
          <w:szCs w:val="20"/>
          <w:color w:val="auto"/>
        </w:rPr>
      </w:pPr>
      <w:r>
        <w:rPr>
          <w:rFonts w:ascii="Times New Roman" w:cs="Times New Roman" w:eastAsia="Times New Roman" w:hAnsi="Times New Roman"/>
          <w:sz w:val="18"/>
          <w:szCs w:val="18"/>
          <w:b w:val="1"/>
          <w:bCs w:val="1"/>
          <w:color w:val="auto"/>
        </w:rPr>
        <w:t>Jonathan H. Cohen</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Saul B. Rosenthal</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OFFICERS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Jonathan H. Cohen, 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Saul B. Rosenthal, President</w:t>
      </w:r>
    </w:p>
    <w:p>
      <w:pPr>
        <w:spacing w:after="0" w:line="9" w:lineRule="exact"/>
        <w:rPr>
          <w:sz w:val="20"/>
          <w:szCs w:val="20"/>
          <w:color w:val="auto"/>
        </w:rPr>
      </w:pPr>
    </w:p>
    <w:p>
      <w:pPr>
        <w:ind w:left="460" w:right="2699"/>
        <w:spacing w:after="0" w:line="261" w:lineRule="auto"/>
        <w:rPr>
          <w:sz w:val="20"/>
          <w:szCs w:val="20"/>
          <w:color w:val="auto"/>
        </w:rPr>
      </w:pPr>
      <w:r>
        <w:rPr>
          <w:rFonts w:ascii="Times New Roman" w:cs="Times New Roman" w:eastAsia="Times New Roman" w:hAnsi="Times New Roman"/>
          <w:sz w:val="18"/>
          <w:szCs w:val="18"/>
          <w:b w:val="1"/>
          <w:bCs w:val="1"/>
          <w:color w:val="auto"/>
        </w:rPr>
        <w:t>Bruce L. Rubin, Chief Financial Officer, Corporate Secretary and Treasurer Gerald Cummins, Chief Compliance Officer</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Oxford Lane Management, LLC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Sound Shore Drive, Suite 255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As defined under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262890</wp:posOffset>
            </wp:positionV>
            <wp:extent cx="51454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8 Sound Shore Drive, Suite 255 | Greenwich, CT 06830 | </w:t>
      </w:r>
      <w:r>
        <w:rPr>
          <w:rFonts w:ascii="Times New Roman" w:cs="Times New Roman" w:eastAsia="Times New Roman" w:hAnsi="Times New Roman"/>
          <w:sz w:val="17"/>
          <w:szCs w:val="17"/>
          <w:i w:val="1"/>
          <w:iCs w:val="1"/>
          <w:color w:val="auto"/>
        </w:rPr>
        <w:t>oxfordlanecapital.com</w:t>
      </w:r>
      <w:r>
        <w:rPr>
          <w:rFonts w:ascii="Times New Roman" w:cs="Times New Roman" w:eastAsia="Times New Roman" w:hAnsi="Times New Roman"/>
          <w:sz w:val="17"/>
          <w:szCs w:val="17"/>
          <w:color w:val="auto"/>
        </w:rPr>
        <w:t xml:space="preserve"> | (203) 983-5275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283210</wp:posOffset>
            </wp:positionV>
            <wp:extent cx="51454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b w:val="1"/>
          <w:bCs w:val="1"/>
          <w:color w:val="auto"/>
        </w:rPr>
        <w:t>Item 2. Code of Ethics.</w:t>
      </w:r>
    </w:p>
    <w:p>
      <w:pPr>
        <w:spacing w:after="0" w:line="189" w:lineRule="exact"/>
        <w:rPr>
          <w:sz w:val="20"/>
          <w:szCs w:val="20"/>
          <w:color w:val="auto"/>
        </w:rPr>
      </w:pPr>
    </w:p>
    <w:p>
      <w:pPr>
        <w:ind w:left="460" w:right="4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Registrant has adopted a code of business conduct and ethics which applies to, among others, its senior officers, including its Chief Executive Officer (its principal executive officer) and Chief Financial Officer (its principal financial officer), as well as every officer, director and employee of Oxford Lane Capital Corp. The Registrant did not grant any waivers, including implicit waivers, from any provisions of the code of business conduct and ethics during the period covered by this report. The Registrant’s code of business conduct and ethics can be accessed via its website at </w:t>
      </w:r>
      <w:r>
        <w:rPr>
          <w:rFonts w:ascii="Times New Roman" w:cs="Times New Roman" w:eastAsia="Times New Roman" w:hAnsi="Times New Roman"/>
          <w:sz w:val="18"/>
          <w:szCs w:val="18"/>
          <w:i w:val="1"/>
          <w:iCs w:val="1"/>
          <w:color w:val="auto"/>
        </w:rPr>
        <w:t>http://www.oxfordlanecapital.com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3. Audit Committee Financial Expert.</w:t>
      </w:r>
    </w:p>
    <w:p>
      <w:pPr>
        <w:spacing w:after="0" w:line="20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this Form N-CSR.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4. Principal Accountant Fees and Services.</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this Form N-CSR.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5. Audit Committee of Listed Registrant.</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this Form N-CSR.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6. Schedule of Investments.</w:t>
      </w: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Please see the schedule of investments contained in the Report to Stockholders included under Item 1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Form N-CSR.</w:t>
      </w:r>
    </w:p>
    <w:p>
      <w:pPr>
        <w:spacing w:after="0" w:line="203" w:lineRule="exact"/>
        <w:rPr>
          <w:sz w:val="20"/>
          <w:szCs w:val="20"/>
          <w:color w:val="auto"/>
        </w:rPr>
      </w:pPr>
    </w:p>
    <w:p>
      <w:pPr>
        <w:ind w:left="460" w:right="879"/>
        <w:spacing w:after="0" w:line="286" w:lineRule="auto"/>
        <w:rPr>
          <w:sz w:val="20"/>
          <w:szCs w:val="20"/>
          <w:color w:val="auto"/>
        </w:rPr>
      </w:pPr>
      <w:r>
        <w:rPr>
          <w:rFonts w:ascii="Times New Roman" w:cs="Times New Roman" w:eastAsia="Times New Roman" w:hAnsi="Times New Roman"/>
          <w:sz w:val="18"/>
          <w:szCs w:val="18"/>
          <w:b w:val="1"/>
          <w:bCs w:val="1"/>
          <w:color w:val="auto"/>
        </w:rPr>
        <w:t>Item 7. Disclosure of Proxy Voting Policies and Procedures for Closed-End Management Investment Companies.</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information required by this item is not required in a semi-annual report on this Form N-CSR.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8. Portfolio Managers of Closed-End Investment Companies.</w:t>
      </w:r>
    </w:p>
    <w:p>
      <w:pPr>
        <w:spacing w:after="0" w:line="189" w:lineRule="exact"/>
        <w:rPr>
          <w:sz w:val="20"/>
          <w:szCs w:val="20"/>
          <w:color w:val="auto"/>
        </w:rPr>
      </w:pPr>
    </w:p>
    <w:p>
      <w:pPr>
        <w:ind w:left="1100" w:hanging="313"/>
        <w:spacing w:after="0"/>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is not required in a semi-annual report on this Form N-CSR.</w:t>
      </w:r>
    </w:p>
    <w:p>
      <w:pPr>
        <w:spacing w:after="0" w:line="198" w:lineRule="exact"/>
        <w:rPr>
          <w:rFonts w:ascii="Times New Roman" w:cs="Times New Roman" w:eastAsia="Times New Roman" w:hAnsi="Times New Roman"/>
          <w:sz w:val="18"/>
          <w:szCs w:val="18"/>
          <w:color w:val="auto"/>
        </w:rPr>
      </w:pPr>
    </w:p>
    <w:p>
      <w:pPr>
        <w:ind w:left="1120" w:right="459" w:hanging="333"/>
        <w:spacing w:after="0" w:line="266" w:lineRule="auto"/>
        <w:tabs>
          <w:tab w:leader="none" w:pos="11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change, as of the date of the filing of the semi-annual report on this Form N-CSR, to any of the portfolio managers identified in response to paragraph (a)(1) of this item in the Registrant’s most recent annual report on Form N-CSR.</w:t>
      </w:r>
    </w:p>
    <w:p>
      <w:pPr>
        <w:spacing w:after="0" w:line="172"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color w:val="auto"/>
        </w:rPr>
        <w:t>Item 9. Purchases of Equity Securities by Closed-End Management Investment Company and Affiliated Purchasers.</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10. Submission of Matters to a Vote of Security Holders.</w:t>
      </w:r>
    </w:p>
    <w:p>
      <w:pPr>
        <w:spacing w:after="0" w:line="189" w:lineRule="exact"/>
        <w:rPr>
          <w:sz w:val="20"/>
          <w:szCs w:val="20"/>
          <w:color w:val="auto"/>
        </w:rPr>
      </w:pPr>
    </w:p>
    <w:p>
      <w:pPr>
        <w:ind w:left="460" w:right="559" w:firstLine="324"/>
        <w:spacing w:after="0" w:line="258" w:lineRule="auto"/>
        <w:rPr>
          <w:sz w:val="20"/>
          <w:szCs w:val="20"/>
          <w:color w:val="auto"/>
        </w:rPr>
      </w:pPr>
      <w:r>
        <w:rPr>
          <w:rFonts w:ascii="Times New Roman" w:cs="Times New Roman" w:eastAsia="Times New Roman" w:hAnsi="Times New Roman"/>
          <w:sz w:val="18"/>
          <w:szCs w:val="18"/>
          <w:color w:val="auto"/>
        </w:rPr>
        <w:t>On November 1, 2017, the Board of Directors unanimously voted to amend the Fund’s bylaws to, among other things, clarify that the notice from a stockholder pursuant to which such stockholder nominates an individual to the Board of Directors must include the nominee’s consent to being named in the proxy statement as a nominee and the nominee’s certification that he or she currently intends to serve as a director for the full term for which he or she is standing (if so elected).</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b w:val="1"/>
          <w:bCs w:val="1"/>
          <w:color w:val="auto"/>
        </w:rPr>
        <w:t>Item 11. Controls and Procedures.</w:t>
      </w:r>
    </w:p>
    <w:p>
      <w:pPr>
        <w:spacing w:after="0" w:line="189" w:lineRule="exact"/>
        <w:rPr>
          <w:sz w:val="20"/>
          <w:szCs w:val="20"/>
          <w:color w:val="auto"/>
        </w:rPr>
      </w:pPr>
    </w:p>
    <w:p>
      <w:pPr>
        <w:ind w:left="1120" w:right="459" w:hanging="333"/>
        <w:spacing w:after="0" w:line="271" w:lineRule="auto"/>
        <w:tabs>
          <w:tab w:leader="none" w:pos="111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an evaluation of the Disclosure Controls and Procedures (as defined in Rule 30a-3(c) under the Investment Company Act of 1940, the “Disclosure Controls”) as of a date within 90 days prior to the filing date (the “Filing Date”) of this Form N-CSR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47" w:lineRule="exact"/>
        <w:rPr>
          <w:rFonts w:ascii="Times New Roman" w:cs="Times New Roman" w:eastAsia="Times New Roman" w:hAnsi="Times New Roman"/>
          <w:sz w:val="17"/>
          <w:szCs w:val="17"/>
          <w:color w:val="auto"/>
        </w:rPr>
      </w:pPr>
    </w:p>
    <w:p>
      <w:pPr>
        <w:ind w:left="1120" w:right="559" w:hanging="333"/>
        <w:spacing w:after="0" w:line="261" w:lineRule="auto"/>
        <w:tabs>
          <w:tab w:leader="none" w:pos="11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in the Registrant’s internal control over financial reporting (as defined in Rule 30a-3 (d) under the Investment Company Act of 1940) that occurred during the Registrant’s last fiscal quarter of the period covered by this report that have materially affected or are reasonably likely to materially affect the Registrant’s internal control over financial reporting.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12. Disclosure of Securities Lending Activities for Closed-End Management Investment Companies</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Exhibits.</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(a)(1)  Registrant has posted its current Code of Ethics, on its website at </w:t>
      </w:r>
      <w:r>
        <w:rPr>
          <w:rFonts w:ascii="Times New Roman" w:cs="Times New Roman" w:eastAsia="Times New Roman" w:hAnsi="Times New Roman"/>
          <w:sz w:val="18"/>
          <w:szCs w:val="18"/>
          <w:i w:val="1"/>
          <w:iCs w:val="1"/>
          <w:color w:val="auto"/>
        </w:rPr>
        <w:t>www.oxfordlanecapital.com.</w:t>
      </w:r>
    </w:p>
    <w:p>
      <w:pPr>
        <w:spacing w:after="0" w:line="200" w:lineRule="exact"/>
        <w:rPr>
          <w:sz w:val="20"/>
          <w:szCs w:val="20"/>
          <w:color w:val="auto"/>
        </w:rPr>
      </w:pPr>
    </w:p>
    <w:p>
      <w:pPr>
        <w:ind w:left="1120" w:right="639" w:hanging="539"/>
        <w:spacing w:after="0" w:line="282" w:lineRule="auto"/>
        <w:rPr>
          <w:sz w:val="20"/>
          <w:szCs w:val="20"/>
          <w:color w:val="auto"/>
        </w:rPr>
      </w:pPr>
      <w:r>
        <w:rPr>
          <w:rFonts w:ascii="Times New Roman" w:cs="Times New Roman" w:eastAsia="Times New Roman" w:hAnsi="Times New Roman"/>
          <w:sz w:val="18"/>
          <w:szCs w:val="18"/>
          <w:color w:val="auto"/>
        </w:rPr>
        <w:t>(a)(2) Certifications of principal executive officer and principal accounting officer as required by Rule 30a-2(a) under the Investment Company Act of 1940.</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(a)(3)  Not applicable.</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(a)(4)  Not applicable.</w:t>
      </w:r>
    </w:p>
    <w:p>
      <w:pPr>
        <w:spacing w:after="0" w:line="198" w:lineRule="exact"/>
        <w:rPr>
          <w:sz w:val="20"/>
          <w:szCs w:val="20"/>
          <w:color w:val="auto"/>
        </w:rPr>
      </w:pPr>
    </w:p>
    <w:p>
      <w:pPr>
        <w:ind w:left="1120" w:right="459" w:hanging="550"/>
        <w:spacing w:after="0" w:line="282" w:lineRule="auto"/>
        <w:tabs>
          <w:tab w:leader="none" w:pos="110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of chief executive officer and chief accounting officer as required by Rule 30a-2(b) under the Investment Company Act of 1940.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left="460" w:right="639"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and the Investment Company Act of 1940, the Registrant has duly caused this report to be signed on its behalf by the undersigned, thereunto duly authorized.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9" w:lineRule="exact"/>
        <w:rPr>
          <w:sz w:val="20"/>
          <w:szCs w:val="20"/>
          <w:color w:val="auto"/>
        </w:rPr>
      </w:pPr>
    </w:p>
    <w:p>
      <w:pPr>
        <w:ind w:left="4100"/>
        <w:spacing w:after="0"/>
        <w:tabs>
          <w:tab w:leader="none" w:pos="4560" w:val="left"/>
        </w:tabs>
        <w:rPr>
          <w:sz w:val="20"/>
          <w:szCs w:val="20"/>
          <w:color w:val="auto"/>
        </w:rPr>
      </w:pPr>
      <w:r>
        <w:rPr>
          <w:rFonts w:ascii="Times New Roman" w:cs="Times New Roman" w:eastAsia="Times New Roman" w:hAnsi="Times New Roman"/>
          <w:sz w:val="18"/>
          <w:szCs w:val="18"/>
          <w:color w:val="auto"/>
        </w:rPr>
        <w:t>By:</w:t>
        <w:tab/>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17145</wp:posOffset>
            </wp:positionV>
            <wp:extent cx="25298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Jonathan H. Cohen</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Date: November 7, 2017</w:t>
      </w:r>
    </w:p>
    <w:p>
      <w:pPr>
        <w:spacing w:after="0" w:line="185" w:lineRule="exact"/>
        <w:rPr>
          <w:sz w:val="20"/>
          <w:szCs w:val="20"/>
          <w:color w:val="auto"/>
        </w:rPr>
      </w:pPr>
    </w:p>
    <w:p>
      <w:pPr>
        <w:ind w:left="460" w:right="639"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and the Investment Company Act of 1940, this report has been signed below by the following persons on behalf of the Registrant and in the capacities and on the dates indicated.</w:t>
      </w:r>
    </w:p>
    <w:p>
      <w:pPr>
        <w:spacing w:after="0" w:line="163" w:lineRule="exact"/>
        <w:rPr>
          <w:sz w:val="20"/>
          <w:szCs w:val="20"/>
          <w:color w:val="auto"/>
        </w:rPr>
      </w:pPr>
    </w:p>
    <w:p>
      <w:pPr>
        <w:ind w:left="4080"/>
        <w:spacing w:after="0"/>
        <w:tabs>
          <w:tab w:leader="none" w:pos="4540" w:val="left"/>
        </w:tabs>
        <w:rPr>
          <w:sz w:val="20"/>
          <w:szCs w:val="20"/>
          <w:color w:val="auto"/>
        </w:rPr>
      </w:pPr>
      <w:r>
        <w:rPr>
          <w:rFonts w:ascii="Times New Roman" w:cs="Times New Roman" w:eastAsia="Times New Roman" w:hAnsi="Times New Roman"/>
          <w:sz w:val="18"/>
          <w:szCs w:val="18"/>
          <w:color w:val="auto"/>
        </w:rPr>
        <w:t>By:</w:t>
        <w:tab/>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17145</wp:posOffset>
            </wp:positionV>
            <wp:extent cx="25387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Jonathan H. Cohen</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Date: November 7, 2017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80"/>
        <w:spacing w:after="0"/>
        <w:tabs>
          <w:tab w:leader="none" w:pos="4540" w:val="left"/>
        </w:tabs>
        <w:rPr>
          <w:sz w:val="20"/>
          <w:szCs w:val="20"/>
          <w:color w:val="auto"/>
        </w:rPr>
      </w:pPr>
      <w:r>
        <w:rPr>
          <w:rFonts w:ascii="Times New Roman" w:cs="Times New Roman" w:eastAsia="Times New Roman" w:hAnsi="Times New Roman"/>
          <w:sz w:val="18"/>
          <w:szCs w:val="18"/>
          <w:color w:val="auto"/>
        </w:rPr>
        <w:t>By:</w:t>
        <w:tab/>
        <w:t>/s/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17145</wp:posOffset>
            </wp:positionV>
            <wp:extent cx="25387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Bruce L. Rubin</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Date: November 7, 2017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17145</wp:posOffset>
            </wp:positionV>
            <wp:extent cx="51454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8" w:name="page49"/>
    <w:bookmarkEnd w:id="48"/>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99.Cert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13(a)(2)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30a-2(a) Certification</w:t>
      </w:r>
    </w:p>
    <w:p>
      <w:pPr>
        <w:spacing w:after="0" w:line="16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 Jonathan H. Cohen, Chief Executive Officer of Oxford Lane Capital Corp., certify that:</w:t>
      </w:r>
    </w:p>
    <w:p>
      <w:pPr>
        <w:spacing w:after="0" w:line="198" w:lineRule="exact"/>
        <w:rPr>
          <w:sz w:val="20"/>
          <w:szCs w:val="20"/>
          <w:color w:val="auto"/>
        </w:rPr>
      </w:pPr>
    </w:p>
    <w:p>
      <w:pPr>
        <w:ind w:left="1080" w:hanging="293"/>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N-CSR of Oxford Lane Capital Corp.;</w:t>
      </w:r>
    </w:p>
    <w:p>
      <w:pPr>
        <w:spacing w:after="0" w:line="184" w:lineRule="exact"/>
        <w:rPr>
          <w:rFonts w:ascii="Times New Roman" w:cs="Times New Roman" w:eastAsia="Times New Roman" w:hAnsi="Times New Roman"/>
          <w:sz w:val="18"/>
          <w:szCs w:val="18"/>
          <w:color w:val="auto"/>
        </w:rPr>
      </w:pPr>
    </w:p>
    <w:p>
      <w:pPr>
        <w:jc w:val="both"/>
        <w:ind w:left="1120" w:right="539" w:hanging="333"/>
        <w:spacing w:after="0" w:line="266" w:lineRule="auto"/>
        <w:tabs>
          <w:tab w:leader="none" w:pos="10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120" w:right="519" w:hanging="333"/>
        <w:spacing w:after="0" w:line="261" w:lineRule="auto"/>
        <w:tabs>
          <w:tab w:leader="none" w:pos="10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153" w:lineRule="exact"/>
        <w:rPr>
          <w:rFonts w:ascii="Times New Roman" w:cs="Times New Roman" w:eastAsia="Times New Roman" w:hAnsi="Times New Roman"/>
          <w:sz w:val="18"/>
          <w:szCs w:val="18"/>
          <w:color w:val="auto"/>
        </w:rPr>
      </w:pPr>
    </w:p>
    <w:p>
      <w:pPr>
        <w:ind w:left="1120" w:right="539" w:hanging="333"/>
        <w:spacing w:after="0" w:line="261" w:lineRule="auto"/>
        <w:tabs>
          <w:tab w:leader="none" w:pos="10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39" w:lineRule="exact"/>
        <w:rPr>
          <w:rFonts w:ascii="Times New Roman" w:cs="Times New Roman" w:eastAsia="Times New Roman" w:hAnsi="Times New Roman"/>
          <w:sz w:val="18"/>
          <w:szCs w:val="18"/>
          <w:color w:val="auto"/>
        </w:rPr>
      </w:pPr>
    </w:p>
    <w:p>
      <w:pPr>
        <w:ind w:left="1480" w:right="559" w:hanging="333"/>
        <w:spacing w:after="0" w:line="261" w:lineRule="auto"/>
        <w:tabs>
          <w:tab w:leader="none" w:pos="14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480" w:right="919" w:hanging="333"/>
        <w:spacing w:after="0" w:line="261" w:lineRule="auto"/>
        <w:tabs>
          <w:tab w:leader="none" w:pos="146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Times New Roman" w:cs="Times New Roman" w:eastAsia="Times New Roman" w:hAnsi="Times New Roman"/>
          <w:sz w:val="18"/>
          <w:szCs w:val="18"/>
          <w:color w:val="auto"/>
        </w:rPr>
      </w:pPr>
    </w:p>
    <w:p>
      <w:pPr>
        <w:jc w:val="both"/>
        <w:ind w:left="1480" w:right="499" w:hanging="333"/>
        <w:spacing w:after="0" w:line="266" w:lineRule="auto"/>
        <w:tabs>
          <w:tab w:leader="none" w:pos="14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35" w:lineRule="exact"/>
        <w:rPr>
          <w:rFonts w:ascii="Times New Roman" w:cs="Times New Roman" w:eastAsia="Times New Roman" w:hAnsi="Times New Roman"/>
          <w:sz w:val="18"/>
          <w:szCs w:val="18"/>
          <w:color w:val="auto"/>
        </w:rPr>
      </w:pPr>
    </w:p>
    <w:p>
      <w:pPr>
        <w:ind w:left="1480" w:right="559" w:hanging="333"/>
        <w:spacing w:after="0" w:line="261" w:lineRule="auto"/>
        <w:tabs>
          <w:tab w:leader="none" w:pos="146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most recent fiscal quarter of the period covered by this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1120" w:right="719" w:hanging="333"/>
        <w:spacing w:after="0" w:line="313" w:lineRule="auto"/>
        <w:tabs>
          <w:tab w:leader="none" w:pos="109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7"/>
          <w:szCs w:val="17"/>
          <w:color w:val="auto"/>
        </w:rPr>
      </w:pPr>
    </w:p>
    <w:p>
      <w:pPr>
        <w:jc w:val="both"/>
        <w:ind w:left="1480" w:right="639" w:hanging="333"/>
        <w:spacing w:after="0" w:line="266" w:lineRule="auto"/>
        <w:tabs>
          <w:tab w:leader="none" w:pos="14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480" w:right="839" w:hanging="333"/>
        <w:spacing w:after="0" w:line="282" w:lineRule="auto"/>
        <w:tabs>
          <w:tab w:leader="none" w:pos="146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this 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day of November, 2017</w:t>
      </w:r>
    </w:p>
    <w:p>
      <w:pPr>
        <w:spacing w:after="0" w:line="16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/s/ JONATHAN H. COHEN</w:t>
      </w:r>
    </w:p>
    <w:p>
      <w:pPr>
        <w:spacing w:after="0" w:line="18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Jonathan H. Cohen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254635</wp:posOffset>
            </wp:positionV>
            <wp:extent cx="51454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Exhibit 13(a)(2)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30a-2(a) Certification</w:t>
      </w:r>
    </w:p>
    <w:p>
      <w:pPr>
        <w:spacing w:after="0" w:line="16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 Bruce L. Rubin, Chief Financial Officer of Oxford Lane Capital Corp., certify that:</w:t>
      </w:r>
    </w:p>
    <w:p>
      <w:pPr>
        <w:spacing w:after="0" w:line="198" w:lineRule="exact"/>
        <w:rPr>
          <w:sz w:val="20"/>
          <w:szCs w:val="20"/>
          <w:color w:val="auto"/>
        </w:rPr>
      </w:pPr>
    </w:p>
    <w:p>
      <w:pPr>
        <w:ind w:left="1080" w:hanging="293"/>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N-CSR of Oxford Lane Capital Corp.;</w:t>
      </w:r>
    </w:p>
    <w:p>
      <w:pPr>
        <w:spacing w:after="0" w:line="184" w:lineRule="exact"/>
        <w:rPr>
          <w:rFonts w:ascii="Times New Roman" w:cs="Times New Roman" w:eastAsia="Times New Roman" w:hAnsi="Times New Roman"/>
          <w:sz w:val="18"/>
          <w:szCs w:val="18"/>
          <w:color w:val="auto"/>
        </w:rPr>
      </w:pPr>
    </w:p>
    <w:p>
      <w:pPr>
        <w:jc w:val="both"/>
        <w:ind w:left="1120" w:right="539" w:hanging="333"/>
        <w:spacing w:after="0" w:line="266" w:lineRule="auto"/>
        <w:tabs>
          <w:tab w:leader="none" w:pos="10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120" w:right="519" w:hanging="333"/>
        <w:spacing w:after="0" w:line="261" w:lineRule="auto"/>
        <w:tabs>
          <w:tab w:leader="none" w:pos="10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153" w:lineRule="exact"/>
        <w:rPr>
          <w:rFonts w:ascii="Times New Roman" w:cs="Times New Roman" w:eastAsia="Times New Roman" w:hAnsi="Times New Roman"/>
          <w:sz w:val="18"/>
          <w:szCs w:val="18"/>
          <w:color w:val="auto"/>
        </w:rPr>
      </w:pPr>
    </w:p>
    <w:p>
      <w:pPr>
        <w:ind w:left="1120" w:right="539" w:hanging="333"/>
        <w:spacing w:after="0" w:line="261" w:lineRule="auto"/>
        <w:tabs>
          <w:tab w:leader="none" w:pos="10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39" w:lineRule="exact"/>
        <w:rPr>
          <w:rFonts w:ascii="Times New Roman" w:cs="Times New Roman" w:eastAsia="Times New Roman" w:hAnsi="Times New Roman"/>
          <w:sz w:val="18"/>
          <w:szCs w:val="18"/>
          <w:color w:val="auto"/>
        </w:rPr>
      </w:pPr>
    </w:p>
    <w:p>
      <w:pPr>
        <w:ind w:left="1480" w:right="559" w:hanging="333"/>
        <w:spacing w:after="0" w:line="261" w:lineRule="auto"/>
        <w:tabs>
          <w:tab w:leader="none" w:pos="14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480" w:right="919" w:hanging="333"/>
        <w:spacing w:after="0" w:line="261" w:lineRule="auto"/>
        <w:tabs>
          <w:tab w:leader="none" w:pos="146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Times New Roman" w:cs="Times New Roman" w:eastAsia="Times New Roman" w:hAnsi="Times New Roman"/>
          <w:sz w:val="18"/>
          <w:szCs w:val="18"/>
          <w:color w:val="auto"/>
        </w:rPr>
      </w:pPr>
    </w:p>
    <w:p>
      <w:pPr>
        <w:jc w:val="both"/>
        <w:ind w:left="1480" w:right="499" w:hanging="333"/>
        <w:spacing w:after="0" w:line="266" w:lineRule="auto"/>
        <w:tabs>
          <w:tab w:leader="none" w:pos="14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35" w:lineRule="exact"/>
        <w:rPr>
          <w:rFonts w:ascii="Times New Roman" w:cs="Times New Roman" w:eastAsia="Times New Roman" w:hAnsi="Times New Roman"/>
          <w:sz w:val="18"/>
          <w:szCs w:val="18"/>
          <w:color w:val="auto"/>
        </w:rPr>
      </w:pPr>
    </w:p>
    <w:p>
      <w:pPr>
        <w:ind w:left="1480" w:right="559" w:hanging="333"/>
        <w:spacing w:after="0" w:line="261" w:lineRule="auto"/>
        <w:tabs>
          <w:tab w:leader="none" w:pos="146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most recent fiscal quarter of the period covered by this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1120" w:right="719" w:hanging="333"/>
        <w:spacing w:after="0" w:line="313" w:lineRule="auto"/>
        <w:tabs>
          <w:tab w:leader="none" w:pos="109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7"/>
          <w:szCs w:val="17"/>
          <w:color w:val="auto"/>
        </w:rPr>
      </w:pPr>
    </w:p>
    <w:p>
      <w:pPr>
        <w:jc w:val="both"/>
        <w:ind w:left="1480" w:right="639" w:hanging="333"/>
        <w:spacing w:after="0" w:line="266" w:lineRule="auto"/>
        <w:tabs>
          <w:tab w:leader="none" w:pos="14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480" w:right="839" w:hanging="333"/>
        <w:spacing w:after="0" w:line="282" w:lineRule="auto"/>
        <w:tabs>
          <w:tab w:leader="none" w:pos="146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Dated this 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day of November, 2017</w:t>
      </w:r>
    </w:p>
    <w:p>
      <w:pPr>
        <w:spacing w:after="0" w:line="16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/s/ BRUCE L. RUBIN</w:t>
      </w:r>
    </w:p>
    <w:p>
      <w:pPr>
        <w:spacing w:after="0" w:line="18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Bruce L. Rubin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254635</wp:posOffset>
            </wp:positionV>
            <wp:extent cx="51454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0" w:name="page51"/>
    <w:bookmarkEnd w:id="50"/>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99.906CERT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13(b)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30a-2(b) Certification</w:t>
      </w:r>
    </w:p>
    <w:p>
      <w:pPr>
        <w:spacing w:after="0" w:line="166" w:lineRule="exact"/>
        <w:rPr>
          <w:sz w:val="20"/>
          <w:szCs w:val="20"/>
          <w:color w:val="auto"/>
        </w:rPr>
      </w:pPr>
    </w:p>
    <w:p>
      <w:pPr>
        <w:ind w:left="460" w:right="57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N-CSR for the period ended September 30, 2017 (the “Report”) of Oxford Lane Capital Corp. (the “Registrant”), as filed with the Securities and Exchange Commission on the date hereof, I, Jonathan H. Cohen, the Chief Executive Officer of the Registrant, hereby certify, to the best of my knowledge, that:</w:t>
      </w:r>
    </w:p>
    <w:p>
      <w:pPr>
        <w:spacing w:after="0" w:line="153" w:lineRule="exact"/>
        <w:rPr>
          <w:sz w:val="20"/>
          <w:szCs w:val="20"/>
          <w:color w:val="auto"/>
        </w:rPr>
      </w:pPr>
    </w:p>
    <w:p>
      <w:pPr>
        <w:ind w:left="1120" w:right="579" w:hanging="333"/>
        <w:spacing w:after="0" w:line="282" w:lineRule="auto"/>
        <w:tabs>
          <w:tab w:leader="none" w:pos="11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1120" w:right="499" w:hanging="333"/>
        <w:spacing w:after="0" w:line="282" w:lineRule="auto"/>
        <w:tabs>
          <w:tab w:leader="none" w:pos="11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JONATHAN H. COHEN</w:t>
      </w:r>
    </w:p>
    <w:p>
      <w:pPr>
        <w:spacing w:after="0" w:line="19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Name: Jonathan H. Cohen</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Date:  November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254635</wp:posOffset>
            </wp:positionV>
            <wp:extent cx="51454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1" w:name="page52"/>
    <w:bookmarkEnd w:id="5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13(b)</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Rule 30a-2(b) Certification</w:t>
      </w:r>
    </w:p>
    <w:p>
      <w:pPr>
        <w:spacing w:after="0" w:line="166" w:lineRule="exact"/>
        <w:rPr>
          <w:sz w:val="20"/>
          <w:szCs w:val="20"/>
          <w:color w:val="auto"/>
        </w:rPr>
      </w:pPr>
    </w:p>
    <w:p>
      <w:pPr>
        <w:ind w:left="460" w:right="57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N-CSR for the period ended September 30, 2017 (the “Report”) of Oxford Lane Capital Corp. (the “Registrant”), as filed with the Securities and Exchange Commission on the date hereof, I, Bruce L. Rubin, the Chief Financial Officer of the Registrant, hereby certify, to the best of my knowledge, that:</w:t>
      </w:r>
    </w:p>
    <w:p>
      <w:pPr>
        <w:spacing w:after="0" w:line="153" w:lineRule="exact"/>
        <w:rPr>
          <w:sz w:val="20"/>
          <w:szCs w:val="20"/>
          <w:color w:val="auto"/>
        </w:rPr>
      </w:pPr>
    </w:p>
    <w:p>
      <w:pPr>
        <w:ind w:left="1120" w:right="579" w:hanging="333"/>
        <w:spacing w:after="0" w:line="282" w:lineRule="auto"/>
        <w:tabs>
          <w:tab w:leader="none" w:pos="11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1120" w:right="499" w:hanging="333"/>
        <w:spacing w:after="0" w:line="282" w:lineRule="auto"/>
        <w:tabs>
          <w:tab w:leader="none" w:pos="11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BRUCE L. RUBIN</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Name: Bruce L. Rubin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November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254635</wp:posOffset>
            </wp:positionV>
            <wp:extent cx="51454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emdash "/>
      <w:numFmt w:val="bullet"/>
      <w:start w:val="1"/>
    </w:lvl>
  </w:abstractNum>
  <w:abstractNum w:abstractNumId="1">
    <w:nsid w:val="431BD7B7"/>
    <w:multiLevelType w:val="hybridMultilevel"/>
    <w:lvl w:ilvl="0">
      <w:lvlJc w:val="left"/>
      <w:lvlText w:val="\emdash "/>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4"/>
    </w:lvl>
  </w:abstractNum>
  <w:abstractNum w:abstractNumId="19">
    <w:nsid w:val="54E49EB4"/>
    <w:multiLevelType w:val="hybridMultilevel"/>
    <w:lvl w:ilvl="0">
      <w:lvlJc w:val="left"/>
      <w:lvlText w:val="(%1)"/>
      <w:numFmt w:val="decimal"/>
      <w:start w:val="19"/>
    </w:lvl>
  </w:abstractNum>
  <w:abstractNum w:abstractNumId="20">
    <w:nsid w:val="71F32454"/>
    <w:multiLevelType w:val="hybridMultilevel"/>
    <w:lvl w:ilvl="0">
      <w:lvlJc w:val="left"/>
      <w:lvlText w:val="\endash "/>
      <w:numFmt w:val="bullet"/>
      <w:start w:val="1"/>
    </w:lvl>
  </w:abstractNum>
  <w:abstractNum w:abstractNumId="21">
    <w:nsid w:val="2CA88611"/>
    <w:multiLevelType w:val="hybridMultilevel"/>
    <w:lvl w:ilvl="0">
      <w:lvlJc w:val="left"/>
      <w:lvlText w:val="&amp;"/>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203"/>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2"/>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2020-01-18T19:15:42Z</dcterms:created>
  <dcterms:modified xsi:type="dcterms:W3CDTF">2020-01-18T19:15:42Z</dcterms:modified>
</cp:coreProperties>
</file>