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1362075</wp:posOffset>
            </wp:positionH>
            <wp:positionV relativeFrom="page">
              <wp:posOffset>434975</wp:posOffset>
            </wp:positionV>
            <wp:extent cx="4824730" cy="241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24730" cy="24130"/>
                    </a:xfrm>
                    <a:prstGeom prst="rect">
                      <a:avLst/>
                    </a:prstGeom>
                    <a:noFill/>
                  </pic:spPr>
                </pic:pic>
              </a:graphicData>
            </a:graphic>
          </wp:anchor>
        </w:drawing>
        <w:drawing>
          <wp:anchor simplePos="0" relativeHeight="251657728" behindDoc="1" locked="0" layoutInCell="0" allowOverlap="1">
            <wp:simplePos x="0" y="0"/>
            <wp:positionH relativeFrom="page">
              <wp:posOffset>1362075</wp:posOffset>
            </wp:positionH>
            <wp:positionV relativeFrom="page">
              <wp:posOffset>474980</wp:posOffset>
            </wp:positionV>
            <wp:extent cx="4824730" cy="241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4730" cy="2413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41"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__________________</w:t>
      </w:r>
    </w:p>
    <w:p>
      <w:pPr>
        <w:spacing w:after="0" w:line="2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N-CSR</w:t>
      </w:r>
    </w:p>
    <w:p>
      <w:pPr>
        <w:spacing w:after="0" w:line="27"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__________________</w:t>
      </w:r>
    </w:p>
    <w:p>
      <w:pPr>
        <w:spacing w:after="0" w:line="3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CERTIFIED SHAREHOLDER REPORT OF REGISTERED MANAGEMENT</w:t>
      </w:r>
    </w:p>
    <w:p>
      <w:pPr>
        <w:spacing w:after="0" w:line="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INVESTMENT COMPANIES</w:t>
      </w:r>
    </w:p>
    <w:p>
      <w:pPr>
        <w:spacing w:after="0" w:line="1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Investment Company Act file number 811-22432</w:t>
      </w:r>
    </w:p>
    <w:p>
      <w:pPr>
        <w:spacing w:after="0" w:line="248"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__________________</w:t>
      </w:r>
    </w:p>
    <w:p>
      <w:pPr>
        <w:spacing w:after="0" w:line="185" w:lineRule="exact"/>
        <w:rPr>
          <w:sz w:val="24"/>
          <w:szCs w:val="24"/>
          <w:color w:val="auto"/>
        </w:rPr>
      </w:pPr>
    </w:p>
    <w:p>
      <w:pPr>
        <w:ind w:left="2700"/>
        <w:spacing w:after="0"/>
        <w:rPr>
          <w:sz w:val="20"/>
          <w:szCs w:val="20"/>
          <w:color w:val="auto"/>
        </w:rPr>
      </w:pPr>
      <w:r>
        <w:rPr>
          <w:rFonts w:ascii="Times New Roman" w:cs="Times New Roman" w:eastAsia="Times New Roman" w:hAnsi="Times New Roman"/>
          <w:sz w:val="30"/>
          <w:szCs w:val="30"/>
          <w:b w:val="1"/>
          <w:bCs w:val="1"/>
          <w:color w:val="auto"/>
        </w:rPr>
        <w:t>Oxford Lane Capital Corp.</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(Exact name of registrant as specified in charter)</w:t>
      </w:r>
    </w:p>
    <w:p>
      <w:pPr>
        <w:spacing w:after="0" w:line="188"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__________________</w:t>
      </w:r>
    </w:p>
    <w:p>
      <w:pPr>
        <w:spacing w:after="0" w:line="2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8 Sound Shore Drive, Suite 255</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Greenwich, CT 06830</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1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Jonathan H. Cohen</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Chief Executive Officer</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8 Sound Shore Drive, Suite 255</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Greenwich, CT 06830</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(Name and address of agent for service)</w:t>
      </w:r>
    </w:p>
    <w:p>
      <w:pPr>
        <w:spacing w:after="0" w:line="7"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7"/>
          <w:szCs w:val="17"/>
          <w:b w:val="1"/>
          <w:bCs w:val="1"/>
          <w:color w:val="auto"/>
        </w:rPr>
        <w:t>__________________</w:t>
      </w:r>
    </w:p>
    <w:p>
      <w:pPr>
        <w:spacing w:after="0" w:line="200" w:lineRule="exact"/>
        <w:rPr>
          <w:sz w:val="24"/>
          <w:szCs w:val="24"/>
          <w:color w:val="auto"/>
        </w:rPr>
      </w:pPr>
    </w:p>
    <w:p>
      <w:pPr>
        <w:spacing w:after="0" w:line="2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(203) 983-5275</w:t>
      </w:r>
    </w:p>
    <w:p>
      <w:pPr>
        <w:spacing w:after="0" w:line="1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Date of fiscal year end: March 31</w:t>
      </w:r>
    </w:p>
    <w:p>
      <w:pPr>
        <w:spacing w:after="0" w:line="1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Date of reporting period: September 30,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447675</wp:posOffset>
            </wp:positionH>
            <wp:positionV relativeFrom="paragraph">
              <wp:posOffset>580390</wp:posOffset>
            </wp:positionV>
            <wp:extent cx="4824730" cy="241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24730" cy="2413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620395</wp:posOffset>
            </wp:positionV>
            <wp:extent cx="4824730" cy="241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824730" cy="2413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878205</wp:posOffset>
            </wp:positionV>
            <wp:extent cx="48247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82473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 w:name="page2"/>
    <w:bookmarkEnd w:id="1"/>
    <w:p>
      <w:pPr>
        <w:ind w:left="7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Item 1. Reports to Stockholders.</w:t>
      </w:r>
    </w:p>
    <w:p>
      <w:pPr>
        <w:spacing w:after="0" w:line="138" w:lineRule="exact"/>
        <w:rPr>
          <w:sz w:val="20"/>
          <w:szCs w:val="20"/>
          <w:color w:val="auto"/>
        </w:rPr>
      </w:pPr>
    </w:p>
    <w:p>
      <w:pPr>
        <w:ind w:left="700" w:right="1019" w:firstLine="405"/>
        <w:spacing w:after="0" w:line="276" w:lineRule="auto"/>
        <w:rPr>
          <w:sz w:val="20"/>
          <w:szCs w:val="20"/>
          <w:color w:val="auto"/>
        </w:rPr>
      </w:pPr>
      <w:r>
        <w:rPr>
          <w:rFonts w:ascii="Times New Roman" w:cs="Times New Roman" w:eastAsia="Times New Roman" w:hAnsi="Times New Roman"/>
          <w:sz w:val="17"/>
          <w:szCs w:val="17"/>
          <w:color w:val="auto"/>
        </w:rPr>
        <w:t>The semi-annual report to stockholders for the six months ended September 30, 2022 is filed herewith pursuant to Rule 30e-1 under the Investment Company Act of 1940.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0"/>
          <w:szCs w:val="30"/>
          <w:b w:val="1"/>
          <w:bCs w:val="1"/>
          <w:color w:val="auto"/>
        </w:rPr>
        <w:t>Oxford Lane Capital 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Semi-Annual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September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b w:val="1"/>
          <w:bCs w:val="1"/>
          <w:i w:val="1"/>
          <w:iCs w:val="1"/>
          <w:color w:val="auto"/>
        </w:rPr>
        <w:t>oxfordlanecapital.com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251460</wp:posOffset>
            </wp:positionV>
            <wp:extent cx="48247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824730"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2" w:name="page3"/>
    <w:bookmarkEnd w:id="2"/>
    <w:p>
      <w:pPr>
        <w:ind w:left="7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14" w:lineRule="exact"/>
        <w:rPr>
          <w:sz w:val="20"/>
          <w:szCs w:val="20"/>
          <w:color w:val="auto"/>
        </w:rPr>
      </w:pPr>
    </w:p>
    <w:tbl>
      <w:tblPr>
        <w:tblLayout w:type="fixed"/>
        <w:tblInd w:w="700" w:type="dxa"/>
        <w:tblCellMar>
          <w:top w:w="0" w:type="dxa"/>
          <w:left w:w="0" w:type="dxa"/>
          <w:bottom w:w="0" w:type="dxa"/>
          <w:right w:w="0" w:type="dxa"/>
        </w:tblCellMar>
      </w:tblPr>
      <w:tr>
        <w:trPr>
          <w:trHeight w:val="201"/>
        </w:trPr>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Page</w:t>
            </w:r>
          </w:p>
        </w:tc>
      </w:tr>
      <w:tr>
        <w:trPr>
          <w:trHeight w:val="43"/>
        </w:trPr>
        <w:tc>
          <w:tcPr>
            <w:tcW w:w="880" w:type="dxa"/>
            <w:vAlign w:val="bottom"/>
            <w:tcBorders>
              <w:bottom w:val="single" w:sz="8" w:color="CCEEFF"/>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860" w:type="dxa"/>
            <w:vAlign w:val="bottom"/>
            <w:tcBorders>
              <w:bottom w:val="single" w:sz="8" w:color="CCEEFF"/>
            </w:tcBorders>
          </w:tcPr>
          <w:p>
            <w:pPr>
              <w:spacing w:after="0"/>
              <w:rPr>
                <w:sz w:val="3"/>
                <w:szCs w:val="3"/>
                <w:color w:val="auto"/>
              </w:rPr>
            </w:pPr>
          </w:p>
        </w:tc>
        <w:tc>
          <w:tcPr>
            <w:tcW w:w="500" w:type="dxa"/>
            <w:vAlign w:val="bottom"/>
            <w:tcBorders>
              <w:bottom w:val="single" w:sz="8" w:color="CCEEFF"/>
            </w:tcBorders>
          </w:tcPr>
          <w:p>
            <w:pPr>
              <w:spacing w:after="0"/>
              <w:rPr>
                <w:sz w:val="3"/>
                <w:szCs w:val="3"/>
                <w:color w:val="auto"/>
              </w:rPr>
            </w:pPr>
          </w:p>
        </w:tc>
        <w:tc>
          <w:tcPr>
            <w:tcW w:w="1300" w:type="dxa"/>
            <w:vAlign w:val="bottom"/>
            <w:tcBorders>
              <w:bottom w:val="single" w:sz="8" w:color="CCEEFF"/>
            </w:tcBorders>
          </w:tcPr>
          <w:p>
            <w:pPr>
              <w:spacing w:after="0"/>
              <w:rPr>
                <w:sz w:val="3"/>
                <w:szCs w:val="3"/>
                <w:color w:val="auto"/>
              </w:rPr>
            </w:pPr>
          </w:p>
        </w:tc>
        <w:tc>
          <w:tcPr>
            <w:tcW w:w="194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226"/>
        </w:trPr>
        <w:tc>
          <w:tcPr>
            <w:tcW w:w="7020" w:type="dxa"/>
            <w:vAlign w:val="bottom"/>
            <w:gridSpan w:val="17"/>
            <w:shd w:val="clear" w:color="auto" w:fill="CCEEFF"/>
          </w:tcPr>
          <w:p>
            <w:pPr>
              <w:spacing w:after="0" w:line="170" w:lineRule="exact"/>
              <w:rPr>
                <w:sz w:val="20"/>
                <w:szCs w:val="20"/>
                <w:color w:val="auto"/>
              </w:rPr>
            </w:pPr>
            <w:r>
              <w:rPr>
                <w:rFonts w:ascii="Times New Roman" w:cs="Times New Roman" w:eastAsia="Times New Roman" w:hAnsi="Times New Roman"/>
                <w:sz w:val="17"/>
                <w:szCs w:val="17"/>
                <w:color w:val="0000EE"/>
              </w:rPr>
              <w:t>Letter to Stockholders and Management’s Discussion of Fund Performance</w:t>
            </w:r>
          </w:p>
        </w:tc>
        <w:tc>
          <w:tcPr>
            <w:tcW w:w="580" w:type="dxa"/>
            <w:vAlign w:val="bottom"/>
            <w:shd w:val="clear" w:color="auto" w:fill="CCEEFF"/>
          </w:tcPr>
          <w:p>
            <w:pPr>
              <w:jc w:val="center"/>
              <w:spacing w:after="0" w:line="170" w:lineRule="exact"/>
              <w:rPr>
                <w:sz w:val="20"/>
                <w:szCs w:val="20"/>
                <w:color w:val="auto"/>
              </w:rPr>
            </w:pPr>
            <w:r>
              <w:rPr>
                <w:rFonts w:ascii="Times New Roman" w:cs="Times New Roman" w:eastAsia="Times New Roman" w:hAnsi="Times New Roman"/>
                <w:sz w:val="17"/>
                <w:szCs w:val="17"/>
                <w:color w:val="auto"/>
              </w:rPr>
              <w:t>1</w:t>
            </w:r>
          </w:p>
        </w:tc>
      </w:tr>
      <w:tr>
        <w:trPr>
          <w:trHeight w:val="190"/>
        </w:trPr>
        <w:tc>
          <w:tcPr>
            <w:tcW w:w="5080" w:type="dxa"/>
            <w:vAlign w:val="bottom"/>
            <w:tcBorders>
              <w:top w:val="single" w:sz="8" w:color="0000EE"/>
            </w:tcBorders>
            <w:gridSpan w:val="16"/>
          </w:tcPr>
          <w:p>
            <w:pPr>
              <w:spacing w:after="0" w:line="190" w:lineRule="exact"/>
              <w:rPr>
                <w:sz w:val="20"/>
                <w:szCs w:val="20"/>
                <w:color w:val="auto"/>
              </w:rPr>
            </w:pPr>
            <w:r>
              <w:rPr>
                <w:rFonts w:ascii="Times New Roman" w:cs="Times New Roman" w:eastAsia="Times New Roman" w:hAnsi="Times New Roman"/>
                <w:sz w:val="17"/>
                <w:szCs w:val="17"/>
                <w:color w:val="0000EE"/>
              </w:rPr>
              <w:t>Important Information</w:t>
            </w:r>
          </w:p>
        </w:tc>
        <w:tc>
          <w:tcPr>
            <w:tcW w:w="1940" w:type="dxa"/>
            <w:vAlign w:val="bottom"/>
            <w:tcBorders>
              <w:top w:val="single" w:sz="8" w:color="CCEEFF"/>
            </w:tcBorders>
          </w:tcPr>
          <w:p>
            <w:pPr>
              <w:spacing w:after="0"/>
              <w:rPr>
                <w:sz w:val="16"/>
                <w:szCs w:val="16"/>
                <w:color w:val="auto"/>
              </w:rPr>
            </w:pPr>
          </w:p>
        </w:tc>
        <w:tc>
          <w:tcPr>
            <w:tcW w:w="580" w:type="dxa"/>
            <w:vAlign w:val="bottom"/>
            <w:tcBorders>
              <w:top w:val="single" w:sz="8" w:color="CCEEFF"/>
            </w:tcBorders>
          </w:tcPr>
          <w:p>
            <w:pPr>
              <w:jc w:val="center"/>
              <w:spacing w:after="0" w:line="190" w:lineRule="exact"/>
              <w:rPr>
                <w:sz w:val="20"/>
                <w:szCs w:val="20"/>
                <w:color w:val="auto"/>
              </w:rPr>
            </w:pPr>
            <w:r>
              <w:rPr>
                <w:rFonts w:ascii="Times New Roman" w:cs="Times New Roman" w:eastAsia="Times New Roman" w:hAnsi="Times New Roman"/>
                <w:sz w:val="17"/>
                <w:szCs w:val="17"/>
                <w:color w:val="auto"/>
              </w:rPr>
              <w:t>4</w:t>
            </w:r>
          </w:p>
        </w:tc>
      </w:tr>
      <w:tr>
        <w:trPr>
          <w:trHeight w:val="56"/>
        </w:trPr>
        <w:tc>
          <w:tcPr>
            <w:tcW w:w="88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940" w:type="dxa"/>
            <w:vAlign w:val="bottom"/>
          </w:tcPr>
          <w:p>
            <w:pPr>
              <w:spacing w:after="0"/>
              <w:rPr>
                <w:sz w:val="4"/>
                <w:szCs w:val="4"/>
                <w:color w:val="auto"/>
              </w:rPr>
            </w:pPr>
          </w:p>
        </w:tc>
        <w:tc>
          <w:tcPr>
            <w:tcW w:w="580" w:type="dxa"/>
            <w:vAlign w:val="bottom"/>
          </w:tcPr>
          <w:p>
            <w:pPr>
              <w:spacing w:after="0"/>
              <w:rPr>
                <w:sz w:val="4"/>
                <w:szCs w:val="4"/>
                <w:color w:val="auto"/>
              </w:rPr>
            </w:pPr>
          </w:p>
        </w:tc>
      </w:tr>
      <w:tr>
        <w:trPr>
          <w:trHeight w:val="246"/>
        </w:trPr>
        <w:tc>
          <w:tcPr>
            <w:tcW w:w="1220" w:type="dxa"/>
            <w:vAlign w:val="bottom"/>
            <w:tcBorders>
              <w:bottom w:val="single" w:sz="8" w:color="0000EE"/>
            </w:tcBorders>
            <w:gridSpan w:val="2"/>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EE"/>
                <w:w w:val="96"/>
              </w:rPr>
              <w:t>Top Ten Holdings</w:t>
            </w:r>
          </w:p>
        </w:tc>
        <w:tc>
          <w:tcPr>
            <w:tcW w:w="5800" w:type="dxa"/>
            <w:vAlign w:val="bottom"/>
            <w:tcBorders>
              <w:bottom w:val="single" w:sz="8" w:color="CCEEFF"/>
            </w:tcBorders>
            <w:gridSpan w:val="15"/>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center"/>
              <w:spacing w:after="0" w:line="190" w:lineRule="exact"/>
              <w:rPr>
                <w:sz w:val="20"/>
                <w:szCs w:val="20"/>
                <w:color w:val="auto"/>
              </w:rPr>
            </w:pPr>
            <w:r>
              <w:rPr>
                <w:rFonts w:ascii="Times New Roman" w:cs="Times New Roman" w:eastAsia="Times New Roman" w:hAnsi="Times New Roman"/>
                <w:sz w:val="17"/>
                <w:szCs w:val="17"/>
                <w:color w:val="auto"/>
              </w:rPr>
              <w:t>5</w:t>
            </w:r>
          </w:p>
        </w:tc>
      </w:tr>
      <w:tr>
        <w:trPr>
          <w:trHeight w:val="190"/>
        </w:trPr>
        <w:tc>
          <w:tcPr>
            <w:tcW w:w="7020" w:type="dxa"/>
            <w:vAlign w:val="bottom"/>
            <w:gridSpan w:val="17"/>
          </w:tcPr>
          <w:p>
            <w:pPr>
              <w:spacing w:after="0" w:line="190" w:lineRule="exact"/>
              <w:rPr>
                <w:sz w:val="20"/>
                <w:szCs w:val="20"/>
                <w:color w:val="auto"/>
              </w:rPr>
            </w:pPr>
            <w:r>
              <w:rPr>
                <w:rFonts w:ascii="Times New Roman" w:cs="Times New Roman" w:eastAsia="Times New Roman" w:hAnsi="Times New Roman"/>
                <w:sz w:val="17"/>
                <w:szCs w:val="17"/>
                <w:color w:val="0000EE"/>
              </w:rPr>
              <w:t>Fees and Expenses</w:t>
            </w:r>
          </w:p>
        </w:tc>
        <w:tc>
          <w:tcPr>
            <w:tcW w:w="580" w:type="dxa"/>
            <w:vAlign w:val="bottom"/>
          </w:tcPr>
          <w:p>
            <w:pPr>
              <w:jc w:val="center"/>
              <w:spacing w:after="0" w:line="190" w:lineRule="exact"/>
              <w:rPr>
                <w:sz w:val="20"/>
                <w:szCs w:val="20"/>
                <w:color w:val="auto"/>
              </w:rPr>
            </w:pPr>
            <w:r>
              <w:rPr>
                <w:rFonts w:ascii="Times New Roman" w:cs="Times New Roman" w:eastAsia="Times New Roman" w:hAnsi="Times New Roman"/>
                <w:sz w:val="17"/>
                <w:szCs w:val="17"/>
                <w:color w:val="auto"/>
              </w:rPr>
              <w:t>6</w:t>
            </w:r>
          </w:p>
        </w:tc>
      </w:tr>
      <w:tr>
        <w:trPr>
          <w:trHeight w:val="56"/>
        </w:trPr>
        <w:tc>
          <w:tcPr>
            <w:tcW w:w="88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940" w:type="dxa"/>
            <w:vAlign w:val="bottom"/>
          </w:tcPr>
          <w:p>
            <w:pPr>
              <w:spacing w:after="0"/>
              <w:rPr>
                <w:sz w:val="4"/>
                <w:szCs w:val="4"/>
                <w:color w:val="auto"/>
              </w:rPr>
            </w:pPr>
          </w:p>
        </w:tc>
        <w:tc>
          <w:tcPr>
            <w:tcW w:w="580" w:type="dxa"/>
            <w:vAlign w:val="bottom"/>
          </w:tcPr>
          <w:p>
            <w:pPr>
              <w:spacing w:after="0"/>
              <w:rPr>
                <w:sz w:val="4"/>
                <w:szCs w:val="4"/>
                <w:color w:val="auto"/>
              </w:rPr>
            </w:pPr>
          </w:p>
        </w:tc>
      </w:tr>
      <w:tr>
        <w:trPr>
          <w:trHeight w:val="246"/>
        </w:trPr>
        <w:tc>
          <w:tcPr>
            <w:tcW w:w="2360" w:type="dxa"/>
            <w:vAlign w:val="bottom"/>
            <w:tcBorders>
              <w:bottom w:val="single" w:sz="8" w:color="0000EE"/>
            </w:tcBorders>
            <w:gridSpan w:val="12"/>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EE"/>
                <w:w w:val="98"/>
              </w:rPr>
              <w:t>Statement of Assets and Liabilities</w:t>
            </w:r>
          </w:p>
        </w:tc>
        <w:tc>
          <w:tcPr>
            <w:tcW w:w="4660" w:type="dxa"/>
            <w:vAlign w:val="bottom"/>
            <w:tcBorders>
              <w:bottom w:val="single" w:sz="8" w:color="CCEEFF"/>
            </w:tcBorders>
            <w:gridSpan w:val="5"/>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center"/>
              <w:spacing w:after="0" w:line="190" w:lineRule="exact"/>
              <w:rPr>
                <w:sz w:val="20"/>
                <w:szCs w:val="20"/>
                <w:color w:val="auto"/>
              </w:rPr>
            </w:pPr>
            <w:r>
              <w:rPr>
                <w:rFonts w:ascii="Times New Roman" w:cs="Times New Roman" w:eastAsia="Times New Roman" w:hAnsi="Times New Roman"/>
                <w:sz w:val="17"/>
                <w:szCs w:val="17"/>
                <w:color w:val="auto"/>
                <w:w w:val="93"/>
              </w:rPr>
              <w:t>11</w:t>
            </w:r>
          </w:p>
        </w:tc>
      </w:tr>
      <w:tr>
        <w:trPr>
          <w:trHeight w:val="190"/>
        </w:trPr>
        <w:tc>
          <w:tcPr>
            <w:tcW w:w="7020" w:type="dxa"/>
            <w:vAlign w:val="bottom"/>
            <w:gridSpan w:val="17"/>
          </w:tcPr>
          <w:p>
            <w:pPr>
              <w:spacing w:after="0" w:line="190" w:lineRule="exact"/>
              <w:rPr>
                <w:sz w:val="20"/>
                <w:szCs w:val="20"/>
                <w:color w:val="auto"/>
              </w:rPr>
            </w:pPr>
            <w:r>
              <w:rPr>
                <w:rFonts w:ascii="Times New Roman" w:cs="Times New Roman" w:eastAsia="Times New Roman" w:hAnsi="Times New Roman"/>
                <w:sz w:val="17"/>
                <w:szCs w:val="17"/>
                <w:color w:val="0000EE"/>
              </w:rPr>
              <w:t>Schedule of Investments</w:t>
            </w:r>
          </w:p>
        </w:tc>
        <w:tc>
          <w:tcPr>
            <w:tcW w:w="580" w:type="dxa"/>
            <w:vAlign w:val="bottom"/>
          </w:tcPr>
          <w:p>
            <w:pPr>
              <w:jc w:val="center"/>
              <w:spacing w:after="0" w:line="190" w:lineRule="exact"/>
              <w:rPr>
                <w:sz w:val="20"/>
                <w:szCs w:val="20"/>
                <w:color w:val="auto"/>
              </w:rPr>
            </w:pPr>
            <w:r>
              <w:rPr>
                <w:rFonts w:ascii="Times New Roman" w:cs="Times New Roman" w:eastAsia="Times New Roman" w:hAnsi="Times New Roman"/>
                <w:sz w:val="17"/>
                <w:szCs w:val="17"/>
                <w:color w:val="auto"/>
              </w:rPr>
              <w:t>12</w:t>
            </w:r>
          </w:p>
        </w:tc>
      </w:tr>
      <w:tr>
        <w:trPr>
          <w:trHeight w:val="56"/>
        </w:trPr>
        <w:tc>
          <w:tcPr>
            <w:tcW w:w="88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940" w:type="dxa"/>
            <w:vAlign w:val="bottom"/>
          </w:tcPr>
          <w:p>
            <w:pPr>
              <w:spacing w:after="0"/>
              <w:rPr>
                <w:sz w:val="4"/>
                <w:szCs w:val="4"/>
                <w:color w:val="auto"/>
              </w:rPr>
            </w:pPr>
          </w:p>
        </w:tc>
        <w:tc>
          <w:tcPr>
            <w:tcW w:w="580" w:type="dxa"/>
            <w:vAlign w:val="bottom"/>
          </w:tcPr>
          <w:p>
            <w:pPr>
              <w:spacing w:after="0"/>
              <w:rPr>
                <w:sz w:val="4"/>
                <w:szCs w:val="4"/>
                <w:color w:val="auto"/>
              </w:rPr>
            </w:pPr>
          </w:p>
        </w:tc>
      </w:tr>
      <w:tr>
        <w:trPr>
          <w:trHeight w:val="190"/>
        </w:trPr>
        <w:tc>
          <w:tcPr>
            <w:tcW w:w="7020" w:type="dxa"/>
            <w:vAlign w:val="bottom"/>
            <w:gridSpan w:val="17"/>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EE"/>
              </w:rPr>
              <w:t>Statement of Operations</w:t>
            </w:r>
          </w:p>
        </w:tc>
        <w:tc>
          <w:tcPr>
            <w:tcW w:w="580" w:type="dxa"/>
            <w:vAlign w:val="bottom"/>
            <w:shd w:val="clear" w:color="auto" w:fill="CCEEFF"/>
          </w:tcPr>
          <w:p>
            <w:pPr>
              <w:jc w:val="center"/>
              <w:spacing w:after="0" w:line="190" w:lineRule="exact"/>
              <w:rPr>
                <w:sz w:val="20"/>
                <w:szCs w:val="20"/>
                <w:color w:val="auto"/>
              </w:rPr>
            </w:pPr>
            <w:r>
              <w:rPr>
                <w:rFonts w:ascii="Times New Roman" w:cs="Times New Roman" w:eastAsia="Times New Roman" w:hAnsi="Times New Roman"/>
                <w:sz w:val="17"/>
                <w:szCs w:val="17"/>
                <w:color w:val="auto"/>
              </w:rPr>
              <w:t>28</w:t>
            </w:r>
          </w:p>
        </w:tc>
      </w:tr>
      <w:tr>
        <w:trPr>
          <w:trHeight w:val="56"/>
        </w:trPr>
        <w:tc>
          <w:tcPr>
            <w:tcW w:w="88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19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r>
      <w:tr>
        <w:trPr>
          <w:trHeight w:val="190"/>
        </w:trPr>
        <w:tc>
          <w:tcPr>
            <w:tcW w:w="7020" w:type="dxa"/>
            <w:vAlign w:val="bottom"/>
            <w:gridSpan w:val="17"/>
          </w:tcPr>
          <w:p>
            <w:pPr>
              <w:spacing w:after="0" w:line="190" w:lineRule="exact"/>
              <w:rPr>
                <w:sz w:val="20"/>
                <w:szCs w:val="20"/>
                <w:color w:val="auto"/>
              </w:rPr>
            </w:pPr>
            <w:r>
              <w:rPr>
                <w:rFonts w:ascii="Times New Roman" w:cs="Times New Roman" w:eastAsia="Times New Roman" w:hAnsi="Times New Roman"/>
                <w:sz w:val="17"/>
                <w:szCs w:val="17"/>
                <w:color w:val="0000EE"/>
              </w:rPr>
              <w:t>Statement of Changes in Net Assets</w:t>
            </w:r>
          </w:p>
        </w:tc>
        <w:tc>
          <w:tcPr>
            <w:tcW w:w="580" w:type="dxa"/>
            <w:vAlign w:val="bottom"/>
          </w:tcPr>
          <w:p>
            <w:pPr>
              <w:jc w:val="center"/>
              <w:spacing w:after="0" w:line="190" w:lineRule="exact"/>
              <w:rPr>
                <w:sz w:val="20"/>
                <w:szCs w:val="20"/>
                <w:color w:val="auto"/>
              </w:rPr>
            </w:pPr>
            <w:r>
              <w:rPr>
                <w:rFonts w:ascii="Times New Roman" w:cs="Times New Roman" w:eastAsia="Times New Roman" w:hAnsi="Times New Roman"/>
                <w:sz w:val="17"/>
                <w:szCs w:val="17"/>
                <w:color w:val="auto"/>
              </w:rPr>
              <w:t>29</w:t>
            </w:r>
          </w:p>
        </w:tc>
      </w:tr>
      <w:tr>
        <w:trPr>
          <w:trHeight w:val="56"/>
        </w:trPr>
        <w:tc>
          <w:tcPr>
            <w:tcW w:w="88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8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940" w:type="dxa"/>
            <w:vAlign w:val="bottom"/>
          </w:tcPr>
          <w:p>
            <w:pPr>
              <w:spacing w:after="0"/>
              <w:rPr>
                <w:sz w:val="4"/>
                <w:szCs w:val="4"/>
                <w:color w:val="auto"/>
              </w:rPr>
            </w:pPr>
          </w:p>
        </w:tc>
        <w:tc>
          <w:tcPr>
            <w:tcW w:w="580" w:type="dxa"/>
            <w:vAlign w:val="bottom"/>
          </w:tcPr>
          <w:p>
            <w:pPr>
              <w:spacing w:after="0"/>
              <w:rPr>
                <w:sz w:val="4"/>
                <w:szCs w:val="4"/>
                <w:color w:val="auto"/>
              </w:rPr>
            </w:pPr>
          </w:p>
        </w:tc>
      </w:tr>
      <w:tr>
        <w:trPr>
          <w:trHeight w:val="246"/>
        </w:trPr>
        <w:tc>
          <w:tcPr>
            <w:tcW w:w="1700" w:type="dxa"/>
            <w:vAlign w:val="bottom"/>
            <w:tcBorders>
              <w:bottom w:val="single" w:sz="8" w:color="0000EE"/>
            </w:tcBorders>
            <w:gridSpan w:val="8"/>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EE"/>
                <w:w w:val="98"/>
              </w:rPr>
              <w:t>Statement of Cash Flows</w:t>
            </w:r>
          </w:p>
        </w:tc>
        <w:tc>
          <w:tcPr>
            <w:tcW w:w="5320" w:type="dxa"/>
            <w:vAlign w:val="bottom"/>
            <w:tcBorders>
              <w:bottom w:val="single" w:sz="8" w:color="CCEEFF"/>
            </w:tcBorders>
            <w:gridSpan w:val="9"/>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center"/>
              <w:spacing w:after="0" w:line="190" w:lineRule="exact"/>
              <w:rPr>
                <w:sz w:val="20"/>
                <w:szCs w:val="20"/>
                <w:color w:val="auto"/>
              </w:rPr>
            </w:pPr>
            <w:r>
              <w:rPr>
                <w:rFonts w:ascii="Times New Roman" w:cs="Times New Roman" w:eastAsia="Times New Roman" w:hAnsi="Times New Roman"/>
                <w:sz w:val="17"/>
                <w:szCs w:val="17"/>
                <w:color w:val="auto"/>
              </w:rPr>
              <w:t>30</w:t>
            </w:r>
          </w:p>
        </w:tc>
      </w:tr>
      <w:tr>
        <w:trPr>
          <w:trHeight w:val="190"/>
        </w:trPr>
        <w:tc>
          <w:tcPr>
            <w:tcW w:w="7020" w:type="dxa"/>
            <w:vAlign w:val="bottom"/>
            <w:gridSpan w:val="17"/>
          </w:tcPr>
          <w:p>
            <w:pPr>
              <w:spacing w:after="0" w:line="190" w:lineRule="exact"/>
              <w:rPr>
                <w:sz w:val="20"/>
                <w:szCs w:val="20"/>
                <w:color w:val="auto"/>
              </w:rPr>
            </w:pPr>
            <w:r>
              <w:rPr>
                <w:rFonts w:ascii="Times New Roman" w:cs="Times New Roman" w:eastAsia="Times New Roman" w:hAnsi="Times New Roman"/>
                <w:sz w:val="17"/>
                <w:szCs w:val="17"/>
                <w:color w:val="0000EE"/>
              </w:rPr>
              <w:t>Notes to Financial Statements</w:t>
            </w:r>
          </w:p>
        </w:tc>
        <w:tc>
          <w:tcPr>
            <w:tcW w:w="580" w:type="dxa"/>
            <w:vAlign w:val="bottom"/>
          </w:tcPr>
          <w:p>
            <w:pPr>
              <w:jc w:val="center"/>
              <w:spacing w:after="0" w:line="190" w:lineRule="exact"/>
              <w:rPr>
                <w:sz w:val="20"/>
                <w:szCs w:val="20"/>
                <w:color w:val="auto"/>
              </w:rPr>
            </w:pPr>
            <w:r>
              <w:rPr>
                <w:rFonts w:ascii="Times New Roman" w:cs="Times New Roman" w:eastAsia="Times New Roman" w:hAnsi="Times New Roman"/>
                <w:sz w:val="17"/>
                <w:szCs w:val="17"/>
                <w:color w:val="auto"/>
              </w:rPr>
              <w:t>31</w:t>
            </w:r>
          </w:p>
        </w:tc>
      </w:tr>
      <w:tr>
        <w:trPr>
          <w:trHeight w:val="56"/>
        </w:trPr>
        <w:tc>
          <w:tcPr>
            <w:tcW w:w="88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940" w:type="dxa"/>
            <w:vAlign w:val="bottom"/>
          </w:tcPr>
          <w:p>
            <w:pPr>
              <w:spacing w:after="0"/>
              <w:rPr>
                <w:sz w:val="4"/>
                <w:szCs w:val="4"/>
                <w:color w:val="auto"/>
              </w:rPr>
            </w:pPr>
          </w:p>
        </w:tc>
        <w:tc>
          <w:tcPr>
            <w:tcW w:w="580" w:type="dxa"/>
            <w:vAlign w:val="bottom"/>
          </w:tcPr>
          <w:p>
            <w:pPr>
              <w:spacing w:after="0"/>
              <w:rPr>
                <w:sz w:val="4"/>
                <w:szCs w:val="4"/>
                <w:color w:val="auto"/>
              </w:rPr>
            </w:pPr>
          </w:p>
        </w:tc>
      </w:tr>
      <w:tr>
        <w:trPr>
          <w:trHeight w:val="190"/>
        </w:trPr>
        <w:tc>
          <w:tcPr>
            <w:tcW w:w="7020" w:type="dxa"/>
            <w:vAlign w:val="bottom"/>
            <w:gridSpan w:val="17"/>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EE"/>
              </w:rPr>
              <w:t>Price Range of Common Stock</w:t>
            </w:r>
          </w:p>
        </w:tc>
        <w:tc>
          <w:tcPr>
            <w:tcW w:w="580" w:type="dxa"/>
            <w:vAlign w:val="bottom"/>
            <w:shd w:val="clear" w:color="auto" w:fill="CCEEFF"/>
          </w:tcPr>
          <w:p>
            <w:pPr>
              <w:jc w:val="center"/>
              <w:spacing w:after="0" w:line="190" w:lineRule="exact"/>
              <w:rPr>
                <w:sz w:val="20"/>
                <w:szCs w:val="20"/>
                <w:color w:val="auto"/>
              </w:rPr>
            </w:pPr>
            <w:r>
              <w:rPr>
                <w:rFonts w:ascii="Times New Roman" w:cs="Times New Roman" w:eastAsia="Times New Roman" w:hAnsi="Times New Roman"/>
                <w:sz w:val="17"/>
                <w:szCs w:val="17"/>
                <w:color w:val="auto"/>
              </w:rPr>
              <w:t>57</w:t>
            </w:r>
          </w:p>
        </w:tc>
      </w:tr>
      <w:tr>
        <w:trPr>
          <w:trHeight w:val="56"/>
        </w:trPr>
        <w:tc>
          <w:tcPr>
            <w:tcW w:w="88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19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r>
      <w:tr>
        <w:trPr>
          <w:trHeight w:val="190"/>
        </w:trPr>
        <w:tc>
          <w:tcPr>
            <w:tcW w:w="7020" w:type="dxa"/>
            <w:vAlign w:val="bottom"/>
            <w:gridSpan w:val="17"/>
          </w:tcPr>
          <w:p>
            <w:pPr>
              <w:spacing w:after="0" w:line="190" w:lineRule="exact"/>
              <w:rPr>
                <w:sz w:val="20"/>
                <w:szCs w:val="20"/>
                <w:color w:val="auto"/>
              </w:rPr>
            </w:pPr>
            <w:r>
              <w:rPr>
                <w:rFonts w:ascii="Times New Roman" w:cs="Times New Roman" w:eastAsia="Times New Roman" w:hAnsi="Times New Roman"/>
                <w:sz w:val="17"/>
                <w:szCs w:val="17"/>
                <w:color w:val="0000EE"/>
              </w:rPr>
              <w:t>Distribution Reinvestment Plan</w:t>
            </w:r>
          </w:p>
        </w:tc>
        <w:tc>
          <w:tcPr>
            <w:tcW w:w="580" w:type="dxa"/>
            <w:vAlign w:val="bottom"/>
          </w:tcPr>
          <w:p>
            <w:pPr>
              <w:jc w:val="center"/>
              <w:spacing w:after="0" w:line="190" w:lineRule="exact"/>
              <w:rPr>
                <w:sz w:val="20"/>
                <w:szCs w:val="20"/>
                <w:color w:val="auto"/>
              </w:rPr>
            </w:pPr>
            <w:r>
              <w:rPr>
                <w:rFonts w:ascii="Times New Roman" w:cs="Times New Roman" w:eastAsia="Times New Roman" w:hAnsi="Times New Roman"/>
                <w:sz w:val="17"/>
                <w:szCs w:val="17"/>
                <w:color w:val="auto"/>
              </w:rPr>
              <w:t>58</w:t>
            </w:r>
          </w:p>
        </w:tc>
      </w:tr>
      <w:tr>
        <w:trPr>
          <w:trHeight w:val="56"/>
        </w:trPr>
        <w:tc>
          <w:tcPr>
            <w:tcW w:w="88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940" w:type="dxa"/>
            <w:vAlign w:val="bottom"/>
          </w:tcPr>
          <w:p>
            <w:pPr>
              <w:spacing w:after="0"/>
              <w:rPr>
                <w:sz w:val="4"/>
                <w:szCs w:val="4"/>
                <w:color w:val="auto"/>
              </w:rPr>
            </w:pPr>
          </w:p>
        </w:tc>
        <w:tc>
          <w:tcPr>
            <w:tcW w:w="580" w:type="dxa"/>
            <w:vAlign w:val="bottom"/>
          </w:tcPr>
          <w:p>
            <w:pPr>
              <w:spacing w:after="0"/>
              <w:rPr>
                <w:sz w:val="4"/>
                <w:szCs w:val="4"/>
                <w:color w:val="auto"/>
              </w:rPr>
            </w:pPr>
          </w:p>
        </w:tc>
      </w:tr>
      <w:tr>
        <w:trPr>
          <w:trHeight w:val="190"/>
        </w:trPr>
        <w:tc>
          <w:tcPr>
            <w:tcW w:w="7020" w:type="dxa"/>
            <w:vAlign w:val="bottom"/>
            <w:gridSpan w:val="17"/>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EE"/>
              </w:rPr>
              <w:t>Management</w:t>
            </w:r>
          </w:p>
        </w:tc>
        <w:tc>
          <w:tcPr>
            <w:tcW w:w="580" w:type="dxa"/>
            <w:vAlign w:val="bottom"/>
            <w:shd w:val="clear" w:color="auto" w:fill="CCEEFF"/>
          </w:tcPr>
          <w:p>
            <w:pPr>
              <w:jc w:val="center"/>
              <w:spacing w:after="0" w:line="190" w:lineRule="exact"/>
              <w:rPr>
                <w:sz w:val="20"/>
                <w:szCs w:val="20"/>
                <w:color w:val="auto"/>
              </w:rPr>
            </w:pPr>
            <w:r>
              <w:rPr>
                <w:rFonts w:ascii="Times New Roman" w:cs="Times New Roman" w:eastAsia="Times New Roman" w:hAnsi="Times New Roman"/>
                <w:sz w:val="17"/>
                <w:szCs w:val="17"/>
                <w:color w:val="auto"/>
              </w:rPr>
              <w:t>59</w:t>
            </w:r>
          </w:p>
        </w:tc>
      </w:tr>
      <w:tr>
        <w:trPr>
          <w:trHeight w:val="56"/>
        </w:trPr>
        <w:tc>
          <w:tcPr>
            <w:tcW w:w="88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19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r>
      <w:tr>
        <w:trPr>
          <w:trHeight w:val="190"/>
        </w:trPr>
        <w:tc>
          <w:tcPr>
            <w:tcW w:w="7020" w:type="dxa"/>
            <w:vAlign w:val="bottom"/>
            <w:gridSpan w:val="17"/>
          </w:tcPr>
          <w:p>
            <w:pPr>
              <w:spacing w:after="0" w:line="190" w:lineRule="exact"/>
              <w:rPr>
                <w:sz w:val="20"/>
                <w:szCs w:val="20"/>
                <w:color w:val="auto"/>
              </w:rPr>
            </w:pPr>
            <w:r>
              <w:rPr>
                <w:rFonts w:ascii="Times New Roman" w:cs="Times New Roman" w:eastAsia="Times New Roman" w:hAnsi="Times New Roman"/>
                <w:sz w:val="17"/>
                <w:szCs w:val="17"/>
                <w:color w:val="0000EE"/>
              </w:rPr>
              <w:t>Board Approval of the Investment Advisory Agreement</w:t>
            </w:r>
          </w:p>
        </w:tc>
        <w:tc>
          <w:tcPr>
            <w:tcW w:w="580" w:type="dxa"/>
            <w:vAlign w:val="bottom"/>
          </w:tcPr>
          <w:p>
            <w:pPr>
              <w:jc w:val="center"/>
              <w:spacing w:after="0" w:line="190" w:lineRule="exact"/>
              <w:rPr>
                <w:sz w:val="20"/>
                <w:szCs w:val="20"/>
                <w:color w:val="auto"/>
              </w:rPr>
            </w:pPr>
            <w:r>
              <w:rPr>
                <w:rFonts w:ascii="Times New Roman" w:cs="Times New Roman" w:eastAsia="Times New Roman" w:hAnsi="Times New Roman"/>
                <w:sz w:val="17"/>
                <w:szCs w:val="17"/>
                <w:color w:val="auto"/>
              </w:rPr>
              <w:t>63</w:t>
            </w:r>
          </w:p>
        </w:tc>
      </w:tr>
      <w:tr>
        <w:trPr>
          <w:trHeight w:val="56"/>
        </w:trPr>
        <w:tc>
          <w:tcPr>
            <w:tcW w:w="88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860" w:type="dxa"/>
            <w:vAlign w:val="bottom"/>
            <w:tcBorders>
              <w:top w:val="single" w:sz="8" w:color="0000EE"/>
            </w:tcBorders>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300" w:type="dxa"/>
            <w:vAlign w:val="bottom"/>
          </w:tcPr>
          <w:p>
            <w:pPr>
              <w:spacing w:after="0"/>
              <w:rPr>
                <w:sz w:val="4"/>
                <w:szCs w:val="4"/>
                <w:color w:val="auto"/>
              </w:rPr>
            </w:pPr>
          </w:p>
        </w:tc>
        <w:tc>
          <w:tcPr>
            <w:tcW w:w="1940" w:type="dxa"/>
            <w:vAlign w:val="bottom"/>
          </w:tcPr>
          <w:p>
            <w:pPr>
              <w:spacing w:after="0"/>
              <w:rPr>
                <w:sz w:val="4"/>
                <w:szCs w:val="4"/>
                <w:color w:val="auto"/>
              </w:rPr>
            </w:pPr>
          </w:p>
        </w:tc>
        <w:tc>
          <w:tcPr>
            <w:tcW w:w="580" w:type="dxa"/>
            <w:vAlign w:val="bottom"/>
          </w:tcPr>
          <w:p>
            <w:pPr>
              <w:spacing w:after="0"/>
              <w:rPr>
                <w:sz w:val="4"/>
                <w:szCs w:val="4"/>
                <w:color w:val="auto"/>
              </w:rPr>
            </w:pPr>
          </w:p>
        </w:tc>
      </w:tr>
      <w:tr>
        <w:trPr>
          <w:trHeight w:val="246"/>
        </w:trPr>
        <w:tc>
          <w:tcPr>
            <w:tcW w:w="3280" w:type="dxa"/>
            <w:vAlign w:val="bottom"/>
            <w:tcBorders>
              <w:bottom w:val="single" w:sz="8" w:color="0000EE"/>
            </w:tcBorders>
            <w:gridSpan w:val="14"/>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EE"/>
                <w:w w:val="98"/>
              </w:rPr>
              <w:t>Submission of Matters to a Vote of Stockholders</w:t>
            </w:r>
          </w:p>
        </w:tc>
        <w:tc>
          <w:tcPr>
            <w:tcW w:w="3740" w:type="dxa"/>
            <w:vAlign w:val="bottom"/>
            <w:tcBorders>
              <w:bottom w:val="single" w:sz="8" w:color="CCEEFF"/>
            </w:tcBorders>
            <w:gridSpan w:val="3"/>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center"/>
              <w:spacing w:after="0" w:line="190" w:lineRule="exact"/>
              <w:rPr>
                <w:sz w:val="20"/>
                <w:szCs w:val="20"/>
                <w:color w:val="auto"/>
              </w:rPr>
            </w:pPr>
            <w:r>
              <w:rPr>
                <w:rFonts w:ascii="Times New Roman" w:cs="Times New Roman" w:eastAsia="Times New Roman" w:hAnsi="Times New Roman"/>
                <w:sz w:val="17"/>
                <w:szCs w:val="17"/>
                <w:color w:val="auto"/>
              </w:rPr>
              <w:t>64</w:t>
            </w:r>
          </w:p>
        </w:tc>
      </w:tr>
      <w:tr>
        <w:trPr>
          <w:trHeight w:val="190"/>
        </w:trPr>
        <w:tc>
          <w:tcPr>
            <w:tcW w:w="1580" w:type="dxa"/>
            <w:vAlign w:val="bottom"/>
            <w:tcBorders>
              <w:bottom w:val="single" w:sz="8" w:color="0000EE"/>
            </w:tcBorders>
            <w:gridSpan w:val="5"/>
          </w:tcPr>
          <w:p>
            <w:pPr>
              <w:spacing w:after="0" w:line="190" w:lineRule="exact"/>
              <w:rPr>
                <w:sz w:val="20"/>
                <w:szCs w:val="20"/>
                <w:color w:val="auto"/>
              </w:rPr>
            </w:pPr>
            <w:r>
              <w:rPr>
                <w:rFonts w:ascii="Times New Roman" w:cs="Times New Roman" w:eastAsia="Times New Roman" w:hAnsi="Times New Roman"/>
                <w:sz w:val="17"/>
                <w:szCs w:val="17"/>
                <w:color w:val="0000EE"/>
                <w:w w:val="98"/>
              </w:rPr>
              <w:t>Additional Information</w:t>
            </w:r>
          </w:p>
        </w:tc>
        <w:tc>
          <w:tcPr>
            <w:tcW w:w="5440" w:type="dxa"/>
            <w:vAlign w:val="bottom"/>
            <w:gridSpan w:val="12"/>
          </w:tcPr>
          <w:p>
            <w:pPr>
              <w:spacing w:after="0"/>
              <w:rPr>
                <w:sz w:val="16"/>
                <w:szCs w:val="16"/>
                <w:color w:val="auto"/>
              </w:rPr>
            </w:pPr>
          </w:p>
        </w:tc>
        <w:tc>
          <w:tcPr>
            <w:tcW w:w="580" w:type="dxa"/>
            <w:vAlign w:val="bottom"/>
          </w:tcPr>
          <w:p>
            <w:pPr>
              <w:jc w:val="center"/>
              <w:spacing w:after="0" w:line="190" w:lineRule="exact"/>
              <w:rPr>
                <w:sz w:val="20"/>
                <w:szCs w:val="20"/>
                <w:color w:val="auto"/>
              </w:rPr>
            </w:pPr>
            <w:r>
              <w:rPr>
                <w:rFonts w:ascii="Times New Roman" w:cs="Times New Roman" w:eastAsia="Times New Roman" w:hAnsi="Times New Roman"/>
                <w:sz w:val="17"/>
                <w:szCs w:val="17"/>
                <w:color w:val="auto"/>
              </w:rPr>
              <w:t>65</w:t>
            </w:r>
          </w:p>
        </w:tc>
      </w:tr>
    </w:tbl>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15240</wp:posOffset>
            </wp:positionV>
            <wp:extent cx="48247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824730"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3" w:name="page4"/>
    <w:bookmarkEnd w:id="3"/>
    <w:p>
      <w:pPr>
        <w:ind w:left="7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13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November 1, 2022</w:t>
      </w:r>
    </w:p>
    <w:p>
      <w:pPr>
        <w:spacing w:after="0" w:line="2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To Our Stockholders:</w:t>
      </w:r>
    </w:p>
    <w:p>
      <w:pPr>
        <w:spacing w:after="0" w:line="1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u w:val="single" w:color="auto"/>
          <w:color w:val="auto"/>
        </w:rPr>
        <w:t>Company Overview</w:t>
      </w:r>
    </w:p>
    <w:p>
      <w:pPr>
        <w:spacing w:after="0" w:line="150" w:lineRule="exact"/>
        <w:rPr>
          <w:sz w:val="20"/>
          <w:szCs w:val="20"/>
          <w:color w:val="auto"/>
        </w:rPr>
      </w:pPr>
    </w:p>
    <w:p>
      <w:pPr>
        <w:ind w:left="700" w:right="739" w:firstLine="405"/>
        <w:spacing w:after="0" w:line="251" w:lineRule="auto"/>
        <w:rPr>
          <w:sz w:val="20"/>
          <w:szCs w:val="20"/>
          <w:color w:val="auto"/>
        </w:rPr>
      </w:pPr>
      <w:r>
        <w:rPr>
          <w:rFonts w:ascii="Times New Roman" w:cs="Times New Roman" w:eastAsia="Times New Roman" w:hAnsi="Times New Roman"/>
          <w:sz w:val="17"/>
          <w:szCs w:val="17"/>
          <w:color w:val="auto"/>
        </w:rPr>
        <w:t>We are pleased to submit to you the report of Oxford Lane Capital Corp. (“we”, “us”, “our”, the “Fund” or “Oxford Lane”) for the six months ended September 30, 2022. The net asset value (“NAV”) of our shares at that date was $4.93 per common share. The Fund’s common stock is traded on the NASDAQ Global Select Market and its share price can differ from its NAV. The Fund’s closing price at September 30, 2022 was $5.17 compared to $7.24 at March 31, 2022. The total return based on market value for the Fund, for the six months ended September 30, 2022, as reflected in the Fund’s financial highlights, was (23.18)%. This return reflects the change in market price for the six months ended September 30, 2022, as well as the impact of $0.45 per share in distributions declared and paid for the six months ended September 30, 2022. The total return based on NAV for the six months ended September 30, 2022, as reflected in the Fund’s financial highlights, was (17.99)%. Please refer to “Note 13. Financial Highlights” for further details. On October 28, 2022, the last reported sale price of the Fund’s common stock was $5.39.</w:t>
      </w:r>
    </w:p>
    <w:p>
      <w:pPr>
        <w:spacing w:after="0" w:line="119" w:lineRule="exact"/>
        <w:rPr>
          <w:sz w:val="20"/>
          <w:szCs w:val="20"/>
          <w:color w:val="auto"/>
        </w:rPr>
      </w:pPr>
    </w:p>
    <w:p>
      <w:pPr>
        <w:ind w:left="700" w:right="719" w:firstLine="405"/>
        <w:spacing w:after="0" w:line="252" w:lineRule="auto"/>
        <w:rPr>
          <w:sz w:val="20"/>
          <w:szCs w:val="20"/>
          <w:color w:val="auto"/>
        </w:rPr>
      </w:pPr>
      <w:r>
        <w:rPr>
          <w:rFonts w:ascii="Times New Roman" w:cs="Times New Roman" w:eastAsia="Times New Roman" w:hAnsi="Times New Roman"/>
          <w:sz w:val="17"/>
          <w:szCs w:val="17"/>
          <w:color w:val="auto"/>
        </w:rPr>
        <w:t>We note that there may be significant differences between Oxford Lane’s earnings prepared in accordance with generally accepted accounting principles (“GAAP”) in the United States of America and our taxable earnings, particularly related to collateralized loan obligation (“CLO”) equity investments where our taxable earnings are based upon the distributable share of earnings as determined under tax regulations for each CLO equity investment, while GAAP earnings are based upon an effective yield calculation. Additionally, as our taxable earnings are not generally known until after our distributions are made; those distributions may represent a return of capital on a tax basis. While reportable GAAP income from our CLO equity investments for the six months ended September 30, 2022 was approximately $122.7 million, we received or were entitled to receive approximately $195.9 million in distributions from our CLO equity investments.</w:t>
      </w:r>
    </w:p>
    <w:p>
      <w:pPr>
        <w:spacing w:after="0" w:line="17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u w:val="single" w:color="auto"/>
          <w:color w:val="auto"/>
        </w:rPr>
        <w:t>Investment Review</w:t>
      </w:r>
    </w:p>
    <w:p>
      <w:pPr>
        <w:spacing w:after="0" w:line="138" w:lineRule="exact"/>
        <w:rPr>
          <w:sz w:val="20"/>
          <w:szCs w:val="20"/>
          <w:color w:val="auto"/>
        </w:rPr>
      </w:pPr>
    </w:p>
    <w:p>
      <w:pPr>
        <w:ind w:left="700" w:right="719" w:firstLine="405"/>
        <w:spacing w:after="0" w:line="248" w:lineRule="auto"/>
        <w:rPr>
          <w:sz w:val="20"/>
          <w:szCs w:val="20"/>
          <w:color w:val="auto"/>
        </w:rPr>
      </w:pPr>
      <w:r>
        <w:rPr>
          <w:rFonts w:ascii="Times New Roman" w:cs="Times New Roman" w:eastAsia="Times New Roman" w:hAnsi="Times New Roman"/>
          <w:sz w:val="17"/>
          <w:szCs w:val="17"/>
          <w:color w:val="auto"/>
        </w:rPr>
        <w:t>The Fund’s investment objective is to maximize its portfolio’s risk-adjusted total return over its investment horizon. Our current focus is to seek that return by investing in equity and junior debt tranches of CLO vehicles</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7"/>
          <w:szCs w:val="17"/>
          <w:color w:val="auto"/>
        </w:rPr>
        <w:t>, which are collateralized primarily by diverse portfolios of senior loans made to companies whose debt is unrated or is rated below investment grade. Such CLO vehicles generally have little to no exposure to real estate loans, mortgage loans or pools of consumer-based debt, such as credit card receivables or auto loans. Our investment strategy also includes investing in warehouse facilities, which are financing structures intended to aggregate senior loans that may be used to form the basis of a CLO vehicle.</w:t>
      </w:r>
    </w:p>
    <w:p>
      <w:pPr>
        <w:spacing w:after="0" w:line="120" w:lineRule="exact"/>
        <w:rPr>
          <w:sz w:val="20"/>
          <w:szCs w:val="20"/>
          <w:color w:val="auto"/>
        </w:rPr>
      </w:pPr>
    </w:p>
    <w:p>
      <w:pPr>
        <w:ind w:left="700" w:right="719" w:firstLine="405"/>
        <w:spacing w:after="0" w:line="286" w:lineRule="auto"/>
        <w:rPr>
          <w:sz w:val="20"/>
          <w:szCs w:val="20"/>
          <w:color w:val="auto"/>
        </w:rPr>
      </w:pPr>
      <w:r>
        <w:rPr>
          <w:rFonts w:ascii="Times New Roman" w:cs="Times New Roman" w:eastAsia="Times New Roman" w:hAnsi="Times New Roman"/>
          <w:sz w:val="16"/>
          <w:szCs w:val="16"/>
          <w:color w:val="auto"/>
        </w:rPr>
        <w:t>Structurally, CLO vehicles are entities formed to originate and manage a portfolio of loans. The loans within a CLO vehicle are limited to those which, on an aggregated basis, have met established credit criteria and are subject to concentration limitations in order to limit a CLO vehicle’s exposure to a single credit or industry.</w:t>
      </w:r>
    </w:p>
    <w:p>
      <w:pPr>
        <w:spacing w:after="0" w:line="89" w:lineRule="exact"/>
        <w:rPr>
          <w:sz w:val="20"/>
          <w:szCs w:val="20"/>
          <w:color w:val="auto"/>
        </w:rPr>
      </w:pPr>
    </w:p>
    <w:p>
      <w:pPr>
        <w:jc w:val="both"/>
        <w:ind w:left="700" w:right="839" w:firstLine="405"/>
        <w:spacing w:after="0" w:line="262" w:lineRule="auto"/>
        <w:rPr>
          <w:sz w:val="20"/>
          <w:szCs w:val="20"/>
          <w:color w:val="auto"/>
        </w:rPr>
      </w:pPr>
      <w:r>
        <w:rPr>
          <w:rFonts w:ascii="Times New Roman" w:cs="Times New Roman" w:eastAsia="Times New Roman" w:hAnsi="Times New Roman"/>
          <w:sz w:val="17"/>
          <w:szCs w:val="17"/>
          <w:color w:val="auto"/>
        </w:rPr>
        <w:t>An investment in our Fund carries with it a significant number of meaningful risks, certain of which are discussed in the notes to our financial statements. Investors should read “Note 14. Risks and Uncertainties”, as well as our prospectus, carefully.</w:t>
      </w:r>
    </w:p>
    <w:p>
      <w:pPr>
        <w:spacing w:after="0" w:line="13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5"/>
          <w:szCs w:val="15"/>
          <w:color w:val="auto"/>
        </w:rPr>
        <w:t>____________</w:t>
      </w:r>
    </w:p>
    <w:p>
      <w:pPr>
        <w:spacing w:after="0" w:line="106" w:lineRule="exact"/>
        <w:rPr>
          <w:sz w:val="20"/>
          <w:szCs w:val="20"/>
          <w:color w:val="auto"/>
        </w:rPr>
      </w:pPr>
    </w:p>
    <w:p>
      <w:pPr>
        <w:ind w:left="1120" w:right="719" w:hanging="415"/>
        <w:spacing w:after="0" w:line="272" w:lineRule="auto"/>
        <w:tabs>
          <w:tab w:leader="none" w:pos="1095"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CLO vehicle is formed by issuing various classes or “tranches” of debt (with the most senior tranches being rated “AAA” to the most junior tranches typically being rated “BB” or “B”) and equity. The tranches of CLO vehicles rated “BB” or “B” may be referred to as “junk.” The equity of a CLO vehicle is generally structured to absorb the CLO’s losses before any of the CLO’s debt tranches, and it also has the lowest level of payment priority among the CLO’s tranches; therefore, the equity is typically the riskiest tranche of a CLO vehicle.</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15240</wp:posOffset>
            </wp:positionV>
            <wp:extent cx="48247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824730"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4" w:name="page5"/>
    <w:bookmarkEnd w:id="4"/>
    <w:p>
      <w:pPr>
        <w:ind w:left="7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u w:val="single" w:color="auto"/>
          <w:color w:val="auto"/>
        </w:rPr>
        <w:t>2022 Portfolio Review</w:t>
      </w:r>
    </w:p>
    <w:p>
      <w:pPr>
        <w:spacing w:after="0" w:line="138" w:lineRule="exact"/>
        <w:rPr>
          <w:sz w:val="20"/>
          <w:szCs w:val="20"/>
          <w:color w:val="auto"/>
        </w:rPr>
      </w:pPr>
    </w:p>
    <w:p>
      <w:pPr>
        <w:ind w:left="700" w:right="1379" w:firstLine="405"/>
        <w:spacing w:after="0" w:line="276" w:lineRule="auto"/>
        <w:rPr>
          <w:sz w:val="20"/>
          <w:szCs w:val="20"/>
          <w:color w:val="auto"/>
        </w:rPr>
      </w:pPr>
      <w:r>
        <w:rPr>
          <w:rFonts w:ascii="Times New Roman" w:cs="Times New Roman" w:eastAsia="Times New Roman" w:hAnsi="Times New Roman"/>
          <w:sz w:val="17"/>
          <w:szCs w:val="17"/>
          <w:color w:val="auto"/>
        </w:rPr>
        <w:t>As of September 30, 2022, we held equity investments in 204 different CLO structures, and debt investments in 17 different CLO structures.</w:t>
      </w:r>
    </w:p>
    <w:p>
      <w:pPr>
        <w:spacing w:after="0" w:line="95" w:lineRule="exact"/>
        <w:rPr>
          <w:sz w:val="20"/>
          <w:szCs w:val="20"/>
          <w:color w:val="auto"/>
        </w:rPr>
      </w:pPr>
    </w:p>
    <w:p>
      <w:pPr>
        <w:ind w:left="700" w:right="1099" w:firstLine="405"/>
        <w:spacing w:after="0" w:line="276" w:lineRule="auto"/>
        <w:rPr>
          <w:sz w:val="20"/>
          <w:szCs w:val="20"/>
          <w:color w:val="auto"/>
        </w:rPr>
      </w:pPr>
      <w:r>
        <w:rPr>
          <w:rFonts w:ascii="Times New Roman" w:cs="Times New Roman" w:eastAsia="Times New Roman" w:hAnsi="Times New Roman"/>
          <w:sz w:val="17"/>
          <w:szCs w:val="17"/>
          <w:color w:val="auto"/>
        </w:rPr>
        <w:t>For the six months ended September 30, 2022, net investment income, calculated in accordance with GAAP, was approximately $74.7 million, or $0.49 per weighted average common share.</w:t>
      </w:r>
    </w:p>
    <w:p>
      <w:pPr>
        <w:spacing w:after="0" w:line="95" w:lineRule="exact"/>
        <w:rPr>
          <w:sz w:val="20"/>
          <w:szCs w:val="20"/>
          <w:color w:val="auto"/>
        </w:rPr>
      </w:pPr>
    </w:p>
    <w:p>
      <w:pPr>
        <w:ind w:left="700" w:right="739" w:firstLine="405"/>
        <w:spacing w:after="0" w:line="262" w:lineRule="auto"/>
        <w:rPr>
          <w:sz w:val="20"/>
          <w:szCs w:val="20"/>
          <w:color w:val="auto"/>
        </w:rPr>
      </w:pPr>
      <w:r>
        <w:rPr>
          <w:rFonts w:ascii="Times New Roman" w:cs="Times New Roman" w:eastAsia="Times New Roman" w:hAnsi="Times New Roman"/>
          <w:sz w:val="17"/>
          <w:szCs w:val="17"/>
          <w:color w:val="auto"/>
        </w:rPr>
        <w:t>For the six months ended September 30, 2022, we recorded a net decrease in net assets resulting from operations of approximately $185.4 million, or $1.23 per weighted average common share (inclusive of realized and unrealized gains and losses).</w:t>
      </w:r>
    </w:p>
    <w:p>
      <w:pPr>
        <w:spacing w:after="0" w:line="94" w:lineRule="exact"/>
        <w:rPr>
          <w:sz w:val="20"/>
          <w:szCs w:val="20"/>
          <w:color w:val="auto"/>
        </w:rPr>
      </w:pPr>
    </w:p>
    <w:p>
      <w:pPr>
        <w:ind w:left="700" w:right="839" w:firstLine="405"/>
        <w:spacing w:after="0" w:line="309" w:lineRule="auto"/>
        <w:rPr>
          <w:sz w:val="20"/>
          <w:szCs w:val="20"/>
          <w:color w:val="auto"/>
        </w:rPr>
      </w:pPr>
      <w:r>
        <w:rPr>
          <w:rFonts w:ascii="Times New Roman" w:cs="Times New Roman" w:eastAsia="Times New Roman" w:hAnsi="Times New Roman"/>
          <w:sz w:val="16"/>
          <w:szCs w:val="16"/>
          <w:color w:val="auto"/>
        </w:rPr>
        <w:t>For the six months ended September 30, 2022, we made additional investments of approximately $357.2 million, and received approximately $131.4 million from sales and repayments of our CLO investments.</w:t>
      </w:r>
    </w:p>
    <w:p>
      <w:pPr>
        <w:spacing w:after="0" w:line="13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u w:val="single" w:color="auto"/>
          <w:color w:val="auto"/>
        </w:rPr>
        <w:t>Market Overview and Opportunity</w:t>
      </w:r>
    </w:p>
    <w:p>
      <w:pPr>
        <w:spacing w:after="0" w:line="150" w:lineRule="exact"/>
        <w:rPr>
          <w:sz w:val="20"/>
          <w:szCs w:val="20"/>
          <w:color w:val="auto"/>
        </w:rPr>
      </w:pPr>
    </w:p>
    <w:p>
      <w:pPr>
        <w:ind w:left="700" w:right="799" w:firstLine="405"/>
        <w:spacing w:after="0" w:line="252" w:lineRule="auto"/>
        <w:rPr>
          <w:sz w:val="20"/>
          <w:szCs w:val="20"/>
          <w:color w:val="auto"/>
        </w:rPr>
      </w:pPr>
      <w:r>
        <w:rPr>
          <w:rFonts w:ascii="Times New Roman" w:cs="Times New Roman" w:eastAsia="Times New Roman" w:hAnsi="Times New Roman"/>
          <w:sz w:val="17"/>
          <w:szCs w:val="17"/>
          <w:color w:val="auto"/>
        </w:rPr>
        <w:t>The broader corporate loan and CLO equity market exhibited weakness the first half of calendar year 2022. During that period, the Morningstar LSTA US Leveraged Loan Index decreased from a price of 98.64% as of December 31, 2021 to 92.16% as of June 30, 2022. From June 30, 2022, the Morningstar LSTA US Leveraged Loan Index increased to 95.50% as of August 12, 2022, before dropping to 91.92% as of September 30, 2022. For the nine months ending September 30, 2022, BB rated loan prices decreased 360 bps (or 3.62%), B rated loan prices decreased 746 bps (or 7.53%), and CCC rated loan prices decreased 1,135 bps (or 12.41%). Additionally, during 2022 the loan market exhibited an increase in default rates to 0.90% as of September 2022 compared with 0.29% at the end of 2021.</w:t>
      </w:r>
    </w:p>
    <w:p>
      <w:pPr>
        <w:spacing w:after="0" w:line="118" w:lineRule="exact"/>
        <w:rPr>
          <w:sz w:val="20"/>
          <w:szCs w:val="20"/>
          <w:color w:val="auto"/>
        </w:rPr>
      </w:pPr>
    </w:p>
    <w:p>
      <w:pPr>
        <w:ind w:left="700" w:right="759" w:firstLine="405"/>
        <w:spacing w:after="0" w:line="262" w:lineRule="auto"/>
        <w:rPr>
          <w:sz w:val="20"/>
          <w:szCs w:val="20"/>
          <w:color w:val="auto"/>
        </w:rPr>
      </w:pPr>
      <w:r>
        <w:rPr>
          <w:rFonts w:ascii="Times New Roman" w:cs="Times New Roman" w:eastAsia="Times New Roman" w:hAnsi="Times New Roman"/>
          <w:sz w:val="17"/>
          <w:szCs w:val="17"/>
          <w:color w:val="auto"/>
        </w:rPr>
        <w:t>We believe that the loan market’s performance during calendar year 2022 has been driven by (i) the impact of rising interest rates broadly, (ii) the Russia-Ukraine conflict and (iii) macroeconomic volatility caused by inflation and by the U.S. Federal Reserve’s actions to dampen inflation.</w:t>
      </w:r>
    </w:p>
    <w:p>
      <w:pPr>
        <w:spacing w:after="0" w:line="16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u w:val="single" w:color="auto"/>
          <w:color w:val="auto"/>
        </w:rPr>
        <w:t>Economic and Market Conditions</w:t>
      </w:r>
    </w:p>
    <w:p>
      <w:pPr>
        <w:spacing w:after="0" w:line="138" w:lineRule="exact"/>
        <w:rPr>
          <w:sz w:val="20"/>
          <w:szCs w:val="20"/>
          <w:color w:val="auto"/>
        </w:rPr>
      </w:pPr>
    </w:p>
    <w:p>
      <w:pPr>
        <w:ind w:left="700" w:right="839" w:firstLine="405"/>
        <w:spacing w:after="0" w:line="252" w:lineRule="auto"/>
        <w:rPr>
          <w:sz w:val="20"/>
          <w:szCs w:val="20"/>
          <w:color w:val="auto"/>
        </w:rPr>
      </w:pPr>
      <w:r>
        <w:rPr>
          <w:rFonts w:ascii="Times New Roman" w:cs="Times New Roman" w:eastAsia="Times New Roman" w:hAnsi="Times New Roman"/>
          <w:sz w:val="17"/>
          <w:szCs w:val="17"/>
          <w:color w:val="auto"/>
        </w:rPr>
        <w:t>Periods of market volatility have occurred and could continue to occur in response to pandemics or other events outside of our control. These types of events have adversely affected and could continue to adversely affect operating results for the Fund and for our investments in CLOs and their underlying collateral. For example, the Coronavirus (“COVID-19”) pandemic has adversely impacted global commercial activity and contributed to volatility in the equity and debt markets. Government spending, government policies, including recent increases in certain interest rates by the U.S. Federal Reserve, and disruptions in supply chains in the United States and elsewhere in response to the COVID-19 pandemic and otherwise, in conjunction with other factors, have also led and could continue to lead to inflationary economic environments that could affect our CLO investments, financial condition and results of operations.</w:t>
      </w:r>
    </w:p>
    <w:p>
      <w:pPr>
        <w:spacing w:after="0" w:line="116" w:lineRule="exact"/>
        <w:rPr>
          <w:sz w:val="20"/>
          <w:szCs w:val="20"/>
          <w:color w:val="auto"/>
        </w:rPr>
      </w:pPr>
    </w:p>
    <w:p>
      <w:pPr>
        <w:ind w:left="700" w:right="979" w:firstLine="405"/>
        <w:spacing w:after="0" w:line="258" w:lineRule="auto"/>
        <w:rPr>
          <w:sz w:val="20"/>
          <w:szCs w:val="20"/>
          <w:color w:val="auto"/>
        </w:rPr>
      </w:pPr>
      <w:r>
        <w:rPr>
          <w:rFonts w:ascii="Times New Roman" w:cs="Times New Roman" w:eastAsia="Times New Roman" w:hAnsi="Times New Roman"/>
          <w:sz w:val="17"/>
          <w:szCs w:val="17"/>
          <w:color w:val="auto"/>
        </w:rPr>
        <w:t>The Fund’s ability to pay distributions might be adversely affected by the impact of one or more of the risks discussed in this section or otherwise, including the recent market volatility described above. The Fund cannot assure you that it will achieve investment results that will allow us to make a specified level of cash distributions.</w:t>
      </w:r>
    </w:p>
    <w:p>
      <w:pPr>
        <w:spacing w:after="0" w:line="109" w:lineRule="exact"/>
        <w:rPr>
          <w:sz w:val="20"/>
          <w:szCs w:val="20"/>
          <w:color w:val="auto"/>
        </w:rPr>
      </w:pPr>
    </w:p>
    <w:p>
      <w:pPr>
        <w:ind w:left="700" w:right="799" w:firstLine="405"/>
        <w:spacing w:after="0" w:line="251" w:lineRule="auto"/>
        <w:rPr>
          <w:sz w:val="20"/>
          <w:szCs w:val="20"/>
          <w:color w:val="auto"/>
        </w:rPr>
      </w:pPr>
      <w:r>
        <w:rPr>
          <w:rFonts w:ascii="Times New Roman" w:cs="Times New Roman" w:eastAsia="Times New Roman" w:hAnsi="Times New Roman"/>
          <w:sz w:val="17"/>
          <w:szCs w:val="17"/>
          <w:color w:val="auto"/>
        </w:rPr>
        <w:t>Additionally, various social and political circumstances in the United States and around the world (including wars and other forms of conflict, including rising trade tensions between the United States and China, and other uncertainties regarding actual and potential shifts in the U.S. and foreign, trade, economic and other policies with other countries, terrorist acts, security operations and catastrophic events such as fires, floods, earthquakes, tornadoes, hurricanes and global health epidemics), may also contribute to increased market volatility and economic uncertainties or deterioration in the United States and worldwide. Specifically, the conflict between Russia and Ukraine, and resulting market volatility, could adversely affect our business, financial condition or results of operations. In response to the conflict between Russia and Ukraine, the United States and other countries have imposed sanctions or other restrictive actions against Russia. Any of the above factors, including sanctions, export controls, tariffs, trade wars and other governmental actions, could have a material adverse effect on our business, financial condition, cash flows and results of operations and could cause the market value of our common shares and/or debt securities to decline. These market and economic disruptions could also negatively impact the operating results of our portfolio companies.</w:t>
      </w:r>
    </w:p>
    <w:p>
      <w:pPr>
        <w:spacing w:after="0" w:line="10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Jonathan H. Cohen</w:t>
      </w:r>
    </w:p>
    <w:p>
      <w:pPr>
        <w:spacing w:after="0" w:line="2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15240</wp:posOffset>
            </wp:positionV>
            <wp:extent cx="48247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824730"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5" w:name="page6"/>
    <w:bookmarkEnd w:id="5"/>
    <w:p>
      <w:pPr>
        <w:ind w:left="7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7"/>
          <w:szCs w:val="17"/>
          <w:i w:val="1"/>
          <w:iCs w:val="1"/>
          <w:color w:val="auto"/>
        </w:rPr>
        <w:t>This letter is intended to assist stockholders in understanding the Fund’s performance during the</w:t>
      </w:r>
    </w:p>
    <w:p>
      <w:pPr>
        <w:spacing w:after="0" w:line="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i w:val="1"/>
          <w:iCs w:val="1"/>
          <w:color w:val="auto"/>
        </w:rPr>
        <w:t>six months ended September 30, 2022. The views and opinions in this letter were current as of November 1,</w:t>
      </w:r>
    </w:p>
    <w:p>
      <w:pPr>
        <w:spacing w:after="0" w:line="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i w:val="1"/>
          <w:iCs w:val="1"/>
          <w:color w:val="auto"/>
        </w:rPr>
        <w:t>2022. Statements other than those of historical facts included herein may constitute forward-looking statements</w:t>
      </w:r>
    </w:p>
    <w:p>
      <w:pPr>
        <w:spacing w:after="0" w:line="1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i w:val="1"/>
          <w:iCs w:val="1"/>
          <w:color w:val="auto"/>
        </w:rPr>
        <w:t>and are not guarantees of future performance or results and involve a number of risks and uncertainties. Actual</w:t>
      </w:r>
    </w:p>
    <w:p>
      <w:pPr>
        <w:spacing w:after="0" w:line="1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i w:val="1"/>
          <w:iCs w:val="1"/>
          <w:color w:val="auto"/>
        </w:rPr>
        <w:t>results may differ materially from those in the forward-looking statements as a result of a number of factors.</w:t>
      </w:r>
    </w:p>
    <w:p>
      <w:pPr>
        <w:spacing w:after="0" w:line="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i w:val="1"/>
          <w:iCs w:val="1"/>
          <w:color w:val="auto"/>
        </w:rPr>
        <w:t>The Fund undertakes no duty to update any forward-looking statement made herein. Information contained on</w:t>
      </w:r>
    </w:p>
    <w:p>
      <w:pPr>
        <w:spacing w:after="0" w:line="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i w:val="1"/>
          <w:iCs w:val="1"/>
          <w:color w:val="auto"/>
        </w:rPr>
        <w:t>our website is not incorporated by reference into this stockholder letter and you should not consider</w:t>
      </w:r>
    </w:p>
    <w:p>
      <w:pPr>
        <w:spacing w:after="0" w:line="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i w:val="1"/>
          <w:iCs w:val="1"/>
          <w:color w:val="auto"/>
        </w:rPr>
        <w:t>information contained on our website to be part of this stockholder letter or any other report we file with the</w:t>
      </w:r>
    </w:p>
    <w:p>
      <w:pPr>
        <w:spacing w:after="0" w:line="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i w:val="1"/>
          <w:iCs w:val="1"/>
          <w:color w:val="auto"/>
        </w:rPr>
        <w:t>Securities and Exchange Commission.</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15240</wp:posOffset>
            </wp:positionV>
            <wp:extent cx="48247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824730"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6" w:name="page7"/>
    <w:bookmarkEnd w:id="6"/>
    <w:p>
      <w:pPr>
        <w:ind w:left="7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Important Information</w:t>
      </w:r>
    </w:p>
    <w:p>
      <w:pPr>
        <w:spacing w:after="0" w:line="138" w:lineRule="exact"/>
        <w:rPr>
          <w:sz w:val="20"/>
          <w:szCs w:val="20"/>
          <w:color w:val="auto"/>
        </w:rPr>
      </w:pPr>
    </w:p>
    <w:p>
      <w:pPr>
        <w:ind w:left="700" w:right="859" w:firstLine="405"/>
        <w:spacing w:after="0" w:line="254" w:lineRule="auto"/>
        <w:rPr>
          <w:sz w:val="20"/>
          <w:szCs w:val="20"/>
          <w:color w:val="auto"/>
        </w:rPr>
      </w:pPr>
      <w:r>
        <w:rPr>
          <w:rFonts w:ascii="Times New Roman" w:cs="Times New Roman" w:eastAsia="Times New Roman" w:hAnsi="Times New Roman"/>
          <w:sz w:val="17"/>
          <w:szCs w:val="17"/>
          <w:color w:val="auto"/>
        </w:rPr>
        <w:t>This report is transmitted to the stockholders of the Fund and is furnished pursuant to certain regulatory requirements. This report and the information and views herein do not constitute investment advice, or a recommendation or an offer to enter into any transaction with the Fund or any of its affiliates. This report is provided for informational purposes only, does not constitute an offer to sell securities of the Fund and is not a prospectus. From time to time, the Fund may have a registration statement relating to one or more of its securities on file with the U.S. Securities and Exchange Commission (“SEC”).</w:t>
      </w:r>
    </w:p>
    <w:p>
      <w:pPr>
        <w:spacing w:after="0" w:line="114" w:lineRule="exact"/>
        <w:rPr>
          <w:sz w:val="20"/>
          <w:szCs w:val="20"/>
          <w:color w:val="auto"/>
        </w:rPr>
      </w:pPr>
    </w:p>
    <w:p>
      <w:pPr>
        <w:ind w:left="700" w:right="839" w:firstLine="405"/>
        <w:spacing w:after="0" w:line="251" w:lineRule="auto"/>
        <w:rPr>
          <w:sz w:val="20"/>
          <w:szCs w:val="20"/>
          <w:color w:val="auto"/>
        </w:rPr>
      </w:pPr>
      <w:r>
        <w:rPr>
          <w:rFonts w:ascii="Times New Roman" w:cs="Times New Roman" w:eastAsia="Times New Roman" w:hAnsi="Times New Roman"/>
          <w:sz w:val="17"/>
          <w:szCs w:val="17"/>
          <w:color w:val="auto"/>
        </w:rPr>
        <w:t>An investment in the Fund is not appropriate for all investors. The investment program of the Fund is speculative, entails substantial risk and includes investment techniques not employed by traditional mutual funds. An investment in the Fund is not intended to be a complete investment program. Shares of closed-end investment companies, such as the Fund, frequently trade at a discount from their NAV, which may increase investors’ risk of loss. Past performance is not indicative of, or a guarantee of, future performance. The performance and certain other portfolio information quoted herein represents information as of September 30, 2022. Nothing herein should be relied upon as a representation as to the future performance or portfolio holdings of the Fund. Investment return and principal value of an investment will fluctuate, and shares, when sold, may be worth more or less than their original cost. The Fund’s performance is subject to change since the end of the period noted in this report and may be lower or higher than the performance data shown herein.</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About Oxford Lane Capital Corp.</w:t>
      </w:r>
    </w:p>
    <w:p>
      <w:pPr>
        <w:spacing w:after="0" w:line="150" w:lineRule="exact"/>
        <w:rPr>
          <w:sz w:val="20"/>
          <w:szCs w:val="20"/>
          <w:color w:val="auto"/>
        </w:rPr>
      </w:pPr>
    </w:p>
    <w:p>
      <w:pPr>
        <w:ind w:left="700" w:right="739" w:firstLine="405"/>
        <w:spacing w:after="0" w:line="258" w:lineRule="auto"/>
        <w:rPr>
          <w:sz w:val="20"/>
          <w:szCs w:val="20"/>
          <w:color w:val="auto"/>
        </w:rPr>
      </w:pPr>
      <w:r>
        <w:rPr>
          <w:rFonts w:ascii="Times New Roman" w:cs="Times New Roman" w:eastAsia="Times New Roman" w:hAnsi="Times New Roman"/>
          <w:sz w:val="17"/>
          <w:szCs w:val="17"/>
          <w:color w:val="auto"/>
        </w:rPr>
        <w:t>Oxford Lane Capital Corp. is a publicly-traded registered closed-end management investment company. It currently seeks to achieve its investment objective of maximizing risk-adjusted total return by investing in debt and equity tranches of CLO vehicles. CLO investments may also include warehouse facilities, which are financing structures intended to aggregate loans that may be used to form the basis of a CLO vehicle.</w:t>
      </w:r>
    </w:p>
    <w:p>
      <w:pPr>
        <w:spacing w:after="0" w:line="16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138" w:lineRule="exact"/>
        <w:rPr>
          <w:sz w:val="20"/>
          <w:szCs w:val="20"/>
          <w:color w:val="auto"/>
        </w:rPr>
      </w:pPr>
    </w:p>
    <w:p>
      <w:pPr>
        <w:ind w:left="700" w:right="759" w:firstLine="405"/>
        <w:spacing w:after="0" w:line="251" w:lineRule="auto"/>
        <w:rPr>
          <w:sz w:val="20"/>
          <w:szCs w:val="20"/>
          <w:color w:val="auto"/>
        </w:rPr>
      </w:pPr>
      <w:r>
        <w:rPr>
          <w:rFonts w:ascii="Times New Roman" w:cs="Times New Roman" w:eastAsia="Times New Roman" w:hAnsi="Times New Roman"/>
          <w:sz w:val="17"/>
          <w:szCs w:val="17"/>
          <w:color w:val="auto"/>
        </w:rPr>
        <w:t>This report may contain “forward-looking statements” within the meaning of the Private Securities Litigation Reform Act of 1995. Statements other than statements of historical facts included in this report may constitute forward-looking statements (including statements containing words such as “anticipates,” “expects,” “intends,” “plans,” “will,” “may,” “continue,” “believes,” “seeks,” “estimates,” “would,” “could,” “should,” “targets,” “projects,” and variations of these words and similar expressions are intended to identify forward-looking statements) and are not guarantees of future performance or results and involve a number of risks and uncertainties, including the impact of market volatility resulting from the COVID-19 pandemic, as well as other factors, on our business, our CLO investments, our industry and the global economy. Actual results may differ materially from those in the forward-looking statements as a result of a number of factors, including those described in the Fund’s filings with the SEC. The Fund undertakes no duty to update any forward-looking statement made herein. All forward-looking statements speak only as of the date of this report.</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15240</wp:posOffset>
            </wp:positionV>
            <wp:extent cx="48247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824730"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7" w:name="page8"/>
    <w:bookmarkEnd w:id="7"/>
    <w:p>
      <w:pPr>
        <w:ind w:left="7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TOP TEN HOLDINGS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AS OF SEPTEMBER 30, 2022</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56" w:lineRule="exact"/>
        <w:rPr>
          <w:sz w:val="20"/>
          <w:szCs w:val="20"/>
          <w:color w:val="auto"/>
        </w:rPr>
      </w:pPr>
    </w:p>
    <w:tbl>
      <w:tblPr>
        <w:tblLayout w:type="fixed"/>
        <w:tblInd w:w="700" w:type="dxa"/>
        <w:tblCellMar>
          <w:top w:w="0" w:type="dxa"/>
          <w:left w:w="0" w:type="dxa"/>
          <w:bottom w:w="0" w:type="dxa"/>
          <w:right w:w="0" w:type="dxa"/>
        </w:tblCellMar>
      </w:tblPr>
      <w:tr>
        <w:trPr>
          <w:trHeight w:val="190"/>
        </w:trPr>
        <w:tc>
          <w:tcPr>
            <w:tcW w:w="3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 of</w:t>
            </w:r>
          </w:p>
        </w:tc>
      </w:tr>
      <w:tr>
        <w:trPr>
          <w:trHeight w:val="201"/>
        </w:trPr>
        <w:tc>
          <w:tcPr>
            <w:tcW w:w="40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Investment</w:t>
            </w:r>
          </w:p>
        </w:tc>
        <w:tc>
          <w:tcPr>
            <w:tcW w:w="1360" w:type="dxa"/>
            <w:vAlign w:val="bottom"/>
            <w:gridSpan w:val="2"/>
          </w:tcPr>
          <w:p>
            <w:pPr>
              <w:ind w:left="340"/>
              <w:spacing w:after="0"/>
              <w:rPr>
                <w:sz w:val="20"/>
                <w:szCs w:val="20"/>
                <w:color w:val="auto"/>
              </w:rPr>
            </w:pPr>
            <w:r>
              <w:rPr>
                <w:rFonts w:ascii="Times New Roman" w:cs="Times New Roman" w:eastAsia="Times New Roman" w:hAnsi="Times New Roman"/>
                <w:sz w:val="15"/>
                <w:szCs w:val="15"/>
                <w:b w:val="1"/>
                <w:bCs w:val="1"/>
                <w:color w:val="auto"/>
              </w:rPr>
              <w:t>Maturity</w:t>
            </w:r>
          </w:p>
        </w:tc>
        <w:tc>
          <w:tcPr>
            <w:tcW w:w="140" w:type="dxa"/>
            <w:vAlign w:val="bottom"/>
          </w:tcPr>
          <w:p>
            <w:pPr>
              <w:spacing w:after="0"/>
              <w:rPr>
                <w:sz w:val="17"/>
                <w:szCs w:val="17"/>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b w:val="1"/>
                <w:bCs w:val="1"/>
                <w:color w:val="auto"/>
              </w:rPr>
              <w:t>Fair Value</w:t>
            </w: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Net Assets</w:t>
            </w:r>
          </w:p>
        </w:tc>
      </w:tr>
      <w:tr>
        <w:trPr>
          <w:trHeight w:val="43"/>
        </w:trPr>
        <w:tc>
          <w:tcPr>
            <w:tcW w:w="3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26"/>
        </w:trPr>
        <w:tc>
          <w:tcPr>
            <w:tcW w:w="4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Milford Park CLO, Ltd. – CLO subordinated notes</w:t>
            </w:r>
          </w:p>
        </w:tc>
        <w:tc>
          <w:tcPr>
            <w:tcW w:w="13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July 20, 2035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29,004,800</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3.70%</w:t>
            </w:r>
          </w:p>
        </w:tc>
      </w:tr>
      <w:tr>
        <w:trPr>
          <w:trHeight w:val="223"/>
        </w:trPr>
        <w:tc>
          <w:tcPr>
            <w:tcW w:w="40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Octagon 60, Ltd. – CLO subordinated notes</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October 20, 2035</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28,095,546</w:t>
            </w: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3.59%</w:t>
            </w:r>
          </w:p>
        </w:tc>
      </w:tr>
      <w:tr>
        <w:trPr>
          <w:trHeight w:val="43"/>
        </w:trPr>
        <w:tc>
          <w:tcPr>
            <w:tcW w:w="3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46"/>
        </w:trPr>
        <w:tc>
          <w:tcPr>
            <w:tcW w:w="4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Carlyle US CLO 2021-8, Ltd. – CLO subordinated notes</w:t>
            </w:r>
          </w:p>
        </w:tc>
        <w:tc>
          <w:tcPr>
            <w:tcW w:w="13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October 20, 2034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27,224,000</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3.48%</w:t>
            </w:r>
          </w:p>
        </w:tc>
      </w:tr>
      <w:tr>
        <w:trPr>
          <w:trHeight w:val="223"/>
        </w:trPr>
        <w:tc>
          <w:tcPr>
            <w:tcW w:w="40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Bighorn VI, Ltd. – CLO subordinated warehouse notes</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February 18, 2023</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25,781,250</w:t>
            </w: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3.29%</w:t>
            </w:r>
          </w:p>
        </w:tc>
      </w:tr>
      <w:tr>
        <w:trPr>
          <w:trHeight w:val="43"/>
        </w:trPr>
        <w:tc>
          <w:tcPr>
            <w:tcW w:w="3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46"/>
        </w:trPr>
        <w:tc>
          <w:tcPr>
            <w:tcW w:w="4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Rockford Tower CLO 2022-1, Ltd. – CLO subordinated notes</w:t>
            </w:r>
          </w:p>
        </w:tc>
        <w:tc>
          <w:tcPr>
            <w:tcW w:w="13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July 20, 2035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25,210,875</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3.22%</w:t>
            </w:r>
          </w:p>
        </w:tc>
      </w:tr>
      <w:tr>
        <w:trPr>
          <w:trHeight w:val="223"/>
        </w:trPr>
        <w:tc>
          <w:tcPr>
            <w:tcW w:w="40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Kings Park CLO, Ltd. – CLO income notes</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January 21, 2035</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22,914,375</w:t>
            </w: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2.93%</w:t>
            </w:r>
          </w:p>
        </w:tc>
      </w:tr>
      <w:tr>
        <w:trPr>
          <w:trHeight w:val="43"/>
        </w:trPr>
        <w:tc>
          <w:tcPr>
            <w:tcW w:w="3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46"/>
        </w:trPr>
        <w:tc>
          <w:tcPr>
            <w:tcW w:w="4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Nyack Park CLO, Ltd. – CLO subordinated notes</w:t>
            </w:r>
          </w:p>
        </w:tc>
        <w:tc>
          <w:tcPr>
            <w:tcW w:w="13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October 20, 2034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22,800,000</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2.91%</w:t>
            </w:r>
          </w:p>
        </w:tc>
      </w:tr>
      <w:tr>
        <w:trPr>
          <w:trHeight w:val="223"/>
        </w:trPr>
        <w:tc>
          <w:tcPr>
            <w:tcW w:w="40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Octagon 57, Ltd. – CLO income notes</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October 15, 2034</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22,123,161</w:t>
            </w: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2.82%</w:t>
            </w:r>
          </w:p>
        </w:tc>
      </w:tr>
      <w:tr>
        <w:trPr>
          <w:trHeight w:val="43"/>
        </w:trPr>
        <w:tc>
          <w:tcPr>
            <w:tcW w:w="3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46"/>
        </w:trPr>
        <w:tc>
          <w:tcPr>
            <w:tcW w:w="4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Anchorage Capital CLO 17, Ltd. – CLO subordinated notes</w:t>
            </w:r>
          </w:p>
        </w:tc>
        <w:tc>
          <w:tcPr>
            <w:tcW w:w="13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July 15, 2034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21,178,700</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7"/>
              </w:rPr>
              <w:t>2.70%</w:t>
            </w:r>
          </w:p>
        </w:tc>
      </w:tr>
      <w:tr>
        <w:trPr>
          <w:trHeight w:val="223"/>
        </w:trPr>
        <w:tc>
          <w:tcPr>
            <w:tcW w:w="40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Wind River 2021-2 CLO Ltd. – CLO subordinated notes</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July 20, 2034</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20,262,000</w:t>
            </w: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2.59%</w:t>
            </w:r>
          </w:p>
        </w:tc>
      </w:tr>
    </w:tbl>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Portfolio Investment Breakdown as of September 30, 2022</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(Excludes cash equivalents and other assets)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93345</wp:posOffset>
            </wp:positionV>
            <wp:extent cx="4824730" cy="37471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824730" cy="3747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15240</wp:posOffset>
            </wp:positionV>
            <wp:extent cx="48247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824730"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8" w:name="page9"/>
    <w:bookmarkEnd w:id="8"/>
    <w:p>
      <w:pPr>
        <w:ind w:left="7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FEES AND EXPENSES</w:t>
      </w:r>
    </w:p>
    <w:p>
      <w:pPr>
        <w:spacing w:after="0" w:line="138" w:lineRule="exact"/>
        <w:rPr>
          <w:sz w:val="20"/>
          <w:szCs w:val="20"/>
          <w:color w:val="auto"/>
        </w:rPr>
      </w:pPr>
    </w:p>
    <w:p>
      <w:pPr>
        <w:ind w:left="700" w:right="719" w:firstLine="405"/>
        <w:spacing w:after="0" w:line="255" w:lineRule="auto"/>
        <w:rPr>
          <w:sz w:val="20"/>
          <w:szCs w:val="20"/>
          <w:color w:val="auto"/>
        </w:rPr>
      </w:pPr>
      <w:r>
        <w:rPr>
          <w:rFonts w:ascii="Times New Roman" w:cs="Times New Roman" w:eastAsia="Times New Roman" w:hAnsi="Times New Roman"/>
          <w:sz w:val="17"/>
          <w:szCs w:val="17"/>
          <w:color w:val="auto"/>
        </w:rPr>
        <w:t>The following table is intended to assist you in understanding the costs and expenses that you will bear directly or indirectly. We caution you that some of the percentages indicated in the table below are estimates and may vary. Except where the context suggests otherwise, whenever this report contains a reference to fees or expenses paid by “us” or “Oxford Lane Capital,” or that “we” will pay fees or expenses, you will indirectly bear such fees or expenses as an investor in Oxford Lane Capital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106680</wp:posOffset>
            </wp:positionV>
            <wp:extent cx="4824730" cy="168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824730" cy="168910"/>
                    </a:xfrm>
                    <a:prstGeom prst="rect">
                      <a:avLst/>
                    </a:prstGeom>
                    <a:noFill/>
                  </pic:spPr>
                </pic:pic>
              </a:graphicData>
            </a:graphic>
          </wp:anchor>
        </w:drawing>
      </w:r>
    </w:p>
    <w:p>
      <w:pPr>
        <w:spacing w:after="0" w:line="15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Stockholder transaction expenses:</w:t>
      </w:r>
    </w:p>
    <w:tbl>
      <w:tblPr>
        <w:tblLayout w:type="fixed"/>
        <w:tblInd w:w="700" w:type="dxa"/>
        <w:tblCellMar>
          <w:top w:w="0" w:type="dxa"/>
          <w:left w:w="0" w:type="dxa"/>
          <w:bottom w:w="0" w:type="dxa"/>
          <w:right w:w="0" w:type="dxa"/>
        </w:tblCellMar>
      </w:tblPr>
      <w:tr>
        <w:trPr>
          <w:trHeight w:val="332"/>
        </w:trPr>
        <w:tc>
          <w:tcPr>
            <w:tcW w:w="6080" w:type="dxa"/>
            <w:vAlign w:val="bottom"/>
          </w:tcPr>
          <w:p>
            <w:pPr>
              <w:spacing w:after="0"/>
              <w:rPr>
                <w:sz w:val="20"/>
                <w:szCs w:val="20"/>
                <w:color w:val="auto"/>
              </w:rPr>
            </w:pPr>
            <w:r>
              <w:rPr>
                <w:rFonts w:ascii="Times New Roman" w:cs="Times New Roman" w:eastAsia="Times New Roman" w:hAnsi="Times New Roman"/>
                <w:sz w:val="17"/>
                <w:szCs w:val="17"/>
                <w:color w:val="auto"/>
              </w:rPr>
              <w:t>Sales load (as a percentage of offering price)</w:t>
            </w:r>
          </w:p>
        </w:tc>
        <w:tc>
          <w:tcPr>
            <w:tcW w:w="1520" w:type="dxa"/>
            <w:vAlign w:val="bottom"/>
            <w:gridSpan w:val="2"/>
          </w:tcPr>
          <w:p>
            <w:pPr>
              <w:jc w:val="right"/>
              <w:ind w:right="215"/>
              <w:spacing w:after="0" w:line="331" w:lineRule="exact"/>
              <w:rPr>
                <w:sz w:val="20"/>
                <w:szCs w:val="20"/>
                <w:color w:val="auto"/>
              </w:rPr>
            </w:pPr>
            <w:r>
              <w:rPr>
                <w:rFonts w:ascii="Times New Roman" w:cs="Times New Roman" w:eastAsia="Times New Roman" w:hAnsi="Times New Roman"/>
                <w:sz w:val="33"/>
                <w:szCs w:val="33"/>
                <w:color w:val="auto"/>
                <w:vertAlign w:val="subscript"/>
              </w:rPr>
              <w:t>—</w:t>
            </w: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26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Offering expenses borne by us (as a percentage of offering price)</w:t>
            </w:r>
          </w:p>
        </w:tc>
        <w:tc>
          <w:tcPr>
            <w:tcW w:w="1520" w:type="dxa"/>
            <w:vAlign w:val="bottom"/>
            <w:gridSpan w:val="2"/>
            <w:shd w:val="clear" w:color="auto" w:fill="CCEEFF"/>
          </w:tcPr>
          <w:p>
            <w:pPr>
              <w:jc w:val="right"/>
              <w:ind w:right="215"/>
              <w:spacing w:after="0" w:line="266"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9"/>
                <w:szCs w:val="9"/>
                <w:color w:val="auto"/>
              </w:rPr>
              <w:t>(2)</w:t>
            </w:r>
          </w:p>
        </w:tc>
        <w:tc>
          <w:tcPr>
            <w:tcW w:w="0" w:type="dxa"/>
            <w:vAlign w:val="bottom"/>
          </w:tcPr>
          <w:p>
            <w:pPr>
              <w:spacing w:after="0"/>
              <w:rPr>
                <w:sz w:val="1"/>
                <w:szCs w:val="1"/>
                <w:color w:val="auto"/>
              </w:rPr>
            </w:pPr>
          </w:p>
        </w:tc>
      </w:tr>
      <w:tr>
        <w:trPr>
          <w:trHeight w:val="266"/>
        </w:trPr>
        <w:tc>
          <w:tcPr>
            <w:tcW w:w="6080" w:type="dxa"/>
            <w:vAlign w:val="bottom"/>
          </w:tcPr>
          <w:p>
            <w:pPr>
              <w:spacing w:after="0"/>
              <w:rPr>
                <w:sz w:val="20"/>
                <w:szCs w:val="20"/>
                <w:color w:val="auto"/>
              </w:rPr>
            </w:pPr>
            <w:r>
              <w:rPr>
                <w:rFonts w:ascii="Times New Roman" w:cs="Times New Roman" w:eastAsia="Times New Roman" w:hAnsi="Times New Roman"/>
                <w:sz w:val="17"/>
                <w:szCs w:val="17"/>
                <w:color w:val="auto"/>
              </w:rPr>
              <w:t>Distribution reinvestment plan expenses</w:t>
            </w:r>
          </w:p>
        </w:tc>
        <w:tc>
          <w:tcPr>
            <w:tcW w:w="1520" w:type="dxa"/>
            <w:vAlign w:val="bottom"/>
            <w:gridSpan w:val="2"/>
          </w:tcPr>
          <w:p>
            <w:pPr>
              <w:jc w:val="right"/>
              <w:ind w:right="215"/>
              <w:spacing w:after="0" w:line="266"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9"/>
                <w:szCs w:val="9"/>
                <w:color w:val="auto"/>
              </w:rPr>
              <w:t>(3)</w:t>
            </w:r>
          </w:p>
        </w:tc>
        <w:tc>
          <w:tcPr>
            <w:tcW w:w="0" w:type="dxa"/>
            <w:vAlign w:val="bottom"/>
          </w:tcPr>
          <w:p>
            <w:pPr>
              <w:spacing w:after="0"/>
              <w:rPr>
                <w:sz w:val="1"/>
                <w:szCs w:val="1"/>
                <w:color w:val="auto"/>
              </w:rPr>
            </w:pPr>
          </w:p>
        </w:tc>
      </w:tr>
      <w:tr>
        <w:trPr>
          <w:trHeight w:val="20"/>
        </w:trPr>
        <w:tc>
          <w:tcPr>
            <w:tcW w:w="60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stockholder transaction expenses (as a percentage of offering price)</w:t>
            </w:r>
          </w:p>
        </w:tc>
        <w:tc>
          <w:tcPr>
            <w:tcW w:w="114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6080" w:type="dxa"/>
            <w:vAlign w:val="bottom"/>
            <w:vMerge w:val="continue"/>
            <w:shd w:val="clear" w:color="auto" w:fill="CCEEFF"/>
          </w:tcPr>
          <w:p>
            <w:pPr>
              <w:spacing w:after="0"/>
              <w:rPr>
                <w:sz w:val="19"/>
                <w:szCs w:val="19"/>
                <w:color w:val="auto"/>
              </w:rPr>
            </w:pPr>
          </w:p>
        </w:tc>
        <w:tc>
          <w:tcPr>
            <w:tcW w:w="1520" w:type="dxa"/>
            <w:vAlign w:val="bottom"/>
            <w:gridSpan w:val="2"/>
            <w:shd w:val="clear" w:color="auto" w:fill="CCEEFF"/>
          </w:tcPr>
          <w:p>
            <w:pPr>
              <w:jc w:val="right"/>
              <w:ind w:right="33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bottom w:val="single" w:sz="8" w:color="CCEEFF"/>
            </w:tcBorders>
            <w:vMerge w:val="restart"/>
          </w:tcPr>
          <w:p>
            <w:pPr>
              <w:spacing w:after="0" w:line="181" w:lineRule="exact"/>
              <w:rPr>
                <w:sz w:val="20"/>
                <w:szCs w:val="20"/>
                <w:color w:val="auto"/>
              </w:rPr>
            </w:pPr>
            <w:r>
              <w:rPr>
                <w:rFonts w:ascii="Times New Roman" w:cs="Times New Roman" w:eastAsia="Times New Roman" w:hAnsi="Times New Roman"/>
                <w:sz w:val="17"/>
                <w:szCs w:val="17"/>
                <w:b w:val="1"/>
                <w:bCs w:val="1"/>
                <w:color w:val="auto"/>
              </w:rPr>
              <w:t>Annual expenses (estimated as a percentage of net assets attributable to common</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8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6080" w:type="dxa"/>
            <w:vAlign w:val="bottom"/>
          </w:tcPr>
          <w:p>
            <w:pPr>
              <w:ind w:left="180"/>
              <w:spacing w:after="0"/>
              <w:rPr>
                <w:sz w:val="20"/>
                <w:szCs w:val="20"/>
                <w:color w:val="auto"/>
              </w:rPr>
            </w:pPr>
            <w:r>
              <w:rPr>
                <w:rFonts w:ascii="Times New Roman" w:cs="Times New Roman" w:eastAsia="Times New Roman" w:hAnsi="Times New Roman"/>
                <w:sz w:val="17"/>
                <w:szCs w:val="17"/>
                <w:b w:val="1"/>
                <w:bCs w:val="1"/>
                <w:color w:val="auto"/>
              </w:rPr>
              <w:t>stock):</w:t>
            </w: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60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Base management fee</w:t>
            </w:r>
          </w:p>
        </w:tc>
        <w:tc>
          <w:tcPr>
            <w:tcW w:w="1520" w:type="dxa"/>
            <w:vAlign w:val="bottom"/>
            <w:gridSpan w:val="2"/>
            <w:shd w:val="clear" w:color="auto" w:fill="CCEEFF"/>
          </w:tcPr>
          <w:p>
            <w:pPr>
              <w:jc w:val="right"/>
              <w:spacing w:after="0" w:line="266" w:lineRule="exact"/>
              <w:rPr>
                <w:sz w:val="20"/>
                <w:szCs w:val="20"/>
                <w:color w:val="auto"/>
              </w:rPr>
            </w:pPr>
            <w:r>
              <w:rPr>
                <w:rFonts w:ascii="Times New Roman" w:cs="Times New Roman" w:eastAsia="Times New Roman" w:hAnsi="Times New Roman"/>
                <w:sz w:val="30"/>
                <w:szCs w:val="30"/>
                <w:color w:val="auto"/>
                <w:vertAlign w:val="subscript"/>
              </w:rPr>
              <w:t>3.25%</w:t>
            </w:r>
            <w:r>
              <w:rPr>
                <w:rFonts w:ascii="Times New Roman" w:cs="Times New Roman" w:eastAsia="Times New Roman" w:hAnsi="Times New Roman"/>
                <w:sz w:val="9"/>
                <w:szCs w:val="9"/>
                <w:color w:val="auto"/>
              </w:rPr>
              <w:t>(4)(5)</w:t>
            </w:r>
          </w:p>
        </w:tc>
        <w:tc>
          <w:tcPr>
            <w:tcW w:w="0" w:type="dxa"/>
            <w:vAlign w:val="bottom"/>
          </w:tcPr>
          <w:p>
            <w:pPr>
              <w:spacing w:after="0"/>
              <w:rPr>
                <w:sz w:val="1"/>
                <w:szCs w:val="1"/>
                <w:color w:val="auto"/>
              </w:rPr>
            </w:pPr>
          </w:p>
        </w:tc>
      </w:tr>
      <w:tr>
        <w:trPr>
          <w:trHeight w:val="186"/>
        </w:trPr>
        <w:tc>
          <w:tcPr>
            <w:tcW w:w="6080" w:type="dxa"/>
            <w:vAlign w:val="bottom"/>
          </w:tcPr>
          <w:p>
            <w:pPr>
              <w:spacing w:after="0" w:line="186" w:lineRule="exact"/>
              <w:rPr>
                <w:sz w:val="20"/>
                <w:szCs w:val="20"/>
                <w:color w:val="auto"/>
              </w:rPr>
            </w:pPr>
            <w:r>
              <w:rPr>
                <w:rFonts w:ascii="Times New Roman" w:cs="Times New Roman" w:eastAsia="Times New Roman" w:hAnsi="Times New Roman"/>
                <w:sz w:val="17"/>
                <w:szCs w:val="17"/>
                <w:color w:val="auto"/>
              </w:rPr>
              <w:t>Incentive fees payable under our investment advisory agreement (20% of net investment</w:t>
            </w:r>
          </w:p>
        </w:tc>
        <w:tc>
          <w:tcPr>
            <w:tcW w:w="1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60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income)</w:t>
            </w:r>
          </w:p>
        </w:tc>
        <w:tc>
          <w:tcPr>
            <w:tcW w:w="152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4.54%</w:t>
            </w:r>
            <w:r>
              <w:rPr>
                <w:rFonts w:ascii="Times New Roman" w:cs="Times New Roman" w:eastAsia="Times New Roman" w:hAnsi="Times New Roman"/>
                <w:sz w:val="19"/>
                <w:szCs w:val="19"/>
                <w:color w:val="auto"/>
                <w:vertAlign w:val="superscript"/>
              </w:rPr>
              <w:t>(5)</w:t>
            </w:r>
          </w:p>
        </w:tc>
        <w:tc>
          <w:tcPr>
            <w:tcW w:w="0" w:type="dxa"/>
            <w:vAlign w:val="bottom"/>
          </w:tcPr>
          <w:p>
            <w:pPr>
              <w:spacing w:after="0"/>
              <w:rPr>
                <w:sz w:val="1"/>
                <w:szCs w:val="1"/>
                <w:color w:val="auto"/>
              </w:rPr>
            </w:pPr>
          </w:p>
        </w:tc>
      </w:tr>
      <w:tr>
        <w:trPr>
          <w:trHeight w:val="26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payments on borrowed funds</w:t>
            </w:r>
          </w:p>
        </w:tc>
        <w:tc>
          <w:tcPr>
            <w:tcW w:w="1520" w:type="dxa"/>
            <w:vAlign w:val="bottom"/>
            <w:gridSpan w:val="2"/>
            <w:shd w:val="clear" w:color="auto" w:fill="CCEEFF"/>
          </w:tcPr>
          <w:p>
            <w:pPr>
              <w:jc w:val="right"/>
              <w:spacing w:after="0" w:line="266" w:lineRule="exact"/>
              <w:rPr>
                <w:sz w:val="20"/>
                <w:szCs w:val="20"/>
                <w:color w:val="auto"/>
              </w:rPr>
            </w:pPr>
            <w:r>
              <w:rPr>
                <w:rFonts w:ascii="Times New Roman" w:cs="Times New Roman" w:eastAsia="Times New Roman" w:hAnsi="Times New Roman"/>
                <w:sz w:val="30"/>
                <w:szCs w:val="30"/>
                <w:color w:val="auto"/>
                <w:vertAlign w:val="subscript"/>
              </w:rPr>
              <w:t>3.65%</w:t>
            </w:r>
            <w:r>
              <w:rPr>
                <w:rFonts w:ascii="Times New Roman" w:cs="Times New Roman" w:eastAsia="Times New Roman" w:hAnsi="Times New Roman"/>
                <w:sz w:val="9"/>
                <w:szCs w:val="9"/>
                <w:color w:val="auto"/>
              </w:rPr>
              <w:t>(6)(7)</w:t>
            </w:r>
          </w:p>
        </w:tc>
        <w:tc>
          <w:tcPr>
            <w:tcW w:w="0" w:type="dxa"/>
            <w:vAlign w:val="bottom"/>
          </w:tcPr>
          <w:p>
            <w:pPr>
              <w:spacing w:after="0"/>
              <w:rPr>
                <w:sz w:val="1"/>
                <w:szCs w:val="1"/>
                <w:color w:val="auto"/>
              </w:rPr>
            </w:pPr>
          </w:p>
        </w:tc>
      </w:tr>
      <w:tr>
        <w:trPr>
          <w:trHeight w:val="266"/>
        </w:trPr>
        <w:tc>
          <w:tcPr>
            <w:tcW w:w="6080" w:type="dxa"/>
            <w:vAlign w:val="bottom"/>
          </w:tcPr>
          <w:p>
            <w:pPr>
              <w:spacing w:after="0"/>
              <w:rPr>
                <w:sz w:val="20"/>
                <w:szCs w:val="20"/>
                <w:color w:val="auto"/>
              </w:rPr>
            </w:pPr>
            <w:r>
              <w:rPr>
                <w:rFonts w:ascii="Times New Roman" w:cs="Times New Roman" w:eastAsia="Times New Roman" w:hAnsi="Times New Roman"/>
                <w:sz w:val="17"/>
                <w:szCs w:val="17"/>
                <w:color w:val="auto"/>
              </w:rPr>
              <w:t>Other expenses</w:t>
            </w:r>
          </w:p>
        </w:tc>
        <w:tc>
          <w:tcPr>
            <w:tcW w:w="152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1.13%</w:t>
            </w:r>
            <w:r>
              <w:rPr>
                <w:rFonts w:ascii="Times New Roman" w:cs="Times New Roman" w:eastAsia="Times New Roman" w:hAnsi="Times New Roman"/>
                <w:sz w:val="19"/>
                <w:szCs w:val="19"/>
                <w:color w:val="auto"/>
                <w:vertAlign w:val="superscript"/>
              </w:rPr>
              <w:t>(8)</w:t>
            </w:r>
          </w:p>
        </w:tc>
        <w:tc>
          <w:tcPr>
            <w:tcW w:w="0" w:type="dxa"/>
            <w:vAlign w:val="bottom"/>
          </w:tcPr>
          <w:p>
            <w:pPr>
              <w:spacing w:after="0"/>
              <w:rPr>
                <w:sz w:val="1"/>
                <w:szCs w:val="1"/>
                <w:color w:val="auto"/>
              </w:rPr>
            </w:pPr>
          </w:p>
        </w:tc>
      </w:tr>
      <w:tr>
        <w:trPr>
          <w:trHeight w:val="233"/>
        </w:trPr>
        <w:tc>
          <w:tcPr>
            <w:tcW w:w="6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annual expenses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12.57</w:t>
            </w:r>
          </w:p>
        </w:tc>
        <w:tc>
          <w:tcPr>
            <w:tcW w:w="380" w:type="dxa"/>
            <w:vAlign w:val="bottom"/>
            <w:tcBorders>
              <w:top w:val="single" w:sz="8" w:color="CCEEFF"/>
              <w:bottom w:val="single" w:sz="8" w:color="CCEEFF"/>
            </w:tcBorders>
            <w:shd w:val="clear" w:color="auto" w:fill="CCEEFF"/>
          </w:tcPr>
          <w:p>
            <w:pPr>
              <w:jc w:val="right"/>
              <w:ind w:right="75"/>
              <w:spacing w:after="0" w:line="233" w:lineRule="exact"/>
              <w:rPr>
                <w:sz w:val="20"/>
                <w:szCs w:val="20"/>
                <w:color w:val="auto"/>
              </w:rPr>
            </w:pPr>
            <w:r>
              <w:rPr>
                <w:rFonts w:ascii="Times New Roman" w:cs="Times New Roman" w:eastAsia="Times New Roman" w:hAnsi="Times New Roman"/>
                <w:sz w:val="27"/>
                <w:szCs w:val="27"/>
                <w:color w:val="auto"/>
                <w:w w:val="93"/>
                <w:vertAlign w:val="subscript"/>
              </w:rPr>
              <w:t>%</w:t>
            </w:r>
            <w:r>
              <w:rPr>
                <w:rFonts w:ascii="Times New Roman" w:cs="Times New Roman" w:eastAsia="Times New Roman" w:hAnsi="Times New Roman"/>
                <w:sz w:val="9"/>
                <w:szCs w:val="9"/>
                <w:color w:val="auto"/>
                <w:w w:val="93"/>
              </w:rPr>
              <w:t>(9)</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Example</w:t>
      </w:r>
    </w:p>
    <w:p>
      <w:pPr>
        <w:spacing w:after="0" w:line="138" w:lineRule="exact"/>
        <w:rPr>
          <w:sz w:val="20"/>
          <w:szCs w:val="20"/>
          <w:color w:val="auto"/>
        </w:rPr>
      </w:pPr>
    </w:p>
    <w:p>
      <w:pPr>
        <w:ind w:left="700" w:right="739" w:firstLine="405"/>
        <w:spacing w:after="0" w:line="258" w:lineRule="auto"/>
        <w:rPr>
          <w:sz w:val="20"/>
          <w:szCs w:val="20"/>
          <w:color w:val="auto"/>
        </w:rPr>
      </w:pPr>
      <w:r>
        <w:rPr>
          <w:rFonts w:ascii="Times New Roman" w:cs="Times New Roman" w:eastAsia="Times New Roman" w:hAnsi="Times New Roman"/>
          <w:sz w:val="17"/>
          <w:szCs w:val="17"/>
          <w:color w:val="auto"/>
        </w:rPr>
        <w:t>The following example demonstrates the projected dollar amount of total cumulative expenses that would be incurred over various periods with respect to a hypothetical investment in our common stock. In calculating the following expense amounts, we have assumed that our annual operating expenses would remain at the levels set forth in the table above.</w:t>
      </w:r>
    </w:p>
    <w:p>
      <w:pPr>
        <w:spacing w:after="0" w:line="186" w:lineRule="exact"/>
        <w:rPr>
          <w:sz w:val="20"/>
          <w:szCs w:val="20"/>
          <w:color w:val="auto"/>
        </w:rPr>
      </w:pPr>
    </w:p>
    <w:tbl>
      <w:tblPr>
        <w:tblLayout w:type="fixed"/>
        <w:tblInd w:w="70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b w:val="1"/>
                <w:bCs w:val="1"/>
                <w:color w:val="auto"/>
              </w:rPr>
              <w:t>1 Year</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b w:val="1"/>
                <w:bCs w:val="1"/>
                <w:color w:val="auto"/>
              </w:rPr>
              <w:t>3 Years</w:t>
            </w:r>
          </w:p>
        </w:tc>
        <w:tc>
          <w:tcPr>
            <w:tcW w:w="140" w:type="dxa"/>
            <w:vAlign w:val="bottom"/>
          </w:tcPr>
          <w:p>
            <w:pPr>
              <w:spacing w:after="0"/>
              <w:rPr>
                <w:sz w:val="17"/>
                <w:szCs w:val="17"/>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b w:val="1"/>
                <w:bCs w:val="1"/>
                <w:color w:val="auto"/>
              </w:rPr>
              <w:t>5 Years</w:t>
            </w:r>
          </w:p>
        </w:tc>
        <w:tc>
          <w:tcPr>
            <w:tcW w:w="140" w:type="dxa"/>
            <w:vAlign w:val="bottom"/>
          </w:tcPr>
          <w:p>
            <w:pPr>
              <w:spacing w:after="0"/>
              <w:rPr>
                <w:sz w:val="17"/>
                <w:szCs w:val="17"/>
                <w:color w:val="auto"/>
              </w:rPr>
            </w:pPr>
          </w:p>
        </w:tc>
        <w:tc>
          <w:tcPr>
            <w:tcW w:w="840" w:type="dxa"/>
            <w:vAlign w:val="bottom"/>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10 Years</w:t>
            </w:r>
          </w:p>
        </w:tc>
      </w:tr>
      <w:tr>
        <w:trPr>
          <w:trHeight w:val="43"/>
        </w:trPr>
        <w:tc>
          <w:tcPr>
            <w:tcW w:w="20" w:type="dxa"/>
            <w:vAlign w:val="bottom"/>
          </w:tcPr>
          <w:p>
            <w:pPr>
              <w:spacing w:after="0"/>
              <w:rPr>
                <w:sz w:val="3"/>
                <w:szCs w:val="3"/>
                <w:color w:val="auto"/>
              </w:rPr>
            </w:pPr>
          </w:p>
        </w:tc>
        <w:tc>
          <w:tcPr>
            <w:tcW w:w="358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166"/>
        </w:trPr>
        <w:tc>
          <w:tcPr>
            <w:tcW w:w="20" w:type="dxa"/>
            <w:vAlign w:val="bottom"/>
          </w:tcPr>
          <w:p>
            <w:pPr>
              <w:spacing w:after="0"/>
              <w:rPr>
                <w:sz w:val="14"/>
                <w:szCs w:val="14"/>
                <w:color w:val="auto"/>
              </w:rPr>
            </w:pPr>
          </w:p>
        </w:tc>
        <w:tc>
          <w:tcPr>
            <w:tcW w:w="358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7"/>
                <w:szCs w:val="17"/>
                <w:color w:val="auto"/>
              </w:rPr>
              <w:t>You would pay the following expenses on a $1,000</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218"/>
        </w:trPr>
        <w:tc>
          <w:tcPr>
            <w:tcW w:w="20" w:type="dxa"/>
            <w:vAlign w:val="bottom"/>
          </w:tcPr>
          <w:p>
            <w:pPr>
              <w:spacing w:after="0"/>
              <w:rPr>
                <w:sz w:val="18"/>
                <w:szCs w:val="18"/>
                <w:color w:val="auto"/>
              </w:rPr>
            </w:pPr>
          </w:p>
        </w:tc>
        <w:tc>
          <w:tcPr>
            <w:tcW w:w="3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investment, assuming a 5% annual return</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168</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407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935</w:t>
            </w:r>
          </w:p>
        </w:tc>
      </w:tr>
      <w:tr>
        <w:trPr>
          <w:trHeight w:val="39"/>
        </w:trPr>
        <w:tc>
          <w:tcPr>
            <w:tcW w:w="20" w:type="dxa"/>
            <w:vAlign w:val="bottom"/>
          </w:tcPr>
          <w:p>
            <w:pPr>
              <w:spacing w:after="0"/>
              <w:rPr>
                <w:sz w:val="3"/>
                <w:szCs w:val="3"/>
                <w:color w:val="auto"/>
              </w:rPr>
            </w:pPr>
          </w:p>
        </w:tc>
        <w:tc>
          <w:tcPr>
            <w:tcW w:w="35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r>
    </w:tbl>
    <w:p>
      <w:pPr>
        <w:spacing w:after="0" w:line="106" w:lineRule="exact"/>
        <w:rPr>
          <w:sz w:val="20"/>
          <w:szCs w:val="20"/>
          <w:color w:val="auto"/>
        </w:rPr>
      </w:pPr>
    </w:p>
    <w:p>
      <w:pPr>
        <w:ind w:left="700" w:right="719" w:firstLine="405"/>
        <w:spacing w:after="0" w:line="250" w:lineRule="auto"/>
        <w:rPr>
          <w:sz w:val="20"/>
          <w:szCs w:val="20"/>
          <w:color w:val="auto"/>
        </w:rPr>
      </w:pPr>
      <w:r>
        <w:rPr>
          <w:rFonts w:ascii="Times New Roman" w:cs="Times New Roman" w:eastAsia="Times New Roman" w:hAnsi="Times New Roman"/>
          <w:sz w:val="17"/>
          <w:szCs w:val="17"/>
          <w:b w:val="1"/>
          <w:bCs w:val="1"/>
          <w:color w:val="auto"/>
        </w:rPr>
        <w:t xml:space="preserve">The example and the expenses in the tables above should not be considered as a representation of our future expenses, and actual expenses may be greater or less than those shown. </w:t>
      </w:r>
      <w:r>
        <w:rPr>
          <w:rFonts w:ascii="Times New Roman" w:cs="Times New Roman" w:eastAsia="Times New Roman" w:hAnsi="Times New Roman"/>
          <w:sz w:val="17"/>
          <w:szCs w:val="17"/>
          <w:color w:val="auto"/>
        </w:rPr>
        <w:t>While the example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assumes, as required by the SEC, a 5.0% annual return, our performance will vary and may result in a return greater or less than 5.0%. The incentive fee under the Investment Advisory Agreement (as defined below), which, assuming a 5.0% annual return, would either not be payable or would have an insignificant impact on the expense amounts shown above, is included in the example. Also, while the example assumes reinvestment of all distributions at NAV, participants in our distribution reinvestment plan will receive a number of shares of our common stock, determined by dividing the total dollar amount of the distribution payable to a participant by the market price per share of our common stock at the close of trading on the distribution payment date, which may be at, above or below NAV. See “Distribution Reinvestment Plan” in this report for additional information regarding our distribution reinvestment plan.</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5"/>
          <w:szCs w:val="15"/>
          <w:color w:val="auto"/>
        </w:rPr>
        <w:t>____________</w:t>
      </w:r>
    </w:p>
    <w:p>
      <w:pPr>
        <w:spacing w:after="0" w:line="95" w:lineRule="exact"/>
        <w:rPr>
          <w:sz w:val="20"/>
          <w:szCs w:val="20"/>
          <w:color w:val="auto"/>
        </w:rPr>
      </w:pPr>
    </w:p>
    <w:p>
      <w:pPr>
        <w:jc w:val="both"/>
        <w:ind w:left="1120" w:right="1219" w:hanging="415"/>
        <w:spacing w:after="0" w:line="269" w:lineRule="auto"/>
        <w:tabs>
          <w:tab w:leader="none" w:pos="112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event that the securities to which this report relates are sold to or through underwriters, a corresponding prospectus supplement will disclose the applicable sales load and the “Example” will be updated accordingly.</w:t>
      </w:r>
    </w:p>
    <w:p>
      <w:pPr>
        <w:ind w:left="1120" w:right="1199" w:hanging="415"/>
        <w:spacing w:after="0" w:line="264" w:lineRule="auto"/>
        <w:tabs>
          <w:tab w:leader="none" w:pos="112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applicable, the prospectus or prospectus supplement relating to an offering of our securities will disclose the applicable offering expenses and total stockholder transaction expenses as a percentage of the offering price.</w:t>
      </w:r>
    </w:p>
    <w:p>
      <w:pPr>
        <w:ind w:left="1120" w:right="879" w:hanging="415"/>
        <w:spacing w:after="0" w:line="264" w:lineRule="auto"/>
        <w:tabs>
          <w:tab w:leader="none" w:pos="112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expenses of the distribution reinvestment plan are included in “other expenses.” The plan administrator’s fees will be paid by us. We will not charge any brokerage charges or other charges to stockholders who participate in the plan. However, your own broker may impose brokerage charges in connection with your participation in the plan.</w:t>
      </w:r>
    </w:p>
    <w:p>
      <w:pPr>
        <w:ind w:left="1120" w:right="739" w:hanging="415"/>
        <w:spacing w:after="0" w:line="269" w:lineRule="auto"/>
        <w:tabs>
          <w:tab w:leader="none" w:pos="112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Assumes gross assets of $1,353.4 million and $487.2 million of leverage (which reflects $68.1 million of 6.75% Series 2024 Term Preferred Shares, $88.1 million aggregate amount of 6.25% Series 2027 Term Preferred Shares, $67.2 million aggregate amount of 6.00% Series 2029 Term Preferred Shares, $63.8 million aggregate amount of 7.125% Series 2029 Term Preferred Shares, $100.0 million of the 6.75% Unsecured Notes due 2031 and $100.0 million of the 5.00% Unsecured Notes due 2027 issued and outstanding as of September 30, 2022 and assumes net assets of $833.2 million (which has been adjusted to reflect the issuance of an additional $50.0 million of common stock.)</w:t>
      </w:r>
    </w:p>
    <w:p>
      <w:pPr>
        <w:spacing w:after="0" w:line="169" w:lineRule="exact"/>
        <w:rPr>
          <w:rFonts w:ascii="Times New Roman" w:cs="Times New Roman" w:eastAsia="Times New Roman" w:hAnsi="Times New Roman"/>
          <w:sz w:val="15"/>
          <w:szCs w:val="15"/>
          <w:color w:val="auto"/>
        </w:rPr>
      </w:pPr>
    </w:p>
    <w:p>
      <w:pPr>
        <w:jc w:val="both"/>
        <w:ind w:left="1120" w:right="759" w:hanging="415"/>
        <w:spacing w:after="0" w:line="288" w:lineRule="auto"/>
        <w:tabs>
          <w:tab w:leader="none" w:pos="112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above calculation presents our base management fee as a percentage of our net assets. Our base management fee under the Investment Advisory Agreement, however, is based on our gross assets, which is defined as all the assets of</w:t>
      </w:r>
    </w:p>
    <w:p>
      <w:pPr>
        <w:sectPr>
          <w:pgSz w:w="11900" w:h="16838" w:orient="portrait"/>
          <w:cols w:equalWidth="0" w:num="1">
            <w:col w:w="9019"/>
          </w:cols>
          <w:pgMar w:left="1440" w:top="262" w:right="1440" w:bottom="1440" w:gutter="0" w:footer="0" w:header="0"/>
        </w:sectPr>
      </w:pP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22225</wp:posOffset>
            </wp:positionV>
            <wp:extent cx="48247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824730"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type w:val="continuous"/>
        </w:sectPr>
      </w:pPr>
    </w:p>
    <w:bookmarkStart w:id="9" w:name="page10"/>
    <w:bookmarkEnd w:id="9"/>
    <w:p>
      <w:pPr>
        <w:ind w:left="7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3" w:lineRule="exact"/>
        <w:rPr>
          <w:sz w:val="20"/>
          <w:szCs w:val="20"/>
          <w:color w:val="auto"/>
        </w:rPr>
      </w:pPr>
    </w:p>
    <w:p>
      <w:pPr>
        <w:ind w:left="1120" w:right="719"/>
        <w:spacing w:after="0" w:line="268" w:lineRule="auto"/>
        <w:rPr>
          <w:sz w:val="20"/>
          <w:szCs w:val="20"/>
          <w:color w:val="auto"/>
        </w:rPr>
      </w:pPr>
      <w:r>
        <w:rPr>
          <w:rFonts w:ascii="Times New Roman" w:cs="Times New Roman" w:eastAsia="Times New Roman" w:hAnsi="Times New Roman"/>
          <w:sz w:val="15"/>
          <w:szCs w:val="15"/>
          <w:color w:val="auto"/>
        </w:rPr>
        <w:t>Oxford Lane Capital, including those acquired using borrowings for investment purposes. As a result, to the extent we use additional leverage, it would have the effect of increasing our base management fee as a percentage of our net assets. Amount reflects the estimated annual incentive fees payable to our investment adviser, Oxford Lane Management, LLC. The estimate assumes that the incentive fee earned will be proportional to the fee earned during the fiscal year ended March 31, 2023 and adjusted to include the estimated incentive fee based on the issuance of an additional $50.0 million of common stock.</w:t>
      </w:r>
    </w:p>
    <w:p>
      <w:pPr>
        <w:spacing w:after="0" w:line="99" w:lineRule="exact"/>
        <w:rPr>
          <w:sz w:val="20"/>
          <w:szCs w:val="20"/>
          <w:color w:val="auto"/>
        </w:rPr>
      </w:pPr>
    </w:p>
    <w:p>
      <w:pPr>
        <w:ind w:left="1120" w:right="759"/>
        <w:spacing w:after="0" w:line="272" w:lineRule="auto"/>
        <w:rPr>
          <w:sz w:val="20"/>
          <w:szCs w:val="20"/>
          <w:color w:val="auto"/>
        </w:rPr>
      </w:pPr>
      <w:r>
        <w:rPr>
          <w:rFonts w:ascii="Times New Roman" w:cs="Times New Roman" w:eastAsia="Times New Roman" w:hAnsi="Times New Roman"/>
          <w:sz w:val="15"/>
          <w:szCs w:val="15"/>
          <w:color w:val="auto"/>
        </w:rPr>
        <w:t>The incentive fee, which is payable quarterly in arrears, equals 20.0% of the excess, if any, of our “Pre-Incentive Fee Net Investment Income” that exceeds a 1.75% quarterly (7.0% annualized) hurdle rate, which we refer to as the Hurdle, subject to a “catch-up” provision measured at the end of each calendar quarter. The incentive fee is computed and paid on income that may include interest that is accrued but not yet received in cash. The operation of the incentive fee for each quarter is as follows:</w:t>
      </w:r>
    </w:p>
    <w:p>
      <w:pPr>
        <w:spacing w:after="0" w:line="112" w:lineRule="exact"/>
        <w:rPr>
          <w:sz w:val="20"/>
          <w:szCs w:val="20"/>
          <w:color w:val="auto"/>
        </w:rPr>
      </w:pPr>
    </w:p>
    <w:p>
      <w:pPr>
        <w:ind w:left="1520" w:right="959" w:hanging="410"/>
        <w:spacing w:after="0" w:line="298" w:lineRule="auto"/>
        <w:tabs>
          <w:tab w:leader="none" w:pos="151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incentive fee is payable to our investment adviser in any calendar quarter in which our Pre-Incentive Fee Net Investment Income does not exceed the Hurdle of 1.75%;</w:t>
      </w:r>
    </w:p>
    <w:p>
      <w:pPr>
        <w:spacing w:after="0" w:line="90" w:lineRule="exact"/>
        <w:rPr>
          <w:rFonts w:ascii="Times New Roman" w:cs="Times New Roman" w:eastAsia="Times New Roman" w:hAnsi="Times New Roman"/>
          <w:sz w:val="15"/>
          <w:szCs w:val="15"/>
          <w:color w:val="auto"/>
        </w:rPr>
      </w:pPr>
    </w:p>
    <w:p>
      <w:pPr>
        <w:ind w:left="1520" w:right="819" w:hanging="410"/>
        <w:spacing w:after="0" w:line="270" w:lineRule="auto"/>
        <w:tabs>
          <w:tab w:leader="none" w:pos="151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100% of our Pre-Incentive Fee Net Investment Income with respect to that portion of such Pre-Incentive Fee Net Investment Income, if any, that exceeds the Hurdle but is less than 2.1875% in any calendar quarter (8.75% annualized) is payable to our investment adviser. We refer to this portion of our Pre-Incentive Fee Net Investment Income (which exceeds the Hurdle but is less than 2.1875%) as the “catch-up.” The “catch-up” is meant to provide our investment adviser with 20.0% of our Pre-Incentive Fee Net Investment Income, as if a Hurdle did not apply when our Pre-Incentive Fee Net Investment Income exceeds 2.1875% in any calendar quarter; and</w:t>
      </w:r>
    </w:p>
    <w:p>
      <w:pPr>
        <w:spacing w:after="0" w:line="97" w:lineRule="exact"/>
        <w:rPr>
          <w:rFonts w:ascii="Times New Roman" w:cs="Times New Roman" w:eastAsia="Times New Roman" w:hAnsi="Times New Roman"/>
          <w:sz w:val="15"/>
          <w:szCs w:val="15"/>
          <w:color w:val="auto"/>
        </w:rPr>
      </w:pPr>
    </w:p>
    <w:p>
      <w:pPr>
        <w:ind w:left="1520" w:right="879" w:hanging="410"/>
        <w:spacing w:after="0" w:line="275" w:lineRule="auto"/>
        <w:tabs>
          <w:tab w:leader="none" w:pos="151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20.0% of the amount of our Pre-Incentive Fee Net Investment Income, if any, that exceeds 2.1875% in any calendar quarter (8.75% annualized) is payable to our investment adviser (once the Hurdle is reached and the catch-up is achieved, 20.0% of all Pre-Incentive Fee Investment Income thereafter is allocated to our investment adviser)</w:t>
      </w:r>
    </w:p>
    <w:p>
      <w:pPr>
        <w:spacing w:after="0" w:line="109" w:lineRule="exact"/>
        <w:rPr>
          <w:sz w:val="20"/>
          <w:szCs w:val="20"/>
          <w:color w:val="auto"/>
        </w:rPr>
      </w:pPr>
    </w:p>
    <w:p>
      <w:pPr>
        <w:ind w:left="1120" w:right="839"/>
        <w:spacing w:after="0" w:line="298" w:lineRule="auto"/>
        <w:rPr>
          <w:sz w:val="20"/>
          <w:szCs w:val="20"/>
          <w:color w:val="auto"/>
        </w:rPr>
      </w:pPr>
      <w:r>
        <w:rPr>
          <w:rFonts w:ascii="Times New Roman" w:cs="Times New Roman" w:eastAsia="Times New Roman" w:hAnsi="Times New Roman"/>
          <w:sz w:val="15"/>
          <w:szCs w:val="15"/>
          <w:color w:val="auto"/>
        </w:rPr>
        <w:t>No incentive fee is payable to our investment adviser on realized capital gains. For a more detailed discussion of the calculation of this fee, see “Note 5. Related Party Transactions.”</w:t>
      </w:r>
    </w:p>
    <w:p>
      <w:pPr>
        <w:spacing w:after="0" w:line="91" w:lineRule="exact"/>
        <w:rPr>
          <w:sz w:val="20"/>
          <w:szCs w:val="20"/>
          <w:color w:val="auto"/>
        </w:rPr>
      </w:pPr>
    </w:p>
    <w:p>
      <w:pPr>
        <w:ind w:left="1120" w:right="779" w:hanging="415"/>
        <w:spacing w:after="0" w:line="266" w:lineRule="auto"/>
        <w:tabs>
          <w:tab w:leader="none" w:pos="11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“Interest payments on borrowed funds” represents our annualized interest expense and includes dividends payable on our Term Preferred Shares and interest payable on the Notes, each as outstanding on September 30, 2022. We may issue additional shares of preferred stock or debt securities. In the event that we were to issue additional shares of preferred stock or debt securities, our borrowing costs, and correspondingly our total annual expenses, including, in the case of such preferred stock, the base management fee as a percentage of the Fund’s net assets attributable to common stock, would increase.</w:t>
      </w:r>
    </w:p>
    <w:p>
      <w:pPr>
        <w:ind w:left="1120" w:hanging="415"/>
        <w:spacing w:after="0"/>
        <w:tabs>
          <w:tab w:leader="none" w:pos="11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Assumes that we have an aggregate of (a) $68.1 million of preferred stock with a preferred rate of 6.75% per annum,</w:t>
      </w:r>
    </w:p>
    <w:p>
      <w:pPr>
        <w:spacing w:after="0" w:line="17" w:lineRule="exact"/>
        <w:rPr>
          <w:rFonts w:ascii="Times New Roman" w:cs="Times New Roman" w:eastAsia="Times New Roman" w:hAnsi="Times New Roman"/>
          <w:sz w:val="15"/>
          <w:szCs w:val="15"/>
          <w:color w:val="auto"/>
        </w:rPr>
      </w:pPr>
    </w:p>
    <w:p>
      <w:pPr>
        <w:ind w:left="1120" w:right="979"/>
        <w:spacing w:after="0" w:line="264"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 $88.1 million of preferred stock with a preferred rate of 6.25% per annum, (c) $67.2 million of preferred stock with a preferred rate of 6.00% per annum (d) $63.8 million of preferred stock with a preferred rate of 7.125%</w:t>
      </w:r>
    </w:p>
    <w:p>
      <w:pPr>
        <w:ind w:left="1120" w:right="819"/>
        <w:spacing w:after="0" w:line="264"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 annum, (e) $100 million of 6.75% unsecured notes due 2031, and (f) $100 million of 5.00% unsecured notes due 2027 which were the amounts outstanding as of September 30, 2022. We may issue additional shares of preferred stock. In the event that we were to issue additional shares of preferred stock or debt securities, our borrowing costs, and correspondingly our total annual expenses, including, in the case of such preferred stock, the base management fee as a percentage of the Fund’s net assets attributable to common stock, would increase.</w:t>
      </w:r>
    </w:p>
    <w:p>
      <w:pPr>
        <w:spacing w:after="0" w:line="1" w:lineRule="exact"/>
        <w:rPr>
          <w:rFonts w:ascii="Times New Roman" w:cs="Times New Roman" w:eastAsia="Times New Roman" w:hAnsi="Times New Roman"/>
          <w:sz w:val="15"/>
          <w:szCs w:val="15"/>
          <w:color w:val="auto"/>
        </w:rPr>
      </w:pPr>
    </w:p>
    <w:p>
      <w:pPr>
        <w:ind w:left="1120" w:right="759" w:hanging="415"/>
        <w:spacing w:after="0" w:line="264" w:lineRule="auto"/>
        <w:tabs>
          <w:tab w:leader="none" w:pos="11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expenses” ($9.4 million) are estimated for the current fiscal year, which considers the actual expenses for the year ended March 31, 2023, and adjusted for any new and non-recurring expenses, such as an assumed issuance of an additional $50.0 million of common stock.</w:t>
      </w:r>
    </w:p>
    <w:p>
      <w:pPr>
        <w:ind w:left="1120" w:right="739" w:hanging="415"/>
        <w:spacing w:after="0" w:line="270" w:lineRule="auto"/>
        <w:tabs>
          <w:tab w:leader="none" w:pos="11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“Total annual expenses” is presented as a percentage of net assets attributable to common stockholders, because the holders of shares of our common stock (and not the holders of our preferred stock or debt securities, if any) bear all of our fees and expenses, all of which are included in this fee table presentation. The indirect expenses associated with the Fund’s CLO equity investments are not included in the fee table presentation, but if such expenses were included in the fee table presentation then the Fund’s total annual expenses would have been 41.01%.</w:t>
      </w:r>
    </w:p>
    <w:p>
      <w:pPr>
        <w:spacing w:after="0" w:line="16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u w:val="single" w:color="auto"/>
          <w:color w:val="auto"/>
        </w:rPr>
        <w:t>Principal Risks</w:t>
      </w:r>
    </w:p>
    <w:p>
      <w:pPr>
        <w:spacing w:after="0" w:line="138" w:lineRule="exact"/>
        <w:rPr>
          <w:sz w:val="20"/>
          <w:szCs w:val="20"/>
          <w:color w:val="auto"/>
        </w:rPr>
      </w:pPr>
    </w:p>
    <w:p>
      <w:pPr>
        <w:ind w:left="700" w:right="839" w:firstLine="405"/>
        <w:spacing w:after="0" w:line="254" w:lineRule="auto"/>
        <w:rPr>
          <w:sz w:val="20"/>
          <w:szCs w:val="20"/>
          <w:color w:val="auto"/>
        </w:rPr>
      </w:pPr>
      <w:r>
        <w:rPr>
          <w:rFonts w:ascii="Times New Roman" w:cs="Times New Roman" w:eastAsia="Times New Roman" w:hAnsi="Times New Roman"/>
          <w:sz w:val="17"/>
          <w:szCs w:val="17"/>
          <w:color w:val="auto"/>
        </w:rPr>
        <w:t>In the normal course of business, the Fund invests in financial instruments and enters into financial transactions where risk of potential loss exists due to such things as changes in the market (market risk) or failure or inability of the other party to a transaction to perform (credit and counterparty risk). See below for a detailed description of select principal risks. The following list is not intended to be a comprehensive listing of all of the potential risks associated with the Fund. The Fund’s prospectus provides a detailed discussion of the Fund’s risks.</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15240</wp:posOffset>
            </wp:positionV>
            <wp:extent cx="48247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824730"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10" w:name="page11"/>
    <w:bookmarkEnd w:id="10"/>
    <w:p>
      <w:pPr>
        <w:ind w:left="7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3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i w:val="1"/>
          <w:iCs w:val="1"/>
          <w:color w:val="auto"/>
        </w:rPr>
        <w:t>There are significant potential conflicts of interest which could impact our investment returns.</w:t>
      </w:r>
    </w:p>
    <w:p>
      <w:pPr>
        <w:spacing w:after="0" w:line="150" w:lineRule="exact"/>
        <w:rPr>
          <w:sz w:val="20"/>
          <w:szCs w:val="20"/>
          <w:color w:val="auto"/>
        </w:rPr>
      </w:pPr>
    </w:p>
    <w:p>
      <w:pPr>
        <w:ind w:left="700" w:right="739" w:firstLine="405"/>
        <w:spacing w:after="0" w:line="265" w:lineRule="auto"/>
        <w:rPr>
          <w:sz w:val="20"/>
          <w:szCs w:val="20"/>
          <w:color w:val="auto"/>
        </w:rPr>
      </w:pPr>
      <w:r>
        <w:rPr>
          <w:rFonts w:ascii="Times New Roman" w:cs="Times New Roman" w:eastAsia="Times New Roman" w:hAnsi="Times New Roman"/>
          <w:sz w:val="16"/>
          <w:szCs w:val="16"/>
          <w:color w:val="auto"/>
        </w:rPr>
        <w:t>Oxford Lane Management, LLC’s (“Oxford Lane Management”) investment team manages the portfolio of Oxford Square Capital Corp., a publicly-traded business development company that invests principally in the debt of U.S.-based companies and CLOs. Additionally, Oxford Lane Management’s investment team manages the portfolio of Oxford Bridge II, LLC and Oxford Gate Master Fund, LLC, limited liability companies that invest principally in the equity of CLOs. In certain instances, the Fund may co-invest on a concurrent basis with affiliates of its investment adviser, subject to compliance with applicable regulations and regulatory guidance and our written allocation policies. On June 14, 2017, the SEC issued an exemptive order (the “Order”) permitting us and certain of our affiliates to complete negotiated co-investment transactions in portfolio companies, subject to certain conditions. Subject to satisfaction of certain conditions to the Order, the Fund and certain of its affiliates are now permitted, together with any future business development companies, registered closed-end funds and certain private funds, each of whose investment adviser is the Fund’s investment adviser or an investment adviser controlling, controlled by, or under common control with our investment adviser, to co-invest in negotiated investment opportunities where doing so would otherwise be prohibited under the 1940 Act, providing the Fund’s stockholders with access to a broader array of investment opportunities. Pursuant to the Order, the Fund is permitted to co-invest in such investment opportunities with our affiliates if a “required majority” (as defined in Section 57(o) of the 1940 Act) of its independent directors (as defined in Section 2(a)</w:t>
      </w:r>
    </w:p>
    <w:p>
      <w:pPr>
        <w:spacing w:after="0" w:line="7" w:lineRule="exact"/>
        <w:rPr>
          <w:sz w:val="20"/>
          <w:szCs w:val="20"/>
          <w:color w:val="auto"/>
        </w:rPr>
      </w:pPr>
    </w:p>
    <w:p>
      <w:pPr>
        <w:ind w:left="700" w:right="839" w:firstLine="5"/>
        <w:spacing w:after="0" w:line="250" w:lineRule="auto"/>
        <w:tabs>
          <w:tab w:leader="none" w:pos="102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the 1940 Act) make certain conclusions in connection with a co-investment transaction, including, but not limited to, that (1) the terms of the potential co-investment transaction, including the consideration to be paid, are reasonable and fair to the Fund and its stockholders and do not involve overreaching in respect of the Fund or its stockholders on the part of any person concerned, and (2) the potential co-investment transaction is consistent with the interests of the Fund’s stockholders and is consistent with its then-current investment objective and strategies.</w:t>
      </w:r>
    </w:p>
    <w:p>
      <w:pPr>
        <w:spacing w:after="0" w:line="113" w:lineRule="exact"/>
        <w:rPr>
          <w:sz w:val="20"/>
          <w:szCs w:val="20"/>
          <w:color w:val="auto"/>
        </w:rPr>
      </w:pPr>
    </w:p>
    <w:p>
      <w:pPr>
        <w:ind w:left="700" w:right="799"/>
        <w:spacing w:after="0" w:line="281" w:lineRule="auto"/>
        <w:rPr>
          <w:sz w:val="20"/>
          <w:szCs w:val="20"/>
          <w:color w:val="auto"/>
        </w:rPr>
      </w:pPr>
      <w:r>
        <w:rPr>
          <w:rFonts w:ascii="Times New Roman" w:cs="Times New Roman" w:eastAsia="Times New Roman" w:hAnsi="Times New Roman"/>
          <w:sz w:val="17"/>
          <w:szCs w:val="17"/>
          <w:i w:val="1"/>
          <w:iCs w:val="1"/>
          <w:color w:val="auto"/>
        </w:rPr>
        <w:t>A general increase in interest rates may have the effect of making it easier for our investment adviser to receive incentive fees, without necessarily resulting in an increase in our net earnings.</w:t>
      </w:r>
    </w:p>
    <w:p>
      <w:pPr>
        <w:spacing w:after="0" w:line="78" w:lineRule="exact"/>
        <w:rPr>
          <w:sz w:val="20"/>
          <w:szCs w:val="20"/>
          <w:color w:val="auto"/>
        </w:rPr>
      </w:pPr>
    </w:p>
    <w:p>
      <w:pPr>
        <w:ind w:left="700" w:right="739" w:firstLine="405"/>
        <w:spacing w:after="0" w:line="251" w:lineRule="auto"/>
        <w:rPr>
          <w:sz w:val="20"/>
          <w:szCs w:val="20"/>
          <w:color w:val="auto"/>
        </w:rPr>
      </w:pPr>
      <w:r>
        <w:rPr>
          <w:rFonts w:ascii="Times New Roman" w:cs="Times New Roman" w:eastAsia="Times New Roman" w:hAnsi="Times New Roman"/>
          <w:sz w:val="17"/>
          <w:szCs w:val="17"/>
          <w:color w:val="auto"/>
        </w:rPr>
        <w:t>Given the structure of the Fund’s Investment Advisory Agreement with Oxford Lane Management, any general increase in interest rates will likely have the effect of making it easier for Oxford Lane Management to meet the quarterly hurdle rate for payment of net investment income incentive fees under the Investment Advisory Agreement without any additional increase in relative performance on the part of Oxford Lane Management. In addition, in view of the catch-up provision applicable to income incentive fees under the Investment Advisory Agreement, Oxford Lane Management could potentially receive a significant portion of the increase in the Fund’s investment income attributable to such a general increase in interest rates. If that were to occur, the Fund’s increase in net earnings, if any, would likely be significantly smaller than the relative increase in Oxford Lane Management’s net investment income incentive fee resulting from such a general increase in interest rates.</w:t>
      </w:r>
    </w:p>
    <w:p>
      <w:pPr>
        <w:spacing w:after="0" w:line="117" w:lineRule="exact"/>
        <w:rPr>
          <w:sz w:val="20"/>
          <w:szCs w:val="20"/>
          <w:color w:val="auto"/>
        </w:rPr>
      </w:pPr>
    </w:p>
    <w:p>
      <w:pPr>
        <w:ind w:left="700" w:right="719"/>
        <w:spacing w:after="0" w:line="281" w:lineRule="auto"/>
        <w:rPr>
          <w:sz w:val="20"/>
          <w:szCs w:val="20"/>
          <w:color w:val="auto"/>
        </w:rPr>
      </w:pPr>
      <w:r>
        <w:rPr>
          <w:rFonts w:ascii="Times New Roman" w:cs="Times New Roman" w:eastAsia="Times New Roman" w:hAnsi="Times New Roman"/>
          <w:sz w:val="17"/>
          <w:szCs w:val="17"/>
          <w:i w:val="1"/>
          <w:iCs w:val="1"/>
          <w:color w:val="auto"/>
        </w:rPr>
        <w:t>We may borrow money and/or issue preferred stock to leverage our portfolio, which would magnify the potential for gain or loss on amounts invested and will increase the risk of investing in us.</w:t>
      </w:r>
    </w:p>
    <w:p>
      <w:pPr>
        <w:spacing w:after="0" w:line="91" w:lineRule="exact"/>
        <w:rPr>
          <w:sz w:val="20"/>
          <w:szCs w:val="20"/>
          <w:color w:val="auto"/>
        </w:rPr>
      </w:pPr>
    </w:p>
    <w:p>
      <w:pPr>
        <w:ind w:left="700" w:right="739" w:firstLine="405"/>
        <w:spacing w:after="0" w:line="250" w:lineRule="auto"/>
        <w:rPr>
          <w:sz w:val="20"/>
          <w:szCs w:val="20"/>
          <w:color w:val="auto"/>
        </w:rPr>
      </w:pPr>
      <w:r>
        <w:rPr>
          <w:rFonts w:ascii="Times New Roman" w:cs="Times New Roman" w:eastAsia="Times New Roman" w:hAnsi="Times New Roman"/>
          <w:sz w:val="17"/>
          <w:szCs w:val="17"/>
          <w:color w:val="auto"/>
        </w:rPr>
        <w:t>As a registered closed-end management investment company, we will generally be required to meet an asset coverage ratio with respect to our outstanding senior securities representing indebtedness, defined under the 1940 Act as the ratio of our gross assets (less all liabilities and indebtedness not represented by senior securities) to our outstanding senior securities representing indebtedness, of at least 300% after each issuance of senior securities representing indebtedness. In addition, we will generally be required to meet an asset coverage ratio with respect to our outstanding preferred stock, as defined under the 1940 Act as the ratio of our gross assets (less all liabilities and indebtedness not represented by senior securities) to our outstanding senior securities representing indebtedness, plus the aggregate involuntary liquidation preference of our outstanding preferred stock, of at least 200% immediately after each issuance of such preferred stock. If this ratio declines, we may not be able to incur additional debt or issue additional shares of preferred stock and could be required by law to sell a portion of our investments to repay some debt or redeem some preferred stock when it is disadvantageous to do so, which could have a material adverse effect on our operations, and we may not be able to make distributions or repurchases of stock. The amount of leverage that we employ will depend on our investment adviser’s and our Board of Directors’ assessment of market and other factors at the time of any proposed borrowing. We cannot assure you that we will be able to obtain credit at all or on terms acceptable to us.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15240</wp:posOffset>
            </wp:positionV>
            <wp:extent cx="48247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824730"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11" w:name="page12"/>
    <w:bookmarkEnd w:id="11"/>
    <w:p>
      <w:pPr>
        <w:ind w:left="7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34" w:lineRule="exact"/>
        <w:rPr>
          <w:sz w:val="20"/>
          <w:szCs w:val="20"/>
          <w:color w:val="auto"/>
        </w:rPr>
      </w:pPr>
    </w:p>
    <w:p>
      <w:pPr>
        <w:ind w:left="700" w:right="899" w:firstLine="405"/>
        <w:spacing w:after="0" w:line="258" w:lineRule="auto"/>
        <w:rPr>
          <w:sz w:val="20"/>
          <w:szCs w:val="20"/>
          <w:color w:val="auto"/>
        </w:rPr>
      </w:pPr>
      <w:r>
        <w:rPr>
          <w:rFonts w:ascii="Times New Roman" w:cs="Times New Roman" w:eastAsia="Times New Roman" w:hAnsi="Times New Roman"/>
          <w:sz w:val="17"/>
          <w:szCs w:val="17"/>
          <w:color w:val="auto"/>
        </w:rPr>
        <w:t>The following table is intended to illustrate the effect of the use of direct leverage on returns from an investment in the Fund’s common stock assuming various annual returns, net of expenses. The calculations in the table below are hypothetical and actual returns may be higher or lower than those appearing in the table below.</w:t>
      </w:r>
    </w:p>
    <w:p>
      <w:pPr>
        <w:spacing w:after="0" w:line="148" w:lineRule="exact"/>
        <w:rPr>
          <w:sz w:val="20"/>
          <w:szCs w:val="20"/>
          <w:color w:val="auto"/>
        </w:rPr>
      </w:pPr>
    </w:p>
    <w:tbl>
      <w:tblPr>
        <w:tblLayout w:type="fixed"/>
        <w:tblInd w:w="700" w:type="dxa"/>
        <w:tblCellMar>
          <w:top w:w="0" w:type="dxa"/>
          <w:left w:w="0" w:type="dxa"/>
          <w:bottom w:w="0" w:type="dxa"/>
          <w:right w:w="0" w:type="dxa"/>
        </w:tblCellMar>
      </w:tblPr>
      <w:tr>
        <w:trPr>
          <w:trHeight w:val="190"/>
        </w:trPr>
        <w:tc>
          <w:tcPr>
            <w:tcW w:w="268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Assumed Return on Our Portfolio</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1"/>
        </w:trPr>
        <w:tc>
          <w:tcPr>
            <w:tcW w:w="268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(Net of Expenses)</w:t>
            </w:r>
          </w:p>
        </w:tc>
        <w:tc>
          <w:tcPr>
            <w:tcW w:w="900" w:type="dxa"/>
            <w:vAlign w:val="bottom"/>
          </w:tcPr>
          <w:p>
            <w:pPr>
              <w:jc w:val="right"/>
              <w:ind w:right="180"/>
              <w:spacing w:after="0"/>
              <w:rPr>
                <w:sz w:val="20"/>
                <w:szCs w:val="20"/>
                <w:color w:val="auto"/>
              </w:rPr>
            </w:pPr>
            <w:r>
              <w:rPr>
                <w:rFonts w:ascii="Times New Roman" w:cs="Times New Roman" w:eastAsia="Times New Roman" w:hAnsi="Times New Roman"/>
                <w:sz w:val="15"/>
                <w:szCs w:val="15"/>
                <w:b w:val="1"/>
                <w:bCs w:val="1"/>
                <w:color w:val="auto"/>
              </w:rPr>
              <w:t>-10%</w:t>
            </w:r>
          </w:p>
        </w:tc>
        <w:tc>
          <w:tcPr>
            <w:tcW w:w="100" w:type="dxa"/>
            <w:vAlign w:val="bottom"/>
          </w:tcPr>
          <w:p>
            <w:pPr>
              <w:spacing w:after="0"/>
              <w:rPr>
                <w:sz w:val="17"/>
                <w:szCs w:val="17"/>
                <w:color w:val="auto"/>
              </w:rPr>
            </w:pPr>
          </w:p>
        </w:tc>
        <w:tc>
          <w:tcPr>
            <w:tcW w:w="920" w:type="dxa"/>
            <w:vAlign w:val="bottom"/>
          </w:tcPr>
          <w:p>
            <w:pPr>
              <w:jc w:val="right"/>
              <w:ind w:right="240"/>
              <w:spacing w:after="0"/>
              <w:rPr>
                <w:sz w:val="20"/>
                <w:szCs w:val="20"/>
                <w:color w:val="auto"/>
              </w:rPr>
            </w:pPr>
            <w:r>
              <w:rPr>
                <w:rFonts w:ascii="Times New Roman" w:cs="Times New Roman" w:eastAsia="Times New Roman" w:hAnsi="Times New Roman"/>
                <w:sz w:val="15"/>
                <w:szCs w:val="15"/>
                <w:b w:val="1"/>
                <w:bCs w:val="1"/>
                <w:color w:val="auto"/>
              </w:rPr>
              <w:t>-5%</w:t>
            </w:r>
          </w:p>
        </w:tc>
        <w:tc>
          <w:tcPr>
            <w:tcW w:w="100" w:type="dxa"/>
            <w:vAlign w:val="bottom"/>
          </w:tcPr>
          <w:p>
            <w:pPr>
              <w:spacing w:after="0"/>
              <w:rPr>
                <w:sz w:val="17"/>
                <w:szCs w:val="17"/>
                <w:color w:val="auto"/>
              </w:rPr>
            </w:pPr>
          </w:p>
        </w:tc>
        <w:tc>
          <w:tcPr>
            <w:tcW w:w="900" w:type="dxa"/>
            <w:vAlign w:val="bottom"/>
          </w:tcPr>
          <w:p>
            <w:pPr>
              <w:jc w:val="right"/>
              <w:ind w:right="260"/>
              <w:spacing w:after="0"/>
              <w:rPr>
                <w:sz w:val="20"/>
                <w:szCs w:val="20"/>
                <w:color w:val="auto"/>
              </w:rPr>
            </w:pPr>
            <w:r>
              <w:rPr>
                <w:rFonts w:ascii="Times New Roman" w:cs="Times New Roman" w:eastAsia="Times New Roman" w:hAnsi="Times New Roman"/>
                <w:sz w:val="15"/>
                <w:szCs w:val="15"/>
                <w:b w:val="1"/>
                <w:bCs w:val="1"/>
                <w:color w:val="auto"/>
              </w:rPr>
              <w:t>0%</w:t>
            </w:r>
          </w:p>
        </w:tc>
        <w:tc>
          <w:tcPr>
            <w:tcW w:w="100" w:type="dxa"/>
            <w:vAlign w:val="bottom"/>
          </w:tcPr>
          <w:p>
            <w:pPr>
              <w:spacing w:after="0"/>
              <w:rPr>
                <w:sz w:val="17"/>
                <w:szCs w:val="17"/>
                <w:color w:val="auto"/>
              </w:rPr>
            </w:pPr>
          </w:p>
        </w:tc>
        <w:tc>
          <w:tcPr>
            <w:tcW w:w="860" w:type="dxa"/>
            <w:vAlign w:val="bottom"/>
          </w:tcPr>
          <w:p>
            <w:pPr>
              <w:jc w:val="right"/>
              <w:ind w:right="240"/>
              <w:spacing w:after="0"/>
              <w:rPr>
                <w:sz w:val="20"/>
                <w:szCs w:val="20"/>
                <w:color w:val="auto"/>
              </w:rPr>
            </w:pPr>
            <w:r>
              <w:rPr>
                <w:rFonts w:ascii="Times New Roman" w:cs="Times New Roman" w:eastAsia="Times New Roman" w:hAnsi="Times New Roman"/>
                <w:sz w:val="15"/>
                <w:szCs w:val="15"/>
                <w:b w:val="1"/>
                <w:bCs w:val="1"/>
                <w:color w:val="auto"/>
              </w:rPr>
              <w:t>5%</w:t>
            </w:r>
          </w:p>
        </w:tc>
        <w:tc>
          <w:tcPr>
            <w:tcW w:w="80" w:type="dxa"/>
            <w:vAlign w:val="bottom"/>
          </w:tcPr>
          <w:p>
            <w:pPr>
              <w:spacing w:after="0"/>
              <w:rPr>
                <w:sz w:val="17"/>
                <w:szCs w:val="17"/>
                <w:color w:val="auto"/>
              </w:rPr>
            </w:pPr>
          </w:p>
        </w:tc>
        <w:tc>
          <w:tcPr>
            <w:tcW w:w="960" w:type="dxa"/>
            <w:vAlign w:val="bottom"/>
          </w:tcPr>
          <w:p>
            <w:pPr>
              <w:jc w:val="right"/>
              <w:ind w:right="240"/>
              <w:spacing w:after="0"/>
              <w:rPr>
                <w:sz w:val="20"/>
                <w:szCs w:val="20"/>
                <w:color w:val="auto"/>
              </w:rPr>
            </w:pPr>
            <w:r>
              <w:rPr>
                <w:rFonts w:ascii="Times New Roman" w:cs="Times New Roman" w:eastAsia="Times New Roman" w:hAnsi="Times New Roman"/>
                <w:sz w:val="15"/>
                <w:szCs w:val="15"/>
                <w:b w:val="1"/>
                <w:bCs w:val="1"/>
                <w:color w:val="auto"/>
              </w:rPr>
              <w:t>10%</w:t>
            </w:r>
          </w:p>
        </w:tc>
      </w:tr>
      <w:tr>
        <w:trPr>
          <w:trHeight w:val="43"/>
        </w:trPr>
        <w:tc>
          <w:tcPr>
            <w:tcW w:w="20" w:type="dxa"/>
            <w:vAlign w:val="bottom"/>
          </w:tcPr>
          <w:p>
            <w:pPr>
              <w:spacing w:after="0"/>
              <w:rPr>
                <w:sz w:val="3"/>
                <w:szCs w:val="3"/>
                <w:color w:val="auto"/>
              </w:rPr>
            </w:pPr>
          </w:p>
        </w:tc>
        <w:tc>
          <w:tcPr>
            <w:tcW w:w="2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179"/>
        </w:trPr>
        <w:tc>
          <w:tcPr>
            <w:tcW w:w="20" w:type="dxa"/>
            <w:vAlign w:val="bottom"/>
          </w:tcPr>
          <w:p>
            <w:pPr>
              <w:spacing w:after="0"/>
              <w:rPr>
                <w:sz w:val="15"/>
                <w:szCs w:val="15"/>
                <w:color w:val="auto"/>
              </w:rPr>
            </w:pPr>
          </w:p>
        </w:tc>
        <w:tc>
          <w:tcPr>
            <w:tcW w:w="2560" w:type="dxa"/>
            <w:vAlign w:val="bottom"/>
            <w:shd w:val="clear" w:color="auto" w:fill="CCEEFF"/>
          </w:tcPr>
          <w:p>
            <w:pPr>
              <w:spacing w:after="0" w:line="179" w:lineRule="exact"/>
              <w:rPr>
                <w:sz w:val="20"/>
                <w:szCs w:val="20"/>
                <w:color w:val="auto"/>
              </w:rPr>
            </w:pPr>
            <w:r>
              <w:rPr>
                <w:rFonts w:ascii="Times New Roman" w:cs="Times New Roman" w:eastAsia="Times New Roman" w:hAnsi="Times New Roman"/>
                <w:sz w:val="17"/>
                <w:szCs w:val="17"/>
                <w:color w:val="auto"/>
              </w:rPr>
              <w:t>Corresponding return to common</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57"/>
        </w:trPr>
        <w:tc>
          <w:tcPr>
            <w:tcW w:w="20" w:type="dxa"/>
            <w:vAlign w:val="bottom"/>
          </w:tcPr>
          <w:p>
            <w:pPr>
              <w:spacing w:after="0"/>
              <w:rPr>
                <w:sz w:val="22"/>
                <w:szCs w:val="22"/>
                <w:color w:val="auto"/>
              </w:rPr>
            </w:pPr>
          </w:p>
        </w:tc>
        <w:tc>
          <w:tcPr>
            <w:tcW w:w="2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stockholder</w:t>
            </w:r>
            <w:r>
              <w:rPr>
                <w:rFonts w:ascii="Times New Roman" w:cs="Times New Roman" w:eastAsia="Times New Roman" w:hAnsi="Times New Roman"/>
                <w:sz w:val="19"/>
                <w:szCs w:val="19"/>
                <w:color w:val="auto"/>
                <w:vertAlign w:val="superscript"/>
              </w:rPr>
              <w:t>(1)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w:t>
            </w:r>
          </w:p>
        </w:tc>
      </w:tr>
    </w:tbl>
    <w:p>
      <w:pPr>
        <w:spacing w:after="0" w:line="3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5"/>
          <w:szCs w:val="15"/>
          <w:color w:val="auto"/>
        </w:rPr>
        <w:t>____________</w:t>
      </w:r>
    </w:p>
    <w:p>
      <w:pPr>
        <w:spacing w:after="0" w:line="93" w:lineRule="exact"/>
        <w:rPr>
          <w:sz w:val="20"/>
          <w:szCs w:val="20"/>
          <w:color w:val="auto"/>
        </w:rPr>
      </w:pPr>
    </w:p>
    <w:p>
      <w:pPr>
        <w:ind w:left="1120" w:right="919" w:hanging="415"/>
        <w:spacing w:after="0" w:line="267" w:lineRule="auto"/>
        <w:tabs>
          <w:tab w:leader="none" w:pos="112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Assumes (i) $1,353.4 million in pro forma total assets as of September 30, 2022 (adjusted to reflect the issuance of $68.1 million in outstanding 6.75% Series 2024 Term Preferred Shares, $88.1 million in outstanding 6.25% Series 2027 Term Preferred Shares, $67.2 million in outstanding 6.00% Series 2029 Term Preferred Shares,</w:t>
      </w:r>
    </w:p>
    <w:p>
      <w:pPr>
        <w:spacing w:after="0" w:line="1" w:lineRule="exact"/>
        <w:rPr>
          <w:rFonts w:ascii="Times New Roman" w:cs="Times New Roman" w:eastAsia="Times New Roman" w:hAnsi="Times New Roman"/>
          <w:sz w:val="15"/>
          <w:szCs w:val="15"/>
          <w:color w:val="auto"/>
        </w:rPr>
      </w:pPr>
    </w:p>
    <w:p>
      <w:pPr>
        <w:ind w:left="1120" w:right="819"/>
        <w:spacing w:after="0" w:line="272"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$63.8 million in outstanding 7.125% Series 2029 Term Preferred Shares, $100.0 million in outstanding 6.75% Notes and $100.0 million in outstanding 5.00% Notes; (ii) $833.2 million in pro forma net assets as of September 30, 2022 (adjusted to reflect the issuances described above); and (iii) an annualized average interest rate on our indebtedness and preferred equity, as of September 30, 2022 (adjusted to reflect the issuances described above), of 6.25%.</w:t>
      </w:r>
    </w:p>
    <w:p>
      <w:pPr>
        <w:spacing w:after="0" w:line="105" w:lineRule="exact"/>
        <w:rPr>
          <w:sz w:val="20"/>
          <w:szCs w:val="20"/>
          <w:color w:val="auto"/>
        </w:rPr>
      </w:pPr>
    </w:p>
    <w:p>
      <w:pPr>
        <w:ind w:left="700" w:right="739" w:firstLine="405"/>
        <w:spacing w:after="0" w:line="262" w:lineRule="auto"/>
        <w:rPr>
          <w:sz w:val="20"/>
          <w:szCs w:val="20"/>
          <w:color w:val="auto"/>
        </w:rPr>
      </w:pPr>
      <w:r>
        <w:rPr>
          <w:rFonts w:ascii="Times New Roman" w:cs="Times New Roman" w:eastAsia="Times New Roman" w:hAnsi="Times New Roman"/>
          <w:sz w:val="17"/>
          <w:szCs w:val="17"/>
          <w:color w:val="auto"/>
        </w:rPr>
        <w:t>Based on our assumed leverage described above, our investment portfolio would have been required to experience an annual return of at least 2.25% to cover annual interest and dividend payments on our outstanding indebtedness and preferred equity.</w:t>
      </w:r>
    </w:p>
    <w:p>
      <w:pPr>
        <w:spacing w:after="0" w:line="103" w:lineRule="exact"/>
        <w:rPr>
          <w:sz w:val="20"/>
          <w:szCs w:val="20"/>
          <w:color w:val="auto"/>
        </w:rPr>
      </w:pPr>
    </w:p>
    <w:p>
      <w:pPr>
        <w:ind w:left="700" w:right="739"/>
        <w:spacing w:after="0" w:line="265" w:lineRule="auto"/>
        <w:rPr>
          <w:sz w:val="20"/>
          <w:szCs w:val="20"/>
          <w:color w:val="auto"/>
        </w:rPr>
      </w:pPr>
      <w:r>
        <w:rPr>
          <w:rFonts w:ascii="Times New Roman" w:cs="Times New Roman" w:eastAsia="Times New Roman" w:hAnsi="Times New Roman"/>
          <w:sz w:val="17"/>
          <w:szCs w:val="17"/>
          <w:i w:val="1"/>
          <w:iCs w:val="1"/>
          <w:color w:val="auto"/>
        </w:rPr>
        <w:t>The application of risk retention rules under Section 941 the Dodd-Frank Act to CLOs may have broader effects on the CLO and loan markets in general, potentially resulting in fewer or less desirable investment opportunities for us.</w:t>
      </w:r>
    </w:p>
    <w:p>
      <w:pPr>
        <w:spacing w:after="0" w:line="91" w:lineRule="exact"/>
        <w:rPr>
          <w:sz w:val="20"/>
          <w:szCs w:val="20"/>
          <w:color w:val="auto"/>
        </w:rPr>
      </w:pPr>
    </w:p>
    <w:p>
      <w:pPr>
        <w:ind w:left="700" w:right="759" w:firstLine="405"/>
        <w:spacing w:after="0" w:line="252" w:lineRule="auto"/>
        <w:rPr>
          <w:sz w:val="20"/>
          <w:szCs w:val="20"/>
          <w:color w:val="auto"/>
        </w:rPr>
      </w:pPr>
      <w:r>
        <w:rPr>
          <w:rFonts w:ascii="Times New Roman" w:cs="Times New Roman" w:eastAsia="Times New Roman" w:hAnsi="Times New Roman"/>
          <w:sz w:val="17"/>
          <w:szCs w:val="17"/>
          <w:color w:val="auto"/>
        </w:rPr>
        <w:t>There can be no assurance or representation that any of the transactions, structures or arrangements currently under consideration by or currently used by CLO market participants will comply with the U.S. risk retention rules to the extent such rules are reinstated or otherwise become applicable to open market CLOs. The ultimate impact of the U.S. risk retention rules on the loan securitization market and the leveraged loan market generally remains uncertain, and any negative impact on secondary market liquidity for securities comprising a CLO may be experienced due to the effects of the U.S. risk retention rules on market expectations or uncertainty, the relative appeal of other investments not impacted by the U.S. risk retention rules and other factors.</w:t>
      </w:r>
    </w:p>
    <w:p>
      <w:pPr>
        <w:spacing w:after="0" w:line="114" w:lineRule="exact"/>
        <w:rPr>
          <w:sz w:val="20"/>
          <w:szCs w:val="20"/>
          <w:color w:val="auto"/>
        </w:rPr>
      </w:pPr>
    </w:p>
    <w:p>
      <w:pPr>
        <w:ind w:left="700" w:right="1019"/>
        <w:spacing w:after="0" w:line="314" w:lineRule="auto"/>
        <w:rPr>
          <w:sz w:val="20"/>
          <w:szCs w:val="20"/>
          <w:color w:val="auto"/>
        </w:rPr>
      </w:pPr>
      <w:r>
        <w:rPr>
          <w:rFonts w:ascii="Times New Roman" w:cs="Times New Roman" w:eastAsia="Times New Roman" w:hAnsi="Times New Roman"/>
          <w:sz w:val="16"/>
          <w:szCs w:val="16"/>
          <w:i w:val="1"/>
          <w:iCs w:val="1"/>
          <w:color w:val="auto"/>
        </w:rPr>
        <w:t>Due to the COVID-19 pandemic or other disruptions in the economy, we may reduce, defer or eliminate our distributions and choose to incur U.S. federal excise tax in order to preserve cash and maintain flexibility.</w:t>
      </w:r>
    </w:p>
    <w:p>
      <w:pPr>
        <w:spacing w:after="0" w:line="67" w:lineRule="exact"/>
        <w:rPr>
          <w:sz w:val="20"/>
          <w:szCs w:val="20"/>
          <w:color w:val="auto"/>
        </w:rPr>
      </w:pPr>
    </w:p>
    <w:p>
      <w:pPr>
        <w:ind w:left="700" w:right="719" w:firstLine="405"/>
        <w:spacing w:after="0" w:line="249" w:lineRule="auto"/>
        <w:rPr>
          <w:sz w:val="20"/>
          <w:szCs w:val="20"/>
          <w:color w:val="auto"/>
        </w:rPr>
      </w:pPr>
      <w:r>
        <w:rPr>
          <w:rFonts w:ascii="Times New Roman" w:cs="Times New Roman" w:eastAsia="Times New Roman" w:hAnsi="Times New Roman"/>
          <w:sz w:val="17"/>
          <w:szCs w:val="17"/>
          <w:color w:val="auto"/>
        </w:rPr>
        <w:t>The Fund cannot assure you that it will achieve investment results that will allow us to make a specified level of cash distributions. The Fund may also distribute taxable distributions that are payable in cash or shares of our common stock at the election of each stockholder. Under certain applicable IRS guidance, distributions by publicly offered RICs that are payable in cash or in shares of stock at the election of stockholders are treated as taxable distributions. The Internal Revenue Service has published a revenue procedure indicating that this rule will apply even where the total amount of cash to be distributed is not less than 20% of the total distribution. Under this revenue procedure, if too many stockholders elect to receive their distributions in cash, the cash available for distribution must be allocated among the stockholders electing to receive cash (with the balance of the distribution paid in stock). In no event will any stockholder electing to receive cash, receive less than the lesser of (a) the portion of the distribution such stockholder has elected to receive in cash or (b) an amount equal to his, her or its entire distribution times the percentage limitation on cash available for distribution. If the Fund decides to make any distributions consistent with this revenue procedure that are payable in part in our stock, taxable stockholders receiving such distributions will be required to include the full amount of the distribution (whether received in cash, our stock, or a combination thereof) as ordinary income (or as long-term capital gain to the extent such distribution is properly reported as a capital gain distribution) to the extent of the Fund’s current and accumulated earnings and profits for U.S. federal income tax purposes. As a result, a U.S. stockholder may be required to pay tax with respect to such distributions in excess of any cash received. If a U.S. stockholder sells the stock it receives as a distribution in order to pay this tax, the sales proceeds may be less than the amount included in income with respect to the distribution, depending on the market price of its stock at the time of the sale. Furthermore, with respect to non-U.S. stockholders, the Fund may be required to withhold U.S. tax with respect to such distributions, including in respect of all or a portion of such distribution that is payable in stock. In addition, if a significant number of the Fund’s stockholders determine to sell shares of its stock in order to pay taxes owed on distributions, it may put downward pressure on the trading price of its stock.</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15240</wp:posOffset>
            </wp:positionV>
            <wp:extent cx="48247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824730"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12" w:name="page13"/>
    <w:bookmarkEnd w:id="12"/>
    <w:p>
      <w:pPr>
        <w:ind w:left="7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6" w:lineRule="exact"/>
        <w:rPr>
          <w:sz w:val="20"/>
          <w:szCs w:val="20"/>
          <w:color w:val="auto"/>
        </w:rPr>
      </w:pPr>
    </w:p>
    <w:p>
      <w:pPr>
        <w:ind w:left="700" w:right="759"/>
        <w:spacing w:after="0" w:line="265" w:lineRule="auto"/>
        <w:rPr>
          <w:sz w:val="20"/>
          <w:szCs w:val="20"/>
          <w:color w:val="auto"/>
        </w:rPr>
      </w:pPr>
      <w:r>
        <w:rPr>
          <w:rFonts w:ascii="Times New Roman" w:cs="Times New Roman" w:eastAsia="Times New Roman" w:hAnsi="Times New Roman"/>
          <w:sz w:val="17"/>
          <w:szCs w:val="17"/>
          <w:i w:val="1"/>
          <w:iCs w:val="1"/>
          <w:color w:val="auto"/>
        </w:rPr>
        <w:t>If a CLO vehicle in which we invest fails to comply with certain U.S. tax disclosure requirements, such CLO may be subject to withholding requirements that could materially and adversely affect our operating results and cash flows.</w:t>
      </w:r>
    </w:p>
    <w:p>
      <w:pPr>
        <w:spacing w:after="0" w:line="91" w:lineRule="exact"/>
        <w:rPr>
          <w:sz w:val="20"/>
          <w:szCs w:val="20"/>
          <w:color w:val="auto"/>
        </w:rPr>
      </w:pPr>
    </w:p>
    <w:p>
      <w:pPr>
        <w:ind w:left="700" w:right="739" w:firstLine="405"/>
        <w:spacing w:after="0" w:line="250" w:lineRule="auto"/>
        <w:rPr>
          <w:sz w:val="20"/>
          <w:szCs w:val="20"/>
          <w:color w:val="auto"/>
        </w:rPr>
      </w:pPr>
      <w:r>
        <w:rPr>
          <w:rFonts w:ascii="Times New Roman" w:cs="Times New Roman" w:eastAsia="Times New Roman" w:hAnsi="Times New Roman"/>
          <w:sz w:val="17"/>
          <w:szCs w:val="17"/>
          <w:color w:val="auto"/>
        </w:rPr>
        <w:t>Legislation commonly referred to as the “Foreign Account Tax Compliance Act,” or “FATCA,” generally imposes a 30% withholding tax on payments of certain types of income to foreign financial institutions (“FFIs”) unless such FFIs either (i) enter into an agreement with the U.S. Treasury to report certain required information with respect to accounts held by U.S. persons (or held by foreign entities that have U.S. persons as substantial owners) or (ii) reside in a jurisdiction that has entered into an intergovernmental agreement (“IGA”) with the United States to collect and share such information and are in compliance with the terms of such IGA and any enabling legislation or regulations. The types of income subject to the tax include U.S. source interest and dividends. While existing U.S. Treasury regulations would also require withholding on payments of the gross proceeds from the sale of any property that could produce U.S. source interest or dividends, the U.S. Treasury Department has indicated in subsequent proposed regulations its intent to eliminate this requirement. Most CLO vehicles in which the Fund invests will be treated as non-U.S. financial entities for this purpose, and therefore will be required to comply with these reporting requirements to avoid the 30% withholding tax. If a CLO vehicle in which the Fund invests fails to properly comply with these reporting requirements, it could reduce the amounts available to distribute to equity and junior debt holders in such CLO vehicle, which could materially and adversely affect the Fund’s operating results and cash flows.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15240</wp:posOffset>
            </wp:positionV>
            <wp:extent cx="48247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824730"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13" w:name="page14"/>
    <w:bookmarkEnd w:id="13"/>
    <w:p>
      <w:pPr>
        <w:ind w:left="7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STATEMENT OF ASSETS AND LIABILITIES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56" w:lineRule="exact"/>
        <w:rPr>
          <w:sz w:val="20"/>
          <w:szCs w:val="20"/>
          <w:color w:val="auto"/>
        </w:rPr>
      </w:pPr>
    </w:p>
    <w:tbl>
      <w:tblPr>
        <w:tblLayout w:type="fixed"/>
        <w:tblInd w:w="70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6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116"/>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256"/>
              <w:spacing w:after="0"/>
              <w:rPr>
                <w:sz w:val="20"/>
                <w:szCs w:val="20"/>
                <w:color w:val="auto"/>
              </w:rPr>
            </w:pPr>
            <w:r>
              <w:rPr>
                <w:rFonts w:ascii="Times New Roman" w:cs="Times New Roman" w:eastAsia="Times New Roman" w:hAnsi="Times New Roman"/>
                <w:sz w:val="15"/>
                <w:szCs w:val="15"/>
                <w:b w:val="1"/>
                <w:bCs w:val="1"/>
                <w:color w:val="auto"/>
              </w:rPr>
              <w:t>2022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
        </w:trPr>
        <w:tc>
          <w:tcPr>
            <w:tcW w:w="62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2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Investments, at fair value (cost: $1,637,451,828)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tcPr>
          <w:p>
            <w:pPr>
              <w:jc w:val="right"/>
              <w:ind w:right="56"/>
              <w:spacing w:after="0"/>
              <w:rPr>
                <w:sz w:val="20"/>
                <w:szCs w:val="20"/>
                <w:color w:val="auto"/>
              </w:rPr>
            </w:pPr>
            <w:r>
              <w:rPr>
                <w:rFonts w:ascii="Times New Roman" w:cs="Times New Roman" w:eastAsia="Times New Roman" w:hAnsi="Times New Roman"/>
                <w:sz w:val="17"/>
                <w:szCs w:val="17"/>
                <w:color w:val="auto"/>
              </w:rPr>
              <w:t>1,238,494,473</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6"/>
        </w:trPr>
        <w:tc>
          <w:tcPr>
            <w:tcW w:w="20" w:type="dxa"/>
            <w:vAlign w:val="bottom"/>
          </w:tcPr>
          <w:p>
            <w:pPr>
              <w:spacing w:after="0"/>
              <w:rPr>
                <w:sz w:val="21"/>
                <w:szCs w:val="21"/>
                <w:color w:val="auto"/>
              </w:rPr>
            </w:pPr>
          </w:p>
        </w:tc>
        <w:tc>
          <w:tcPr>
            <w:tcW w:w="62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45,988,418</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2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Distributions receivable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56"/>
              <w:spacing w:after="0"/>
              <w:rPr>
                <w:sz w:val="20"/>
                <w:szCs w:val="20"/>
                <w:color w:val="auto"/>
              </w:rPr>
            </w:pPr>
            <w:r>
              <w:rPr>
                <w:rFonts w:ascii="Times New Roman" w:cs="Times New Roman" w:eastAsia="Times New Roman" w:hAnsi="Times New Roman"/>
                <w:sz w:val="17"/>
                <w:szCs w:val="17"/>
                <w:color w:val="auto"/>
              </w:rPr>
              <w:t>17,531,837</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6"/>
        </w:trPr>
        <w:tc>
          <w:tcPr>
            <w:tcW w:w="20" w:type="dxa"/>
            <w:vAlign w:val="bottom"/>
          </w:tcPr>
          <w:p>
            <w:pPr>
              <w:spacing w:after="0"/>
              <w:rPr>
                <w:sz w:val="21"/>
                <w:szCs w:val="21"/>
                <w:color w:val="auto"/>
              </w:rPr>
            </w:pPr>
          </w:p>
        </w:tc>
        <w:tc>
          <w:tcPr>
            <w:tcW w:w="62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Interest receivable, including accrued interest purchased</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1,153,531</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2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Deferred offering costs on common stock</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56"/>
              <w:spacing w:after="0"/>
              <w:rPr>
                <w:sz w:val="20"/>
                <w:szCs w:val="20"/>
                <w:color w:val="auto"/>
              </w:rPr>
            </w:pPr>
            <w:r>
              <w:rPr>
                <w:rFonts w:ascii="Times New Roman" w:cs="Times New Roman" w:eastAsia="Times New Roman" w:hAnsi="Times New Roman"/>
                <w:sz w:val="17"/>
                <w:szCs w:val="17"/>
                <w:color w:val="auto"/>
              </w:rPr>
              <w:t>40,065</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6"/>
        </w:trPr>
        <w:tc>
          <w:tcPr>
            <w:tcW w:w="20" w:type="dxa"/>
            <w:vAlign w:val="bottom"/>
          </w:tcPr>
          <w:p>
            <w:pPr>
              <w:spacing w:after="0"/>
              <w:rPr>
                <w:sz w:val="21"/>
                <w:szCs w:val="21"/>
                <w:color w:val="auto"/>
              </w:rPr>
            </w:pPr>
          </w:p>
        </w:tc>
        <w:tc>
          <w:tcPr>
            <w:tcW w:w="62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Prepaid expenses and other assets</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136,343</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62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Fee receivable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56"/>
              <w:spacing w:after="0"/>
              <w:rPr>
                <w:sz w:val="20"/>
                <w:szCs w:val="20"/>
                <w:color w:val="auto"/>
              </w:rPr>
            </w:pPr>
            <w:r>
              <w:rPr>
                <w:rFonts w:ascii="Times New Roman" w:cs="Times New Roman" w:eastAsia="Times New Roman" w:hAnsi="Times New Roman"/>
                <w:sz w:val="17"/>
                <w:szCs w:val="17"/>
                <w:color w:val="auto"/>
              </w:rPr>
              <w:t>60,155</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2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assets</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1,303,404,822</w:t>
            </w: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6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200" w:type="dxa"/>
            <w:vAlign w:val="bottom"/>
          </w:tcPr>
          <w:p>
            <w:pPr>
              <w:ind w:left="160"/>
              <w:spacing w:after="0" w:line="186" w:lineRule="exact"/>
              <w:rPr>
                <w:sz w:val="20"/>
                <w:szCs w:val="20"/>
                <w:color w:val="auto"/>
              </w:rPr>
            </w:pPr>
            <w:r>
              <w:rPr>
                <w:rFonts w:ascii="Times New Roman" w:cs="Times New Roman" w:eastAsia="Times New Roman" w:hAnsi="Times New Roman"/>
                <w:sz w:val="17"/>
                <w:szCs w:val="17"/>
                <w:color w:val="auto"/>
              </w:rPr>
              <w:t>Mandatorily redeemable preferred stock, net of unamortized deferred issuance costs of</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$6,792,829 (50,000,000 shares authorized, 11,486,721 shares issued and outstanding)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6"/>
              <w:spacing w:after="0"/>
              <w:rPr>
                <w:sz w:val="20"/>
                <w:szCs w:val="20"/>
                <w:color w:val="auto"/>
              </w:rPr>
            </w:pPr>
            <w:r>
              <w:rPr>
                <w:rFonts w:ascii="Times New Roman" w:cs="Times New Roman" w:eastAsia="Times New Roman" w:hAnsi="Times New Roman"/>
                <w:sz w:val="17"/>
                <w:szCs w:val="17"/>
                <w:color w:val="auto"/>
              </w:rPr>
              <w:t>280,375,196</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6200" w:type="dxa"/>
            <w:vAlign w:val="bottom"/>
            <w:shd w:val="clear" w:color="auto" w:fill="CCEEFF"/>
          </w:tcPr>
          <w:p>
            <w:pPr>
              <w:ind w:left="160"/>
              <w:spacing w:after="0" w:line="186" w:lineRule="exact"/>
              <w:rPr>
                <w:sz w:val="20"/>
                <w:szCs w:val="20"/>
                <w:color w:val="auto"/>
              </w:rPr>
            </w:pPr>
            <w:r>
              <w:rPr>
                <w:rFonts w:ascii="Times New Roman" w:cs="Times New Roman" w:eastAsia="Times New Roman" w:hAnsi="Times New Roman"/>
                <w:sz w:val="17"/>
                <w:szCs w:val="17"/>
                <w:color w:val="auto"/>
              </w:rPr>
              <w:t>Notes payable – 6.75% unsecured notes, net of unamortized deferred issuance costs of</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2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$3,022,790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96,977,210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200" w:type="dxa"/>
            <w:vAlign w:val="bottom"/>
          </w:tcPr>
          <w:p>
            <w:pPr>
              <w:ind w:left="160"/>
              <w:spacing w:after="0" w:line="186" w:lineRule="exact"/>
              <w:rPr>
                <w:sz w:val="20"/>
                <w:szCs w:val="20"/>
                <w:color w:val="auto"/>
              </w:rPr>
            </w:pPr>
            <w:r>
              <w:rPr>
                <w:rFonts w:ascii="Times New Roman" w:cs="Times New Roman" w:eastAsia="Times New Roman" w:hAnsi="Times New Roman"/>
                <w:sz w:val="17"/>
                <w:szCs w:val="17"/>
                <w:color w:val="auto"/>
              </w:rPr>
              <w:t>Notes payable – 5.00% unsecured notes, net of unamortized deferred issuance costs of</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22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$2,927,076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6"/>
              <w:spacing w:after="0"/>
              <w:rPr>
                <w:sz w:val="20"/>
                <w:szCs w:val="20"/>
                <w:color w:val="auto"/>
              </w:rPr>
            </w:pPr>
            <w:r>
              <w:rPr>
                <w:rFonts w:ascii="Times New Roman" w:cs="Times New Roman" w:eastAsia="Times New Roman" w:hAnsi="Times New Roman"/>
                <w:sz w:val="17"/>
                <w:szCs w:val="17"/>
                <w:color w:val="auto"/>
              </w:rPr>
              <w:t>97,072,924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6"/>
        </w:trPr>
        <w:tc>
          <w:tcPr>
            <w:tcW w:w="20" w:type="dxa"/>
            <w:vAlign w:val="bottom"/>
          </w:tcPr>
          <w:p>
            <w:pPr>
              <w:spacing w:after="0"/>
              <w:rPr>
                <w:sz w:val="21"/>
                <w:szCs w:val="21"/>
                <w:color w:val="auto"/>
              </w:rPr>
            </w:pPr>
          </w:p>
        </w:tc>
        <w:tc>
          <w:tcPr>
            <w:tcW w:w="62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Securities purchased not settled</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29,402,588</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2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Incentive fees payable to affiliate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56"/>
              <w:spacing w:after="0"/>
              <w:rPr>
                <w:sz w:val="20"/>
                <w:szCs w:val="20"/>
                <w:color w:val="auto"/>
              </w:rPr>
            </w:pPr>
            <w:r>
              <w:rPr>
                <w:rFonts w:ascii="Times New Roman" w:cs="Times New Roman" w:eastAsia="Times New Roman" w:hAnsi="Times New Roman"/>
                <w:sz w:val="17"/>
                <w:szCs w:val="17"/>
                <w:color w:val="auto"/>
              </w:rPr>
              <w:t>8,990,354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6"/>
        </w:trPr>
        <w:tc>
          <w:tcPr>
            <w:tcW w:w="20" w:type="dxa"/>
            <w:vAlign w:val="bottom"/>
          </w:tcPr>
          <w:p>
            <w:pPr>
              <w:spacing w:after="0"/>
              <w:rPr>
                <w:sz w:val="21"/>
                <w:szCs w:val="21"/>
                <w:color w:val="auto"/>
              </w:rPr>
            </w:pPr>
          </w:p>
        </w:tc>
        <w:tc>
          <w:tcPr>
            <w:tcW w:w="62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Base management fee payable to affiliate</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6,269,686</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2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Accrued expenses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56"/>
              <w:spacing w:after="0"/>
              <w:rPr>
                <w:sz w:val="20"/>
                <w:szCs w:val="20"/>
                <w:color w:val="auto"/>
              </w:rPr>
            </w:pPr>
            <w:r>
              <w:rPr>
                <w:rFonts w:ascii="Times New Roman" w:cs="Times New Roman" w:eastAsia="Times New Roman" w:hAnsi="Times New Roman"/>
                <w:sz w:val="17"/>
                <w:szCs w:val="17"/>
                <w:color w:val="auto"/>
              </w:rPr>
              <w:t>965,542</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6"/>
        </w:trPr>
        <w:tc>
          <w:tcPr>
            <w:tcW w:w="20" w:type="dxa"/>
            <w:vAlign w:val="bottom"/>
          </w:tcPr>
          <w:p>
            <w:pPr>
              <w:spacing w:after="0"/>
              <w:rPr>
                <w:sz w:val="21"/>
                <w:szCs w:val="21"/>
                <w:color w:val="auto"/>
              </w:rPr>
            </w:pPr>
          </w:p>
        </w:tc>
        <w:tc>
          <w:tcPr>
            <w:tcW w:w="62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Interest payable</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32,641</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2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Accrued offering costs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56"/>
              <w:spacing w:after="0"/>
              <w:rPr>
                <w:sz w:val="20"/>
                <w:szCs w:val="20"/>
                <w:color w:val="auto"/>
              </w:rPr>
            </w:pPr>
            <w:r>
              <w:rPr>
                <w:rFonts w:ascii="Times New Roman" w:cs="Times New Roman" w:eastAsia="Times New Roman" w:hAnsi="Times New Roman"/>
                <w:sz w:val="17"/>
                <w:szCs w:val="17"/>
                <w:color w:val="auto"/>
              </w:rPr>
              <w:t>10,000</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6"/>
        </w:trPr>
        <w:tc>
          <w:tcPr>
            <w:tcW w:w="20" w:type="dxa"/>
            <w:vAlign w:val="bottom"/>
          </w:tcPr>
          <w:p>
            <w:pPr>
              <w:spacing w:after="0"/>
              <w:rPr>
                <w:sz w:val="23"/>
                <w:szCs w:val="23"/>
                <w:color w:val="auto"/>
              </w:rPr>
            </w:pPr>
          </w:p>
        </w:tc>
        <w:tc>
          <w:tcPr>
            <w:tcW w:w="62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Directors’ fees payable</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70,000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2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liabilities</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520,166,141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62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62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62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COMMITMENTS AND CONTINGENCIES (Note 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62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6"/>
        </w:trPr>
        <w:tc>
          <w:tcPr>
            <w:tcW w:w="20" w:type="dxa"/>
            <w:vAlign w:val="bottom"/>
            <w:vMerge w:val="restart"/>
          </w:tcPr>
          <w:p>
            <w:pPr>
              <w:spacing w:after="0"/>
              <w:rPr>
                <w:sz w:val="23"/>
                <w:szCs w:val="23"/>
                <w:color w:val="auto"/>
              </w:rPr>
            </w:pPr>
          </w:p>
        </w:tc>
        <w:tc>
          <w:tcPr>
            <w:tcW w:w="6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6200" w:type="dxa"/>
            <w:vAlign w:val="bottom"/>
          </w:tcPr>
          <w:p>
            <w:pPr>
              <w:spacing w:after="0" w:line="182" w:lineRule="exact"/>
              <w:rPr>
                <w:sz w:val="20"/>
                <w:szCs w:val="20"/>
                <w:color w:val="auto"/>
              </w:rPr>
            </w:pPr>
            <w:r>
              <w:rPr>
                <w:rFonts w:ascii="Times New Roman" w:cs="Times New Roman" w:eastAsia="Times New Roman" w:hAnsi="Times New Roman"/>
                <w:sz w:val="17"/>
                <w:szCs w:val="17"/>
                <w:b w:val="1"/>
                <w:bCs w:val="1"/>
                <w:color w:val="auto"/>
              </w:rPr>
              <w:t>NET ASSETS applicable to common stock, $0.01 par value, 450,000,000 shares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620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authorized, 158,889,507 shares issued and outstanding</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tcPr>
          <w:p>
            <w:pPr>
              <w:jc w:val="right"/>
              <w:ind w:right="56"/>
              <w:spacing w:after="0"/>
              <w:rPr>
                <w:sz w:val="20"/>
                <w:szCs w:val="20"/>
                <w:color w:val="auto"/>
              </w:rPr>
            </w:pPr>
            <w:r>
              <w:rPr>
                <w:rFonts w:ascii="Times New Roman" w:cs="Times New Roman" w:eastAsia="Times New Roman" w:hAnsi="Times New Roman"/>
                <w:sz w:val="17"/>
                <w:szCs w:val="17"/>
                <w:color w:val="auto"/>
              </w:rPr>
              <w:t>783,238,681</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2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62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NET ASSETS consist of:</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6"/>
        </w:trPr>
        <w:tc>
          <w:tcPr>
            <w:tcW w:w="20" w:type="dxa"/>
            <w:vAlign w:val="bottom"/>
          </w:tcPr>
          <w:p>
            <w:pPr>
              <w:spacing w:after="0"/>
              <w:rPr>
                <w:sz w:val="21"/>
                <w:szCs w:val="21"/>
                <w:color w:val="auto"/>
              </w:rPr>
            </w:pPr>
          </w:p>
        </w:tc>
        <w:tc>
          <w:tcPr>
            <w:tcW w:w="62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Common stock, $0.01 par value</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CCEEFF"/>
            </w:tcBorders>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1,588,895</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2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Capital in excess of par value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56"/>
              <w:spacing w:after="0"/>
              <w:rPr>
                <w:sz w:val="20"/>
                <w:szCs w:val="20"/>
                <w:color w:val="auto"/>
              </w:rPr>
            </w:pPr>
            <w:r>
              <w:rPr>
                <w:rFonts w:ascii="Times New Roman" w:cs="Times New Roman" w:eastAsia="Times New Roman" w:hAnsi="Times New Roman"/>
                <w:sz w:val="17"/>
                <w:szCs w:val="17"/>
                <w:color w:val="auto"/>
              </w:rPr>
              <w:t>1,146,237,630</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6"/>
        </w:trPr>
        <w:tc>
          <w:tcPr>
            <w:tcW w:w="20" w:type="dxa"/>
            <w:vAlign w:val="bottom"/>
          </w:tcPr>
          <w:p>
            <w:pPr>
              <w:spacing w:after="0"/>
              <w:rPr>
                <w:sz w:val="23"/>
                <w:szCs w:val="23"/>
                <w:color w:val="auto"/>
              </w:rPr>
            </w:pPr>
          </w:p>
        </w:tc>
        <w:tc>
          <w:tcPr>
            <w:tcW w:w="62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distributable earnings/(accumulated losses)</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(364,587,844)</w:t>
            </w: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62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Total net assets</w:t>
            </w:r>
          </w:p>
        </w:tc>
        <w:tc>
          <w:tcPr>
            <w:tcW w:w="100" w:type="dxa"/>
            <w:vAlign w:val="bottom"/>
            <w:tcBorders>
              <w:bottom w:val="single" w:sz="8" w:color="CCEEFF"/>
            </w:tcBorders>
          </w:tcPr>
          <w:p>
            <w:pPr>
              <w:spacing w:after="0"/>
              <w:rPr>
                <w:sz w:val="23"/>
                <w:szCs w:val="2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783,238,681</w:t>
            </w:r>
          </w:p>
        </w:tc>
        <w:tc>
          <w:tcPr>
            <w:tcW w:w="14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00" w:type="dxa"/>
            <w:vAlign w:val="bottom"/>
            <w:tcBorders>
              <w:bottom w:val="single" w:sz="8" w:color="CCEEFF"/>
            </w:tcBorders>
            <w:shd w:val="clear" w:color="auto" w:fill="CCEEFF"/>
          </w:tcPr>
          <w:p>
            <w:pPr>
              <w:spacing w:after="0" w:line="187" w:lineRule="exact"/>
              <w:rPr>
                <w:sz w:val="20"/>
                <w:szCs w:val="20"/>
                <w:color w:val="auto"/>
              </w:rPr>
            </w:pPr>
            <w:r>
              <w:rPr>
                <w:rFonts w:ascii="Times New Roman" w:cs="Times New Roman" w:eastAsia="Times New Roman" w:hAnsi="Times New Roman"/>
                <w:sz w:val="17"/>
                <w:szCs w:val="17"/>
                <w:color w:val="auto"/>
              </w:rPr>
              <w:t>Net asset value per common share</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4.93</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Market price per share</w:t>
            </w:r>
          </w:p>
        </w:tc>
        <w:tc>
          <w:tcPr>
            <w:tcW w:w="22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622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200" w:type="dxa"/>
            <w:vAlign w:val="bottom"/>
            <w:tcBorders>
              <w:top w:val="single" w:sz="8" w:color="CCEEFF"/>
              <w:bottom w:val="single" w:sz="8" w:color="CCEEFF"/>
            </w:tcBorders>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Percentage of market price premium to net asset value per share</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4.87</w:t>
            </w:r>
          </w:p>
        </w:tc>
        <w:tc>
          <w:tcPr>
            <w:tcW w:w="140" w:type="dxa"/>
            <w:vAlign w:val="bottom"/>
            <w:tcBorders>
              <w:top w:val="single" w:sz="8" w:color="CCEEFF"/>
              <w:bottom w:val="single" w:sz="8" w:color="CCEEFF"/>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See Accompanying Notes.</w:t>
      </w:r>
    </w:p>
    <w:p>
      <w:pPr>
        <w:sectPr>
          <w:pgSz w:w="11900" w:h="16838" w:orient="portrait"/>
          <w:cols w:equalWidth="0" w:num="1">
            <w:col w:w="9019"/>
          </w:cols>
          <w:pgMar w:left="1440" w:top="262" w:right="1440" w:bottom="144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22225</wp:posOffset>
            </wp:positionV>
            <wp:extent cx="48247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824730"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type w:val="continuous"/>
        </w:sectPr>
      </w:pPr>
    </w:p>
    <w:bookmarkStart w:id="14" w:name="page15"/>
    <w:bookmarkEnd w:id="14"/>
    <w:p>
      <w:pPr>
        <w:ind w:left="7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30"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146"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7"/>
          <w:szCs w:val="17"/>
          <w:b w:val="1"/>
          <w:bCs w:val="1"/>
          <w:color w:val="auto"/>
        </w:rPr>
        <w:t>SCHEDULE OF INVESTMENTS</w:t>
      </w:r>
    </w:p>
    <w:p>
      <w:pPr>
        <w:spacing w:after="0" w:line="27" w:lineRule="exact"/>
        <w:rPr>
          <w:sz w:val="20"/>
          <w:szCs w:val="20"/>
          <w:color w:val="auto"/>
        </w:rPr>
      </w:pPr>
    </w:p>
    <w:p>
      <w:pPr>
        <w:jc w:val="center"/>
        <w:ind w:left="1420"/>
        <w:spacing w:after="0"/>
        <w:rPr>
          <w:sz w:val="20"/>
          <w:szCs w:val="20"/>
          <w:color w:val="auto"/>
        </w:rPr>
      </w:pPr>
      <w:r>
        <w:rPr>
          <w:rFonts w:ascii="Times New Roman" w:cs="Times New Roman" w:eastAsia="Times New Roman" w:hAnsi="Times New Roman"/>
          <w:sz w:val="17"/>
          <w:szCs w:val="17"/>
          <w:b w:val="1"/>
          <w:bCs w:val="1"/>
          <w:color w:val="auto"/>
        </w:rPr>
        <w:t>SEPTEMBER 30, 2022</w:t>
      </w:r>
    </w:p>
    <w:p>
      <w:pPr>
        <w:spacing w:after="0" w:line="7" w:lineRule="exact"/>
        <w:rPr>
          <w:sz w:val="20"/>
          <w:szCs w:val="20"/>
          <w:color w:val="auto"/>
        </w:rPr>
      </w:pPr>
    </w:p>
    <w:p>
      <w:pPr>
        <w:jc w:val="center"/>
        <w:ind w:left="142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43" w:lineRule="exact"/>
        <w:rPr>
          <w:sz w:val="20"/>
          <w:szCs w:val="20"/>
          <w:color w:val="auto"/>
        </w:rPr>
      </w:pPr>
    </w:p>
    <w:tbl>
      <w:tblPr>
        <w:tblLayout w:type="fixed"/>
        <w:tblInd w:w="700" w:type="dxa"/>
        <w:tblCellMar>
          <w:top w:w="0" w:type="dxa"/>
          <w:left w:w="0" w:type="dxa"/>
          <w:bottom w:w="0" w:type="dxa"/>
          <w:right w:w="0" w:type="dxa"/>
        </w:tblCellMar>
      </w:tblPr>
      <w:tr>
        <w:trPr>
          <w:trHeight w:val="138"/>
        </w:trPr>
        <w:tc>
          <w:tcPr>
            <w:tcW w:w="2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7"/>
              </w:rPr>
              <w:t>ACQUISITION</w:t>
            </w: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5"/>
              </w:rPr>
              <w:t>PRINCIPAL</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right"/>
              <w:ind w:right="254"/>
              <w:spacing w:after="0"/>
              <w:rPr>
                <w:sz w:val="20"/>
                <w:szCs w:val="20"/>
                <w:color w:val="auto"/>
              </w:rPr>
            </w:pPr>
            <w:r>
              <w:rPr>
                <w:rFonts w:ascii="Times New Roman" w:cs="Times New Roman" w:eastAsia="Times New Roman" w:hAnsi="Times New Roman"/>
                <w:sz w:val="12"/>
                <w:szCs w:val="12"/>
                <w:b w:val="1"/>
                <w:bCs w:val="1"/>
                <w:color w:val="auto"/>
              </w:rPr>
              <w:t>FAIR</w:t>
            </w:r>
          </w:p>
        </w:tc>
        <w:tc>
          <w:tcPr>
            <w:tcW w:w="0" w:type="dxa"/>
            <w:vAlign w:val="bottom"/>
          </w:tcPr>
          <w:p>
            <w:pPr>
              <w:spacing w:after="0"/>
              <w:rPr>
                <w:sz w:val="1"/>
                <w:szCs w:val="1"/>
                <w:color w:val="auto"/>
              </w:rPr>
            </w:pPr>
          </w:p>
        </w:tc>
      </w:tr>
      <w:tr>
        <w:trPr>
          <w:trHeight w:val="119"/>
        </w:trPr>
        <w:tc>
          <w:tcPr>
            <w:tcW w:w="328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b w:val="1"/>
                <w:bCs w:val="1"/>
                <w:color w:val="auto"/>
              </w:rPr>
              <w:t>COMPANY/INVESTMENT</w:t>
            </w:r>
            <w:r>
              <w:rPr>
                <w:rFonts w:ascii="Times New Roman" w:cs="Times New Roman" w:eastAsia="Times New Roman" w:hAnsi="Times New Roman"/>
                <w:sz w:val="13"/>
                <w:szCs w:val="13"/>
                <w:b w:val="1"/>
                <w:bCs w:val="1"/>
                <w:color w:val="auto"/>
                <w:vertAlign w:val="superscript"/>
              </w:rPr>
              <w:t>(1)(13)(14)</w:t>
            </w:r>
          </w:p>
        </w:tc>
        <w:tc>
          <w:tcPr>
            <w:tcW w:w="100" w:type="dxa"/>
            <w:vAlign w:val="bottom"/>
            <w:vMerge w:val="restart"/>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720" w:type="dxa"/>
            <w:vAlign w:val="bottom"/>
            <w:gridSpan w:val="2"/>
          </w:tcPr>
          <w:p>
            <w:pPr>
              <w:jc w:val="center"/>
              <w:ind w:right="60"/>
              <w:spacing w:after="0" w:line="120" w:lineRule="exact"/>
              <w:rPr>
                <w:sz w:val="20"/>
                <w:szCs w:val="20"/>
                <w:color w:val="auto"/>
              </w:rPr>
            </w:pPr>
            <w:r>
              <w:rPr>
                <w:rFonts w:ascii="Times New Roman" w:cs="Times New Roman" w:eastAsia="Times New Roman" w:hAnsi="Times New Roman"/>
                <w:sz w:val="12"/>
                <w:szCs w:val="12"/>
                <w:b w:val="1"/>
                <w:bCs w:val="1"/>
                <w:color w:val="auto"/>
                <w:w w:val="99"/>
              </w:rPr>
              <w:t>AMOUNT/</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3280" w:type="dxa"/>
            <w:vAlign w:val="bottom"/>
            <w:tcBorders>
              <w:bottom w:val="single" w:sz="8" w:color="auto"/>
            </w:tcBorders>
            <w:gridSpan w:val="3"/>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1"/>
              </w:rPr>
              <w:t>DATE</w:t>
            </w:r>
            <w:r>
              <w:rPr>
                <w:rFonts w:ascii="Times New Roman" w:cs="Times New Roman" w:eastAsia="Times New Roman" w:hAnsi="Times New Roman"/>
                <w:sz w:val="13"/>
                <w:szCs w:val="13"/>
                <w:b w:val="1"/>
                <w:bCs w:val="1"/>
                <w:color w:val="auto"/>
                <w:w w:val="91"/>
                <w:vertAlign w:val="superscript"/>
              </w:rPr>
              <w:t>(15)</w:t>
            </w:r>
          </w:p>
        </w:tc>
        <w:tc>
          <w:tcPr>
            <w:tcW w:w="100" w:type="dxa"/>
            <w:vAlign w:val="bottom"/>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SHARES</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2"/>
                <w:szCs w:val="12"/>
                <w:b w:val="1"/>
                <w:bCs w:val="1"/>
                <w:color w:val="auto"/>
              </w:rPr>
              <w:t>COST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2"/>
                <w:szCs w:val="12"/>
                <w:b w:val="1"/>
                <w:bCs w:val="1"/>
                <w:color w:val="auto"/>
                <w:w w:val="99"/>
              </w:rPr>
              <w:t>VALUE</w:t>
            </w:r>
            <w:r>
              <w:rPr>
                <w:rFonts w:ascii="Times New Roman" w:cs="Times New Roman" w:eastAsia="Times New Roman" w:hAnsi="Times New Roman"/>
                <w:sz w:val="13"/>
                <w:szCs w:val="13"/>
                <w:b w:val="1"/>
                <w:bCs w:val="1"/>
                <w:color w:val="auto"/>
                <w:w w:val="99"/>
                <w:vertAlign w:val="superscript"/>
              </w:rPr>
              <w:t>(2)</w:t>
            </w:r>
          </w:p>
        </w:tc>
        <w:tc>
          <w:tcPr>
            <w:tcW w:w="0" w:type="dxa"/>
            <w:vAlign w:val="bottom"/>
          </w:tcPr>
          <w:p>
            <w:pPr>
              <w:spacing w:after="0"/>
              <w:rPr>
                <w:sz w:val="1"/>
                <w:szCs w:val="1"/>
                <w:color w:val="auto"/>
              </w:rPr>
            </w:pPr>
          </w:p>
        </w:tc>
      </w:tr>
      <w:tr>
        <w:trPr>
          <w:trHeight w:val="214"/>
        </w:trPr>
        <w:tc>
          <w:tcPr>
            <w:tcW w:w="2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Collateralized Loan Obligation – Debt Investments</w:t>
            </w:r>
          </w:p>
        </w:tc>
        <w:tc>
          <w:tcPr>
            <w:tcW w:w="440" w:type="dxa"/>
            <w:vAlign w:val="bottom"/>
            <w:gridSpan w:val="2"/>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338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Structured Finance – Debt Investments</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3"/>
        </w:trPr>
        <w:tc>
          <w:tcPr>
            <w:tcW w:w="226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3"/>
                <w:szCs w:val="13"/>
                <w:b w:val="1"/>
                <w:bCs w:val="1"/>
                <w:color w:val="auto"/>
              </w:rPr>
              <w:t>Allegro CLO II-S, Ltd.</w:t>
            </w:r>
          </w:p>
        </w:tc>
        <w:tc>
          <w:tcPr>
            <w:tcW w:w="1120" w:type="dxa"/>
            <w:vAlign w:val="bottom"/>
            <w:gridSpan w:val="3"/>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3380" w:type="dxa"/>
            <w:vAlign w:val="bottom"/>
            <w:gridSpan w:val="4"/>
          </w:tcPr>
          <w:p>
            <w:pPr>
              <w:ind w:left="180"/>
              <w:spacing w:after="0" w:line="181" w:lineRule="exact"/>
              <w:rPr>
                <w:sz w:val="20"/>
                <w:szCs w:val="20"/>
                <w:color w:val="auto"/>
              </w:rPr>
            </w:pPr>
            <w:r>
              <w:rPr>
                <w:rFonts w:ascii="Times New Roman" w:cs="Times New Roman" w:eastAsia="Times New Roman" w:hAnsi="Times New Roman"/>
                <w:sz w:val="13"/>
                <w:szCs w:val="13"/>
                <w:color w:val="auto"/>
              </w:rPr>
              <w:t>CLO secured notes – Class E</w:t>
            </w:r>
            <w:r>
              <w:rPr>
                <w:rFonts w:ascii="Times New Roman" w:cs="Times New Roman" w:eastAsia="Times New Roman" w:hAnsi="Times New Roman"/>
                <w:sz w:val="20"/>
                <w:szCs w:val="20"/>
                <w:color w:val="auto"/>
                <w:vertAlign w:val="superscript"/>
              </w:rPr>
              <w:t>(3)(6)</w:t>
            </w:r>
            <w:r>
              <w:rPr>
                <w:rFonts w:ascii="Times New Roman" w:cs="Times New Roman" w:eastAsia="Times New Roman" w:hAnsi="Times New Roman"/>
                <w:sz w:val="13"/>
                <w:szCs w:val="13"/>
                <w:color w:val="auto"/>
              </w:rPr>
              <w:t>, 10.55% (LIBOR +</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06/24/2020</w:t>
            </w:r>
          </w:p>
        </w:tc>
        <w:tc>
          <w:tcPr>
            <w:tcW w:w="100" w:type="dxa"/>
            <w:vAlign w:val="bottom"/>
          </w:tcPr>
          <w:p>
            <w:pPr>
              <w:spacing w:after="0"/>
              <w:rPr>
                <w:sz w:val="15"/>
                <w:szCs w:val="15"/>
                <w:color w:val="auto"/>
              </w:rPr>
            </w:pPr>
          </w:p>
        </w:tc>
        <w:tc>
          <w:tcPr>
            <w:tcW w:w="7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$ 5,500,000</w:t>
            </w:r>
          </w:p>
        </w:tc>
        <w:tc>
          <w:tcPr>
            <w:tcW w:w="2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4,649,062</w:t>
            </w:r>
          </w:p>
        </w:tc>
        <w:tc>
          <w:tcPr>
            <w:tcW w:w="40" w:type="dxa"/>
            <w:vAlign w:val="bottom"/>
          </w:tcPr>
          <w:p>
            <w:pPr>
              <w:spacing w:after="0"/>
              <w:rPr>
                <w:sz w:val="15"/>
                <w:szCs w:val="15"/>
                <w:color w:val="auto"/>
              </w:rPr>
            </w:pPr>
          </w:p>
        </w:tc>
        <w:tc>
          <w:tcPr>
            <w:tcW w:w="1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4,027,650</w:t>
            </w:r>
          </w:p>
        </w:tc>
        <w:tc>
          <w:tcPr>
            <w:tcW w:w="0" w:type="dxa"/>
            <w:vAlign w:val="bottom"/>
          </w:tcPr>
          <w:p>
            <w:pPr>
              <w:spacing w:after="0"/>
              <w:rPr>
                <w:sz w:val="1"/>
                <w:szCs w:val="1"/>
                <w:color w:val="auto"/>
              </w:rPr>
            </w:pPr>
          </w:p>
        </w:tc>
      </w:tr>
      <w:tr>
        <w:trPr>
          <w:trHeight w:val="174"/>
        </w:trPr>
        <w:tc>
          <w:tcPr>
            <w:tcW w:w="3380" w:type="dxa"/>
            <w:vAlign w:val="bottom"/>
            <w:gridSpan w:val="4"/>
          </w:tcPr>
          <w:p>
            <w:pPr>
              <w:ind w:left="340"/>
              <w:spacing w:after="0"/>
              <w:rPr>
                <w:sz w:val="20"/>
                <w:szCs w:val="20"/>
                <w:color w:val="auto"/>
              </w:rPr>
            </w:pPr>
            <w:r>
              <w:rPr>
                <w:rFonts w:ascii="Times New Roman" w:cs="Times New Roman" w:eastAsia="Times New Roman" w:hAnsi="Times New Roman"/>
                <w:sz w:val="13"/>
                <w:szCs w:val="13"/>
                <w:color w:val="auto"/>
              </w:rPr>
              <w:t>7.82%, due October 21, 2028)</w:t>
            </w: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3380" w:type="dxa"/>
            <w:vAlign w:val="bottom"/>
            <w:gridSpan w:val="4"/>
          </w:tcPr>
          <w:p>
            <w:pPr>
              <w:ind w:left="180"/>
              <w:spacing w:after="0"/>
              <w:rPr>
                <w:sz w:val="20"/>
                <w:szCs w:val="20"/>
                <w:color w:val="auto"/>
              </w:rPr>
            </w:pPr>
            <w:r>
              <w:rPr>
                <w:rFonts w:ascii="Times New Roman" w:cs="Times New Roman" w:eastAsia="Times New Roman" w:hAnsi="Times New Roman"/>
                <w:sz w:val="13"/>
                <w:szCs w:val="13"/>
                <w:b w:val="1"/>
                <w:bCs w:val="1"/>
                <w:color w:val="auto"/>
              </w:rPr>
              <w:t>Ares XXXVII CLO Ltd.</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380" w:type="dxa"/>
            <w:vAlign w:val="bottom"/>
            <w:gridSpan w:val="4"/>
          </w:tcPr>
          <w:p>
            <w:pPr>
              <w:ind w:left="180"/>
              <w:spacing w:after="0" w:line="181" w:lineRule="exact"/>
              <w:rPr>
                <w:sz w:val="20"/>
                <w:szCs w:val="20"/>
                <w:color w:val="auto"/>
              </w:rPr>
            </w:pPr>
            <w:r>
              <w:rPr>
                <w:rFonts w:ascii="Times New Roman" w:cs="Times New Roman" w:eastAsia="Times New Roman" w:hAnsi="Times New Roman"/>
                <w:sz w:val="13"/>
                <w:szCs w:val="13"/>
                <w:color w:val="auto"/>
              </w:rPr>
              <w:t>CLO secured notes – Class ER</w:t>
            </w:r>
            <w:r>
              <w:rPr>
                <w:rFonts w:ascii="Times New Roman" w:cs="Times New Roman" w:eastAsia="Times New Roman" w:hAnsi="Times New Roman"/>
                <w:sz w:val="20"/>
                <w:szCs w:val="20"/>
                <w:color w:val="auto"/>
                <w:vertAlign w:val="superscript"/>
              </w:rPr>
              <w:t>(3)(6)</w:t>
            </w:r>
            <w:r>
              <w:rPr>
                <w:rFonts w:ascii="Times New Roman" w:cs="Times New Roman" w:eastAsia="Times New Roman" w:hAnsi="Times New Roman"/>
                <w:sz w:val="13"/>
                <w:szCs w:val="13"/>
                <w:color w:val="auto"/>
              </w:rPr>
              <w:t>, 9.78% (LIBOR +</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06/23/2022</w:t>
            </w:r>
          </w:p>
        </w:tc>
        <w:tc>
          <w:tcPr>
            <w:tcW w:w="100" w:type="dxa"/>
            <w:vAlign w:val="bottom"/>
          </w:tcPr>
          <w:p>
            <w:pPr>
              <w:spacing w:after="0"/>
              <w:rPr>
                <w:sz w:val="15"/>
                <w:szCs w:val="15"/>
                <w:color w:val="auto"/>
              </w:rPr>
            </w:pPr>
          </w:p>
        </w:tc>
        <w:tc>
          <w:tcPr>
            <w:tcW w:w="7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1,000,000</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712,888</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668,300</w:t>
            </w:r>
          </w:p>
        </w:tc>
        <w:tc>
          <w:tcPr>
            <w:tcW w:w="0" w:type="dxa"/>
            <w:vAlign w:val="bottom"/>
          </w:tcPr>
          <w:p>
            <w:pPr>
              <w:spacing w:after="0"/>
              <w:rPr>
                <w:sz w:val="1"/>
                <w:szCs w:val="1"/>
                <w:color w:val="auto"/>
              </w:rPr>
            </w:pPr>
          </w:p>
        </w:tc>
      </w:tr>
      <w:tr>
        <w:trPr>
          <w:trHeight w:val="174"/>
        </w:trPr>
        <w:tc>
          <w:tcPr>
            <w:tcW w:w="3380" w:type="dxa"/>
            <w:vAlign w:val="bottom"/>
            <w:gridSpan w:val="4"/>
          </w:tcPr>
          <w:p>
            <w:pPr>
              <w:ind w:left="340"/>
              <w:spacing w:after="0"/>
              <w:rPr>
                <w:sz w:val="20"/>
                <w:szCs w:val="20"/>
                <w:color w:val="auto"/>
              </w:rPr>
            </w:pPr>
            <w:r>
              <w:rPr>
                <w:rFonts w:ascii="Times New Roman" w:cs="Times New Roman" w:eastAsia="Times New Roman" w:hAnsi="Times New Roman"/>
                <w:sz w:val="13"/>
                <w:szCs w:val="13"/>
                <w:color w:val="auto"/>
              </w:rPr>
              <w:t>7.27%, due October 15, 2030)</w:t>
            </w: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3380" w:type="dxa"/>
            <w:vAlign w:val="bottom"/>
            <w:gridSpan w:val="4"/>
          </w:tcPr>
          <w:p>
            <w:pPr>
              <w:ind w:left="180"/>
              <w:spacing w:after="0"/>
              <w:rPr>
                <w:sz w:val="20"/>
                <w:szCs w:val="20"/>
                <w:color w:val="auto"/>
              </w:rPr>
            </w:pPr>
            <w:r>
              <w:rPr>
                <w:rFonts w:ascii="Times New Roman" w:cs="Times New Roman" w:eastAsia="Times New Roman" w:hAnsi="Times New Roman"/>
                <w:sz w:val="13"/>
                <w:szCs w:val="13"/>
                <w:b w:val="1"/>
                <w:bCs w:val="1"/>
                <w:color w:val="auto"/>
              </w:rPr>
              <w:t>BlueMountain CLO 2015-4 Ltd.</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380" w:type="dxa"/>
            <w:vAlign w:val="bottom"/>
            <w:gridSpan w:val="4"/>
          </w:tcPr>
          <w:p>
            <w:pPr>
              <w:ind w:left="180"/>
              <w:spacing w:after="0" w:line="181" w:lineRule="exact"/>
              <w:rPr>
                <w:sz w:val="20"/>
                <w:szCs w:val="20"/>
                <w:color w:val="auto"/>
              </w:rPr>
            </w:pPr>
            <w:r>
              <w:rPr>
                <w:rFonts w:ascii="Times New Roman" w:cs="Times New Roman" w:eastAsia="Times New Roman" w:hAnsi="Times New Roman"/>
                <w:sz w:val="13"/>
                <w:szCs w:val="13"/>
                <w:color w:val="auto"/>
              </w:rPr>
              <w:t>CLO secured notes – Class ER</w:t>
            </w:r>
            <w:r>
              <w:rPr>
                <w:rFonts w:ascii="Times New Roman" w:cs="Times New Roman" w:eastAsia="Times New Roman" w:hAnsi="Times New Roman"/>
                <w:sz w:val="20"/>
                <w:szCs w:val="20"/>
                <w:color w:val="auto"/>
                <w:vertAlign w:val="superscript"/>
              </w:rPr>
              <w:t>(3)(6)</w:t>
            </w:r>
            <w:r>
              <w:rPr>
                <w:rFonts w:ascii="Times New Roman" w:cs="Times New Roman" w:eastAsia="Times New Roman" w:hAnsi="Times New Roman"/>
                <w:sz w:val="13"/>
                <w:szCs w:val="13"/>
                <w:color w:val="auto"/>
              </w:rPr>
              <w:t>, 8.66% (LIBOR +</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01/19/2022</w:t>
            </w:r>
          </w:p>
        </w:tc>
        <w:tc>
          <w:tcPr>
            <w:tcW w:w="100" w:type="dxa"/>
            <w:vAlign w:val="bottom"/>
          </w:tcPr>
          <w:p>
            <w:pPr>
              <w:spacing w:after="0"/>
              <w:rPr>
                <w:sz w:val="15"/>
                <w:szCs w:val="15"/>
                <w:color w:val="auto"/>
              </w:rPr>
            </w:pPr>
          </w:p>
        </w:tc>
        <w:tc>
          <w:tcPr>
            <w:tcW w:w="7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837,000</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796,366</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643,988</w:t>
            </w:r>
          </w:p>
        </w:tc>
        <w:tc>
          <w:tcPr>
            <w:tcW w:w="0" w:type="dxa"/>
            <w:vAlign w:val="bottom"/>
          </w:tcPr>
          <w:p>
            <w:pPr>
              <w:spacing w:after="0"/>
              <w:rPr>
                <w:sz w:val="1"/>
                <w:szCs w:val="1"/>
                <w:color w:val="auto"/>
              </w:rPr>
            </w:pPr>
          </w:p>
        </w:tc>
      </w:tr>
      <w:tr>
        <w:trPr>
          <w:trHeight w:val="174"/>
        </w:trPr>
        <w:tc>
          <w:tcPr>
            <w:tcW w:w="3380" w:type="dxa"/>
            <w:vAlign w:val="bottom"/>
            <w:gridSpan w:val="4"/>
          </w:tcPr>
          <w:p>
            <w:pPr>
              <w:ind w:left="340"/>
              <w:spacing w:after="0"/>
              <w:rPr>
                <w:sz w:val="20"/>
                <w:szCs w:val="20"/>
                <w:color w:val="auto"/>
              </w:rPr>
            </w:pPr>
            <w:r>
              <w:rPr>
                <w:rFonts w:ascii="Times New Roman" w:cs="Times New Roman" w:eastAsia="Times New Roman" w:hAnsi="Times New Roman"/>
                <w:sz w:val="13"/>
                <w:szCs w:val="13"/>
                <w:color w:val="auto"/>
              </w:rPr>
              <w:t>5.95%, due April 20, 2030)</w:t>
            </w: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3380" w:type="dxa"/>
            <w:vAlign w:val="bottom"/>
            <w:gridSpan w:val="4"/>
          </w:tcPr>
          <w:p>
            <w:pPr>
              <w:ind w:left="180"/>
              <w:spacing w:after="0"/>
              <w:rPr>
                <w:sz w:val="20"/>
                <w:szCs w:val="20"/>
                <w:color w:val="auto"/>
              </w:rPr>
            </w:pPr>
            <w:r>
              <w:rPr>
                <w:rFonts w:ascii="Times New Roman" w:cs="Times New Roman" w:eastAsia="Times New Roman" w:hAnsi="Times New Roman"/>
                <w:sz w:val="13"/>
                <w:szCs w:val="13"/>
                <w:b w:val="1"/>
                <w:bCs w:val="1"/>
                <w:color w:val="auto"/>
              </w:rPr>
              <w:t>BlueMountain CLO 2018-1 Ltd.</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380" w:type="dxa"/>
            <w:vAlign w:val="bottom"/>
            <w:gridSpan w:val="4"/>
          </w:tcPr>
          <w:p>
            <w:pPr>
              <w:ind w:left="180"/>
              <w:spacing w:after="0" w:line="181" w:lineRule="exact"/>
              <w:rPr>
                <w:sz w:val="20"/>
                <w:szCs w:val="20"/>
                <w:color w:val="auto"/>
              </w:rPr>
            </w:pPr>
            <w:r>
              <w:rPr>
                <w:rFonts w:ascii="Times New Roman" w:cs="Times New Roman" w:eastAsia="Times New Roman" w:hAnsi="Times New Roman"/>
                <w:sz w:val="13"/>
                <w:szCs w:val="13"/>
                <w:color w:val="auto"/>
              </w:rPr>
              <w:t>CLO secured notes – Class F</w:t>
            </w:r>
            <w:r>
              <w:rPr>
                <w:rFonts w:ascii="Times New Roman" w:cs="Times New Roman" w:eastAsia="Times New Roman" w:hAnsi="Times New Roman"/>
                <w:sz w:val="20"/>
                <w:szCs w:val="20"/>
                <w:color w:val="auto"/>
                <w:vertAlign w:val="superscript"/>
              </w:rPr>
              <w:t>(3)(6)</w:t>
            </w:r>
            <w:r>
              <w:rPr>
                <w:rFonts w:ascii="Times New Roman" w:cs="Times New Roman" w:eastAsia="Times New Roman" w:hAnsi="Times New Roman"/>
                <w:sz w:val="13"/>
                <w:szCs w:val="13"/>
                <w:color w:val="auto"/>
              </w:rPr>
              <w:t>, 10.99% (LIBOR +</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11/18/2019</w:t>
            </w:r>
          </w:p>
        </w:tc>
        <w:tc>
          <w:tcPr>
            <w:tcW w:w="100" w:type="dxa"/>
            <w:vAlign w:val="bottom"/>
          </w:tcPr>
          <w:p>
            <w:pPr>
              <w:spacing w:after="0"/>
              <w:rPr>
                <w:sz w:val="15"/>
                <w:szCs w:val="15"/>
                <w:color w:val="auto"/>
              </w:rPr>
            </w:pPr>
          </w:p>
        </w:tc>
        <w:tc>
          <w:tcPr>
            <w:tcW w:w="7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8,500,000</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6,401,911</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5,723,050</w:t>
            </w:r>
          </w:p>
        </w:tc>
        <w:tc>
          <w:tcPr>
            <w:tcW w:w="0" w:type="dxa"/>
            <w:vAlign w:val="bottom"/>
          </w:tcPr>
          <w:p>
            <w:pPr>
              <w:spacing w:after="0"/>
              <w:rPr>
                <w:sz w:val="1"/>
                <w:szCs w:val="1"/>
                <w:color w:val="auto"/>
              </w:rPr>
            </w:pPr>
          </w:p>
        </w:tc>
      </w:tr>
      <w:tr>
        <w:trPr>
          <w:trHeight w:val="174"/>
        </w:trPr>
        <w:tc>
          <w:tcPr>
            <w:tcW w:w="3380" w:type="dxa"/>
            <w:vAlign w:val="bottom"/>
            <w:gridSpan w:val="4"/>
          </w:tcPr>
          <w:p>
            <w:pPr>
              <w:ind w:left="340"/>
              <w:spacing w:after="0"/>
              <w:rPr>
                <w:sz w:val="20"/>
                <w:szCs w:val="20"/>
                <w:color w:val="auto"/>
              </w:rPr>
            </w:pPr>
            <w:r>
              <w:rPr>
                <w:rFonts w:ascii="Times New Roman" w:cs="Times New Roman" w:eastAsia="Times New Roman" w:hAnsi="Times New Roman"/>
                <w:sz w:val="13"/>
                <w:szCs w:val="13"/>
                <w:color w:val="auto"/>
              </w:rPr>
              <w:t>8.21%, due July 30, 2030)</w:t>
            </w: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3380" w:type="dxa"/>
            <w:vAlign w:val="bottom"/>
            <w:gridSpan w:val="4"/>
          </w:tcPr>
          <w:p>
            <w:pPr>
              <w:ind w:left="180"/>
              <w:spacing w:after="0"/>
              <w:rPr>
                <w:sz w:val="20"/>
                <w:szCs w:val="20"/>
                <w:color w:val="auto"/>
              </w:rPr>
            </w:pPr>
            <w:r>
              <w:rPr>
                <w:rFonts w:ascii="Times New Roman" w:cs="Times New Roman" w:eastAsia="Times New Roman" w:hAnsi="Times New Roman"/>
                <w:sz w:val="13"/>
                <w:szCs w:val="13"/>
                <w:b w:val="1"/>
                <w:bCs w:val="1"/>
                <w:color w:val="auto"/>
              </w:rPr>
              <w:t>Elevation CLO 2017-6, Ltd.</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380" w:type="dxa"/>
            <w:vAlign w:val="bottom"/>
            <w:gridSpan w:val="4"/>
          </w:tcPr>
          <w:p>
            <w:pPr>
              <w:ind w:left="180"/>
              <w:spacing w:after="0" w:line="181" w:lineRule="exact"/>
              <w:rPr>
                <w:sz w:val="20"/>
                <w:szCs w:val="20"/>
                <w:color w:val="auto"/>
              </w:rPr>
            </w:pPr>
            <w:r>
              <w:rPr>
                <w:rFonts w:ascii="Times New Roman" w:cs="Times New Roman" w:eastAsia="Times New Roman" w:hAnsi="Times New Roman"/>
                <w:sz w:val="13"/>
                <w:szCs w:val="13"/>
                <w:color w:val="auto"/>
              </w:rPr>
              <w:t>CLO secured notes – Class F</w:t>
            </w:r>
            <w:r>
              <w:rPr>
                <w:rFonts w:ascii="Times New Roman" w:cs="Times New Roman" w:eastAsia="Times New Roman" w:hAnsi="Times New Roman"/>
                <w:sz w:val="20"/>
                <w:szCs w:val="20"/>
                <w:color w:val="auto"/>
                <w:vertAlign w:val="superscript"/>
              </w:rPr>
              <w:t>(3)(6)</w:t>
            </w:r>
            <w:r>
              <w:rPr>
                <w:rFonts w:ascii="Times New Roman" w:cs="Times New Roman" w:eastAsia="Times New Roman" w:hAnsi="Times New Roman"/>
                <w:sz w:val="13"/>
                <w:szCs w:val="13"/>
                <w:color w:val="auto"/>
              </w:rPr>
              <w:t>, 10.91% (LIBOR +</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08/03/2022</w:t>
            </w:r>
          </w:p>
        </w:tc>
        <w:tc>
          <w:tcPr>
            <w:tcW w:w="100" w:type="dxa"/>
            <w:vAlign w:val="bottom"/>
          </w:tcPr>
          <w:p>
            <w:pPr>
              <w:spacing w:after="0"/>
              <w:rPr>
                <w:sz w:val="15"/>
                <w:szCs w:val="15"/>
                <w:color w:val="auto"/>
              </w:rPr>
            </w:pPr>
          </w:p>
        </w:tc>
        <w:tc>
          <w:tcPr>
            <w:tcW w:w="7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2,500,000</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1,906,154</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1,822,500</w:t>
            </w:r>
          </w:p>
        </w:tc>
        <w:tc>
          <w:tcPr>
            <w:tcW w:w="0" w:type="dxa"/>
            <w:vAlign w:val="bottom"/>
          </w:tcPr>
          <w:p>
            <w:pPr>
              <w:spacing w:after="0"/>
              <w:rPr>
                <w:sz w:val="1"/>
                <w:szCs w:val="1"/>
                <w:color w:val="auto"/>
              </w:rPr>
            </w:pPr>
          </w:p>
        </w:tc>
      </w:tr>
      <w:tr>
        <w:trPr>
          <w:trHeight w:val="174"/>
        </w:trPr>
        <w:tc>
          <w:tcPr>
            <w:tcW w:w="3380" w:type="dxa"/>
            <w:vAlign w:val="bottom"/>
            <w:gridSpan w:val="4"/>
          </w:tcPr>
          <w:p>
            <w:pPr>
              <w:ind w:left="340"/>
              <w:spacing w:after="0"/>
              <w:rPr>
                <w:sz w:val="20"/>
                <w:szCs w:val="20"/>
                <w:color w:val="auto"/>
              </w:rPr>
            </w:pPr>
            <w:r>
              <w:rPr>
                <w:rFonts w:ascii="Times New Roman" w:cs="Times New Roman" w:eastAsia="Times New Roman" w:hAnsi="Times New Roman"/>
                <w:sz w:val="13"/>
                <w:szCs w:val="13"/>
                <w:color w:val="auto"/>
              </w:rPr>
              <w:t>8.40%, due July 15, 2029)</w:t>
            </w: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3380" w:type="dxa"/>
            <w:vAlign w:val="bottom"/>
            <w:gridSpan w:val="4"/>
          </w:tcPr>
          <w:p>
            <w:pPr>
              <w:ind w:left="180"/>
              <w:spacing w:after="0"/>
              <w:rPr>
                <w:sz w:val="20"/>
                <w:szCs w:val="20"/>
                <w:color w:val="auto"/>
              </w:rPr>
            </w:pPr>
            <w:r>
              <w:rPr>
                <w:rFonts w:ascii="Times New Roman" w:cs="Times New Roman" w:eastAsia="Times New Roman" w:hAnsi="Times New Roman"/>
                <w:sz w:val="13"/>
                <w:szCs w:val="13"/>
                <w:b w:val="1"/>
                <w:bCs w:val="1"/>
                <w:color w:val="auto"/>
              </w:rPr>
              <w:t>Highbridge Loan Management 5-2015, Ltd.</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380" w:type="dxa"/>
            <w:vAlign w:val="bottom"/>
            <w:gridSpan w:val="4"/>
          </w:tcPr>
          <w:p>
            <w:pPr>
              <w:ind w:left="180"/>
              <w:spacing w:after="0" w:line="181" w:lineRule="exact"/>
              <w:rPr>
                <w:sz w:val="20"/>
                <w:szCs w:val="20"/>
                <w:color w:val="auto"/>
              </w:rPr>
            </w:pPr>
            <w:r>
              <w:rPr>
                <w:rFonts w:ascii="Times New Roman" w:cs="Times New Roman" w:eastAsia="Times New Roman" w:hAnsi="Times New Roman"/>
                <w:sz w:val="13"/>
                <w:szCs w:val="13"/>
                <w:color w:val="auto"/>
              </w:rPr>
              <w:t>CLO secured notes – Class FRR</w:t>
            </w:r>
            <w:r>
              <w:rPr>
                <w:rFonts w:ascii="Times New Roman" w:cs="Times New Roman" w:eastAsia="Times New Roman" w:hAnsi="Times New Roman"/>
                <w:sz w:val="20"/>
                <w:szCs w:val="20"/>
                <w:color w:val="auto"/>
                <w:vertAlign w:val="superscript"/>
              </w:rPr>
              <w:t>(3)(6)</w:t>
            </w:r>
            <w:r>
              <w:rPr>
                <w:rFonts w:ascii="Times New Roman" w:cs="Times New Roman" w:eastAsia="Times New Roman" w:hAnsi="Times New Roman"/>
                <w:sz w:val="13"/>
                <w:szCs w:val="13"/>
                <w:color w:val="auto"/>
              </w:rPr>
              <w:t>, 10.51% (LIBOR +</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08/03/2021</w:t>
            </w:r>
          </w:p>
        </w:tc>
        <w:tc>
          <w:tcPr>
            <w:tcW w:w="100" w:type="dxa"/>
            <w:vAlign w:val="bottom"/>
          </w:tcPr>
          <w:p>
            <w:pPr>
              <w:spacing w:after="0"/>
              <w:rPr>
                <w:sz w:val="15"/>
                <w:szCs w:val="15"/>
                <w:color w:val="auto"/>
              </w:rPr>
            </w:pPr>
          </w:p>
        </w:tc>
        <w:tc>
          <w:tcPr>
            <w:tcW w:w="7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3,425,000</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3,110,569</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2,280,023</w:t>
            </w:r>
          </w:p>
        </w:tc>
        <w:tc>
          <w:tcPr>
            <w:tcW w:w="0" w:type="dxa"/>
            <w:vAlign w:val="bottom"/>
          </w:tcPr>
          <w:p>
            <w:pPr>
              <w:spacing w:after="0"/>
              <w:rPr>
                <w:sz w:val="1"/>
                <w:szCs w:val="1"/>
                <w:color w:val="auto"/>
              </w:rPr>
            </w:pPr>
          </w:p>
        </w:tc>
      </w:tr>
      <w:tr>
        <w:trPr>
          <w:trHeight w:val="174"/>
        </w:trPr>
        <w:tc>
          <w:tcPr>
            <w:tcW w:w="3380" w:type="dxa"/>
            <w:vAlign w:val="bottom"/>
            <w:gridSpan w:val="4"/>
          </w:tcPr>
          <w:p>
            <w:pPr>
              <w:ind w:left="340"/>
              <w:spacing w:after="0"/>
              <w:rPr>
                <w:sz w:val="20"/>
                <w:szCs w:val="20"/>
                <w:color w:val="auto"/>
              </w:rPr>
            </w:pPr>
            <w:r>
              <w:rPr>
                <w:rFonts w:ascii="Times New Roman" w:cs="Times New Roman" w:eastAsia="Times New Roman" w:hAnsi="Times New Roman"/>
                <w:sz w:val="13"/>
                <w:szCs w:val="13"/>
                <w:color w:val="auto"/>
              </w:rPr>
              <w:t>8.00%, due October 15, 2030)</w:t>
            </w: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3380" w:type="dxa"/>
            <w:vAlign w:val="bottom"/>
            <w:gridSpan w:val="4"/>
          </w:tcPr>
          <w:p>
            <w:pPr>
              <w:ind w:left="180"/>
              <w:spacing w:after="0"/>
              <w:rPr>
                <w:sz w:val="20"/>
                <w:szCs w:val="20"/>
                <w:color w:val="auto"/>
              </w:rPr>
            </w:pPr>
            <w:r>
              <w:rPr>
                <w:rFonts w:ascii="Times New Roman" w:cs="Times New Roman" w:eastAsia="Times New Roman" w:hAnsi="Times New Roman"/>
                <w:sz w:val="13"/>
                <w:szCs w:val="13"/>
                <w:b w:val="1"/>
                <w:bCs w:val="1"/>
                <w:color w:val="auto"/>
              </w:rPr>
              <w:t>Highbridge Loan Management 2013-2, Ltd.</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380" w:type="dxa"/>
            <w:vAlign w:val="bottom"/>
            <w:gridSpan w:val="4"/>
          </w:tcPr>
          <w:p>
            <w:pPr>
              <w:ind w:left="180"/>
              <w:spacing w:after="0" w:line="181" w:lineRule="exact"/>
              <w:rPr>
                <w:sz w:val="20"/>
                <w:szCs w:val="20"/>
                <w:color w:val="auto"/>
              </w:rPr>
            </w:pPr>
            <w:r>
              <w:rPr>
                <w:rFonts w:ascii="Times New Roman" w:cs="Times New Roman" w:eastAsia="Times New Roman" w:hAnsi="Times New Roman"/>
                <w:sz w:val="13"/>
                <w:szCs w:val="13"/>
                <w:color w:val="auto"/>
              </w:rPr>
              <w:t>CLO secured notes – Class ER</w:t>
            </w:r>
            <w:r>
              <w:rPr>
                <w:rFonts w:ascii="Times New Roman" w:cs="Times New Roman" w:eastAsia="Times New Roman" w:hAnsi="Times New Roman"/>
                <w:sz w:val="20"/>
                <w:szCs w:val="20"/>
                <w:color w:val="auto"/>
                <w:vertAlign w:val="superscript"/>
              </w:rPr>
              <w:t>(3)(6)</w:t>
            </w:r>
            <w:r>
              <w:rPr>
                <w:rFonts w:ascii="Times New Roman" w:cs="Times New Roman" w:eastAsia="Times New Roman" w:hAnsi="Times New Roman"/>
                <w:sz w:val="13"/>
                <w:szCs w:val="13"/>
                <w:color w:val="auto"/>
              </w:rPr>
              <w:t>, 10.96% (LIBOR +</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04/20/2022</w:t>
            </w:r>
          </w:p>
        </w:tc>
        <w:tc>
          <w:tcPr>
            <w:tcW w:w="100" w:type="dxa"/>
            <w:vAlign w:val="bottom"/>
          </w:tcPr>
          <w:p>
            <w:pPr>
              <w:spacing w:after="0"/>
              <w:rPr>
                <w:sz w:val="15"/>
                <w:szCs w:val="15"/>
                <w:color w:val="auto"/>
              </w:rPr>
            </w:pPr>
          </w:p>
        </w:tc>
        <w:tc>
          <w:tcPr>
            <w:tcW w:w="7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2,500,000</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2,118,963</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1,723,000</w:t>
            </w:r>
          </w:p>
        </w:tc>
        <w:tc>
          <w:tcPr>
            <w:tcW w:w="0" w:type="dxa"/>
            <w:vAlign w:val="bottom"/>
          </w:tcPr>
          <w:p>
            <w:pPr>
              <w:spacing w:after="0"/>
              <w:rPr>
                <w:sz w:val="1"/>
                <w:szCs w:val="1"/>
                <w:color w:val="auto"/>
              </w:rPr>
            </w:pPr>
          </w:p>
        </w:tc>
      </w:tr>
      <w:tr>
        <w:trPr>
          <w:trHeight w:val="174"/>
        </w:trPr>
        <w:tc>
          <w:tcPr>
            <w:tcW w:w="3380" w:type="dxa"/>
            <w:vAlign w:val="bottom"/>
            <w:gridSpan w:val="4"/>
          </w:tcPr>
          <w:p>
            <w:pPr>
              <w:ind w:left="340"/>
              <w:spacing w:after="0"/>
              <w:rPr>
                <w:sz w:val="20"/>
                <w:szCs w:val="20"/>
                <w:color w:val="auto"/>
              </w:rPr>
            </w:pPr>
            <w:r>
              <w:rPr>
                <w:rFonts w:ascii="Times New Roman" w:cs="Times New Roman" w:eastAsia="Times New Roman" w:hAnsi="Times New Roman"/>
                <w:sz w:val="13"/>
                <w:szCs w:val="13"/>
                <w:color w:val="auto"/>
              </w:rPr>
              <w:t>8.25%, due October 20, 2029)</w:t>
            </w: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3380" w:type="dxa"/>
            <w:vAlign w:val="bottom"/>
            <w:gridSpan w:val="4"/>
          </w:tcPr>
          <w:p>
            <w:pPr>
              <w:ind w:left="180"/>
              <w:spacing w:after="0"/>
              <w:rPr>
                <w:sz w:val="20"/>
                <w:szCs w:val="20"/>
                <w:color w:val="auto"/>
              </w:rPr>
            </w:pPr>
            <w:r>
              <w:rPr>
                <w:rFonts w:ascii="Times New Roman" w:cs="Times New Roman" w:eastAsia="Times New Roman" w:hAnsi="Times New Roman"/>
                <w:sz w:val="13"/>
                <w:szCs w:val="13"/>
                <w:b w:val="1"/>
                <w:bCs w:val="1"/>
                <w:color w:val="auto"/>
              </w:rPr>
              <w:t>Longfellow Place CLO, Ltd.</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380" w:type="dxa"/>
            <w:vAlign w:val="bottom"/>
            <w:gridSpan w:val="4"/>
          </w:tcPr>
          <w:p>
            <w:pPr>
              <w:ind w:left="180"/>
              <w:spacing w:after="0" w:line="181" w:lineRule="exact"/>
              <w:rPr>
                <w:sz w:val="20"/>
                <w:szCs w:val="20"/>
                <w:color w:val="auto"/>
              </w:rPr>
            </w:pPr>
            <w:r>
              <w:rPr>
                <w:rFonts w:ascii="Times New Roman" w:cs="Times New Roman" w:eastAsia="Times New Roman" w:hAnsi="Times New Roman"/>
                <w:sz w:val="13"/>
                <w:szCs w:val="13"/>
                <w:color w:val="auto"/>
              </w:rPr>
              <w:t>CLO secured notes – Class FRR</w:t>
            </w:r>
            <w:r>
              <w:rPr>
                <w:rFonts w:ascii="Times New Roman" w:cs="Times New Roman" w:eastAsia="Times New Roman" w:hAnsi="Times New Roman"/>
                <w:sz w:val="20"/>
                <w:szCs w:val="20"/>
                <w:color w:val="auto"/>
                <w:vertAlign w:val="superscript"/>
              </w:rPr>
              <w:t>(3)(6)</w:t>
            </w:r>
            <w:r>
              <w:rPr>
                <w:rFonts w:ascii="Times New Roman" w:cs="Times New Roman" w:eastAsia="Times New Roman" w:hAnsi="Times New Roman"/>
                <w:sz w:val="13"/>
                <w:szCs w:val="13"/>
                <w:color w:val="auto"/>
              </w:rPr>
              <w:t>, 11.01% (LIBOR +</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03/26/2019</w:t>
            </w:r>
          </w:p>
        </w:tc>
        <w:tc>
          <w:tcPr>
            <w:tcW w:w="100" w:type="dxa"/>
            <w:vAlign w:val="bottom"/>
          </w:tcPr>
          <w:p>
            <w:pPr>
              <w:spacing w:after="0"/>
              <w:rPr>
                <w:sz w:val="15"/>
                <w:szCs w:val="15"/>
                <w:color w:val="auto"/>
              </w:rPr>
            </w:pPr>
          </w:p>
        </w:tc>
        <w:tc>
          <w:tcPr>
            <w:tcW w:w="7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4,137,500</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3,120,178</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1,862,703</w:t>
            </w:r>
          </w:p>
        </w:tc>
        <w:tc>
          <w:tcPr>
            <w:tcW w:w="0" w:type="dxa"/>
            <w:vAlign w:val="bottom"/>
          </w:tcPr>
          <w:p>
            <w:pPr>
              <w:spacing w:after="0"/>
              <w:rPr>
                <w:sz w:val="1"/>
                <w:szCs w:val="1"/>
                <w:color w:val="auto"/>
              </w:rPr>
            </w:pPr>
          </w:p>
        </w:tc>
      </w:tr>
      <w:tr>
        <w:trPr>
          <w:trHeight w:val="174"/>
        </w:trPr>
        <w:tc>
          <w:tcPr>
            <w:tcW w:w="3380" w:type="dxa"/>
            <w:vAlign w:val="bottom"/>
            <w:gridSpan w:val="4"/>
          </w:tcPr>
          <w:p>
            <w:pPr>
              <w:ind w:left="340"/>
              <w:spacing w:after="0"/>
              <w:rPr>
                <w:sz w:val="20"/>
                <w:szCs w:val="20"/>
                <w:color w:val="auto"/>
              </w:rPr>
            </w:pPr>
            <w:r>
              <w:rPr>
                <w:rFonts w:ascii="Times New Roman" w:cs="Times New Roman" w:eastAsia="Times New Roman" w:hAnsi="Times New Roman"/>
                <w:sz w:val="13"/>
                <w:szCs w:val="13"/>
                <w:color w:val="auto"/>
              </w:rPr>
              <w:t>8.50%, due April 15, 2029)</w:t>
            </w: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3380" w:type="dxa"/>
            <w:vAlign w:val="bottom"/>
            <w:gridSpan w:val="4"/>
          </w:tcPr>
          <w:p>
            <w:pPr>
              <w:ind w:left="180"/>
              <w:spacing w:after="0"/>
              <w:rPr>
                <w:sz w:val="20"/>
                <w:szCs w:val="20"/>
                <w:color w:val="auto"/>
              </w:rPr>
            </w:pPr>
            <w:r>
              <w:rPr>
                <w:rFonts w:ascii="Times New Roman" w:cs="Times New Roman" w:eastAsia="Times New Roman" w:hAnsi="Times New Roman"/>
                <w:sz w:val="13"/>
                <w:szCs w:val="13"/>
                <w:b w:val="1"/>
                <w:bCs w:val="1"/>
                <w:color w:val="auto"/>
              </w:rPr>
              <w:t>Midocean Credit CLO VI</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380" w:type="dxa"/>
            <w:vAlign w:val="bottom"/>
            <w:gridSpan w:val="4"/>
          </w:tcPr>
          <w:p>
            <w:pPr>
              <w:ind w:left="180"/>
              <w:spacing w:after="0" w:line="181" w:lineRule="exact"/>
              <w:rPr>
                <w:sz w:val="20"/>
                <w:szCs w:val="20"/>
                <w:color w:val="auto"/>
              </w:rPr>
            </w:pPr>
            <w:r>
              <w:rPr>
                <w:rFonts w:ascii="Times New Roman" w:cs="Times New Roman" w:eastAsia="Times New Roman" w:hAnsi="Times New Roman"/>
                <w:sz w:val="13"/>
                <w:szCs w:val="13"/>
                <w:color w:val="auto"/>
              </w:rPr>
              <w:t>CLO secured notes – Class F</w:t>
            </w:r>
            <w:r>
              <w:rPr>
                <w:rFonts w:ascii="Times New Roman" w:cs="Times New Roman" w:eastAsia="Times New Roman" w:hAnsi="Times New Roman"/>
                <w:sz w:val="20"/>
                <w:szCs w:val="20"/>
                <w:color w:val="auto"/>
                <w:vertAlign w:val="superscript"/>
              </w:rPr>
              <w:t>(3)(6)</w:t>
            </w:r>
            <w:r>
              <w:rPr>
                <w:rFonts w:ascii="Times New Roman" w:cs="Times New Roman" w:eastAsia="Times New Roman" w:hAnsi="Times New Roman"/>
                <w:sz w:val="13"/>
                <w:szCs w:val="13"/>
                <w:color w:val="auto"/>
              </w:rPr>
              <w:t>, 10.72% (LIBOR +</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03/12/2021</w:t>
            </w:r>
          </w:p>
        </w:tc>
        <w:tc>
          <w:tcPr>
            <w:tcW w:w="100" w:type="dxa"/>
            <w:vAlign w:val="bottom"/>
          </w:tcPr>
          <w:p>
            <w:pPr>
              <w:spacing w:after="0"/>
              <w:rPr>
                <w:sz w:val="15"/>
                <w:szCs w:val="15"/>
                <w:color w:val="auto"/>
              </w:rPr>
            </w:pPr>
          </w:p>
        </w:tc>
        <w:tc>
          <w:tcPr>
            <w:tcW w:w="7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4,000,000</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3,296,555</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2,844,000</w:t>
            </w:r>
          </w:p>
        </w:tc>
        <w:tc>
          <w:tcPr>
            <w:tcW w:w="0" w:type="dxa"/>
            <w:vAlign w:val="bottom"/>
          </w:tcPr>
          <w:p>
            <w:pPr>
              <w:spacing w:after="0"/>
              <w:rPr>
                <w:sz w:val="1"/>
                <w:szCs w:val="1"/>
                <w:color w:val="auto"/>
              </w:rPr>
            </w:pPr>
          </w:p>
        </w:tc>
      </w:tr>
      <w:tr>
        <w:trPr>
          <w:trHeight w:val="174"/>
        </w:trPr>
        <w:tc>
          <w:tcPr>
            <w:tcW w:w="3380" w:type="dxa"/>
            <w:vAlign w:val="bottom"/>
            <w:gridSpan w:val="4"/>
          </w:tcPr>
          <w:p>
            <w:pPr>
              <w:ind w:left="340"/>
              <w:spacing w:after="0"/>
              <w:rPr>
                <w:sz w:val="20"/>
                <w:szCs w:val="20"/>
                <w:color w:val="auto"/>
              </w:rPr>
            </w:pPr>
            <w:r>
              <w:rPr>
                <w:rFonts w:ascii="Times New Roman" w:cs="Times New Roman" w:eastAsia="Times New Roman" w:hAnsi="Times New Roman"/>
                <w:sz w:val="13"/>
                <w:szCs w:val="13"/>
                <w:color w:val="auto"/>
              </w:rPr>
              <w:t>8.01%, due April 20, 2033)</w:t>
            </w: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3380" w:type="dxa"/>
            <w:vAlign w:val="bottom"/>
            <w:gridSpan w:val="4"/>
          </w:tcPr>
          <w:p>
            <w:pPr>
              <w:ind w:left="180"/>
              <w:spacing w:after="0"/>
              <w:rPr>
                <w:sz w:val="20"/>
                <w:szCs w:val="20"/>
                <w:color w:val="auto"/>
              </w:rPr>
            </w:pPr>
            <w:r>
              <w:rPr>
                <w:rFonts w:ascii="Times New Roman" w:cs="Times New Roman" w:eastAsia="Times New Roman" w:hAnsi="Times New Roman"/>
                <w:sz w:val="13"/>
                <w:szCs w:val="13"/>
                <w:b w:val="1"/>
                <w:bCs w:val="1"/>
                <w:color w:val="auto"/>
              </w:rPr>
              <w:t>Milford Park CLO, Ltd.</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380" w:type="dxa"/>
            <w:vAlign w:val="bottom"/>
            <w:gridSpan w:val="4"/>
          </w:tcPr>
          <w:p>
            <w:pPr>
              <w:ind w:left="180"/>
              <w:spacing w:after="0" w:line="181" w:lineRule="exact"/>
              <w:rPr>
                <w:sz w:val="20"/>
                <w:szCs w:val="20"/>
                <w:color w:val="auto"/>
              </w:rPr>
            </w:pPr>
            <w:r>
              <w:rPr>
                <w:rFonts w:ascii="Times New Roman" w:cs="Times New Roman" w:eastAsia="Times New Roman" w:hAnsi="Times New Roman"/>
                <w:sz w:val="13"/>
                <w:szCs w:val="13"/>
                <w:color w:val="auto"/>
              </w:rPr>
              <w:t>CLO secured notes – Class F</w:t>
            </w:r>
            <w:r>
              <w:rPr>
                <w:rFonts w:ascii="Times New Roman" w:cs="Times New Roman" w:eastAsia="Times New Roman" w:hAnsi="Times New Roman"/>
                <w:sz w:val="20"/>
                <w:szCs w:val="20"/>
                <w:color w:val="auto"/>
                <w:vertAlign w:val="superscript"/>
              </w:rPr>
              <w:t>(3)(9)(17)</w:t>
            </w:r>
            <w:r>
              <w:rPr>
                <w:rFonts w:ascii="Times New Roman" w:cs="Times New Roman" w:eastAsia="Times New Roman" w:hAnsi="Times New Roman"/>
                <w:sz w:val="13"/>
                <w:szCs w:val="13"/>
                <w:color w:val="auto"/>
              </w:rPr>
              <w:t>, 10.82% (SOFR +</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05/12/2022</w:t>
            </w:r>
          </w:p>
        </w:tc>
        <w:tc>
          <w:tcPr>
            <w:tcW w:w="100" w:type="dxa"/>
            <w:vAlign w:val="bottom"/>
          </w:tcPr>
          <w:p>
            <w:pPr>
              <w:spacing w:after="0"/>
              <w:rPr>
                <w:sz w:val="15"/>
                <w:szCs w:val="15"/>
                <w:color w:val="auto"/>
              </w:rPr>
            </w:pPr>
          </w:p>
        </w:tc>
        <w:tc>
          <w:tcPr>
            <w:tcW w:w="7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1,000,000</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960,838</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885,200</w:t>
            </w:r>
          </w:p>
        </w:tc>
        <w:tc>
          <w:tcPr>
            <w:tcW w:w="0" w:type="dxa"/>
            <w:vAlign w:val="bottom"/>
          </w:tcPr>
          <w:p>
            <w:pPr>
              <w:spacing w:after="0"/>
              <w:rPr>
                <w:sz w:val="1"/>
                <w:szCs w:val="1"/>
                <w:color w:val="auto"/>
              </w:rPr>
            </w:pPr>
          </w:p>
        </w:tc>
      </w:tr>
      <w:tr>
        <w:trPr>
          <w:trHeight w:val="174"/>
        </w:trPr>
        <w:tc>
          <w:tcPr>
            <w:tcW w:w="3380" w:type="dxa"/>
            <w:vAlign w:val="bottom"/>
            <w:gridSpan w:val="4"/>
          </w:tcPr>
          <w:p>
            <w:pPr>
              <w:ind w:left="340"/>
              <w:spacing w:after="0"/>
              <w:rPr>
                <w:sz w:val="20"/>
                <w:szCs w:val="20"/>
                <w:color w:val="auto"/>
              </w:rPr>
            </w:pPr>
            <w:r>
              <w:rPr>
                <w:rFonts w:ascii="Times New Roman" w:cs="Times New Roman" w:eastAsia="Times New Roman" w:hAnsi="Times New Roman"/>
                <w:sz w:val="13"/>
                <w:szCs w:val="13"/>
                <w:color w:val="auto"/>
              </w:rPr>
              <w:t>9.32%, due July 20, 2035)</w:t>
            </w: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3380" w:type="dxa"/>
            <w:vAlign w:val="bottom"/>
            <w:gridSpan w:val="4"/>
          </w:tcPr>
          <w:p>
            <w:pPr>
              <w:ind w:left="180"/>
              <w:spacing w:after="0"/>
              <w:rPr>
                <w:sz w:val="20"/>
                <w:szCs w:val="20"/>
                <w:color w:val="auto"/>
              </w:rPr>
            </w:pPr>
            <w:r>
              <w:rPr>
                <w:rFonts w:ascii="Times New Roman" w:cs="Times New Roman" w:eastAsia="Times New Roman" w:hAnsi="Times New Roman"/>
                <w:sz w:val="13"/>
                <w:szCs w:val="13"/>
                <w:b w:val="1"/>
                <w:bCs w:val="1"/>
                <w:color w:val="auto"/>
              </w:rPr>
              <w:t>Nassau 2017-II Ltd.</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380" w:type="dxa"/>
            <w:vAlign w:val="bottom"/>
            <w:gridSpan w:val="4"/>
          </w:tcPr>
          <w:p>
            <w:pPr>
              <w:ind w:left="180"/>
              <w:spacing w:after="0" w:line="181" w:lineRule="exact"/>
              <w:rPr>
                <w:sz w:val="20"/>
                <w:szCs w:val="20"/>
                <w:color w:val="auto"/>
              </w:rPr>
            </w:pPr>
            <w:r>
              <w:rPr>
                <w:rFonts w:ascii="Times New Roman" w:cs="Times New Roman" w:eastAsia="Times New Roman" w:hAnsi="Times New Roman"/>
                <w:sz w:val="13"/>
                <w:szCs w:val="13"/>
                <w:color w:val="auto"/>
              </w:rPr>
              <w:t>CLO secured notes – Class E</w:t>
            </w:r>
            <w:r>
              <w:rPr>
                <w:rFonts w:ascii="Times New Roman" w:cs="Times New Roman" w:eastAsia="Times New Roman" w:hAnsi="Times New Roman"/>
                <w:sz w:val="20"/>
                <w:szCs w:val="20"/>
                <w:color w:val="auto"/>
                <w:vertAlign w:val="superscript"/>
              </w:rPr>
              <w:t>(3)(6)</w:t>
            </w:r>
            <w:r>
              <w:rPr>
                <w:rFonts w:ascii="Times New Roman" w:cs="Times New Roman" w:eastAsia="Times New Roman" w:hAnsi="Times New Roman"/>
                <w:sz w:val="13"/>
                <w:szCs w:val="13"/>
                <w:color w:val="auto"/>
              </w:rPr>
              <w:t>, 8.76% (LIBOR +</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01/07/2022</w:t>
            </w:r>
          </w:p>
        </w:tc>
        <w:tc>
          <w:tcPr>
            <w:tcW w:w="100" w:type="dxa"/>
            <w:vAlign w:val="bottom"/>
          </w:tcPr>
          <w:p>
            <w:pPr>
              <w:spacing w:after="0"/>
              <w:rPr>
                <w:sz w:val="15"/>
                <w:szCs w:val="15"/>
                <w:color w:val="auto"/>
              </w:rPr>
            </w:pPr>
          </w:p>
        </w:tc>
        <w:tc>
          <w:tcPr>
            <w:tcW w:w="7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7,030,000</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6,462,167</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4,497,794</w:t>
            </w:r>
          </w:p>
        </w:tc>
        <w:tc>
          <w:tcPr>
            <w:tcW w:w="0" w:type="dxa"/>
            <w:vAlign w:val="bottom"/>
          </w:tcPr>
          <w:p>
            <w:pPr>
              <w:spacing w:after="0"/>
              <w:rPr>
                <w:sz w:val="1"/>
                <w:szCs w:val="1"/>
                <w:color w:val="auto"/>
              </w:rPr>
            </w:pPr>
          </w:p>
        </w:tc>
      </w:tr>
      <w:tr>
        <w:trPr>
          <w:trHeight w:val="174"/>
        </w:trPr>
        <w:tc>
          <w:tcPr>
            <w:tcW w:w="3380" w:type="dxa"/>
            <w:vAlign w:val="bottom"/>
            <w:gridSpan w:val="4"/>
          </w:tcPr>
          <w:p>
            <w:pPr>
              <w:ind w:left="340"/>
              <w:spacing w:after="0"/>
              <w:rPr>
                <w:sz w:val="20"/>
                <w:szCs w:val="20"/>
                <w:color w:val="auto"/>
              </w:rPr>
            </w:pPr>
            <w:r>
              <w:rPr>
                <w:rFonts w:ascii="Times New Roman" w:cs="Times New Roman" w:eastAsia="Times New Roman" w:hAnsi="Times New Roman"/>
                <w:sz w:val="13"/>
                <w:szCs w:val="13"/>
                <w:color w:val="auto"/>
              </w:rPr>
              <w:t>6.25%, due January 15, 2030)</w:t>
            </w: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3380" w:type="dxa"/>
            <w:vAlign w:val="bottom"/>
            <w:gridSpan w:val="4"/>
          </w:tcPr>
          <w:p>
            <w:pPr>
              <w:ind w:left="180"/>
              <w:spacing w:after="0"/>
              <w:rPr>
                <w:sz w:val="20"/>
                <w:szCs w:val="20"/>
                <w:color w:val="auto"/>
              </w:rPr>
            </w:pPr>
            <w:r>
              <w:rPr>
                <w:rFonts w:ascii="Times New Roman" w:cs="Times New Roman" w:eastAsia="Times New Roman" w:hAnsi="Times New Roman"/>
                <w:sz w:val="13"/>
                <w:szCs w:val="13"/>
                <w:b w:val="1"/>
                <w:bCs w:val="1"/>
                <w:color w:val="auto"/>
              </w:rPr>
              <w:t>OFSI BSL VIII, Ltd.</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380" w:type="dxa"/>
            <w:vAlign w:val="bottom"/>
            <w:gridSpan w:val="4"/>
          </w:tcPr>
          <w:p>
            <w:pPr>
              <w:ind w:left="180"/>
              <w:spacing w:after="0" w:line="181" w:lineRule="exact"/>
              <w:rPr>
                <w:sz w:val="20"/>
                <w:szCs w:val="20"/>
                <w:color w:val="auto"/>
              </w:rPr>
            </w:pPr>
            <w:r>
              <w:rPr>
                <w:rFonts w:ascii="Times New Roman" w:cs="Times New Roman" w:eastAsia="Times New Roman" w:hAnsi="Times New Roman"/>
                <w:sz w:val="13"/>
                <w:szCs w:val="13"/>
                <w:color w:val="auto"/>
              </w:rPr>
              <w:t>CLO secured notes – Class E</w:t>
            </w:r>
            <w:r>
              <w:rPr>
                <w:rFonts w:ascii="Times New Roman" w:cs="Times New Roman" w:eastAsia="Times New Roman" w:hAnsi="Times New Roman"/>
                <w:sz w:val="20"/>
                <w:szCs w:val="20"/>
                <w:color w:val="auto"/>
                <w:vertAlign w:val="superscript"/>
              </w:rPr>
              <w:t>(3)(6)</w:t>
            </w:r>
            <w:r>
              <w:rPr>
                <w:rFonts w:ascii="Times New Roman" w:cs="Times New Roman" w:eastAsia="Times New Roman" w:hAnsi="Times New Roman"/>
                <w:sz w:val="13"/>
                <w:szCs w:val="13"/>
                <w:color w:val="auto"/>
              </w:rPr>
              <w:t>, 9.13% (LIBOR +</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07/12/2022</w:t>
            </w:r>
          </w:p>
        </w:tc>
        <w:tc>
          <w:tcPr>
            <w:tcW w:w="100" w:type="dxa"/>
            <w:vAlign w:val="bottom"/>
          </w:tcPr>
          <w:p>
            <w:pPr>
              <w:spacing w:after="0"/>
              <w:rPr>
                <w:sz w:val="15"/>
                <w:szCs w:val="15"/>
                <w:color w:val="auto"/>
              </w:rPr>
            </w:pPr>
          </w:p>
        </w:tc>
        <w:tc>
          <w:tcPr>
            <w:tcW w:w="7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4,000,000</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2,952,942</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2,883,200</w:t>
            </w:r>
          </w:p>
        </w:tc>
        <w:tc>
          <w:tcPr>
            <w:tcW w:w="0" w:type="dxa"/>
            <w:vAlign w:val="bottom"/>
          </w:tcPr>
          <w:p>
            <w:pPr>
              <w:spacing w:after="0"/>
              <w:rPr>
                <w:sz w:val="1"/>
                <w:szCs w:val="1"/>
                <w:color w:val="auto"/>
              </w:rPr>
            </w:pPr>
          </w:p>
        </w:tc>
      </w:tr>
      <w:tr>
        <w:trPr>
          <w:trHeight w:val="174"/>
        </w:trPr>
        <w:tc>
          <w:tcPr>
            <w:tcW w:w="3380" w:type="dxa"/>
            <w:vAlign w:val="bottom"/>
            <w:gridSpan w:val="4"/>
          </w:tcPr>
          <w:p>
            <w:pPr>
              <w:ind w:left="340"/>
              <w:spacing w:after="0"/>
              <w:rPr>
                <w:sz w:val="20"/>
                <w:szCs w:val="20"/>
                <w:color w:val="auto"/>
              </w:rPr>
            </w:pPr>
            <w:r>
              <w:rPr>
                <w:rFonts w:ascii="Times New Roman" w:cs="Times New Roman" w:eastAsia="Times New Roman" w:hAnsi="Times New Roman"/>
                <w:sz w:val="13"/>
                <w:szCs w:val="13"/>
                <w:color w:val="auto"/>
              </w:rPr>
              <w:t>6.39%, due August 16, 2029)</w:t>
            </w: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3380" w:type="dxa"/>
            <w:vAlign w:val="bottom"/>
            <w:gridSpan w:val="4"/>
          </w:tcPr>
          <w:p>
            <w:pPr>
              <w:ind w:left="180"/>
              <w:spacing w:after="0"/>
              <w:rPr>
                <w:sz w:val="20"/>
                <w:szCs w:val="20"/>
                <w:color w:val="auto"/>
              </w:rPr>
            </w:pPr>
            <w:r>
              <w:rPr>
                <w:rFonts w:ascii="Times New Roman" w:cs="Times New Roman" w:eastAsia="Times New Roman" w:hAnsi="Times New Roman"/>
                <w:sz w:val="13"/>
                <w:szCs w:val="13"/>
                <w:b w:val="1"/>
                <w:bCs w:val="1"/>
                <w:color w:val="auto"/>
              </w:rPr>
              <w:t>Rockford Tower CLO 2022-1, Ltd.</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380" w:type="dxa"/>
            <w:vAlign w:val="bottom"/>
            <w:gridSpan w:val="4"/>
          </w:tcPr>
          <w:p>
            <w:pPr>
              <w:ind w:left="180"/>
              <w:spacing w:after="0" w:line="181" w:lineRule="exact"/>
              <w:rPr>
                <w:sz w:val="20"/>
                <w:szCs w:val="20"/>
                <w:color w:val="auto"/>
              </w:rPr>
            </w:pPr>
            <w:r>
              <w:rPr>
                <w:rFonts w:ascii="Times New Roman" w:cs="Times New Roman" w:eastAsia="Times New Roman" w:hAnsi="Times New Roman"/>
                <w:sz w:val="13"/>
                <w:szCs w:val="13"/>
                <w:color w:val="auto"/>
              </w:rPr>
              <w:t>CLO secured notes – Class E</w:t>
            </w:r>
            <w:r>
              <w:rPr>
                <w:rFonts w:ascii="Times New Roman" w:cs="Times New Roman" w:eastAsia="Times New Roman" w:hAnsi="Times New Roman"/>
                <w:sz w:val="20"/>
                <w:szCs w:val="20"/>
                <w:color w:val="auto"/>
                <w:vertAlign w:val="superscript"/>
              </w:rPr>
              <w:t>(3)(9)(17)</w:t>
            </w:r>
            <w:r>
              <w:rPr>
                <w:rFonts w:ascii="Times New Roman" w:cs="Times New Roman" w:eastAsia="Times New Roman" w:hAnsi="Times New Roman"/>
                <w:sz w:val="13"/>
                <w:szCs w:val="13"/>
                <w:color w:val="auto"/>
              </w:rPr>
              <w:t>, 8.46% (SOFR +</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05/06/2022</w:t>
            </w:r>
          </w:p>
        </w:tc>
        <w:tc>
          <w:tcPr>
            <w:tcW w:w="100" w:type="dxa"/>
            <w:vAlign w:val="bottom"/>
          </w:tcPr>
          <w:p>
            <w:pPr>
              <w:spacing w:after="0"/>
              <w:rPr>
                <w:sz w:val="15"/>
                <w:szCs w:val="15"/>
                <w:color w:val="auto"/>
              </w:rPr>
            </w:pPr>
          </w:p>
        </w:tc>
        <w:tc>
          <w:tcPr>
            <w:tcW w:w="7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3,750,000</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3,713,499</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3,231,750</w:t>
            </w:r>
          </w:p>
        </w:tc>
        <w:tc>
          <w:tcPr>
            <w:tcW w:w="0" w:type="dxa"/>
            <w:vAlign w:val="bottom"/>
          </w:tcPr>
          <w:p>
            <w:pPr>
              <w:spacing w:after="0"/>
              <w:rPr>
                <w:sz w:val="1"/>
                <w:szCs w:val="1"/>
                <w:color w:val="auto"/>
              </w:rPr>
            </w:pPr>
          </w:p>
        </w:tc>
      </w:tr>
      <w:tr>
        <w:trPr>
          <w:trHeight w:val="174"/>
        </w:trPr>
        <w:tc>
          <w:tcPr>
            <w:tcW w:w="3380" w:type="dxa"/>
            <w:vAlign w:val="bottom"/>
            <w:gridSpan w:val="4"/>
          </w:tcPr>
          <w:p>
            <w:pPr>
              <w:ind w:left="340"/>
              <w:spacing w:after="0"/>
              <w:rPr>
                <w:sz w:val="20"/>
                <w:szCs w:val="20"/>
                <w:color w:val="auto"/>
              </w:rPr>
            </w:pPr>
            <w:r>
              <w:rPr>
                <w:rFonts w:ascii="Times New Roman" w:cs="Times New Roman" w:eastAsia="Times New Roman" w:hAnsi="Times New Roman"/>
                <w:sz w:val="13"/>
                <w:szCs w:val="13"/>
                <w:color w:val="auto"/>
              </w:rPr>
              <w:t>7.34%, due July 20, 2035)</w:t>
            </w: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-7133590</wp:posOffset>
            </wp:positionV>
            <wp:extent cx="4824730" cy="168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-6739255</wp:posOffset>
            </wp:positionV>
            <wp:extent cx="4824730" cy="168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-6401435</wp:posOffset>
            </wp:positionV>
            <wp:extent cx="4824730" cy="2254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824730" cy="225425"/>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-6007735</wp:posOffset>
            </wp:positionV>
            <wp:extent cx="4824730" cy="168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-5613400</wp:posOffset>
            </wp:positionV>
            <wp:extent cx="4824730" cy="168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-5275580</wp:posOffset>
            </wp:positionV>
            <wp:extent cx="4824730" cy="2254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824730" cy="225425"/>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-4881880</wp:posOffset>
            </wp:positionV>
            <wp:extent cx="4824730" cy="168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-4487545</wp:posOffset>
            </wp:positionV>
            <wp:extent cx="4824730" cy="168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-4149725</wp:posOffset>
            </wp:positionV>
            <wp:extent cx="4824730" cy="2254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824730" cy="225425"/>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-3756025</wp:posOffset>
            </wp:positionV>
            <wp:extent cx="4824730" cy="168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-3361690</wp:posOffset>
            </wp:positionV>
            <wp:extent cx="4824730" cy="168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-3024505</wp:posOffset>
            </wp:positionV>
            <wp:extent cx="4824730" cy="2254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824730" cy="225425"/>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-2630170</wp:posOffset>
            </wp:positionV>
            <wp:extent cx="4824730" cy="168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-2236470</wp:posOffset>
            </wp:positionV>
            <wp:extent cx="4824730" cy="168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-1898650</wp:posOffset>
            </wp:positionV>
            <wp:extent cx="4824730" cy="2254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824730" cy="225425"/>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-1504315</wp:posOffset>
            </wp:positionV>
            <wp:extent cx="4824730" cy="168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-1110615</wp:posOffset>
            </wp:positionV>
            <wp:extent cx="4824730" cy="168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-772795</wp:posOffset>
            </wp:positionV>
            <wp:extent cx="4824730" cy="2254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824730" cy="225425"/>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-378460</wp:posOffset>
            </wp:positionV>
            <wp:extent cx="4824730" cy="168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-7479030</wp:posOffset>
            </wp:positionV>
            <wp:extent cx="4824730" cy="1771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824730" cy="177165"/>
                    </a:xfrm>
                    <a:prstGeom prst="rect">
                      <a:avLst/>
                    </a:prstGeom>
                    <a:noFill/>
                  </pic:spPr>
                </pic:pic>
              </a:graphicData>
            </a:graphic>
          </wp:anchor>
        </w:drawing>
      </w:r>
    </w:p>
    <w:p>
      <w:pPr>
        <w:spacing w:after="0" w:line="16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i w:val="1"/>
          <w:iCs w:val="1"/>
          <w:color w:val="auto"/>
        </w:rPr>
        <w:t>(Continued on next page)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left="100" w:right="899" w:hanging="44"/>
        <w:spacing w:after="0" w:line="309" w:lineRule="auto"/>
        <w:tabs>
          <w:tab w:leader="none" w:pos="213" w:val="left"/>
        </w:tabs>
        <w:numPr>
          <w:ilvl w:val="0"/>
          <w:numId w:val="7"/>
        </w:numPr>
        <w:rPr>
          <w:rFonts w:ascii="Times New Roman" w:cs="Times New Roman" w:eastAsia="Times New Roman" w:hAnsi="Times New Roman"/>
          <w:sz w:val="9"/>
          <w:szCs w:val="9"/>
          <w:b w:val="1"/>
          <w:bCs w:val="1"/>
          <w:color w:val="auto"/>
        </w:rPr>
      </w:pPr>
      <w:r>
        <w:rPr>
          <w:rFonts w:ascii="Times New Roman" w:cs="Times New Roman" w:eastAsia="Times New Roman" w:hAnsi="Times New Roman"/>
          <w:sz w:val="9"/>
          <w:szCs w:val="9"/>
          <w:b w:val="1"/>
          <w:bCs w:val="1"/>
          <w:color w:val="auto"/>
        </w:rPr>
        <w:t>OF NET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ASSETS</w:t>
      </w:r>
    </w:p>
    <w:p>
      <w:pPr>
        <w:spacing w:after="0" w:line="12397" w:lineRule="exact"/>
        <w:rPr>
          <w:sz w:val="20"/>
          <w:szCs w:val="20"/>
          <w:color w:val="auto"/>
        </w:rPr>
      </w:pPr>
    </w:p>
    <w:p>
      <w:pPr>
        <w:sectPr>
          <w:pgSz w:w="11900" w:h="16838" w:orient="portrait"/>
          <w:cols w:equalWidth="0" w:num="2">
            <w:col w:w="7580" w:space="180"/>
            <w:col w:w="1259"/>
          </w:cols>
          <w:pgMar w:left="1440" w:top="262" w:right="1440" w:bottom="719"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Accompanying Notes.</w:t>
      </w:r>
    </w:p>
    <w:p>
      <w:pPr>
        <w:sectPr>
          <w:pgSz w:w="11900" w:h="16838" w:orient="portrait"/>
          <w:cols w:equalWidth="0" w:num="1">
            <w:col w:w="9019"/>
          </w:cols>
          <w:pgMar w:left="1440" w:top="262" w:right="1440" w:bottom="719" w:gutter="0" w:footer="0" w:header="0"/>
          <w:type w:val="continuous"/>
        </w:sectPr>
      </w:pP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22225</wp:posOffset>
            </wp:positionV>
            <wp:extent cx="482473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824730" cy="8255"/>
                    </a:xfrm>
                    <a:prstGeom prst="rect">
                      <a:avLst/>
                    </a:prstGeom>
                    <a:noFill/>
                  </pic:spPr>
                </pic:pic>
              </a:graphicData>
            </a:graphic>
          </wp:anchor>
        </w:drawing>
      </w:r>
    </w:p>
    <w:p>
      <w:pPr>
        <w:sectPr>
          <w:pgSz w:w="11900" w:h="16838" w:orient="portrait"/>
          <w:cols w:equalWidth="0" w:num="1">
            <w:col w:w="9019"/>
          </w:cols>
          <w:pgMar w:left="1440" w:top="262" w:right="1440" w:bottom="719" w:gutter="0" w:footer="0" w:header="0"/>
          <w:type w:val="continuous"/>
        </w:sectPr>
      </w:pPr>
    </w:p>
    <w:bookmarkStart w:id="15" w:name="page16"/>
    <w:bookmarkEnd w:id="15"/>
    <w:p>
      <w:pPr>
        <w:ind w:left="7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30"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146"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7"/>
          <w:szCs w:val="17"/>
          <w:b w:val="1"/>
          <w:bCs w:val="1"/>
          <w:color w:val="auto"/>
        </w:rPr>
        <w:t>SCHEDULE OF INVESTMENTS – (continued)</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SEPTEMBER 30, 2022</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43" w:lineRule="exact"/>
        <w:rPr>
          <w:sz w:val="20"/>
          <w:szCs w:val="20"/>
          <w:color w:val="auto"/>
        </w:rPr>
      </w:pPr>
    </w:p>
    <w:tbl>
      <w:tblPr>
        <w:tblLayout w:type="fixed"/>
        <w:tblInd w:w="700" w:type="dxa"/>
        <w:tblCellMar>
          <w:top w:w="0" w:type="dxa"/>
          <w:left w:w="0" w:type="dxa"/>
          <w:bottom w:w="0" w:type="dxa"/>
          <w:right w:w="0" w:type="dxa"/>
        </w:tblCellMar>
      </w:tblPr>
      <w:tr>
        <w:trPr>
          <w:trHeight w:val="138"/>
        </w:trPr>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ACQUISITION</w:t>
            </w:r>
          </w:p>
        </w:tc>
        <w:tc>
          <w:tcPr>
            <w:tcW w:w="80" w:type="dxa"/>
            <w:vAlign w:val="bottom"/>
          </w:tcPr>
          <w:p>
            <w:pPr>
              <w:spacing w:after="0"/>
              <w:rPr>
                <w:sz w:val="12"/>
                <w:szCs w:val="12"/>
                <w:color w:val="auto"/>
              </w:rPr>
            </w:pPr>
          </w:p>
        </w:tc>
        <w:tc>
          <w:tcPr>
            <w:tcW w:w="820" w:type="dxa"/>
            <w:vAlign w:val="bottom"/>
            <w:gridSpan w:val="3"/>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5"/>
              </w:rPr>
              <w:t>PRINCIPAL</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FAIR</w:t>
            </w:r>
          </w:p>
        </w:tc>
        <w:tc>
          <w:tcPr>
            <w:tcW w:w="60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 OF</w:t>
            </w:r>
          </w:p>
        </w:tc>
        <w:tc>
          <w:tcPr>
            <w:tcW w:w="0" w:type="dxa"/>
            <w:vAlign w:val="bottom"/>
          </w:tcPr>
          <w:p>
            <w:pPr>
              <w:spacing w:after="0"/>
              <w:rPr>
                <w:sz w:val="1"/>
                <w:szCs w:val="1"/>
                <w:color w:val="auto"/>
              </w:rPr>
            </w:pPr>
          </w:p>
        </w:tc>
      </w:tr>
      <w:tr>
        <w:trPr>
          <w:trHeight w:val="119"/>
        </w:trPr>
        <w:tc>
          <w:tcPr>
            <w:tcW w:w="3360" w:type="dxa"/>
            <w:vAlign w:val="bottom"/>
            <w:gridSpan w:val="6"/>
            <w:vMerge w:val="restart"/>
          </w:tcPr>
          <w:p>
            <w:pPr>
              <w:spacing w:after="0"/>
              <w:rPr>
                <w:sz w:val="20"/>
                <w:szCs w:val="20"/>
                <w:color w:val="auto"/>
              </w:rPr>
            </w:pPr>
            <w:r>
              <w:rPr>
                <w:rFonts w:ascii="Times New Roman" w:cs="Times New Roman" w:eastAsia="Times New Roman" w:hAnsi="Times New Roman"/>
                <w:sz w:val="12"/>
                <w:szCs w:val="12"/>
                <w:b w:val="1"/>
                <w:bCs w:val="1"/>
                <w:color w:val="auto"/>
              </w:rPr>
              <w:t>COMPANY/INVESTMENT</w:t>
            </w:r>
            <w:r>
              <w:rPr>
                <w:rFonts w:ascii="Times New Roman" w:cs="Times New Roman" w:eastAsia="Times New Roman" w:hAnsi="Times New Roman"/>
                <w:sz w:val="13"/>
                <w:szCs w:val="13"/>
                <w:b w:val="1"/>
                <w:bCs w:val="1"/>
                <w:color w:val="auto"/>
                <w:vertAlign w:val="superscript"/>
              </w:rPr>
              <w:t>(1)(13)(14)</w:t>
            </w: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center"/>
              <w:ind w:right="180"/>
              <w:spacing w:after="0" w:line="120" w:lineRule="exact"/>
              <w:rPr>
                <w:sz w:val="20"/>
                <w:szCs w:val="20"/>
                <w:color w:val="auto"/>
              </w:rPr>
            </w:pPr>
            <w:r>
              <w:rPr>
                <w:rFonts w:ascii="Times New Roman" w:cs="Times New Roman" w:eastAsia="Times New Roman" w:hAnsi="Times New Roman"/>
                <w:sz w:val="12"/>
                <w:szCs w:val="12"/>
                <w:b w:val="1"/>
                <w:bCs w:val="1"/>
                <w:color w:val="auto"/>
                <w:w w:val="96"/>
              </w:rPr>
              <w:t>AMOUNT/</w:t>
            </w: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600" w:type="dxa"/>
            <w:vAlign w:val="bottom"/>
            <w:gridSpan w:val="2"/>
          </w:tcPr>
          <w:p>
            <w:pPr>
              <w:jc w:val="center"/>
              <w:ind w:right="40"/>
              <w:spacing w:after="0" w:line="120" w:lineRule="exact"/>
              <w:rPr>
                <w:sz w:val="20"/>
                <w:szCs w:val="20"/>
                <w:color w:val="auto"/>
              </w:rPr>
            </w:pPr>
            <w:r>
              <w:rPr>
                <w:rFonts w:ascii="Times New Roman" w:cs="Times New Roman" w:eastAsia="Times New Roman" w:hAnsi="Times New Roman"/>
                <w:sz w:val="12"/>
                <w:szCs w:val="12"/>
                <w:b w:val="1"/>
                <w:bCs w:val="1"/>
                <w:color w:val="auto"/>
                <w:w w:val="97"/>
              </w:rPr>
              <w:t>NET</w:t>
            </w:r>
          </w:p>
        </w:tc>
        <w:tc>
          <w:tcPr>
            <w:tcW w:w="0" w:type="dxa"/>
            <w:vAlign w:val="bottom"/>
          </w:tcPr>
          <w:p>
            <w:pPr>
              <w:spacing w:after="0"/>
              <w:rPr>
                <w:sz w:val="1"/>
                <w:szCs w:val="1"/>
                <w:color w:val="auto"/>
              </w:rPr>
            </w:pPr>
          </w:p>
        </w:tc>
      </w:tr>
      <w:tr>
        <w:trPr>
          <w:trHeight w:val="190"/>
        </w:trPr>
        <w:tc>
          <w:tcPr>
            <w:tcW w:w="3360" w:type="dxa"/>
            <w:vAlign w:val="bottom"/>
            <w:gridSpan w:val="6"/>
            <w:vMerge w:val="continue"/>
          </w:tcPr>
          <w:p>
            <w:pPr>
              <w:spacing w:after="0"/>
              <w:rPr>
                <w:sz w:val="16"/>
                <w:szCs w:val="16"/>
                <w:color w:val="auto"/>
              </w:rPr>
            </w:pPr>
          </w:p>
        </w:tc>
        <w:tc>
          <w:tcPr>
            <w:tcW w:w="820" w:type="dxa"/>
            <w:vAlign w:val="bottom"/>
          </w:tcPr>
          <w:p>
            <w:pPr>
              <w:jc w:val="center"/>
              <w:spacing w:after="0" w:line="190" w:lineRule="exact"/>
              <w:rPr>
                <w:sz w:val="20"/>
                <w:szCs w:val="20"/>
                <w:color w:val="auto"/>
              </w:rPr>
            </w:pPr>
            <w:r>
              <w:rPr>
                <w:rFonts w:ascii="Times New Roman" w:cs="Times New Roman" w:eastAsia="Times New Roman" w:hAnsi="Times New Roman"/>
                <w:sz w:val="22"/>
                <w:szCs w:val="22"/>
                <w:b w:val="1"/>
                <w:bCs w:val="1"/>
                <w:color w:val="auto"/>
                <w:w w:val="80"/>
                <w:vertAlign w:val="subscript"/>
              </w:rPr>
              <w:t>DATE</w:t>
            </w:r>
            <w:r>
              <w:rPr>
                <w:rFonts w:ascii="Times New Roman" w:cs="Times New Roman" w:eastAsia="Times New Roman" w:hAnsi="Times New Roman"/>
                <w:sz w:val="7"/>
                <w:szCs w:val="7"/>
                <w:b w:val="1"/>
                <w:bCs w:val="1"/>
                <w:color w:val="auto"/>
                <w:w w:val="80"/>
              </w:rPr>
              <w:t>(15)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SHARES</w:t>
            </w:r>
          </w:p>
        </w:tc>
        <w:tc>
          <w:tcPr>
            <w:tcW w:w="160" w:type="dxa"/>
            <w:vAlign w:val="bottom"/>
          </w:tcPr>
          <w:p>
            <w:pPr>
              <w:spacing w:after="0"/>
              <w:rPr>
                <w:sz w:val="16"/>
                <w:szCs w:val="16"/>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COST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w w:val="99"/>
              </w:rPr>
              <w:t>VALUE</w:t>
            </w:r>
            <w:r>
              <w:rPr>
                <w:rFonts w:ascii="Times New Roman" w:cs="Times New Roman" w:eastAsia="Times New Roman" w:hAnsi="Times New Roman"/>
                <w:sz w:val="13"/>
                <w:szCs w:val="13"/>
                <w:b w:val="1"/>
                <w:bCs w:val="1"/>
                <w:color w:val="auto"/>
                <w:w w:val="99"/>
                <w:vertAlign w:val="superscript"/>
              </w:rPr>
              <w:t>(2)</w:t>
            </w: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ASSETS</w:t>
            </w:r>
          </w:p>
        </w:tc>
        <w:tc>
          <w:tcPr>
            <w:tcW w:w="0" w:type="dxa"/>
            <w:vAlign w:val="bottom"/>
          </w:tcPr>
          <w:p>
            <w:pPr>
              <w:spacing w:after="0"/>
              <w:rPr>
                <w:sz w:val="1"/>
                <w:szCs w:val="1"/>
                <w:color w:val="auto"/>
              </w:rPr>
            </w:pPr>
          </w:p>
        </w:tc>
      </w:tr>
      <w:tr>
        <w:trPr>
          <w:trHeight w:val="119"/>
        </w:trPr>
        <w:tc>
          <w:tcPr>
            <w:tcW w:w="3280" w:type="dxa"/>
            <w:vAlign w:val="bottom"/>
            <w:tcBorders>
              <w:top w:val="single" w:sz="8" w:color="auto"/>
            </w:tcBorders>
            <w:gridSpan w:val="5"/>
            <w:shd w:val="clear" w:color="auto" w:fill="CCEEFF"/>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Collateralized Loan Obligation – Debt Investments</w:t>
            </w:r>
          </w:p>
        </w:tc>
        <w:tc>
          <w:tcPr>
            <w:tcW w:w="8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940" w:type="dxa"/>
            <w:vAlign w:val="bottom"/>
            <w:tcBorders>
              <w:top w:val="single" w:sz="8" w:color="auto"/>
            </w:tcBorders>
            <w:gridSpan w:val="3"/>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(continued)</w:t>
            </w:r>
          </w:p>
        </w:tc>
        <w:tc>
          <w:tcPr>
            <w:tcW w:w="12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CCEEFF"/>
            </w:tcBorders>
            <w:gridSpan w:val="2"/>
            <w:shd w:val="clear" w:color="auto" w:fill="CCEEFF"/>
          </w:tcPr>
          <w:p>
            <w:pPr>
              <w:spacing w:after="0"/>
              <w:rPr>
                <w:sz w:val="14"/>
                <w:szCs w:val="14"/>
                <w:color w:val="auto"/>
              </w:rPr>
            </w:pPr>
          </w:p>
        </w:tc>
        <w:tc>
          <w:tcPr>
            <w:tcW w:w="8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360" w:type="dxa"/>
            <w:vAlign w:val="bottom"/>
            <w:gridSpan w:val="6"/>
          </w:tcPr>
          <w:p>
            <w:pPr>
              <w:spacing w:after="0"/>
              <w:rPr>
                <w:sz w:val="20"/>
                <w:szCs w:val="20"/>
                <w:color w:val="auto"/>
              </w:rPr>
            </w:pPr>
            <w:r>
              <w:rPr>
                <w:rFonts w:ascii="Times New Roman" w:cs="Times New Roman" w:eastAsia="Times New Roman" w:hAnsi="Times New Roman"/>
                <w:sz w:val="13"/>
                <w:szCs w:val="13"/>
                <w:b w:val="1"/>
                <w:bCs w:val="1"/>
                <w:color w:val="auto"/>
              </w:rPr>
              <w:t>Structured Finance – Debt Investments (continued)</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22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3360" w:type="dxa"/>
            <w:vAlign w:val="bottom"/>
            <w:tcBorders>
              <w:bottom w:val="single" w:sz="8" w:color="CCEEFF"/>
            </w:tcBorders>
            <w:gridSpan w:val="6"/>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Shackleton 2015-VII-R CLO, Ltd.</w:t>
            </w: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7"/>
        </w:trPr>
        <w:tc>
          <w:tcPr>
            <w:tcW w:w="3360" w:type="dxa"/>
            <w:vAlign w:val="bottom"/>
            <w:gridSpan w:val="6"/>
          </w:tcPr>
          <w:p>
            <w:pPr>
              <w:ind w:left="180"/>
              <w:spacing w:after="0" w:line="157" w:lineRule="exact"/>
              <w:rPr>
                <w:sz w:val="20"/>
                <w:szCs w:val="20"/>
                <w:color w:val="auto"/>
              </w:rPr>
            </w:pPr>
            <w:r>
              <w:rPr>
                <w:rFonts w:ascii="Times New Roman" w:cs="Times New Roman" w:eastAsia="Times New Roman" w:hAnsi="Times New Roman"/>
                <w:sz w:val="12"/>
                <w:szCs w:val="12"/>
                <w:color w:val="auto"/>
              </w:rPr>
              <w:t>CLO secured notes – Class E</w:t>
            </w:r>
            <w:r>
              <w:rPr>
                <w:rFonts w:ascii="Times New Roman" w:cs="Times New Roman" w:eastAsia="Times New Roman" w:hAnsi="Times New Roman"/>
                <w:sz w:val="18"/>
                <w:szCs w:val="18"/>
                <w:color w:val="auto"/>
                <w:vertAlign w:val="superscript"/>
              </w:rPr>
              <w:t>(3)(6)</w:t>
            </w:r>
            <w:r>
              <w:rPr>
                <w:rFonts w:ascii="Times New Roman" w:cs="Times New Roman" w:eastAsia="Times New Roman" w:hAnsi="Times New Roman"/>
                <w:sz w:val="12"/>
                <w:szCs w:val="12"/>
                <w:color w:val="auto"/>
              </w:rPr>
              <w:t>, 8.71% (LIBOR +</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07/21/2022</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1,000,000</w:t>
            </w:r>
          </w:p>
        </w:tc>
        <w:tc>
          <w:tcPr>
            <w:tcW w:w="160" w:type="dxa"/>
            <w:vAlign w:val="bottom"/>
            <w:vMerge w:val="restart"/>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740,989</w:t>
            </w:r>
          </w:p>
        </w:tc>
        <w:tc>
          <w:tcPr>
            <w:tcW w:w="1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692,600</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360" w:type="dxa"/>
            <w:vAlign w:val="bottom"/>
            <w:gridSpan w:val="6"/>
          </w:tcPr>
          <w:p>
            <w:pPr>
              <w:ind w:left="340"/>
              <w:spacing w:after="0"/>
              <w:rPr>
                <w:sz w:val="20"/>
                <w:szCs w:val="20"/>
                <w:color w:val="auto"/>
              </w:rPr>
            </w:pPr>
            <w:r>
              <w:rPr>
                <w:rFonts w:ascii="Times New Roman" w:cs="Times New Roman" w:eastAsia="Times New Roman" w:hAnsi="Times New Roman"/>
                <w:sz w:val="13"/>
                <w:szCs w:val="13"/>
                <w:color w:val="auto"/>
              </w:rPr>
              <w:t>6.20%, due July 15, 2031)</w:t>
            </w:r>
          </w:p>
        </w:tc>
        <w:tc>
          <w:tcPr>
            <w:tcW w:w="820" w:type="dxa"/>
            <w:vAlign w:val="bottom"/>
            <w:vMerge w:val="continue"/>
          </w:tcPr>
          <w:p>
            <w:pPr>
              <w:spacing w:after="0"/>
              <w:rPr>
                <w:sz w:val="15"/>
                <w:szCs w:val="15"/>
                <w:color w:val="auto"/>
              </w:rPr>
            </w:pPr>
          </w:p>
        </w:tc>
        <w:tc>
          <w:tcPr>
            <w:tcW w:w="160" w:type="dxa"/>
            <w:vAlign w:val="bottom"/>
            <w:gridSpan w:val="2"/>
            <w:vMerge w:val="continue"/>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6"/>
        </w:trPr>
        <w:tc>
          <w:tcPr>
            <w:tcW w:w="2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gridSpan w:val="6"/>
          </w:tcPr>
          <w:p>
            <w:pPr>
              <w:ind w:left="180"/>
              <w:spacing w:after="0"/>
              <w:rPr>
                <w:sz w:val="20"/>
                <w:szCs w:val="20"/>
                <w:color w:val="auto"/>
              </w:rPr>
            </w:pPr>
            <w:r>
              <w:rPr>
                <w:rFonts w:ascii="Times New Roman" w:cs="Times New Roman" w:eastAsia="Times New Roman" w:hAnsi="Times New Roman"/>
                <w:sz w:val="13"/>
                <w:szCs w:val="13"/>
                <w:b w:val="1"/>
                <w:bCs w:val="1"/>
                <w:color w:val="auto"/>
              </w:rPr>
              <w:t>Sound Point CLO V-R, Ltd.</w:t>
            </w: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360" w:type="dxa"/>
            <w:vAlign w:val="bottom"/>
            <w:gridSpan w:val="6"/>
            <w:shd w:val="clear" w:color="auto" w:fill="CCEEFF"/>
          </w:tcPr>
          <w:p>
            <w:pPr>
              <w:ind w:left="180"/>
              <w:spacing w:after="0" w:line="157" w:lineRule="exact"/>
              <w:rPr>
                <w:sz w:val="20"/>
                <w:szCs w:val="20"/>
                <w:color w:val="auto"/>
              </w:rPr>
            </w:pPr>
            <w:r>
              <w:rPr>
                <w:rFonts w:ascii="Times New Roman" w:cs="Times New Roman" w:eastAsia="Times New Roman" w:hAnsi="Times New Roman"/>
                <w:sz w:val="12"/>
                <w:szCs w:val="12"/>
                <w:color w:val="auto"/>
              </w:rPr>
              <w:t>CLO secured notes – Class F</w:t>
            </w:r>
            <w:r>
              <w:rPr>
                <w:rFonts w:ascii="Times New Roman" w:cs="Times New Roman" w:eastAsia="Times New Roman" w:hAnsi="Times New Roman"/>
                <w:sz w:val="18"/>
                <w:szCs w:val="18"/>
                <w:color w:val="auto"/>
                <w:vertAlign w:val="superscript"/>
              </w:rPr>
              <w:t>(3)(6)</w:t>
            </w:r>
            <w:r>
              <w:rPr>
                <w:rFonts w:ascii="Times New Roman" w:cs="Times New Roman" w:eastAsia="Times New Roman" w:hAnsi="Times New Roman"/>
                <w:sz w:val="12"/>
                <w:szCs w:val="12"/>
                <w:color w:val="auto"/>
              </w:rPr>
              <w:t>, 10.84% (LIBOR +</w:t>
            </w:r>
          </w:p>
        </w:tc>
        <w:tc>
          <w:tcPr>
            <w:tcW w:w="8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05/25/2022</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1,250,000</w:t>
            </w:r>
          </w:p>
        </w:tc>
        <w:tc>
          <w:tcPr>
            <w:tcW w:w="16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781,042</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743,000</w:t>
            </w: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3360" w:type="dxa"/>
            <w:vAlign w:val="bottom"/>
            <w:tcBorders>
              <w:bottom w:val="single" w:sz="8" w:color="CCEEFF"/>
            </w:tcBorders>
            <w:gridSpan w:val="6"/>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8.10%, due July 18, 2031)</w:t>
            </w:r>
          </w:p>
        </w:tc>
        <w:tc>
          <w:tcPr>
            <w:tcW w:w="82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vMerge w:val="continue"/>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vMerge w:val="continue"/>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2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6"/>
        </w:trPr>
        <w:tc>
          <w:tcPr>
            <w:tcW w:w="3360" w:type="dxa"/>
            <w:vAlign w:val="bottom"/>
            <w:tcBorders>
              <w:bottom w:val="single" w:sz="8" w:color="CCEEFF"/>
            </w:tcBorders>
            <w:gridSpan w:val="6"/>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Venture XXI CLO, Limited</w:t>
            </w: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7"/>
        </w:trPr>
        <w:tc>
          <w:tcPr>
            <w:tcW w:w="3360" w:type="dxa"/>
            <w:vAlign w:val="bottom"/>
            <w:gridSpan w:val="6"/>
          </w:tcPr>
          <w:p>
            <w:pPr>
              <w:ind w:left="180"/>
              <w:spacing w:after="0" w:line="157" w:lineRule="exact"/>
              <w:rPr>
                <w:sz w:val="20"/>
                <w:szCs w:val="20"/>
                <w:color w:val="auto"/>
              </w:rPr>
            </w:pPr>
            <w:r>
              <w:rPr>
                <w:rFonts w:ascii="Times New Roman" w:cs="Times New Roman" w:eastAsia="Times New Roman" w:hAnsi="Times New Roman"/>
                <w:sz w:val="12"/>
                <w:szCs w:val="12"/>
                <w:color w:val="auto"/>
              </w:rPr>
              <w:t>CLO secured notes – Class F</w:t>
            </w:r>
            <w:r>
              <w:rPr>
                <w:rFonts w:ascii="Times New Roman" w:cs="Times New Roman" w:eastAsia="Times New Roman" w:hAnsi="Times New Roman"/>
                <w:sz w:val="18"/>
                <w:szCs w:val="18"/>
                <w:color w:val="auto"/>
                <w:vertAlign w:val="superscript"/>
              </w:rPr>
              <w:t>(3)(6)</w:t>
            </w:r>
            <w:r>
              <w:rPr>
                <w:rFonts w:ascii="Times New Roman" w:cs="Times New Roman" w:eastAsia="Times New Roman" w:hAnsi="Times New Roman"/>
                <w:sz w:val="12"/>
                <w:szCs w:val="12"/>
                <w:color w:val="auto"/>
              </w:rPr>
              <w:t>, 9.11% (LIBOR +</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07/28/2021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1,750,000</w:t>
            </w:r>
          </w:p>
        </w:tc>
        <w:tc>
          <w:tcPr>
            <w:tcW w:w="160" w:type="dxa"/>
            <w:vAlign w:val="bottom"/>
          </w:tcPr>
          <w:p>
            <w:pPr>
              <w:spacing w:after="0"/>
              <w:rPr>
                <w:sz w:val="13"/>
                <w:szCs w:val="13"/>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1,482,900</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1,186,500</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360" w:type="dxa"/>
            <w:vAlign w:val="bottom"/>
            <w:gridSpan w:val="6"/>
          </w:tcPr>
          <w:p>
            <w:pPr>
              <w:ind w:left="340"/>
              <w:spacing w:after="0"/>
              <w:rPr>
                <w:sz w:val="20"/>
                <w:szCs w:val="20"/>
                <w:color w:val="auto"/>
              </w:rPr>
            </w:pPr>
            <w:r>
              <w:rPr>
                <w:rFonts w:ascii="Times New Roman" w:cs="Times New Roman" w:eastAsia="Times New Roman" w:hAnsi="Times New Roman"/>
                <w:sz w:val="13"/>
                <w:szCs w:val="13"/>
                <w:color w:val="auto"/>
              </w:rPr>
              <w:t>6.60%, due July 15, 2027)</w:t>
            </w: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6"/>
        </w:trPr>
        <w:tc>
          <w:tcPr>
            <w:tcW w:w="2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gridSpan w:val="6"/>
          </w:tcPr>
          <w:p>
            <w:pPr>
              <w:ind w:left="180"/>
              <w:spacing w:after="0"/>
              <w:rPr>
                <w:sz w:val="20"/>
                <w:szCs w:val="20"/>
                <w:color w:val="auto"/>
              </w:rPr>
            </w:pPr>
            <w:r>
              <w:rPr>
                <w:rFonts w:ascii="Times New Roman" w:cs="Times New Roman" w:eastAsia="Times New Roman" w:hAnsi="Times New Roman"/>
                <w:sz w:val="13"/>
                <w:szCs w:val="13"/>
                <w:b w:val="1"/>
                <w:bCs w:val="1"/>
                <w:color w:val="auto"/>
              </w:rPr>
              <w:t>Venture XXV CLO, Limited</w:t>
            </w: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360" w:type="dxa"/>
            <w:vAlign w:val="bottom"/>
            <w:gridSpan w:val="6"/>
            <w:shd w:val="clear" w:color="auto" w:fill="CCEEFF"/>
          </w:tcPr>
          <w:p>
            <w:pPr>
              <w:ind w:left="180"/>
              <w:spacing w:after="0" w:line="157" w:lineRule="exact"/>
              <w:rPr>
                <w:sz w:val="20"/>
                <w:szCs w:val="20"/>
                <w:color w:val="auto"/>
              </w:rPr>
            </w:pPr>
            <w:r>
              <w:rPr>
                <w:rFonts w:ascii="Times New Roman" w:cs="Times New Roman" w:eastAsia="Times New Roman" w:hAnsi="Times New Roman"/>
                <w:sz w:val="12"/>
                <w:szCs w:val="12"/>
                <w:color w:val="auto"/>
              </w:rPr>
              <w:t>CLO secured notes – Class E</w:t>
            </w:r>
            <w:r>
              <w:rPr>
                <w:rFonts w:ascii="Times New Roman" w:cs="Times New Roman" w:eastAsia="Times New Roman" w:hAnsi="Times New Roman"/>
                <w:sz w:val="18"/>
                <w:szCs w:val="18"/>
                <w:color w:val="auto"/>
                <w:vertAlign w:val="superscript"/>
              </w:rPr>
              <w:t>(3)(6)</w:t>
            </w:r>
            <w:r>
              <w:rPr>
                <w:rFonts w:ascii="Times New Roman" w:cs="Times New Roman" w:eastAsia="Times New Roman" w:hAnsi="Times New Roman"/>
                <w:sz w:val="12"/>
                <w:szCs w:val="12"/>
                <w:color w:val="auto"/>
              </w:rPr>
              <w:t>, 9.91% (LIBOR +</w:t>
            </w: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3360" w:type="dxa"/>
            <w:vAlign w:val="bottom"/>
            <w:gridSpan w:val="6"/>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7.20%, due April 20, 2029)</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4/21/2022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1,500,000</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1,424,539</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1,150,200</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60" w:type="dxa"/>
            <w:vAlign w:val="bottom"/>
            <w:gridSpan w:val="6"/>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Total Structured Finance – Debt Investments</w:t>
            </w: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3360" w:type="dxa"/>
            <w:vAlign w:val="bottom"/>
            <w:gridSpan w:val="6"/>
            <w:vMerge w:val="continue"/>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44,631,562</w:t>
            </w: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36,865,458</w:t>
            </w:r>
          </w:p>
        </w:tc>
        <w:tc>
          <w:tcPr>
            <w:tcW w:w="10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4.71%</w:t>
            </w:r>
          </w:p>
        </w:tc>
        <w:tc>
          <w:tcPr>
            <w:tcW w:w="0" w:type="dxa"/>
            <w:vAlign w:val="bottom"/>
          </w:tcPr>
          <w:p>
            <w:pPr>
              <w:spacing w:after="0"/>
              <w:rPr>
                <w:sz w:val="1"/>
                <w:szCs w:val="1"/>
                <w:color w:val="auto"/>
              </w:rPr>
            </w:pPr>
          </w:p>
        </w:tc>
      </w:tr>
      <w:tr>
        <w:trPr>
          <w:trHeight w:val="100"/>
        </w:trPr>
        <w:tc>
          <w:tcPr>
            <w:tcW w:w="3360" w:type="dxa"/>
            <w:vAlign w:val="bottom"/>
            <w:tcBorders>
              <w:top w:val="single" w:sz="8" w:color="CCEEFF"/>
            </w:tcBorders>
            <w:gridSpan w:val="6"/>
            <w:shd w:val="clear" w:color="auto" w:fill="CCEEFF"/>
          </w:tcPr>
          <w:p>
            <w:pPr>
              <w:ind w:left="180"/>
              <w:spacing w:after="0" w:line="101" w:lineRule="exact"/>
              <w:rPr>
                <w:sz w:val="20"/>
                <w:szCs w:val="20"/>
                <w:color w:val="auto"/>
              </w:rPr>
            </w:pPr>
            <w:r>
              <w:rPr>
                <w:rFonts w:ascii="Times New Roman" w:cs="Times New Roman" w:eastAsia="Times New Roman" w:hAnsi="Times New Roman"/>
                <w:sz w:val="11"/>
                <w:szCs w:val="11"/>
                <w:b w:val="1"/>
                <w:bCs w:val="1"/>
                <w:color w:val="auto"/>
              </w:rPr>
              <w:t>Total Collateralized Loan Obligation – Debt</w:t>
            </w:r>
          </w:p>
        </w:tc>
        <w:tc>
          <w:tcPr>
            <w:tcW w:w="8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3360" w:type="dxa"/>
            <w:vAlign w:val="bottom"/>
            <w:gridSpan w:val="6"/>
            <w:shd w:val="clear" w:color="auto" w:fill="CCEEFF"/>
          </w:tcPr>
          <w:p>
            <w:pPr>
              <w:ind w:left="34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44,631,562</w:t>
            </w:r>
          </w:p>
        </w:tc>
        <w:tc>
          <w:tcPr>
            <w:tcW w:w="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36,865,458</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4.71%</w:t>
            </w:r>
          </w:p>
        </w:tc>
        <w:tc>
          <w:tcPr>
            <w:tcW w:w="0" w:type="dxa"/>
            <w:vAlign w:val="bottom"/>
          </w:tcPr>
          <w:p>
            <w:pPr>
              <w:spacing w:after="0"/>
              <w:rPr>
                <w:sz w:val="1"/>
                <w:szCs w:val="1"/>
                <w:color w:val="auto"/>
              </w:rPr>
            </w:pPr>
          </w:p>
        </w:tc>
      </w:tr>
      <w:tr>
        <w:trPr>
          <w:trHeight w:val="264"/>
        </w:trPr>
        <w:tc>
          <w:tcPr>
            <w:tcW w:w="2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3060" w:type="dxa"/>
            <w:vAlign w:val="bottom"/>
            <w:tcBorders>
              <w:bottom w:val="single" w:sz="8" w:color="auto"/>
            </w:tcBorders>
            <w:gridSpan w:val="4"/>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Collateralized Loan Obligation – Equity Investments</w:t>
            </w:r>
          </w:p>
        </w:tc>
        <w:tc>
          <w:tcPr>
            <w:tcW w:w="300" w:type="dxa"/>
            <w:vAlign w:val="bottom"/>
            <w:tcBorders>
              <w:bottom w:val="single" w:sz="8" w:color="CCEEFF"/>
            </w:tcBorders>
            <w:gridSpan w:val="2"/>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3360" w:type="dxa"/>
            <w:vAlign w:val="bottom"/>
            <w:gridSpan w:val="6"/>
          </w:tcPr>
          <w:p>
            <w:pPr>
              <w:spacing w:after="0"/>
              <w:rPr>
                <w:sz w:val="20"/>
                <w:szCs w:val="20"/>
                <w:color w:val="auto"/>
              </w:rPr>
            </w:pPr>
            <w:r>
              <w:rPr>
                <w:rFonts w:ascii="Times New Roman" w:cs="Times New Roman" w:eastAsia="Times New Roman" w:hAnsi="Times New Roman"/>
                <w:sz w:val="13"/>
                <w:szCs w:val="13"/>
                <w:b w:val="1"/>
                <w:bCs w:val="1"/>
                <w:color w:val="auto"/>
              </w:rPr>
              <w:t>Structured Finance – Equity Investments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226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3360" w:type="dxa"/>
            <w:vAlign w:val="bottom"/>
            <w:tcBorders>
              <w:bottom w:val="single" w:sz="8" w:color="CCEEFF"/>
            </w:tcBorders>
            <w:gridSpan w:val="6"/>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AIG CLO 2021-2, LLC</w:t>
            </w: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7"/>
        </w:trPr>
        <w:tc>
          <w:tcPr>
            <w:tcW w:w="3360" w:type="dxa"/>
            <w:vAlign w:val="bottom"/>
            <w:gridSpan w:val="6"/>
          </w:tcPr>
          <w:p>
            <w:pPr>
              <w:ind w:left="180"/>
              <w:spacing w:after="0" w:line="157"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8"/>
                <w:szCs w:val="18"/>
                <w:color w:val="auto"/>
                <w:vertAlign w:val="superscript"/>
              </w:rPr>
              <w:t>(5)(7)</w:t>
            </w:r>
            <w:r>
              <w:rPr>
                <w:rFonts w:ascii="Times New Roman" w:cs="Times New Roman" w:eastAsia="Times New Roman" w:hAnsi="Times New Roman"/>
                <w:sz w:val="12"/>
                <w:szCs w:val="12"/>
                <w:color w:val="auto"/>
              </w:rPr>
              <w:t>, (Estimated yield 18.85%,</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03/18/2022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2,500,000</w:t>
            </w:r>
          </w:p>
        </w:tc>
        <w:tc>
          <w:tcPr>
            <w:tcW w:w="160" w:type="dxa"/>
            <w:vAlign w:val="bottom"/>
          </w:tcPr>
          <w:p>
            <w:pPr>
              <w:spacing w:after="0"/>
              <w:rPr>
                <w:sz w:val="13"/>
                <w:szCs w:val="13"/>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1,939,805</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1,625,000</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360" w:type="dxa"/>
            <w:vAlign w:val="bottom"/>
            <w:gridSpan w:val="6"/>
          </w:tcPr>
          <w:p>
            <w:pPr>
              <w:ind w:left="340"/>
              <w:spacing w:after="0"/>
              <w:rPr>
                <w:sz w:val="20"/>
                <w:szCs w:val="20"/>
                <w:color w:val="auto"/>
              </w:rPr>
            </w:pPr>
            <w:r>
              <w:rPr>
                <w:rFonts w:ascii="Times New Roman" w:cs="Times New Roman" w:eastAsia="Times New Roman" w:hAnsi="Times New Roman"/>
                <w:sz w:val="13"/>
                <w:szCs w:val="13"/>
                <w:color w:val="auto"/>
              </w:rPr>
              <w:t>maturity July 20, 2034)</w:t>
            </w: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6"/>
        </w:trPr>
        <w:tc>
          <w:tcPr>
            <w:tcW w:w="2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gridSpan w:val="6"/>
          </w:tcPr>
          <w:p>
            <w:pPr>
              <w:ind w:left="180"/>
              <w:spacing w:after="0"/>
              <w:rPr>
                <w:sz w:val="20"/>
                <w:szCs w:val="20"/>
                <w:color w:val="auto"/>
              </w:rPr>
            </w:pPr>
            <w:r>
              <w:rPr>
                <w:rFonts w:ascii="Times New Roman" w:cs="Times New Roman" w:eastAsia="Times New Roman" w:hAnsi="Times New Roman"/>
                <w:sz w:val="13"/>
                <w:szCs w:val="13"/>
                <w:b w:val="1"/>
                <w:bCs w:val="1"/>
                <w:color w:val="auto"/>
              </w:rPr>
              <w:t>AIMCO CLO, Series 2015-A</w:t>
            </w: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360" w:type="dxa"/>
            <w:vAlign w:val="bottom"/>
            <w:gridSpan w:val="6"/>
            <w:shd w:val="clear" w:color="auto" w:fill="CCEEFF"/>
          </w:tcPr>
          <w:p>
            <w:pPr>
              <w:ind w:left="180"/>
              <w:spacing w:after="0" w:line="157"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8"/>
                <w:szCs w:val="18"/>
                <w:color w:val="auto"/>
                <w:vertAlign w:val="superscript"/>
              </w:rPr>
              <w:t>(5)(7)(11)</w:t>
            </w:r>
            <w:r>
              <w:rPr>
                <w:rFonts w:ascii="Times New Roman" w:cs="Times New Roman" w:eastAsia="Times New Roman" w:hAnsi="Times New Roman"/>
                <w:sz w:val="12"/>
                <w:szCs w:val="12"/>
                <w:color w:val="auto"/>
              </w:rPr>
              <w:t>, (Estimated yield</w:t>
            </w:r>
          </w:p>
        </w:tc>
        <w:tc>
          <w:tcPr>
            <w:tcW w:w="8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08/25/2021</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13,548,313</w:t>
            </w:r>
          </w:p>
        </w:tc>
        <w:tc>
          <w:tcPr>
            <w:tcW w:w="16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8,417,777</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7,722,538</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3360" w:type="dxa"/>
            <w:vAlign w:val="bottom"/>
            <w:tcBorders>
              <w:bottom w:val="single" w:sz="8" w:color="CCEEFF"/>
            </w:tcBorders>
            <w:gridSpan w:val="6"/>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19.08%, maturity October 17, 2034)</w:t>
            </w:r>
          </w:p>
        </w:tc>
        <w:tc>
          <w:tcPr>
            <w:tcW w:w="82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vMerge w:val="continue"/>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2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6"/>
        </w:trPr>
        <w:tc>
          <w:tcPr>
            <w:tcW w:w="3360" w:type="dxa"/>
            <w:vAlign w:val="bottom"/>
            <w:tcBorders>
              <w:bottom w:val="single" w:sz="8" w:color="CCEEFF"/>
            </w:tcBorders>
            <w:gridSpan w:val="6"/>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Allegro CLO II-S, Ltd.</w:t>
            </w: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7"/>
        </w:trPr>
        <w:tc>
          <w:tcPr>
            <w:tcW w:w="3360" w:type="dxa"/>
            <w:vAlign w:val="bottom"/>
            <w:gridSpan w:val="6"/>
          </w:tcPr>
          <w:p>
            <w:pPr>
              <w:ind w:left="180"/>
              <w:spacing w:after="0" w:line="157"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8"/>
                <w:szCs w:val="18"/>
                <w:color w:val="auto"/>
                <w:vertAlign w:val="superscript"/>
              </w:rPr>
              <w:t>(5)(7)</w:t>
            </w:r>
            <w:r>
              <w:rPr>
                <w:rFonts w:ascii="Times New Roman" w:cs="Times New Roman" w:eastAsia="Times New Roman" w:hAnsi="Times New Roman"/>
                <w:sz w:val="12"/>
                <w:szCs w:val="12"/>
                <w:color w:val="auto"/>
              </w:rPr>
              <w:t>, (Estimated yield 8.33%,</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02/06/2020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20,800,000</w:t>
            </w:r>
          </w:p>
        </w:tc>
        <w:tc>
          <w:tcPr>
            <w:tcW w:w="160" w:type="dxa"/>
            <w:vAlign w:val="bottom"/>
          </w:tcPr>
          <w:p>
            <w:pPr>
              <w:spacing w:after="0"/>
              <w:rPr>
                <w:sz w:val="13"/>
                <w:szCs w:val="13"/>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5,258,344</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1,664,000</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360" w:type="dxa"/>
            <w:vAlign w:val="bottom"/>
            <w:gridSpan w:val="6"/>
          </w:tcPr>
          <w:p>
            <w:pPr>
              <w:ind w:left="340"/>
              <w:spacing w:after="0"/>
              <w:rPr>
                <w:sz w:val="20"/>
                <w:szCs w:val="20"/>
                <w:color w:val="auto"/>
              </w:rPr>
            </w:pPr>
            <w:r>
              <w:rPr>
                <w:rFonts w:ascii="Times New Roman" w:cs="Times New Roman" w:eastAsia="Times New Roman" w:hAnsi="Times New Roman"/>
                <w:sz w:val="13"/>
                <w:szCs w:val="13"/>
                <w:color w:val="auto"/>
              </w:rPr>
              <w:t>maturity October 21, 2028)</w:t>
            </w: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6"/>
        </w:trPr>
        <w:tc>
          <w:tcPr>
            <w:tcW w:w="2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gridSpan w:val="6"/>
          </w:tcPr>
          <w:p>
            <w:pPr>
              <w:ind w:left="180"/>
              <w:spacing w:after="0"/>
              <w:rPr>
                <w:sz w:val="20"/>
                <w:szCs w:val="20"/>
                <w:color w:val="auto"/>
              </w:rPr>
            </w:pPr>
            <w:r>
              <w:rPr>
                <w:rFonts w:ascii="Times New Roman" w:cs="Times New Roman" w:eastAsia="Times New Roman" w:hAnsi="Times New Roman"/>
                <w:sz w:val="13"/>
                <w:szCs w:val="13"/>
                <w:b w:val="1"/>
                <w:bCs w:val="1"/>
                <w:color w:val="auto"/>
              </w:rPr>
              <w:t>ALM XVII, Ltd.</w:t>
            </w: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360" w:type="dxa"/>
            <w:vAlign w:val="bottom"/>
            <w:gridSpan w:val="6"/>
            <w:shd w:val="clear" w:color="auto" w:fill="CCEEFF"/>
          </w:tcPr>
          <w:p>
            <w:pPr>
              <w:ind w:left="180"/>
              <w:spacing w:after="0" w:line="157"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8"/>
                <w:szCs w:val="18"/>
                <w:color w:val="auto"/>
                <w:vertAlign w:val="superscript"/>
              </w:rPr>
              <w:t>(5)(7)(10)</w:t>
            </w:r>
            <w:r>
              <w:rPr>
                <w:rFonts w:ascii="Times New Roman" w:cs="Times New Roman" w:eastAsia="Times New Roman" w:hAnsi="Times New Roman"/>
                <w:sz w:val="12"/>
                <w:szCs w:val="12"/>
                <w:color w:val="auto"/>
              </w:rPr>
              <w:t>, (Estimated yield 0.00%,</w:t>
            </w:r>
          </w:p>
        </w:tc>
        <w:tc>
          <w:tcPr>
            <w:tcW w:w="8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03/04/2019</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6,500,000</w:t>
            </w:r>
          </w:p>
        </w:tc>
        <w:tc>
          <w:tcPr>
            <w:tcW w:w="16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26,000</w:t>
            </w: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3360" w:type="dxa"/>
            <w:vAlign w:val="bottom"/>
            <w:tcBorders>
              <w:bottom w:val="single" w:sz="8" w:color="CCEEFF"/>
            </w:tcBorders>
            <w:gridSpan w:val="6"/>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maturity January 15, 2028)</w:t>
            </w:r>
          </w:p>
        </w:tc>
        <w:tc>
          <w:tcPr>
            <w:tcW w:w="82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vMerge w:val="continue"/>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vMerge w:val="continue"/>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2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6"/>
        </w:trPr>
        <w:tc>
          <w:tcPr>
            <w:tcW w:w="3360" w:type="dxa"/>
            <w:vAlign w:val="bottom"/>
            <w:tcBorders>
              <w:bottom w:val="single" w:sz="8" w:color="CCEEFF"/>
            </w:tcBorders>
            <w:gridSpan w:val="6"/>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AMMC CLO XII, Limited</w:t>
            </w: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7"/>
        </w:trPr>
        <w:tc>
          <w:tcPr>
            <w:tcW w:w="3360" w:type="dxa"/>
            <w:vAlign w:val="bottom"/>
            <w:gridSpan w:val="6"/>
          </w:tcPr>
          <w:p>
            <w:pPr>
              <w:ind w:left="180"/>
              <w:spacing w:after="0" w:line="157"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8"/>
                <w:szCs w:val="18"/>
                <w:color w:val="auto"/>
                <w:vertAlign w:val="superscript"/>
              </w:rPr>
              <w:t>(5)(7)</w:t>
            </w:r>
            <w:r>
              <w:rPr>
                <w:rFonts w:ascii="Times New Roman" w:cs="Times New Roman" w:eastAsia="Times New Roman" w:hAnsi="Times New Roman"/>
                <w:sz w:val="12"/>
                <w:szCs w:val="12"/>
                <w:color w:val="auto"/>
              </w:rPr>
              <w:t>, (Estimated yield 8.05%,</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09/10/2021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24,350,000</w:t>
            </w:r>
          </w:p>
        </w:tc>
        <w:tc>
          <w:tcPr>
            <w:tcW w:w="160" w:type="dxa"/>
            <w:vAlign w:val="bottom"/>
          </w:tcPr>
          <w:p>
            <w:pPr>
              <w:spacing w:after="0"/>
              <w:rPr>
                <w:sz w:val="13"/>
                <w:szCs w:val="13"/>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5,973,260</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4,139,500</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360" w:type="dxa"/>
            <w:vAlign w:val="bottom"/>
            <w:gridSpan w:val="6"/>
          </w:tcPr>
          <w:p>
            <w:pPr>
              <w:ind w:left="340"/>
              <w:spacing w:after="0"/>
              <w:rPr>
                <w:sz w:val="20"/>
                <w:szCs w:val="20"/>
                <w:color w:val="auto"/>
              </w:rPr>
            </w:pPr>
            <w:r>
              <w:rPr>
                <w:rFonts w:ascii="Times New Roman" w:cs="Times New Roman" w:eastAsia="Times New Roman" w:hAnsi="Times New Roman"/>
                <w:sz w:val="13"/>
                <w:szCs w:val="13"/>
                <w:color w:val="auto"/>
              </w:rPr>
              <w:t>maturity November 10, 2030)</w:t>
            </w: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6"/>
        </w:trPr>
        <w:tc>
          <w:tcPr>
            <w:tcW w:w="2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gridSpan w:val="6"/>
          </w:tcPr>
          <w:p>
            <w:pPr>
              <w:ind w:left="180"/>
              <w:spacing w:after="0"/>
              <w:rPr>
                <w:sz w:val="20"/>
                <w:szCs w:val="20"/>
                <w:color w:val="auto"/>
              </w:rPr>
            </w:pPr>
            <w:r>
              <w:rPr>
                <w:rFonts w:ascii="Times New Roman" w:cs="Times New Roman" w:eastAsia="Times New Roman" w:hAnsi="Times New Roman"/>
                <w:sz w:val="13"/>
                <w:szCs w:val="13"/>
                <w:b w:val="1"/>
                <w:bCs w:val="1"/>
                <w:color w:val="auto"/>
              </w:rPr>
              <w:t>AMMC CLO 25, Limited</w:t>
            </w: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360" w:type="dxa"/>
            <w:vAlign w:val="bottom"/>
            <w:gridSpan w:val="6"/>
            <w:shd w:val="clear" w:color="auto" w:fill="CCEEFF"/>
          </w:tcPr>
          <w:p>
            <w:pPr>
              <w:ind w:left="180"/>
              <w:spacing w:after="0" w:line="157"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8"/>
                <w:szCs w:val="18"/>
                <w:color w:val="auto"/>
                <w:vertAlign w:val="superscript"/>
              </w:rPr>
              <w:t>(5)(7)(9)</w:t>
            </w:r>
            <w:r>
              <w:rPr>
                <w:rFonts w:ascii="Times New Roman" w:cs="Times New Roman" w:eastAsia="Times New Roman" w:hAnsi="Times New Roman"/>
                <w:sz w:val="12"/>
                <w:szCs w:val="12"/>
                <w:color w:val="auto"/>
              </w:rPr>
              <w:t>, (Estimated yield</w:t>
            </w:r>
          </w:p>
        </w:tc>
        <w:tc>
          <w:tcPr>
            <w:tcW w:w="8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04/27/2022</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19,000,000</w:t>
            </w:r>
          </w:p>
        </w:tc>
        <w:tc>
          <w:tcPr>
            <w:tcW w:w="16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15,117,538</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15,010,000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3360" w:type="dxa"/>
            <w:vAlign w:val="bottom"/>
            <w:tcBorders>
              <w:bottom w:val="single" w:sz="8" w:color="CCEEFF"/>
            </w:tcBorders>
            <w:gridSpan w:val="6"/>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22.68%, maturity April 15, 2035)</w:t>
            </w:r>
          </w:p>
        </w:tc>
        <w:tc>
          <w:tcPr>
            <w:tcW w:w="82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vMerge w:val="continue"/>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2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6"/>
        </w:trPr>
        <w:tc>
          <w:tcPr>
            <w:tcW w:w="3360" w:type="dxa"/>
            <w:vAlign w:val="bottom"/>
            <w:tcBorders>
              <w:bottom w:val="single" w:sz="8" w:color="CCEEFF"/>
            </w:tcBorders>
            <w:gridSpan w:val="6"/>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Anchorage Capital CLO 1-R, Ltd.</w:t>
            </w: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7"/>
        </w:trPr>
        <w:tc>
          <w:tcPr>
            <w:tcW w:w="3360" w:type="dxa"/>
            <w:vAlign w:val="bottom"/>
            <w:gridSpan w:val="6"/>
          </w:tcPr>
          <w:p>
            <w:pPr>
              <w:ind w:left="180"/>
              <w:spacing w:after="0" w:line="157"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8"/>
                <w:szCs w:val="18"/>
                <w:color w:val="auto"/>
                <w:vertAlign w:val="superscript"/>
              </w:rPr>
              <w:t>(5)(7)</w:t>
            </w:r>
            <w:r>
              <w:rPr>
                <w:rFonts w:ascii="Times New Roman" w:cs="Times New Roman" w:eastAsia="Times New Roman" w:hAnsi="Times New Roman"/>
                <w:sz w:val="12"/>
                <w:szCs w:val="12"/>
                <w:color w:val="auto"/>
              </w:rPr>
              <w:t>, (Estimated yield 19.20%,</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08/13/2020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11,000,000</w:t>
            </w:r>
          </w:p>
        </w:tc>
        <w:tc>
          <w:tcPr>
            <w:tcW w:w="160" w:type="dxa"/>
            <w:vAlign w:val="bottom"/>
          </w:tcPr>
          <w:p>
            <w:pPr>
              <w:spacing w:after="0"/>
              <w:rPr>
                <w:sz w:val="13"/>
                <w:szCs w:val="13"/>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6,357,686</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5,077,999</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360" w:type="dxa"/>
            <w:vAlign w:val="bottom"/>
            <w:gridSpan w:val="6"/>
          </w:tcPr>
          <w:p>
            <w:pPr>
              <w:ind w:left="340"/>
              <w:spacing w:after="0"/>
              <w:rPr>
                <w:sz w:val="20"/>
                <w:szCs w:val="20"/>
                <w:color w:val="auto"/>
              </w:rPr>
            </w:pPr>
            <w:r>
              <w:rPr>
                <w:rFonts w:ascii="Times New Roman" w:cs="Times New Roman" w:eastAsia="Times New Roman" w:hAnsi="Times New Roman"/>
                <w:sz w:val="13"/>
                <w:szCs w:val="13"/>
                <w:color w:val="auto"/>
              </w:rPr>
              <w:t>maturity April 13, 2031)</w:t>
            </w: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6"/>
        </w:trPr>
        <w:tc>
          <w:tcPr>
            <w:tcW w:w="2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gridSpan w:val="6"/>
          </w:tcPr>
          <w:p>
            <w:pPr>
              <w:ind w:left="180"/>
              <w:spacing w:after="0"/>
              <w:rPr>
                <w:sz w:val="20"/>
                <w:szCs w:val="20"/>
                <w:color w:val="auto"/>
              </w:rPr>
            </w:pPr>
            <w:r>
              <w:rPr>
                <w:rFonts w:ascii="Times New Roman" w:cs="Times New Roman" w:eastAsia="Times New Roman" w:hAnsi="Times New Roman"/>
                <w:sz w:val="13"/>
                <w:szCs w:val="13"/>
                <w:b w:val="1"/>
                <w:bCs w:val="1"/>
                <w:color w:val="auto"/>
              </w:rPr>
              <w:t>Anchorage Capital CLO 4-R, Ltd.</w:t>
            </w: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360" w:type="dxa"/>
            <w:vAlign w:val="bottom"/>
            <w:gridSpan w:val="6"/>
            <w:shd w:val="clear" w:color="auto" w:fill="CCEEFF"/>
          </w:tcPr>
          <w:p>
            <w:pPr>
              <w:ind w:left="180"/>
              <w:spacing w:after="0" w:line="157"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8"/>
                <w:szCs w:val="18"/>
                <w:color w:val="auto"/>
                <w:vertAlign w:val="superscript"/>
              </w:rPr>
              <w:t>(5)(7)(11)</w:t>
            </w:r>
            <w:r>
              <w:rPr>
                <w:rFonts w:ascii="Times New Roman" w:cs="Times New Roman" w:eastAsia="Times New Roman" w:hAnsi="Times New Roman"/>
                <w:sz w:val="12"/>
                <w:szCs w:val="12"/>
                <w:color w:val="auto"/>
              </w:rPr>
              <w:t>, (Estimated yield</w:t>
            </w:r>
          </w:p>
        </w:tc>
        <w:tc>
          <w:tcPr>
            <w:tcW w:w="8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05/20/2019</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9,000,000</w:t>
            </w:r>
          </w:p>
        </w:tc>
        <w:tc>
          <w:tcPr>
            <w:tcW w:w="16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5,334,337</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4,050,000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360" w:type="dxa"/>
            <w:vAlign w:val="bottom"/>
            <w:gridSpan w:val="6"/>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12.64%, maturity January 28, 2031)</w:t>
            </w:r>
          </w:p>
        </w:tc>
        <w:tc>
          <w:tcPr>
            <w:tcW w:w="8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i w:val="1"/>
          <w:iCs w:val="1"/>
          <w:color w:val="auto"/>
        </w:rPr>
        <w:t>(Continued on next page)</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See Accompanying Notes.</w:t>
      </w:r>
    </w:p>
    <w:p>
      <w:pPr>
        <w:sectPr>
          <w:pgSz w:w="11900" w:h="16838" w:orient="portrait"/>
          <w:cols w:equalWidth="0" w:num="1">
            <w:col w:w="9019"/>
          </w:cols>
          <w:pgMar w:left="1440" w:top="262" w:right="1440" w:bottom="58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22225</wp:posOffset>
            </wp:positionV>
            <wp:extent cx="482473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824730" cy="8255"/>
                    </a:xfrm>
                    <a:prstGeom prst="rect">
                      <a:avLst/>
                    </a:prstGeom>
                    <a:noFill/>
                  </pic:spPr>
                </pic:pic>
              </a:graphicData>
            </a:graphic>
          </wp:anchor>
        </w:drawing>
      </w:r>
    </w:p>
    <w:p>
      <w:pPr>
        <w:sectPr>
          <w:pgSz w:w="11900" w:h="16838" w:orient="portrait"/>
          <w:cols w:equalWidth="0" w:num="1">
            <w:col w:w="9019"/>
          </w:cols>
          <w:pgMar w:left="1440" w:top="262" w:right="1440" w:bottom="580" w:gutter="0" w:footer="0" w:header="0"/>
          <w:type w:val="continuous"/>
        </w:sectPr>
      </w:pPr>
    </w:p>
    <w:bookmarkStart w:id="16" w:name="page17"/>
    <w:bookmarkEnd w:id="16"/>
    <w:p>
      <w:pPr>
        <w:ind w:left="7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30"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146"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7"/>
          <w:szCs w:val="17"/>
          <w:b w:val="1"/>
          <w:bCs w:val="1"/>
          <w:color w:val="auto"/>
        </w:rPr>
        <w:t>SCHEDULE OF INVESTMENTS – (continued)</w:t>
      </w:r>
    </w:p>
    <w:p>
      <w:pPr>
        <w:spacing w:after="0" w:line="27"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7"/>
          <w:szCs w:val="17"/>
          <w:b w:val="1"/>
          <w:bCs w:val="1"/>
          <w:color w:val="auto"/>
        </w:rPr>
        <w:t>SEPTEMBER 30, 2022</w:t>
      </w:r>
    </w:p>
    <w:p>
      <w:pPr>
        <w:spacing w:after="0" w:line="7"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43" w:lineRule="exact"/>
        <w:rPr>
          <w:sz w:val="20"/>
          <w:szCs w:val="20"/>
          <w:color w:val="auto"/>
        </w:rPr>
      </w:pPr>
    </w:p>
    <w:tbl>
      <w:tblPr>
        <w:tblLayout w:type="fixed"/>
        <w:tblInd w:w="7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ACQUISITION</w:t>
            </w:r>
          </w:p>
        </w:tc>
        <w:tc>
          <w:tcPr>
            <w:tcW w:w="80" w:type="dxa"/>
            <w:vAlign w:val="bottom"/>
          </w:tcPr>
          <w:p>
            <w:pPr>
              <w:spacing w:after="0"/>
              <w:rPr>
                <w:sz w:val="12"/>
                <w:szCs w:val="12"/>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5"/>
              </w:rPr>
              <w:t>PRINCIPAL</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right"/>
              <w:ind w:right="254"/>
              <w:spacing w:after="0"/>
              <w:rPr>
                <w:sz w:val="20"/>
                <w:szCs w:val="20"/>
                <w:color w:val="auto"/>
              </w:rPr>
            </w:pPr>
            <w:r>
              <w:rPr>
                <w:rFonts w:ascii="Times New Roman" w:cs="Times New Roman" w:eastAsia="Times New Roman" w:hAnsi="Times New Roman"/>
                <w:sz w:val="12"/>
                <w:szCs w:val="12"/>
                <w:b w:val="1"/>
                <w:bCs w:val="1"/>
                <w:color w:val="auto"/>
              </w:rPr>
              <w:t>FAIR</w:t>
            </w:r>
          </w:p>
        </w:tc>
        <w:tc>
          <w:tcPr>
            <w:tcW w:w="0" w:type="dxa"/>
            <w:vAlign w:val="bottom"/>
          </w:tcPr>
          <w:p>
            <w:pPr>
              <w:spacing w:after="0"/>
              <w:rPr>
                <w:sz w:val="1"/>
                <w:szCs w:val="1"/>
                <w:color w:val="auto"/>
              </w:rPr>
            </w:pPr>
          </w:p>
        </w:tc>
      </w:tr>
      <w:tr>
        <w:trPr>
          <w:trHeight w:val="119"/>
        </w:trPr>
        <w:tc>
          <w:tcPr>
            <w:tcW w:w="3360" w:type="dxa"/>
            <w:vAlign w:val="bottom"/>
            <w:gridSpan w:val="5"/>
            <w:vMerge w:val="restart"/>
          </w:tcPr>
          <w:p>
            <w:pPr>
              <w:spacing w:after="0"/>
              <w:rPr>
                <w:sz w:val="20"/>
                <w:szCs w:val="20"/>
                <w:color w:val="auto"/>
              </w:rPr>
            </w:pPr>
            <w:r>
              <w:rPr>
                <w:rFonts w:ascii="Times New Roman" w:cs="Times New Roman" w:eastAsia="Times New Roman" w:hAnsi="Times New Roman"/>
                <w:sz w:val="12"/>
                <w:szCs w:val="12"/>
                <w:b w:val="1"/>
                <w:bCs w:val="1"/>
                <w:color w:val="auto"/>
              </w:rPr>
              <w:t>COMPANY/INVESTMENT</w:t>
            </w:r>
            <w:r>
              <w:rPr>
                <w:rFonts w:ascii="Times New Roman" w:cs="Times New Roman" w:eastAsia="Times New Roman" w:hAnsi="Times New Roman"/>
                <w:sz w:val="13"/>
                <w:szCs w:val="13"/>
                <w:b w:val="1"/>
                <w:bCs w:val="1"/>
                <w:color w:val="auto"/>
                <w:vertAlign w:val="superscript"/>
              </w:rPr>
              <w:t>(1)(13)(14)</w:t>
            </w: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center"/>
              <w:ind w:right="100"/>
              <w:spacing w:after="0" w:line="120" w:lineRule="exact"/>
              <w:rPr>
                <w:sz w:val="20"/>
                <w:szCs w:val="20"/>
                <w:color w:val="auto"/>
              </w:rPr>
            </w:pPr>
            <w:r>
              <w:rPr>
                <w:rFonts w:ascii="Times New Roman" w:cs="Times New Roman" w:eastAsia="Times New Roman" w:hAnsi="Times New Roman"/>
                <w:sz w:val="12"/>
                <w:szCs w:val="12"/>
                <w:b w:val="1"/>
                <w:bCs w:val="1"/>
                <w:color w:val="auto"/>
                <w:w w:val="96"/>
              </w:rPr>
              <w:t>AMOUNT/</w:t>
            </w: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3360" w:type="dxa"/>
            <w:vAlign w:val="bottom"/>
            <w:gridSpan w:val="5"/>
            <w:vMerge w:val="continue"/>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87"/>
              </w:rPr>
              <w:t>DATE</w:t>
            </w:r>
            <w:r>
              <w:rPr>
                <w:rFonts w:ascii="Times New Roman" w:cs="Times New Roman" w:eastAsia="Times New Roman" w:hAnsi="Times New Roman"/>
                <w:sz w:val="13"/>
                <w:szCs w:val="13"/>
                <w:b w:val="1"/>
                <w:bCs w:val="1"/>
                <w:color w:val="auto"/>
                <w:w w:val="87"/>
                <w:vertAlign w:val="superscript"/>
              </w:rPr>
              <w:t>(15)</w:t>
            </w:r>
          </w:p>
        </w:tc>
        <w:tc>
          <w:tcPr>
            <w:tcW w:w="80" w:type="dxa"/>
            <w:vAlign w:val="bottom"/>
          </w:tcPr>
          <w:p>
            <w:pPr>
              <w:spacing w:after="0"/>
              <w:rPr>
                <w:sz w:val="15"/>
                <w:szCs w:val="15"/>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SHARES</w:t>
            </w:r>
          </w:p>
        </w:tc>
        <w:tc>
          <w:tcPr>
            <w:tcW w:w="160" w:type="dxa"/>
            <w:vAlign w:val="bottom"/>
          </w:tcPr>
          <w:p>
            <w:pPr>
              <w:spacing w:after="0"/>
              <w:rPr>
                <w:sz w:val="15"/>
                <w:szCs w:val="15"/>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COST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134"/>
              <w:spacing w:after="0"/>
              <w:rPr>
                <w:sz w:val="20"/>
                <w:szCs w:val="20"/>
                <w:color w:val="auto"/>
              </w:rPr>
            </w:pPr>
            <w:r>
              <w:rPr>
                <w:rFonts w:ascii="Times New Roman" w:cs="Times New Roman" w:eastAsia="Times New Roman" w:hAnsi="Times New Roman"/>
                <w:sz w:val="12"/>
                <w:szCs w:val="12"/>
                <w:b w:val="1"/>
                <w:bCs w:val="1"/>
                <w:color w:val="auto"/>
                <w:w w:val="99"/>
              </w:rPr>
              <w:t>VALUE</w:t>
            </w:r>
            <w:r>
              <w:rPr>
                <w:rFonts w:ascii="Times New Roman" w:cs="Times New Roman" w:eastAsia="Times New Roman" w:hAnsi="Times New Roman"/>
                <w:sz w:val="13"/>
                <w:szCs w:val="13"/>
                <w:b w:val="1"/>
                <w:bCs w:val="1"/>
                <w:color w:val="auto"/>
                <w:w w:val="99"/>
                <w:vertAlign w:val="superscript"/>
              </w:rPr>
              <w:t>(2)</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260" w:type="dxa"/>
            <w:vAlign w:val="bottom"/>
            <w:tcBorders>
              <w:top w:val="single" w:sz="8" w:color="auto"/>
            </w:tcBorders>
            <w:gridSpan w:val="3"/>
          </w:tcPr>
          <w:p>
            <w:pPr>
              <w:spacing w:after="0" w:line="127" w:lineRule="exact"/>
              <w:rPr>
                <w:sz w:val="20"/>
                <w:szCs w:val="20"/>
                <w:color w:val="auto"/>
              </w:rPr>
            </w:pPr>
            <w:r>
              <w:rPr>
                <w:rFonts w:ascii="Times New Roman" w:cs="Times New Roman" w:eastAsia="Times New Roman" w:hAnsi="Times New Roman"/>
                <w:sz w:val="13"/>
                <w:szCs w:val="13"/>
                <w:b w:val="1"/>
                <w:bCs w:val="1"/>
                <w:color w:val="auto"/>
              </w:rPr>
              <w:t>Collateralized Loan Obligation – Equity Investments</w:t>
            </w:r>
          </w:p>
        </w:tc>
        <w:tc>
          <w:tcPr>
            <w:tcW w:w="8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4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(continued)</w:t>
            </w:r>
          </w:p>
        </w:tc>
        <w:tc>
          <w:tcPr>
            <w:tcW w:w="300" w:type="dxa"/>
            <w:vAlign w:val="bottom"/>
            <w:gridSpan w:val="2"/>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36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Structured Finance – Equity Investments (continued)</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236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3"/>
                <w:szCs w:val="13"/>
                <w:b w:val="1"/>
                <w:bCs w:val="1"/>
                <w:color w:val="auto"/>
              </w:rPr>
              <w:t>Anchorage Capital CLO 5-R, Ltd.</w:t>
            </w:r>
          </w:p>
        </w:tc>
        <w:tc>
          <w:tcPr>
            <w:tcW w:w="980" w:type="dxa"/>
            <w:vAlign w:val="bottom"/>
            <w:gridSpan w:val="3"/>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10.03%,</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07/16/2019</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$ 27,316,000</w:t>
            </w:r>
          </w:p>
        </w:tc>
        <w:tc>
          <w:tcPr>
            <w:tcW w:w="160" w:type="dxa"/>
            <w:vAlign w:val="bottom"/>
            <w:vMerge w:val="restart"/>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17,207,459</w:t>
            </w:r>
          </w:p>
        </w:tc>
        <w:tc>
          <w:tcPr>
            <w:tcW w:w="1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12,714,856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January 15, 2030)</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Anchorage Capital CLO 7,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19.22%,</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06/02/2020</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12,750,000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5,162,607</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4,462,500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January 28, 2031)</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Anchorage Capital CLO 17,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19.00%,</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06/04/2021</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31,610,000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25,257,349</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21,178,700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July 15, 2034)</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Apex Credit CLO 2015-II, Ltd. (fka: JFIN CLO</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b w:val="1"/>
                <w:bCs w:val="1"/>
                <w:color w:val="auto"/>
              </w:rPr>
              <w:t>2015-II Ltd.)</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0.00%,</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11/22/2016</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5,750,000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3,571,778</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1,559,916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October 17, 2026)</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Apex Credit CLO 2018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7.51%,</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03/14/2018</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12,420,000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6,218,301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2,845,568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April 25, 2031)</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Apex Credit CLO 2019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10.51%,</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05/13/2019</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17,500,000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13,173,901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7,948,172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April 18, 2032)</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Apex Credit CLO 2019-II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21.04%,</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10/27/2020</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4,500,000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2,730,401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2,186,185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October 25, 2032)</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Apidos CLO XVIII-R</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29.35%,</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06/24/2022</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7,500,000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3,285,722</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3,450,000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October 22, 2030)</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Apidos CLO XXIII</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21.94%,</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04/01/2022</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5,000,000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3,302,993</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3,016,050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April 15, 2033)</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Apidos CLO XXIV</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12.66%,</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02/10/2022</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5,000,000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1,887,242</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1,800,000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October 20, 2030)</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Apidos CLO XXXIV</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18.53%,</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01/13/2022</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9,950,000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7,362,767</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6,567,000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January 20, 2035)</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Arcadia Warehouse 2022,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warehouse notes</w:t>
            </w:r>
            <w:r>
              <w:rPr>
                <w:rFonts w:ascii="Times New Roman" w:cs="Times New Roman" w:eastAsia="Times New Roman" w:hAnsi="Times New Roman"/>
                <w:sz w:val="20"/>
                <w:szCs w:val="20"/>
                <w:color w:val="auto"/>
                <w:vertAlign w:val="superscript"/>
              </w:rPr>
              <w:t>(4)(5)(7)(11)</w:t>
            </w:r>
            <w:r>
              <w:rPr>
                <w:rFonts w:ascii="Times New Roman" w:cs="Times New Roman" w:eastAsia="Times New Roman" w:hAnsi="Times New Roman"/>
                <w:sz w:val="13"/>
                <w:szCs w:val="13"/>
                <w:color w:val="auto"/>
              </w:rPr>
              <w:t>,</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01/31/2022</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3,625,000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3,625,000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3,625,000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(Estimated yield 14.61%, maturity July 20, 2023)</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Ares XXVII CLO,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15.60%,</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03/06/2019</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27,871,690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12,884,513</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9,474,727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October 28, 2034)</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-7165340</wp:posOffset>
            </wp:positionV>
            <wp:extent cx="4824730" cy="168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-6771640</wp:posOffset>
            </wp:positionV>
            <wp:extent cx="4824730" cy="168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-6433820</wp:posOffset>
            </wp:positionV>
            <wp:extent cx="4824730" cy="2254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824730" cy="225425"/>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-6039485</wp:posOffset>
            </wp:positionV>
            <wp:extent cx="4824730" cy="168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-5645785</wp:posOffset>
            </wp:positionV>
            <wp:extent cx="4824730" cy="168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-5275580</wp:posOffset>
            </wp:positionV>
            <wp:extent cx="4824730" cy="2254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824730" cy="225425"/>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-4881880</wp:posOffset>
            </wp:positionV>
            <wp:extent cx="4824730" cy="168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-4487545</wp:posOffset>
            </wp:positionV>
            <wp:extent cx="4824730" cy="168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-4149725</wp:posOffset>
            </wp:positionV>
            <wp:extent cx="4824730" cy="2254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824730" cy="225425"/>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-3756025</wp:posOffset>
            </wp:positionV>
            <wp:extent cx="4824730" cy="168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-3361690</wp:posOffset>
            </wp:positionV>
            <wp:extent cx="4824730" cy="168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-3024505</wp:posOffset>
            </wp:positionV>
            <wp:extent cx="4824730" cy="2254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824730" cy="225425"/>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-2630170</wp:posOffset>
            </wp:positionV>
            <wp:extent cx="4824730" cy="168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-2236470</wp:posOffset>
            </wp:positionV>
            <wp:extent cx="4824730" cy="168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-1898650</wp:posOffset>
            </wp:positionV>
            <wp:extent cx="4824730" cy="2254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824730" cy="225425"/>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-1504315</wp:posOffset>
            </wp:positionV>
            <wp:extent cx="4824730" cy="168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-1110615</wp:posOffset>
            </wp:positionV>
            <wp:extent cx="4824730" cy="168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-772795</wp:posOffset>
            </wp:positionV>
            <wp:extent cx="4824730" cy="2254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824730" cy="225425"/>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-378460</wp:posOffset>
            </wp:positionV>
            <wp:extent cx="4824730" cy="168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-7543800</wp:posOffset>
            </wp:positionV>
            <wp:extent cx="4824730" cy="2089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824730" cy="208915"/>
                    </a:xfrm>
                    <a:prstGeom prst="rect">
                      <a:avLst/>
                    </a:prstGeom>
                    <a:noFill/>
                  </pic:spPr>
                </pic:pic>
              </a:graphicData>
            </a:graphic>
          </wp:anchor>
        </w:drawing>
      </w:r>
    </w:p>
    <w:p>
      <w:pPr>
        <w:spacing w:after="0" w:line="16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i w:val="1"/>
          <w:iCs w:val="1"/>
          <w:color w:val="auto"/>
        </w:rPr>
        <w:t>(Continued on next page)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left="80" w:right="879" w:hanging="38"/>
        <w:spacing w:after="0" w:line="232" w:lineRule="auto"/>
        <w:tabs>
          <w:tab w:leader="none" w:pos="193" w:val="left"/>
        </w:tabs>
        <w:numPr>
          <w:ilvl w:val="0"/>
          <w:numId w:val="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OF NET</w:t>
      </w:r>
    </w:p>
    <w:p>
      <w:pPr>
        <w:spacing w:after="0"/>
        <w:rPr>
          <w:sz w:val="20"/>
          <w:szCs w:val="20"/>
          <w:color w:val="auto"/>
        </w:rPr>
      </w:pPr>
      <w:r>
        <w:rPr>
          <w:rFonts w:ascii="Times New Roman" w:cs="Times New Roman" w:eastAsia="Times New Roman" w:hAnsi="Times New Roman"/>
          <w:sz w:val="11"/>
          <w:szCs w:val="11"/>
          <w:b w:val="1"/>
          <w:bCs w:val="1"/>
          <w:color w:val="auto"/>
        </w:rPr>
        <w:t>ASSETS</w:t>
      </w:r>
    </w:p>
    <w:p>
      <w:pPr>
        <w:spacing w:after="0" w:line="12498" w:lineRule="exact"/>
        <w:rPr>
          <w:sz w:val="20"/>
          <w:szCs w:val="20"/>
          <w:color w:val="auto"/>
        </w:rPr>
      </w:pPr>
    </w:p>
    <w:p>
      <w:pPr>
        <w:sectPr>
          <w:pgSz w:w="11900" w:h="16838" w:orient="portrait"/>
          <w:cols w:equalWidth="0" w:num="2">
            <w:col w:w="7600" w:space="180"/>
            <w:col w:w="1239"/>
          </w:cols>
          <w:pgMar w:left="1440" w:top="262" w:right="1440" w:bottom="643"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Accompanying Notes.</w:t>
      </w:r>
    </w:p>
    <w:p>
      <w:pPr>
        <w:sectPr>
          <w:pgSz w:w="11900" w:h="16838" w:orient="portrait"/>
          <w:cols w:equalWidth="0" w:num="1">
            <w:col w:w="9019"/>
          </w:cols>
          <w:pgMar w:left="1440" w:top="262" w:right="1440" w:bottom="643" w:gutter="0" w:footer="0" w:header="0"/>
          <w:type w:val="continuous"/>
        </w:sectPr>
      </w:pP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22225</wp:posOffset>
            </wp:positionV>
            <wp:extent cx="482473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824730" cy="8255"/>
                    </a:xfrm>
                    <a:prstGeom prst="rect">
                      <a:avLst/>
                    </a:prstGeom>
                    <a:noFill/>
                  </pic:spPr>
                </pic:pic>
              </a:graphicData>
            </a:graphic>
          </wp:anchor>
        </w:drawing>
      </w:r>
    </w:p>
    <w:p>
      <w:pPr>
        <w:sectPr>
          <w:pgSz w:w="11900" w:h="16838" w:orient="portrait"/>
          <w:cols w:equalWidth="0" w:num="1">
            <w:col w:w="9019"/>
          </w:cols>
          <w:pgMar w:left="1440" w:top="262" w:right="1440" w:bottom="643" w:gutter="0" w:footer="0" w:header="0"/>
          <w:type w:val="continuous"/>
        </w:sectPr>
      </w:pPr>
    </w:p>
    <w:bookmarkStart w:id="17" w:name="page18"/>
    <w:bookmarkEnd w:id="17"/>
    <w:p>
      <w:pPr>
        <w:ind w:left="7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30"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146"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7"/>
          <w:szCs w:val="17"/>
          <w:b w:val="1"/>
          <w:bCs w:val="1"/>
          <w:color w:val="auto"/>
        </w:rPr>
        <w:t>SCHEDULE OF INVESTMENTS – (continued)</w:t>
      </w:r>
    </w:p>
    <w:p>
      <w:pPr>
        <w:spacing w:after="0" w:line="27"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7"/>
          <w:szCs w:val="17"/>
          <w:b w:val="1"/>
          <w:bCs w:val="1"/>
          <w:color w:val="auto"/>
        </w:rPr>
        <w:t>SEPTEMBER 30, 2022</w:t>
      </w:r>
    </w:p>
    <w:p>
      <w:pPr>
        <w:spacing w:after="0" w:line="7"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43" w:lineRule="exact"/>
        <w:rPr>
          <w:sz w:val="20"/>
          <w:szCs w:val="20"/>
          <w:color w:val="auto"/>
        </w:rPr>
      </w:pPr>
    </w:p>
    <w:tbl>
      <w:tblPr>
        <w:tblLayout w:type="fixed"/>
        <w:tblInd w:w="7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ACQUISITION</w:t>
            </w:r>
          </w:p>
        </w:tc>
        <w:tc>
          <w:tcPr>
            <w:tcW w:w="80" w:type="dxa"/>
            <w:vAlign w:val="bottom"/>
          </w:tcPr>
          <w:p>
            <w:pPr>
              <w:spacing w:after="0"/>
              <w:rPr>
                <w:sz w:val="12"/>
                <w:szCs w:val="12"/>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5"/>
              </w:rPr>
              <w:t>PRINCIPAL</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right"/>
              <w:ind w:right="254"/>
              <w:spacing w:after="0"/>
              <w:rPr>
                <w:sz w:val="20"/>
                <w:szCs w:val="20"/>
                <w:color w:val="auto"/>
              </w:rPr>
            </w:pPr>
            <w:r>
              <w:rPr>
                <w:rFonts w:ascii="Times New Roman" w:cs="Times New Roman" w:eastAsia="Times New Roman" w:hAnsi="Times New Roman"/>
                <w:sz w:val="12"/>
                <w:szCs w:val="12"/>
                <w:b w:val="1"/>
                <w:bCs w:val="1"/>
                <w:color w:val="auto"/>
              </w:rPr>
              <w:t>FAIR</w:t>
            </w:r>
          </w:p>
        </w:tc>
        <w:tc>
          <w:tcPr>
            <w:tcW w:w="0" w:type="dxa"/>
            <w:vAlign w:val="bottom"/>
          </w:tcPr>
          <w:p>
            <w:pPr>
              <w:spacing w:after="0"/>
              <w:rPr>
                <w:sz w:val="1"/>
                <w:szCs w:val="1"/>
                <w:color w:val="auto"/>
              </w:rPr>
            </w:pPr>
          </w:p>
        </w:tc>
      </w:tr>
      <w:tr>
        <w:trPr>
          <w:trHeight w:val="119"/>
        </w:trPr>
        <w:tc>
          <w:tcPr>
            <w:tcW w:w="3360" w:type="dxa"/>
            <w:vAlign w:val="bottom"/>
            <w:gridSpan w:val="5"/>
            <w:vMerge w:val="restart"/>
          </w:tcPr>
          <w:p>
            <w:pPr>
              <w:spacing w:after="0"/>
              <w:rPr>
                <w:sz w:val="20"/>
                <w:szCs w:val="20"/>
                <w:color w:val="auto"/>
              </w:rPr>
            </w:pPr>
            <w:r>
              <w:rPr>
                <w:rFonts w:ascii="Times New Roman" w:cs="Times New Roman" w:eastAsia="Times New Roman" w:hAnsi="Times New Roman"/>
                <w:sz w:val="12"/>
                <w:szCs w:val="12"/>
                <w:b w:val="1"/>
                <w:bCs w:val="1"/>
                <w:color w:val="auto"/>
              </w:rPr>
              <w:t>COMPANY/INVESTMENT</w:t>
            </w:r>
            <w:r>
              <w:rPr>
                <w:rFonts w:ascii="Times New Roman" w:cs="Times New Roman" w:eastAsia="Times New Roman" w:hAnsi="Times New Roman"/>
                <w:sz w:val="13"/>
                <w:szCs w:val="13"/>
                <w:b w:val="1"/>
                <w:bCs w:val="1"/>
                <w:color w:val="auto"/>
                <w:vertAlign w:val="superscript"/>
              </w:rPr>
              <w:t>(1)(13)(14)</w:t>
            </w: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center"/>
              <w:ind w:right="100"/>
              <w:spacing w:after="0" w:line="120" w:lineRule="exact"/>
              <w:rPr>
                <w:sz w:val="20"/>
                <w:szCs w:val="20"/>
                <w:color w:val="auto"/>
              </w:rPr>
            </w:pPr>
            <w:r>
              <w:rPr>
                <w:rFonts w:ascii="Times New Roman" w:cs="Times New Roman" w:eastAsia="Times New Roman" w:hAnsi="Times New Roman"/>
                <w:sz w:val="12"/>
                <w:szCs w:val="12"/>
                <w:b w:val="1"/>
                <w:bCs w:val="1"/>
                <w:color w:val="auto"/>
                <w:w w:val="96"/>
              </w:rPr>
              <w:t>AMOUNT/</w:t>
            </w: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3360" w:type="dxa"/>
            <w:vAlign w:val="bottom"/>
            <w:gridSpan w:val="5"/>
            <w:vMerge w:val="continue"/>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87"/>
              </w:rPr>
              <w:t>DATE</w:t>
            </w:r>
            <w:r>
              <w:rPr>
                <w:rFonts w:ascii="Times New Roman" w:cs="Times New Roman" w:eastAsia="Times New Roman" w:hAnsi="Times New Roman"/>
                <w:sz w:val="13"/>
                <w:szCs w:val="13"/>
                <w:b w:val="1"/>
                <w:bCs w:val="1"/>
                <w:color w:val="auto"/>
                <w:w w:val="87"/>
                <w:vertAlign w:val="superscript"/>
              </w:rPr>
              <w:t>(15)</w:t>
            </w:r>
          </w:p>
        </w:tc>
        <w:tc>
          <w:tcPr>
            <w:tcW w:w="80" w:type="dxa"/>
            <w:vAlign w:val="bottom"/>
          </w:tcPr>
          <w:p>
            <w:pPr>
              <w:spacing w:after="0"/>
              <w:rPr>
                <w:sz w:val="15"/>
                <w:szCs w:val="15"/>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SHARES</w:t>
            </w:r>
          </w:p>
        </w:tc>
        <w:tc>
          <w:tcPr>
            <w:tcW w:w="160" w:type="dxa"/>
            <w:vAlign w:val="bottom"/>
          </w:tcPr>
          <w:p>
            <w:pPr>
              <w:spacing w:after="0"/>
              <w:rPr>
                <w:sz w:val="15"/>
                <w:szCs w:val="15"/>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COST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134"/>
              <w:spacing w:after="0"/>
              <w:rPr>
                <w:sz w:val="20"/>
                <w:szCs w:val="20"/>
                <w:color w:val="auto"/>
              </w:rPr>
            </w:pPr>
            <w:r>
              <w:rPr>
                <w:rFonts w:ascii="Times New Roman" w:cs="Times New Roman" w:eastAsia="Times New Roman" w:hAnsi="Times New Roman"/>
                <w:sz w:val="12"/>
                <w:szCs w:val="12"/>
                <w:b w:val="1"/>
                <w:bCs w:val="1"/>
                <w:color w:val="auto"/>
                <w:w w:val="99"/>
              </w:rPr>
              <w:t>VALUE</w:t>
            </w:r>
            <w:r>
              <w:rPr>
                <w:rFonts w:ascii="Times New Roman" w:cs="Times New Roman" w:eastAsia="Times New Roman" w:hAnsi="Times New Roman"/>
                <w:sz w:val="13"/>
                <w:szCs w:val="13"/>
                <w:b w:val="1"/>
                <w:bCs w:val="1"/>
                <w:color w:val="auto"/>
                <w:w w:val="99"/>
                <w:vertAlign w:val="superscript"/>
              </w:rPr>
              <w:t>(2)</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260" w:type="dxa"/>
            <w:vAlign w:val="bottom"/>
            <w:tcBorders>
              <w:top w:val="single" w:sz="8" w:color="auto"/>
            </w:tcBorders>
            <w:gridSpan w:val="3"/>
          </w:tcPr>
          <w:p>
            <w:pPr>
              <w:spacing w:after="0" w:line="127" w:lineRule="exact"/>
              <w:rPr>
                <w:sz w:val="20"/>
                <w:szCs w:val="20"/>
                <w:color w:val="auto"/>
              </w:rPr>
            </w:pPr>
            <w:r>
              <w:rPr>
                <w:rFonts w:ascii="Times New Roman" w:cs="Times New Roman" w:eastAsia="Times New Roman" w:hAnsi="Times New Roman"/>
                <w:sz w:val="13"/>
                <w:szCs w:val="13"/>
                <w:b w:val="1"/>
                <w:bCs w:val="1"/>
                <w:color w:val="auto"/>
              </w:rPr>
              <w:t>Collateralized Loan Obligation – Equity Investments</w:t>
            </w:r>
          </w:p>
        </w:tc>
        <w:tc>
          <w:tcPr>
            <w:tcW w:w="8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4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(continued)</w:t>
            </w:r>
          </w:p>
        </w:tc>
        <w:tc>
          <w:tcPr>
            <w:tcW w:w="300" w:type="dxa"/>
            <w:vAlign w:val="bottom"/>
            <w:gridSpan w:val="2"/>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36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Structured Finance – Equity Investments (continued)</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236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3"/>
                <w:szCs w:val="13"/>
                <w:b w:val="1"/>
                <w:bCs w:val="1"/>
                <w:color w:val="auto"/>
              </w:rPr>
              <w:t>Ares XXXIV CLO Ltd.</w:t>
            </w:r>
          </w:p>
        </w:tc>
        <w:tc>
          <w:tcPr>
            <w:tcW w:w="980" w:type="dxa"/>
            <w:vAlign w:val="bottom"/>
            <w:gridSpan w:val="3"/>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14.67%,</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08/30/2021</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$ 15,000,000</w:t>
            </w:r>
          </w:p>
        </w:tc>
        <w:tc>
          <w:tcPr>
            <w:tcW w:w="160" w:type="dxa"/>
            <w:vAlign w:val="bottom"/>
            <w:vMerge w:val="restart"/>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7,399,492</w:t>
            </w:r>
          </w:p>
        </w:tc>
        <w:tc>
          <w:tcPr>
            <w:tcW w:w="1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5,013,404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April 17, 2033)</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Ares XXXVR CLO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18.83%,</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09/13/2022</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7,000,000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2,838,364</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2,480,906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July 15, 2030)</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Ares XXXVII CLO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4.92%,</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02/12/2019</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25,000,000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12,059,679</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6,077,851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October 15, 2030)</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Ares XL CLO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22.29%,</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11/30/2017</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31,683,000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9,591,132</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6,383,433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January 15, 2029)</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Ares XLII CLO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17.01%,</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06/23/2021</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21,910,000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9,117,147</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4,694,221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January 22, 2028)</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Ares XLVI CLO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20.75%,</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01/25/2022</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6,400,000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3,828,381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2,783,625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January 15, 2030)</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Ares XLIX CLO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21.63%,</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08/19/2022</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3,600,000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1,624,940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1,344,581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July 22, 2030)</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Ares LVII CLO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22.05%,</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08/22/2022</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21,200,000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12,921,275</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12,147,087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January 25, 2035)</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Ares LXI CLO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(5)(7)(8)</w:t>
            </w:r>
            <w:r>
              <w:rPr>
                <w:rFonts w:ascii="Times New Roman" w:cs="Times New Roman" w:eastAsia="Times New Roman" w:hAnsi="Times New Roman"/>
                <w:sz w:val="13"/>
                <w:szCs w:val="13"/>
                <w:color w:val="auto"/>
              </w:rPr>
              <w:t>, (Estimated yield</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08/25/2021</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13,000,000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11,290,397</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9,500,591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16.45%, maturity October 20, 2034)</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Atlas Senior Loan Funding XVII,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19.61%,</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09/20/2021</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6,000,000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4,942,159</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3,960,000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October 20, 2034)</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Atlas Senior Loan Fund XVIII,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20.57%,</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04/21/2022</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6,000,000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3,873,986</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2,940,000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January 18, 2035)</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Atrium XV</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(5)(7)(11)</w:t>
            </w:r>
            <w:r>
              <w:rPr>
                <w:rFonts w:ascii="Times New Roman" w:cs="Times New Roman" w:eastAsia="Times New Roman" w:hAnsi="Times New Roman"/>
                <w:sz w:val="13"/>
                <w:szCs w:val="13"/>
                <w:color w:val="auto"/>
              </w:rPr>
              <w:t>, (Estimated yield</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09/17/2019</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21,000,000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14,202,845</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10,920,000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15.32%, maturity January 23, 2048)</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Battalion CLO VII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(5)(7)(10)</w:t>
            </w:r>
            <w:r>
              <w:rPr>
                <w:rFonts w:ascii="Times New Roman" w:cs="Times New Roman" w:eastAsia="Times New Roman" w:hAnsi="Times New Roman"/>
                <w:sz w:val="13"/>
                <w:szCs w:val="13"/>
                <w:color w:val="auto"/>
              </w:rPr>
              <w:t>, (Estimated yield 0.00%,</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07/03/2018</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26,900,000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3,324,690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833,900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July 17, 2028)</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-7133590</wp:posOffset>
            </wp:positionV>
            <wp:extent cx="4824730" cy="168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-6739255</wp:posOffset>
            </wp:positionV>
            <wp:extent cx="4824730" cy="168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-6401435</wp:posOffset>
            </wp:positionV>
            <wp:extent cx="4824730" cy="2254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824730" cy="225425"/>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-6007735</wp:posOffset>
            </wp:positionV>
            <wp:extent cx="4824730" cy="168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-5613400</wp:posOffset>
            </wp:positionV>
            <wp:extent cx="4824730" cy="168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-5275580</wp:posOffset>
            </wp:positionV>
            <wp:extent cx="4824730" cy="2254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824730" cy="225425"/>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-4881880</wp:posOffset>
            </wp:positionV>
            <wp:extent cx="4824730" cy="168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-4487545</wp:posOffset>
            </wp:positionV>
            <wp:extent cx="4824730" cy="168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-4149725</wp:posOffset>
            </wp:positionV>
            <wp:extent cx="4824730" cy="2254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824730" cy="225425"/>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-3756025</wp:posOffset>
            </wp:positionV>
            <wp:extent cx="4824730" cy="168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-3361690</wp:posOffset>
            </wp:positionV>
            <wp:extent cx="4824730" cy="168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-3024505</wp:posOffset>
            </wp:positionV>
            <wp:extent cx="4824730" cy="2254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824730" cy="225425"/>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-2630170</wp:posOffset>
            </wp:positionV>
            <wp:extent cx="4824730" cy="168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-2236470</wp:posOffset>
            </wp:positionV>
            <wp:extent cx="4824730" cy="168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-1898650</wp:posOffset>
            </wp:positionV>
            <wp:extent cx="4824730" cy="2254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824730" cy="225425"/>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-1504315</wp:posOffset>
            </wp:positionV>
            <wp:extent cx="4824730" cy="168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-1110615</wp:posOffset>
            </wp:positionV>
            <wp:extent cx="4824730" cy="168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-772795</wp:posOffset>
            </wp:positionV>
            <wp:extent cx="4824730" cy="2254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824730" cy="225425"/>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-378460</wp:posOffset>
            </wp:positionV>
            <wp:extent cx="4824730" cy="168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-7511415</wp:posOffset>
            </wp:positionV>
            <wp:extent cx="4824730" cy="2089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824730" cy="208915"/>
                    </a:xfrm>
                    <a:prstGeom prst="rect">
                      <a:avLst/>
                    </a:prstGeom>
                    <a:noFill/>
                  </pic:spPr>
                </pic:pic>
              </a:graphicData>
            </a:graphic>
          </wp:anchor>
        </w:drawing>
      </w:r>
    </w:p>
    <w:p>
      <w:pPr>
        <w:spacing w:after="0" w:line="16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i w:val="1"/>
          <w:iCs w:val="1"/>
          <w:color w:val="auto"/>
        </w:rPr>
        <w:t>(Continued on next page)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left="80" w:right="879" w:hanging="38"/>
        <w:spacing w:after="0" w:line="232" w:lineRule="auto"/>
        <w:tabs>
          <w:tab w:leader="none" w:pos="193" w:val="left"/>
        </w:tabs>
        <w:numPr>
          <w:ilvl w:val="0"/>
          <w:numId w:val="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OF NET</w:t>
      </w:r>
    </w:p>
    <w:p>
      <w:pPr>
        <w:spacing w:after="0"/>
        <w:rPr>
          <w:sz w:val="20"/>
          <w:szCs w:val="20"/>
          <w:color w:val="auto"/>
        </w:rPr>
      </w:pPr>
      <w:r>
        <w:rPr>
          <w:rFonts w:ascii="Times New Roman" w:cs="Times New Roman" w:eastAsia="Times New Roman" w:hAnsi="Times New Roman"/>
          <w:sz w:val="11"/>
          <w:szCs w:val="11"/>
          <w:b w:val="1"/>
          <w:bCs w:val="1"/>
          <w:color w:val="auto"/>
        </w:rPr>
        <w:t>ASSETS</w:t>
      </w:r>
    </w:p>
    <w:p>
      <w:pPr>
        <w:spacing w:after="0" w:line="12447" w:lineRule="exact"/>
        <w:rPr>
          <w:sz w:val="20"/>
          <w:szCs w:val="20"/>
          <w:color w:val="auto"/>
        </w:rPr>
      </w:pPr>
    </w:p>
    <w:p>
      <w:pPr>
        <w:sectPr>
          <w:pgSz w:w="11900" w:h="16838" w:orient="portrait"/>
          <w:cols w:equalWidth="0" w:num="2">
            <w:col w:w="7600" w:space="180"/>
            <w:col w:w="1239"/>
          </w:cols>
          <w:pgMar w:left="1440" w:top="262" w:right="1440" w:bottom="694"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Accompanying Notes.</w:t>
      </w:r>
    </w:p>
    <w:p>
      <w:pPr>
        <w:sectPr>
          <w:pgSz w:w="11900" w:h="16838" w:orient="portrait"/>
          <w:cols w:equalWidth="0" w:num="1">
            <w:col w:w="9019"/>
          </w:cols>
          <w:pgMar w:left="1440" w:top="262" w:right="1440" w:bottom="694" w:gutter="0" w:footer="0" w:header="0"/>
          <w:type w:val="continuous"/>
        </w:sectPr>
      </w:pP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22225</wp:posOffset>
            </wp:positionV>
            <wp:extent cx="482473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824730" cy="8255"/>
                    </a:xfrm>
                    <a:prstGeom prst="rect">
                      <a:avLst/>
                    </a:prstGeom>
                    <a:noFill/>
                  </pic:spPr>
                </pic:pic>
              </a:graphicData>
            </a:graphic>
          </wp:anchor>
        </w:drawing>
      </w:r>
    </w:p>
    <w:p>
      <w:pPr>
        <w:sectPr>
          <w:pgSz w:w="11900" w:h="16838" w:orient="portrait"/>
          <w:cols w:equalWidth="0" w:num="1">
            <w:col w:w="9019"/>
          </w:cols>
          <w:pgMar w:left="1440" w:top="262" w:right="1440" w:bottom="694" w:gutter="0" w:footer="0" w:header="0"/>
          <w:type w:val="continuous"/>
        </w:sectPr>
      </w:pPr>
    </w:p>
    <w:bookmarkStart w:id="18" w:name="page19"/>
    <w:bookmarkEnd w:id="18"/>
    <w:p>
      <w:pPr>
        <w:ind w:left="7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10"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134"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7"/>
          <w:szCs w:val="17"/>
          <w:b w:val="1"/>
          <w:bCs w:val="1"/>
          <w:color w:val="auto"/>
        </w:rPr>
        <w:t>SCHEDULE OF INVESTMENTS – (continued)</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SEPTEMBER 30, 2022</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56" w:lineRule="exact"/>
        <w:rPr>
          <w:sz w:val="20"/>
          <w:szCs w:val="20"/>
          <w:color w:val="auto"/>
        </w:rPr>
      </w:pPr>
    </w:p>
    <w:tbl>
      <w:tblPr>
        <w:tblLayout w:type="fixed"/>
        <w:tblInd w:w="700" w:type="dxa"/>
        <w:tblCellMar>
          <w:top w:w="0" w:type="dxa"/>
          <w:left w:w="0" w:type="dxa"/>
          <w:bottom w:w="0" w:type="dxa"/>
          <w:right w:w="0" w:type="dxa"/>
        </w:tblCellMar>
      </w:tblPr>
      <w:tr>
        <w:trPr>
          <w:trHeight w:val="138"/>
        </w:trPr>
        <w:tc>
          <w:tcPr>
            <w:tcW w:w="2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ACQUISITION</w:t>
            </w:r>
          </w:p>
        </w:tc>
        <w:tc>
          <w:tcPr>
            <w:tcW w:w="80" w:type="dxa"/>
            <w:vAlign w:val="bottom"/>
          </w:tcPr>
          <w:p>
            <w:pPr>
              <w:spacing w:after="0"/>
              <w:rPr>
                <w:sz w:val="12"/>
                <w:szCs w:val="12"/>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5"/>
              </w:rPr>
              <w:t>PRINCIPAL</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5"/>
              </w:rPr>
              <w:t>FAIR</w:t>
            </w: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 OF</w:t>
            </w:r>
          </w:p>
        </w:tc>
        <w:tc>
          <w:tcPr>
            <w:tcW w:w="0" w:type="dxa"/>
            <w:vAlign w:val="bottom"/>
          </w:tcPr>
          <w:p>
            <w:pPr>
              <w:spacing w:after="0"/>
              <w:rPr>
                <w:sz w:val="1"/>
                <w:szCs w:val="1"/>
                <w:color w:val="auto"/>
              </w:rPr>
            </w:pPr>
          </w:p>
        </w:tc>
      </w:tr>
      <w:tr>
        <w:trPr>
          <w:trHeight w:val="119"/>
        </w:trPr>
        <w:tc>
          <w:tcPr>
            <w:tcW w:w="3360" w:type="dxa"/>
            <w:vAlign w:val="bottom"/>
            <w:gridSpan w:val="4"/>
            <w:vMerge w:val="restart"/>
          </w:tcPr>
          <w:p>
            <w:pPr>
              <w:spacing w:after="0"/>
              <w:rPr>
                <w:sz w:val="20"/>
                <w:szCs w:val="20"/>
                <w:color w:val="auto"/>
              </w:rPr>
            </w:pPr>
            <w:r>
              <w:rPr>
                <w:rFonts w:ascii="Times New Roman" w:cs="Times New Roman" w:eastAsia="Times New Roman" w:hAnsi="Times New Roman"/>
                <w:sz w:val="12"/>
                <w:szCs w:val="12"/>
                <w:b w:val="1"/>
                <w:bCs w:val="1"/>
                <w:color w:val="auto"/>
              </w:rPr>
              <w:t>COMPANY/INVESTMENT</w:t>
            </w:r>
            <w:r>
              <w:rPr>
                <w:rFonts w:ascii="Times New Roman" w:cs="Times New Roman" w:eastAsia="Times New Roman" w:hAnsi="Times New Roman"/>
                <w:sz w:val="13"/>
                <w:szCs w:val="13"/>
                <w:b w:val="1"/>
                <w:bCs w:val="1"/>
                <w:color w:val="auto"/>
                <w:vertAlign w:val="superscript"/>
              </w:rPr>
              <w:t>(1)(13)(14)</w:t>
            </w: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center"/>
              <w:ind w:right="100"/>
              <w:spacing w:after="0" w:line="120" w:lineRule="exact"/>
              <w:rPr>
                <w:sz w:val="20"/>
                <w:szCs w:val="20"/>
                <w:color w:val="auto"/>
              </w:rPr>
            </w:pPr>
            <w:r>
              <w:rPr>
                <w:rFonts w:ascii="Times New Roman" w:cs="Times New Roman" w:eastAsia="Times New Roman" w:hAnsi="Times New Roman"/>
                <w:sz w:val="12"/>
                <w:szCs w:val="12"/>
                <w:b w:val="1"/>
                <w:bCs w:val="1"/>
                <w:color w:val="auto"/>
                <w:w w:val="96"/>
              </w:rPr>
              <w:t>AMOUNT/</w:t>
            </w: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62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b w:val="1"/>
                <w:bCs w:val="1"/>
                <w:color w:val="auto"/>
                <w:w w:val="97"/>
              </w:rPr>
              <w:t>NET</w:t>
            </w:r>
          </w:p>
        </w:tc>
        <w:tc>
          <w:tcPr>
            <w:tcW w:w="0" w:type="dxa"/>
            <w:vAlign w:val="bottom"/>
          </w:tcPr>
          <w:p>
            <w:pPr>
              <w:spacing w:after="0"/>
              <w:rPr>
                <w:sz w:val="1"/>
                <w:szCs w:val="1"/>
                <w:color w:val="auto"/>
              </w:rPr>
            </w:pPr>
          </w:p>
        </w:tc>
      </w:tr>
      <w:tr>
        <w:trPr>
          <w:trHeight w:val="183"/>
        </w:trPr>
        <w:tc>
          <w:tcPr>
            <w:tcW w:w="3360" w:type="dxa"/>
            <w:vAlign w:val="bottom"/>
            <w:gridSpan w:val="4"/>
            <w:vMerge w:val="continue"/>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87"/>
              </w:rPr>
              <w:t>DATE</w:t>
            </w:r>
            <w:r>
              <w:rPr>
                <w:rFonts w:ascii="Times New Roman" w:cs="Times New Roman" w:eastAsia="Times New Roman" w:hAnsi="Times New Roman"/>
                <w:sz w:val="13"/>
                <w:szCs w:val="13"/>
                <w:b w:val="1"/>
                <w:bCs w:val="1"/>
                <w:color w:val="auto"/>
                <w:w w:val="87"/>
                <w:vertAlign w:val="superscript"/>
              </w:rPr>
              <w:t>(15)</w:t>
            </w:r>
          </w:p>
        </w:tc>
        <w:tc>
          <w:tcPr>
            <w:tcW w:w="80" w:type="dxa"/>
            <w:vAlign w:val="bottom"/>
          </w:tcPr>
          <w:p>
            <w:pPr>
              <w:spacing w:after="0"/>
              <w:rPr>
                <w:sz w:val="15"/>
                <w:szCs w:val="15"/>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SHARES</w:t>
            </w:r>
          </w:p>
        </w:tc>
        <w:tc>
          <w:tcPr>
            <w:tcW w:w="160" w:type="dxa"/>
            <w:vAlign w:val="bottom"/>
          </w:tcPr>
          <w:p>
            <w:pPr>
              <w:spacing w:after="0"/>
              <w:rPr>
                <w:sz w:val="15"/>
                <w:szCs w:val="15"/>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COST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2"/>
              </w:rPr>
              <w:t>VALUE</w:t>
            </w:r>
            <w:r>
              <w:rPr>
                <w:rFonts w:ascii="Times New Roman" w:cs="Times New Roman" w:eastAsia="Times New Roman" w:hAnsi="Times New Roman"/>
                <w:sz w:val="13"/>
                <w:szCs w:val="13"/>
                <w:b w:val="1"/>
                <w:bCs w:val="1"/>
                <w:color w:val="auto"/>
                <w:w w:val="92"/>
                <w:vertAlign w:val="superscript"/>
              </w:rPr>
              <w:t>(2)</w:t>
            </w: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ASSETS</w:t>
            </w:r>
          </w:p>
        </w:tc>
        <w:tc>
          <w:tcPr>
            <w:tcW w:w="0" w:type="dxa"/>
            <w:vAlign w:val="bottom"/>
          </w:tcPr>
          <w:p>
            <w:pPr>
              <w:spacing w:after="0"/>
              <w:rPr>
                <w:sz w:val="1"/>
                <w:szCs w:val="1"/>
                <w:color w:val="auto"/>
              </w:rPr>
            </w:pPr>
          </w:p>
        </w:tc>
      </w:tr>
      <w:tr>
        <w:trPr>
          <w:trHeight w:val="127"/>
        </w:trPr>
        <w:tc>
          <w:tcPr>
            <w:tcW w:w="3280" w:type="dxa"/>
            <w:vAlign w:val="bottom"/>
            <w:tcBorders>
              <w:top w:val="single" w:sz="8" w:color="auto"/>
            </w:tcBorders>
            <w:gridSpan w:val="3"/>
            <w:shd w:val="clear" w:color="auto" w:fill="CCEEFF"/>
          </w:tcPr>
          <w:p>
            <w:pPr>
              <w:spacing w:after="0" w:line="127" w:lineRule="exact"/>
              <w:rPr>
                <w:sz w:val="20"/>
                <w:szCs w:val="20"/>
                <w:color w:val="auto"/>
              </w:rPr>
            </w:pPr>
            <w:r>
              <w:rPr>
                <w:rFonts w:ascii="Times New Roman" w:cs="Times New Roman" w:eastAsia="Times New Roman" w:hAnsi="Times New Roman"/>
                <w:sz w:val="13"/>
                <w:szCs w:val="13"/>
                <w:b w:val="1"/>
                <w:bCs w:val="1"/>
                <w:color w:val="auto"/>
              </w:rPr>
              <w:t>Collateralized Loan Obligation – Equity Investments</w:t>
            </w:r>
          </w:p>
        </w:tc>
        <w:tc>
          <w:tcPr>
            <w:tcW w:w="8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3060" w:type="dxa"/>
            <w:vAlign w:val="bottom"/>
            <w:tcBorders>
              <w:top w:val="single" w:sz="8" w:color="auto"/>
            </w:tcBorders>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(continued)</w:t>
            </w:r>
          </w:p>
        </w:tc>
        <w:tc>
          <w:tcPr>
            <w:tcW w:w="300" w:type="dxa"/>
            <w:vAlign w:val="bottom"/>
            <w:tcBorders>
              <w:top w:val="single" w:sz="8" w:color="CCEEFF"/>
            </w:tcBorders>
            <w:gridSpan w:val="2"/>
            <w:shd w:val="clear" w:color="auto" w:fill="CCEEFF"/>
          </w:tcPr>
          <w:p>
            <w:pPr>
              <w:spacing w:after="0"/>
              <w:rPr>
                <w:sz w:val="14"/>
                <w:szCs w:val="14"/>
                <w:color w:val="auto"/>
              </w:rPr>
            </w:pPr>
          </w:p>
        </w:tc>
        <w:tc>
          <w:tcPr>
            <w:tcW w:w="8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36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Structured Finance – Equity Investments (continued)</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2380" w:type="dxa"/>
            <w:vAlign w:val="bottom"/>
            <w:tcBorders>
              <w:top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3360" w:type="dxa"/>
            <w:vAlign w:val="bottom"/>
            <w:tcBorders>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Benefit Street Partners CLO V Ltd.</w:t>
            </w: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7"/>
        </w:trPr>
        <w:tc>
          <w:tcPr>
            <w:tcW w:w="3360" w:type="dxa"/>
            <w:vAlign w:val="bottom"/>
            <w:gridSpan w:val="4"/>
          </w:tcPr>
          <w:p>
            <w:pPr>
              <w:ind w:left="180"/>
              <w:spacing w:after="0" w:line="157" w:lineRule="exact"/>
              <w:rPr>
                <w:sz w:val="20"/>
                <w:szCs w:val="20"/>
                <w:color w:val="auto"/>
              </w:rPr>
            </w:pPr>
            <w:r>
              <w:rPr>
                <w:rFonts w:ascii="Times New Roman" w:cs="Times New Roman" w:eastAsia="Times New Roman" w:hAnsi="Times New Roman"/>
                <w:sz w:val="12"/>
                <w:szCs w:val="12"/>
                <w:color w:val="auto"/>
              </w:rPr>
              <w:t xml:space="preserve">CLO preference shares </w:t>
            </w:r>
            <w:r>
              <w:rPr>
                <w:rFonts w:ascii="Times New Roman" w:cs="Times New Roman" w:eastAsia="Times New Roman" w:hAnsi="Times New Roman"/>
                <w:sz w:val="18"/>
                <w:szCs w:val="18"/>
                <w:color w:val="auto"/>
                <w:vertAlign w:val="superscript"/>
              </w:rPr>
              <w:t>(5)(7)(10)</w:t>
            </w:r>
            <w:r>
              <w:rPr>
                <w:rFonts w:ascii="Times New Roman" w:cs="Times New Roman" w:eastAsia="Times New Roman" w:hAnsi="Times New Roman"/>
                <w:sz w:val="12"/>
                <w:szCs w:val="12"/>
                <w:color w:val="auto"/>
              </w:rPr>
              <w:t>, (Estimated yield 0.00%,</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07/27/2015</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$ 11,500,000</w:t>
            </w:r>
          </w:p>
        </w:tc>
        <w:tc>
          <w:tcPr>
            <w:tcW w:w="160" w:type="dxa"/>
            <w:vAlign w:val="bottom"/>
            <w:vMerge w:val="restart"/>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486,128</w:t>
            </w:r>
          </w:p>
        </w:tc>
        <w:tc>
          <w:tcPr>
            <w:tcW w:w="1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138,000</w:t>
            </w: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360" w:type="dxa"/>
            <w:vAlign w:val="bottom"/>
            <w:gridSpan w:val="4"/>
          </w:tcPr>
          <w:p>
            <w:pPr>
              <w:ind w:left="340"/>
              <w:spacing w:after="0"/>
              <w:rPr>
                <w:sz w:val="20"/>
                <w:szCs w:val="20"/>
                <w:color w:val="auto"/>
              </w:rPr>
            </w:pPr>
            <w:r>
              <w:rPr>
                <w:rFonts w:ascii="Times New Roman" w:cs="Times New Roman" w:eastAsia="Times New Roman" w:hAnsi="Times New Roman"/>
                <w:sz w:val="13"/>
                <w:szCs w:val="13"/>
                <w:color w:val="auto"/>
              </w:rPr>
              <w:t>maturity October 20, 2026)</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6"/>
        </w:trPr>
        <w:tc>
          <w:tcPr>
            <w:tcW w:w="23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gridSpan w:val="4"/>
          </w:tcPr>
          <w:p>
            <w:pPr>
              <w:ind w:left="180"/>
              <w:spacing w:after="0"/>
              <w:rPr>
                <w:sz w:val="20"/>
                <w:szCs w:val="20"/>
                <w:color w:val="auto"/>
              </w:rPr>
            </w:pPr>
            <w:r>
              <w:rPr>
                <w:rFonts w:ascii="Times New Roman" w:cs="Times New Roman" w:eastAsia="Times New Roman" w:hAnsi="Times New Roman"/>
                <w:sz w:val="13"/>
                <w:szCs w:val="13"/>
                <w:b w:val="1"/>
                <w:bCs w:val="1"/>
                <w:color w:val="auto"/>
              </w:rPr>
              <w:t>Bighorn VI, Ltd.</w:t>
            </w: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9"/>
        </w:trPr>
        <w:tc>
          <w:tcPr>
            <w:tcW w:w="3360" w:type="dxa"/>
            <w:vAlign w:val="bottom"/>
            <w:gridSpan w:val="4"/>
            <w:shd w:val="clear" w:color="auto" w:fill="CCEEFF"/>
          </w:tcPr>
          <w:p>
            <w:pPr>
              <w:ind w:left="180"/>
              <w:spacing w:after="0" w:line="119" w:lineRule="exact"/>
              <w:rPr>
                <w:sz w:val="20"/>
                <w:szCs w:val="20"/>
                <w:color w:val="auto"/>
              </w:rPr>
            </w:pPr>
            <w:r>
              <w:rPr>
                <w:rFonts w:ascii="Times New Roman" w:cs="Times New Roman" w:eastAsia="Times New Roman" w:hAnsi="Times New Roman"/>
                <w:sz w:val="13"/>
                <w:szCs w:val="13"/>
                <w:color w:val="auto"/>
              </w:rPr>
              <w:t>CLO subordinated warehouse notes(4)(5)(7), (Estimated</w:t>
            </w:r>
          </w:p>
        </w:tc>
        <w:tc>
          <w:tcPr>
            <w:tcW w:w="8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09/21/2021</w:t>
            </w:r>
          </w:p>
        </w:tc>
        <w:tc>
          <w:tcPr>
            <w:tcW w:w="90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25,781,250</w:t>
            </w:r>
          </w:p>
        </w:tc>
        <w:tc>
          <w:tcPr>
            <w:tcW w:w="16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25,781,250</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25,781,250</w:t>
            </w: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3360" w:type="dxa"/>
            <w:vAlign w:val="bottom"/>
            <w:tcBorders>
              <w:bottom w:val="single" w:sz="8" w:color="CCEEFF"/>
            </w:tcBorders>
            <w:gridSpan w:val="4"/>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yield 13.74%, maturity February 18, 2023)</w:t>
            </w:r>
          </w:p>
        </w:tc>
        <w:tc>
          <w:tcPr>
            <w:tcW w:w="820" w:type="dxa"/>
            <w:vAlign w:val="bottom"/>
            <w:tcBorders>
              <w:bottom w:val="single" w:sz="8" w:color="CCEEFF"/>
            </w:tcBorders>
            <w:vMerge w:val="continue"/>
            <w:shd w:val="clear" w:color="auto" w:fill="CCEEFF"/>
          </w:tcPr>
          <w:p>
            <w:pPr>
              <w:spacing w:after="0"/>
              <w:rPr>
                <w:sz w:val="15"/>
                <w:szCs w:val="15"/>
                <w:color w:val="auto"/>
              </w:rPr>
            </w:pPr>
          </w:p>
        </w:tc>
        <w:tc>
          <w:tcPr>
            <w:tcW w:w="900" w:type="dxa"/>
            <w:vAlign w:val="bottom"/>
            <w:tcBorders>
              <w:bottom w:val="single" w:sz="8" w:color="CCEEFF"/>
            </w:tcBorders>
            <w:gridSpan w:val="3"/>
            <w:vMerge w:val="continue"/>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vMerge w:val="continue"/>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23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6"/>
        </w:trPr>
        <w:tc>
          <w:tcPr>
            <w:tcW w:w="3360" w:type="dxa"/>
            <w:vAlign w:val="bottom"/>
            <w:tcBorders>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BlueMountain Fuji US CLO II Ltd.</w:t>
            </w: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7"/>
        </w:trPr>
        <w:tc>
          <w:tcPr>
            <w:tcW w:w="3360" w:type="dxa"/>
            <w:vAlign w:val="bottom"/>
            <w:gridSpan w:val="4"/>
          </w:tcPr>
          <w:p>
            <w:pPr>
              <w:ind w:left="180"/>
              <w:spacing w:after="0" w:line="157"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8"/>
                <w:szCs w:val="18"/>
                <w:color w:val="auto"/>
                <w:vertAlign w:val="superscript"/>
              </w:rPr>
              <w:t>(5)(7)</w:t>
            </w:r>
            <w:r>
              <w:rPr>
                <w:rFonts w:ascii="Times New Roman" w:cs="Times New Roman" w:eastAsia="Times New Roman" w:hAnsi="Times New Roman"/>
                <w:sz w:val="12"/>
                <w:szCs w:val="12"/>
                <w:color w:val="auto"/>
              </w:rPr>
              <w:t>, (Estimated yield 18.15%,</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02/13/2020</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31,480,000</w:t>
            </w:r>
          </w:p>
        </w:tc>
        <w:tc>
          <w:tcPr>
            <w:tcW w:w="160" w:type="dxa"/>
            <w:vAlign w:val="bottom"/>
          </w:tcPr>
          <w:p>
            <w:pPr>
              <w:spacing w:after="0"/>
              <w:rPr>
                <w:sz w:val="13"/>
                <w:szCs w:val="13"/>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16,132,053</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10,388,400</w:t>
            </w: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360" w:type="dxa"/>
            <w:vAlign w:val="bottom"/>
            <w:gridSpan w:val="4"/>
          </w:tcPr>
          <w:p>
            <w:pPr>
              <w:ind w:left="340"/>
              <w:spacing w:after="0"/>
              <w:rPr>
                <w:sz w:val="20"/>
                <w:szCs w:val="20"/>
                <w:color w:val="auto"/>
              </w:rPr>
            </w:pPr>
            <w:r>
              <w:rPr>
                <w:rFonts w:ascii="Times New Roman" w:cs="Times New Roman" w:eastAsia="Times New Roman" w:hAnsi="Times New Roman"/>
                <w:sz w:val="13"/>
                <w:szCs w:val="13"/>
                <w:color w:val="auto"/>
              </w:rPr>
              <w:t>maturity October 20, 2030)</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6"/>
        </w:trPr>
        <w:tc>
          <w:tcPr>
            <w:tcW w:w="23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gridSpan w:val="4"/>
          </w:tcPr>
          <w:p>
            <w:pPr>
              <w:ind w:left="180"/>
              <w:spacing w:after="0"/>
              <w:rPr>
                <w:sz w:val="20"/>
                <w:szCs w:val="20"/>
                <w:color w:val="auto"/>
              </w:rPr>
            </w:pPr>
            <w:r>
              <w:rPr>
                <w:rFonts w:ascii="Times New Roman" w:cs="Times New Roman" w:eastAsia="Times New Roman" w:hAnsi="Times New Roman"/>
                <w:sz w:val="13"/>
                <w:szCs w:val="13"/>
                <w:b w:val="1"/>
                <w:bCs w:val="1"/>
                <w:color w:val="auto"/>
              </w:rPr>
              <w:t>BlueMountain CLO 2015-4 Ltd.</w:t>
            </w: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360" w:type="dxa"/>
            <w:vAlign w:val="bottom"/>
            <w:gridSpan w:val="4"/>
            <w:shd w:val="clear" w:color="auto" w:fill="CCEEFF"/>
          </w:tcPr>
          <w:p>
            <w:pPr>
              <w:ind w:left="180"/>
              <w:spacing w:after="0" w:line="157"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8"/>
                <w:szCs w:val="18"/>
                <w:color w:val="auto"/>
                <w:vertAlign w:val="superscript"/>
              </w:rPr>
              <w:t>(5)(7)</w:t>
            </w:r>
            <w:r>
              <w:rPr>
                <w:rFonts w:ascii="Times New Roman" w:cs="Times New Roman" w:eastAsia="Times New Roman" w:hAnsi="Times New Roman"/>
                <w:sz w:val="12"/>
                <w:szCs w:val="12"/>
                <w:color w:val="auto"/>
              </w:rPr>
              <w:t>, (Estimated yield 24.85%,</w:t>
            </w:r>
          </w:p>
        </w:tc>
        <w:tc>
          <w:tcPr>
            <w:tcW w:w="8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07/22/2020</w:t>
            </w:r>
          </w:p>
        </w:tc>
        <w:tc>
          <w:tcPr>
            <w:tcW w:w="90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9,644,700</w:t>
            </w:r>
          </w:p>
        </w:tc>
        <w:tc>
          <w:tcPr>
            <w:tcW w:w="16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4,074,958</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2,700,516</w:t>
            </w: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3360" w:type="dxa"/>
            <w:vAlign w:val="bottom"/>
            <w:tcBorders>
              <w:bottom w:val="single" w:sz="8" w:color="CCEEFF"/>
            </w:tcBorders>
            <w:gridSpan w:val="4"/>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maturity April 20, 2030)</w:t>
            </w:r>
          </w:p>
        </w:tc>
        <w:tc>
          <w:tcPr>
            <w:tcW w:w="820" w:type="dxa"/>
            <w:vAlign w:val="bottom"/>
            <w:tcBorders>
              <w:bottom w:val="single" w:sz="8" w:color="CCEEFF"/>
            </w:tcBorders>
            <w:vMerge w:val="continue"/>
            <w:shd w:val="clear" w:color="auto" w:fill="CCEEFF"/>
          </w:tcPr>
          <w:p>
            <w:pPr>
              <w:spacing w:after="0"/>
              <w:rPr>
                <w:sz w:val="15"/>
                <w:szCs w:val="15"/>
                <w:color w:val="auto"/>
              </w:rPr>
            </w:pPr>
          </w:p>
        </w:tc>
        <w:tc>
          <w:tcPr>
            <w:tcW w:w="900" w:type="dxa"/>
            <w:vAlign w:val="bottom"/>
            <w:tcBorders>
              <w:bottom w:val="single" w:sz="8" w:color="CCEEFF"/>
            </w:tcBorders>
            <w:gridSpan w:val="3"/>
            <w:vMerge w:val="continue"/>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vMerge w:val="continue"/>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23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6"/>
        </w:trPr>
        <w:tc>
          <w:tcPr>
            <w:tcW w:w="3360" w:type="dxa"/>
            <w:vAlign w:val="bottom"/>
            <w:tcBorders>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BlueMountain CLO 2016-3 Ltd.</w:t>
            </w: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7"/>
        </w:trPr>
        <w:tc>
          <w:tcPr>
            <w:tcW w:w="3360" w:type="dxa"/>
            <w:vAlign w:val="bottom"/>
            <w:gridSpan w:val="4"/>
          </w:tcPr>
          <w:p>
            <w:pPr>
              <w:ind w:left="180"/>
              <w:spacing w:after="0" w:line="157"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8"/>
                <w:szCs w:val="18"/>
                <w:color w:val="auto"/>
                <w:vertAlign w:val="superscript"/>
              </w:rPr>
              <w:t>(5)(7)</w:t>
            </w:r>
            <w:r>
              <w:rPr>
                <w:rFonts w:ascii="Times New Roman" w:cs="Times New Roman" w:eastAsia="Times New Roman" w:hAnsi="Times New Roman"/>
                <w:sz w:val="12"/>
                <w:szCs w:val="12"/>
                <w:color w:val="auto"/>
              </w:rPr>
              <w:t>, (Estimated yield 13.60%,</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08/18/2020</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7,697,500</w:t>
            </w:r>
          </w:p>
        </w:tc>
        <w:tc>
          <w:tcPr>
            <w:tcW w:w="160" w:type="dxa"/>
            <w:vAlign w:val="bottom"/>
          </w:tcPr>
          <w:p>
            <w:pPr>
              <w:spacing w:after="0"/>
              <w:rPr>
                <w:sz w:val="13"/>
                <w:szCs w:val="13"/>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3,791,411</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2,732,613</w:t>
            </w: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360" w:type="dxa"/>
            <w:vAlign w:val="bottom"/>
            <w:gridSpan w:val="4"/>
          </w:tcPr>
          <w:p>
            <w:pPr>
              <w:ind w:left="340"/>
              <w:spacing w:after="0"/>
              <w:rPr>
                <w:sz w:val="20"/>
                <w:szCs w:val="20"/>
                <w:color w:val="auto"/>
              </w:rPr>
            </w:pPr>
            <w:r>
              <w:rPr>
                <w:rFonts w:ascii="Times New Roman" w:cs="Times New Roman" w:eastAsia="Times New Roman" w:hAnsi="Times New Roman"/>
                <w:sz w:val="13"/>
                <w:szCs w:val="13"/>
                <w:color w:val="auto"/>
              </w:rPr>
              <w:t>maturity November 15, 2030)</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6"/>
        </w:trPr>
        <w:tc>
          <w:tcPr>
            <w:tcW w:w="23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gridSpan w:val="4"/>
          </w:tcPr>
          <w:p>
            <w:pPr>
              <w:ind w:left="180"/>
              <w:spacing w:after="0"/>
              <w:rPr>
                <w:sz w:val="20"/>
                <w:szCs w:val="20"/>
                <w:color w:val="auto"/>
              </w:rPr>
            </w:pPr>
            <w:r>
              <w:rPr>
                <w:rFonts w:ascii="Times New Roman" w:cs="Times New Roman" w:eastAsia="Times New Roman" w:hAnsi="Times New Roman"/>
                <w:sz w:val="13"/>
                <w:szCs w:val="13"/>
                <w:b w:val="1"/>
                <w:bCs w:val="1"/>
                <w:color w:val="auto"/>
              </w:rPr>
              <w:t>BlueMountain CLO 2018-1 Ltd.</w:t>
            </w: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360" w:type="dxa"/>
            <w:vAlign w:val="bottom"/>
            <w:gridSpan w:val="4"/>
            <w:shd w:val="clear" w:color="auto" w:fill="CCEEFF"/>
          </w:tcPr>
          <w:p>
            <w:pPr>
              <w:ind w:left="180"/>
              <w:spacing w:after="0" w:line="157"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8"/>
                <w:szCs w:val="18"/>
                <w:color w:val="auto"/>
                <w:vertAlign w:val="superscript"/>
              </w:rPr>
              <w:t>(5)(7)</w:t>
            </w:r>
            <w:r>
              <w:rPr>
                <w:rFonts w:ascii="Times New Roman" w:cs="Times New Roman" w:eastAsia="Times New Roman" w:hAnsi="Times New Roman"/>
                <w:sz w:val="12"/>
                <w:szCs w:val="12"/>
                <w:color w:val="auto"/>
              </w:rPr>
              <w:t>, (Estimated yield 0.00%,</w:t>
            </w:r>
          </w:p>
        </w:tc>
        <w:tc>
          <w:tcPr>
            <w:tcW w:w="8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01/14/2020</w:t>
            </w:r>
          </w:p>
        </w:tc>
        <w:tc>
          <w:tcPr>
            <w:tcW w:w="90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13,000,000</w:t>
            </w:r>
          </w:p>
        </w:tc>
        <w:tc>
          <w:tcPr>
            <w:tcW w:w="16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5,179,818</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2,470,000</w:t>
            </w: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3360" w:type="dxa"/>
            <w:vAlign w:val="bottom"/>
            <w:tcBorders>
              <w:bottom w:val="single" w:sz="8" w:color="CCEEFF"/>
            </w:tcBorders>
            <w:gridSpan w:val="4"/>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maturity July 30, 2030)</w:t>
            </w:r>
          </w:p>
        </w:tc>
        <w:tc>
          <w:tcPr>
            <w:tcW w:w="820" w:type="dxa"/>
            <w:vAlign w:val="bottom"/>
            <w:tcBorders>
              <w:bottom w:val="single" w:sz="8" w:color="CCEEFF"/>
            </w:tcBorders>
            <w:vMerge w:val="continue"/>
            <w:shd w:val="clear" w:color="auto" w:fill="CCEEFF"/>
          </w:tcPr>
          <w:p>
            <w:pPr>
              <w:spacing w:after="0"/>
              <w:rPr>
                <w:sz w:val="15"/>
                <w:szCs w:val="15"/>
                <w:color w:val="auto"/>
              </w:rPr>
            </w:pPr>
          </w:p>
        </w:tc>
        <w:tc>
          <w:tcPr>
            <w:tcW w:w="900" w:type="dxa"/>
            <w:vAlign w:val="bottom"/>
            <w:tcBorders>
              <w:bottom w:val="single" w:sz="8" w:color="CCEEFF"/>
            </w:tcBorders>
            <w:gridSpan w:val="3"/>
            <w:vMerge w:val="continue"/>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vMerge w:val="continue"/>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23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6"/>
        </w:trPr>
        <w:tc>
          <w:tcPr>
            <w:tcW w:w="3360" w:type="dxa"/>
            <w:vAlign w:val="bottom"/>
            <w:tcBorders>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BlueMountain CLO 2018-3 Ltd.</w:t>
            </w: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7"/>
        </w:trPr>
        <w:tc>
          <w:tcPr>
            <w:tcW w:w="3360" w:type="dxa"/>
            <w:vAlign w:val="bottom"/>
            <w:gridSpan w:val="4"/>
          </w:tcPr>
          <w:p>
            <w:pPr>
              <w:ind w:left="180"/>
              <w:spacing w:after="0" w:line="157"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8"/>
                <w:szCs w:val="18"/>
                <w:color w:val="auto"/>
                <w:vertAlign w:val="superscript"/>
              </w:rPr>
              <w:t>(5)(7)</w:t>
            </w:r>
            <w:r>
              <w:rPr>
                <w:rFonts w:ascii="Times New Roman" w:cs="Times New Roman" w:eastAsia="Times New Roman" w:hAnsi="Times New Roman"/>
                <w:sz w:val="12"/>
                <w:szCs w:val="12"/>
                <w:color w:val="auto"/>
              </w:rPr>
              <w:t>, (Estimated yield 22.22%,</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06/11/2020</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17,825,000</w:t>
            </w:r>
          </w:p>
        </w:tc>
        <w:tc>
          <w:tcPr>
            <w:tcW w:w="160" w:type="dxa"/>
            <w:vAlign w:val="bottom"/>
          </w:tcPr>
          <w:p>
            <w:pPr>
              <w:spacing w:after="0"/>
              <w:rPr>
                <w:sz w:val="13"/>
                <w:szCs w:val="13"/>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7,060,393</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5,882,250</w:t>
            </w: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360" w:type="dxa"/>
            <w:vAlign w:val="bottom"/>
            <w:gridSpan w:val="4"/>
          </w:tcPr>
          <w:p>
            <w:pPr>
              <w:ind w:left="340"/>
              <w:spacing w:after="0"/>
              <w:rPr>
                <w:sz w:val="20"/>
                <w:szCs w:val="20"/>
                <w:color w:val="auto"/>
              </w:rPr>
            </w:pPr>
            <w:r>
              <w:rPr>
                <w:rFonts w:ascii="Times New Roman" w:cs="Times New Roman" w:eastAsia="Times New Roman" w:hAnsi="Times New Roman"/>
                <w:sz w:val="13"/>
                <w:szCs w:val="13"/>
                <w:color w:val="auto"/>
              </w:rPr>
              <w:t>maturity October 25, 2030)</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6"/>
        </w:trPr>
        <w:tc>
          <w:tcPr>
            <w:tcW w:w="23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gridSpan w:val="4"/>
          </w:tcPr>
          <w:p>
            <w:pPr>
              <w:ind w:left="180"/>
              <w:spacing w:after="0"/>
              <w:rPr>
                <w:sz w:val="20"/>
                <w:szCs w:val="20"/>
                <w:color w:val="auto"/>
              </w:rPr>
            </w:pPr>
            <w:r>
              <w:rPr>
                <w:rFonts w:ascii="Times New Roman" w:cs="Times New Roman" w:eastAsia="Times New Roman" w:hAnsi="Times New Roman"/>
                <w:sz w:val="13"/>
                <w:szCs w:val="13"/>
                <w:b w:val="1"/>
                <w:bCs w:val="1"/>
                <w:color w:val="auto"/>
              </w:rPr>
              <w:t>BlueMountain CLO XXXIV Ltd.</w:t>
            </w: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360" w:type="dxa"/>
            <w:vAlign w:val="bottom"/>
            <w:gridSpan w:val="4"/>
            <w:shd w:val="clear" w:color="auto" w:fill="CCEEFF"/>
          </w:tcPr>
          <w:p>
            <w:pPr>
              <w:ind w:left="180"/>
              <w:spacing w:after="0" w:line="157"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8"/>
                <w:szCs w:val="18"/>
                <w:color w:val="auto"/>
                <w:vertAlign w:val="superscript"/>
              </w:rPr>
              <w:t>(5)(7)(9)</w:t>
            </w:r>
            <w:r>
              <w:rPr>
                <w:rFonts w:ascii="Times New Roman" w:cs="Times New Roman" w:eastAsia="Times New Roman" w:hAnsi="Times New Roman"/>
                <w:sz w:val="12"/>
                <w:szCs w:val="12"/>
                <w:color w:val="auto"/>
              </w:rPr>
              <w:t>, (Estimated yield</w:t>
            </w:r>
          </w:p>
        </w:tc>
        <w:tc>
          <w:tcPr>
            <w:tcW w:w="8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03/23/2022</w:t>
            </w:r>
          </w:p>
        </w:tc>
        <w:tc>
          <w:tcPr>
            <w:tcW w:w="90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10,700,000</w:t>
            </w:r>
          </w:p>
        </w:tc>
        <w:tc>
          <w:tcPr>
            <w:tcW w:w="16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10,424,311</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9,737,000</w:t>
            </w: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3360" w:type="dxa"/>
            <w:vAlign w:val="bottom"/>
            <w:tcBorders>
              <w:bottom w:val="single" w:sz="8" w:color="CCEEFF"/>
            </w:tcBorders>
            <w:gridSpan w:val="4"/>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20.96%, maturity April 20, 2035)</w:t>
            </w:r>
          </w:p>
        </w:tc>
        <w:tc>
          <w:tcPr>
            <w:tcW w:w="820" w:type="dxa"/>
            <w:vAlign w:val="bottom"/>
            <w:tcBorders>
              <w:bottom w:val="single" w:sz="8" w:color="CCEEFF"/>
            </w:tcBorders>
            <w:vMerge w:val="continue"/>
            <w:shd w:val="clear" w:color="auto" w:fill="CCEEFF"/>
          </w:tcPr>
          <w:p>
            <w:pPr>
              <w:spacing w:after="0"/>
              <w:rPr>
                <w:sz w:val="15"/>
                <w:szCs w:val="15"/>
                <w:color w:val="auto"/>
              </w:rPr>
            </w:pPr>
          </w:p>
        </w:tc>
        <w:tc>
          <w:tcPr>
            <w:tcW w:w="900" w:type="dxa"/>
            <w:vAlign w:val="bottom"/>
            <w:tcBorders>
              <w:bottom w:val="single" w:sz="8" w:color="CCEEFF"/>
            </w:tcBorders>
            <w:gridSpan w:val="3"/>
            <w:vMerge w:val="continue"/>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vMerge w:val="continue"/>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23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6"/>
        </w:trPr>
        <w:tc>
          <w:tcPr>
            <w:tcW w:w="3360" w:type="dxa"/>
            <w:vAlign w:val="bottom"/>
            <w:tcBorders>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B&amp;M CLO 2014-1 LTD</w:t>
            </w: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7"/>
        </w:trPr>
        <w:tc>
          <w:tcPr>
            <w:tcW w:w="3360" w:type="dxa"/>
            <w:vAlign w:val="bottom"/>
            <w:gridSpan w:val="4"/>
          </w:tcPr>
          <w:p>
            <w:pPr>
              <w:ind w:left="180"/>
              <w:spacing w:after="0" w:line="157"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8"/>
                <w:szCs w:val="18"/>
                <w:color w:val="auto"/>
                <w:vertAlign w:val="superscript"/>
              </w:rPr>
              <w:t>(5)(7)(10)</w:t>
            </w:r>
            <w:r>
              <w:rPr>
                <w:rFonts w:ascii="Times New Roman" w:cs="Times New Roman" w:eastAsia="Times New Roman" w:hAnsi="Times New Roman"/>
                <w:sz w:val="12"/>
                <w:szCs w:val="12"/>
                <w:color w:val="auto"/>
              </w:rPr>
              <w:t>, (Estimated yield 0.00%,</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10/30/2014</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22,000,000</w:t>
            </w:r>
          </w:p>
        </w:tc>
        <w:tc>
          <w:tcPr>
            <w:tcW w:w="160" w:type="dxa"/>
            <w:vAlign w:val="bottom"/>
          </w:tcPr>
          <w:p>
            <w:pPr>
              <w:spacing w:after="0"/>
              <w:rPr>
                <w:sz w:val="13"/>
                <w:szCs w:val="13"/>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1,872,796</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360" w:type="dxa"/>
            <w:vAlign w:val="bottom"/>
            <w:gridSpan w:val="4"/>
          </w:tcPr>
          <w:p>
            <w:pPr>
              <w:ind w:left="340"/>
              <w:spacing w:after="0"/>
              <w:rPr>
                <w:sz w:val="20"/>
                <w:szCs w:val="20"/>
                <w:color w:val="auto"/>
              </w:rPr>
            </w:pPr>
            <w:r>
              <w:rPr>
                <w:rFonts w:ascii="Times New Roman" w:cs="Times New Roman" w:eastAsia="Times New Roman" w:hAnsi="Times New Roman"/>
                <w:sz w:val="13"/>
                <w:szCs w:val="13"/>
                <w:color w:val="auto"/>
              </w:rPr>
              <w:t>maturity April 16, 2026)</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6"/>
        </w:trPr>
        <w:tc>
          <w:tcPr>
            <w:tcW w:w="23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gridSpan w:val="4"/>
          </w:tcPr>
          <w:p>
            <w:pPr>
              <w:ind w:left="180"/>
              <w:spacing w:after="0"/>
              <w:rPr>
                <w:sz w:val="20"/>
                <w:szCs w:val="20"/>
                <w:color w:val="auto"/>
              </w:rPr>
            </w:pPr>
            <w:r>
              <w:rPr>
                <w:rFonts w:ascii="Times New Roman" w:cs="Times New Roman" w:eastAsia="Times New Roman" w:hAnsi="Times New Roman"/>
                <w:sz w:val="13"/>
                <w:szCs w:val="13"/>
                <w:b w:val="1"/>
                <w:bCs w:val="1"/>
                <w:color w:val="auto"/>
              </w:rPr>
              <w:t>Carlyle Global Market Strategies CLO 2013-2, Ltd.</w:t>
            </w: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360" w:type="dxa"/>
            <w:vAlign w:val="bottom"/>
            <w:gridSpan w:val="4"/>
            <w:shd w:val="clear" w:color="auto" w:fill="CCEEFF"/>
          </w:tcPr>
          <w:p>
            <w:pPr>
              <w:ind w:left="180"/>
              <w:spacing w:after="0" w:line="157"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8"/>
                <w:szCs w:val="18"/>
                <w:color w:val="auto"/>
                <w:vertAlign w:val="superscript"/>
              </w:rPr>
              <w:t>(5)(7)(10)(11)</w:t>
            </w:r>
            <w:r>
              <w:rPr>
                <w:rFonts w:ascii="Times New Roman" w:cs="Times New Roman" w:eastAsia="Times New Roman" w:hAnsi="Times New Roman"/>
                <w:sz w:val="12"/>
                <w:szCs w:val="12"/>
                <w:color w:val="auto"/>
              </w:rPr>
              <w:t>, (Estimated yield</w:t>
            </w:r>
          </w:p>
        </w:tc>
        <w:tc>
          <w:tcPr>
            <w:tcW w:w="8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03/19/2013</w:t>
            </w:r>
          </w:p>
        </w:tc>
        <w:tc>
          <w:tcPr>
            <w:tcW w:w="90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16,098,067</w:t>
            </w:r>
          </w:p>
        </w:tc>
        <w:tc>
          <w:tcPr>
            <w:tcW w:w="16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1,299,392</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144,883</w:t>
            </w: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3360" w:type="dxa"/>
            <w:vAlign w:val="bottom"/>
            <w:tcBorders>
              <w:bottom w:val="single" w:sz="8" w:color="CCEEFF"/>
            </w:tcBorders>
            <w:gridSpan w:val="4"/>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0.00%, maturity January 18, 2029)</w:t>
            </w:r>
          </w:p>
        </w:tc>
        <w:tc>
          <w:tcPr>
            <w:tcW w:w="820" w:type="dxa"/>
            <w:vAlign w:val="bottom"/>
            <w:tcBorders>
              <w:bottom w:val="single" w:sz="8" w:color="CCEEFF"/>
            </w:tcBorders>
            <w:vMerge w:val="continue"/>
            <w:shd w:val="clear" w:color="auto" w:fill="CCEEFF"/>
          </w:tcPr>
          <w:p>
            <w:pPr>
              <w:spacing w:after="0"/>
              <w:rPr>
                <w:sz w:val="15"/>
                <w:szCs w:val="15"/>
                <w:color w:val="auto"/>
              </w:rPr>
            </w:pPr>
          </w:p>
        </w:tc>
        <w:tc>
          <w:tcPr>
            <w:tcW w:w="900" w:type="dxa"/>
            <w:vAlign w:val="bottom"/>
            <w:tcBorders>
              <w:bottom w:val="single" w:sz="8" w:color="CCEEFF"/>
            </w:tcBorders>
            <w:gridSpan w:val="3"/>
            <w:vMerge w:val="continue"/>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vMerge w:val="continue"/>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23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6"/>
        </w:trPr>
        <w:tc>
          <w:tcPr>
            <w:tcW w:w="3360" w:type="dxa"/>
            <w:vAlign w:val="bottom"/>
            <w:tcBorders>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Carlyle Global Market Strategies CLO 2013-4, Ltd.</w:t>
            </w: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7"/>
        </w:trPr>
        <w:tc>
          <w:tcPr>
            <w:tcW w:w="3360" w:type="dxa"/>
            <w:vAlign w:val="bottom"/>
            <w:gridSpan w:val="4"/>
          </w:tcPr>
          <w:p>
            <w:pPr>
              <w:ind w:left="180"/>
              <w:spacing w:after="0" w:line="157"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8"/>
                <w:szCs w:val="18"/>
                <w:color w:val="auto"/>
                <w:vertAlign w:val="superscript"/>
              </w:rPr>
              <w:t>(5)(7)</w:t>
            </w:r>
            <w:r>
              <w:rPr>
                <w:rFonts w:ascii="Times New Roman" w:cs="Times New Roman" w:eastAsia="Times New Roman" w:hAnsi="Times New Roman"/>
                <w:sz w:val="12"/>
                <w:szCs w:val="12"/>
                <w:color w:val="auto"/>
              </w:rPr>
              <w:t>, (Estimated yield 12.88%,</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09/29/2021</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14,500,000</w:t>
            </w:r>
          </w:p>
        </w:tc>
        <w:tc>
          <w:tcPr>
            <w:tcW w:w="160" w:type="dxa"/>
            <w:vAlign w:val="bottom"/>
          </w:tcPr>
          <w:p>
            <w:pPr>
              <w:spacing w:after="0"/>
              <w:rPr>
                <w:sz w:val="13"/>
                <w:szCs w:val="13"/>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4,986,462</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2,900,000</w:t>
            </w: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360" w:type="dxa"/>
            <w:vAlign w:val="bottom"/>
            <w:gridSpan w:val="4"/>
          </w:tcPr>
          <w:p>
            <w:pPr>
              <w:ind w:left="340"/>
              <w:spacing w:after="0"/>
              <w:rPr>
                <w:sz w:val="20"/>
                <w:szCs w:val="20"/>
                <w:color w:val="auto"/>
              </w:rPr>
            </w:pPr>
            <w:r>
              <w:rPr>
                <w:rFonts w:ascii="Times New Roman" w:cs="Times New Roman" w:eastAsia="Times New Roman" w:hAnsi="Times New Roman"/>
                <w:sz w:val="13"/>
                <w:szCs w:val="13"/>
                <w:color w:val="auto"/>
              </w:rPr>
              <w:t>maturity January 15, 2031)</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6"/>
        </w:trPr>
        <w:tc>
          <w:tcPr>
            <w:tcW w:w="23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gridSpan w:val="4"/>
          </w:tcPr>
          <w:p>
            <w:pPr>
              <w:ind w:left="180"/>
              <w:spacing w:after="0"/>
              <w:rPr>
                <w:sz w:val="20"/>
                <w:szCs w:val="20"/>
                <w:color w:val="auto"/>
              </w:rPr>
            </w:pPr>
            <w:r>
              <w:rPr>
                <w:rFonts w:ascii="Times New Roman" w:cs="Times New Roman" w:eastAsia="Times New Roman" w:hAnsi="Times New Roman"/>
                <w:sz w:val="13"/>
                <w:szCs w:val="13"/>
                <w:b w:val="1"/>
                <w:bCs w:val="1"/>
                <w:color w:val="auto"/>
              </w:rPr>
              <w:t>Carlyle Global Market Strategies CLO 2014-5, Ltd.</w:t>
            </w: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360" w:type="dxa"/>
            <w:vAlign w:val="bottom"/>
            <w:gridSpan w:val="4"/>
            <w:shd w:val="clear" w:color="auto" w:fill="CCEEFF"/>
          </w:tcPr>
          <w:p>
            <w:pPr>
              <w:ind w:left="180"/>
              <w:spacing w:after="0" w:line="157"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8"/>
                <w:szCs w:val="18"/>
                <w:color w:val="auto"/>
                <w:vertAlign w:val="superscript"/>
              </w:rPr>
              <w:t>(5)(7)</w:t>
            </w:r>
            <w:r>
              <w:rPr>
                <w:rFonts w:ascii="Times New Roman" w:cs="Times New Roman" w:eastAsia="Times New Roman" w:hAnsi="Times New Roman"/>
                <w:sz w:val="12"/>
                <w:szCs w:val="12"/>
                <w:color w:val="auto"/>
              </w:rPr>
              <w:t>, (Estimated yield 6.85%,</w:t>
            </w:r>
          </w:p>
        </w:tc>
        <w:tc>
          <w:tcPr>
            <w:tcW w:w="8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03/27/2019</w:t>
            </w:r>
          </w:p>
        </w:tc>
        <w:tc>
          <w:tcPr>
            <w:tcW w:w="90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7,134,333</w:t>
            </w:r>
          </w:p>
        </w:tc>
        <w:tc>
          <w:tcPr>
            <w:tcW w:w="16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2,801,720</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1,426,867</w:t>
            </w: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3360" w:type="dxa"/>
            <w:vAlign w:val="bottom"/>
            <w:tcBorders>
              <w:bottom w:val="single" w:sz="8" w:color="CCEEFF"/>
            </w:tcBorders>
            <w:gridSpan w:val="4"/>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maturity July 15, 2031)</w:t>
            </w:r>
          </w:p>
        </w:tc>
        <w:tc>
          <w:tcPr>
            <w:tcW w:w="820" w:type="dxa"/>
            <w:vAlign w:val="bottom"/>
            <w:tcBorders>
              <w:bottom w:val="single" w:sz="8" w:color="CCEEFF"/>
            </w:tcBorders>
            <w:vMerge w:val="continue"/>
            <w:shd w:val="clear" w:color="auto" w:fill="CCEEFF"/>
          </w:tcPr>
          <w:p>
            <w:pPr>
              <w:spacing w:after="0"/>
              <w:rPr>
                <w:sz w:val="15"/>
                <w:szCs w:val="15"/>
                <w:color w:val="auto"/>
              </w:rPr>
            </w:pPr>
          </w:p>
        </w:tc>
        <w:tc>
          <w:tcPr>
            <w:tcW w:w="900" w:type="dxa"/>
            <w:vAlign w:val="bottom"/>
            <w:tcBorders>
              <w:bottom w:val="single" w:sz="8" w:color="CCEEFF"/>
            </w:tcBorders>
            <w:gridSpan w:val="3"/>
            <w:vMerge w:val="continue"/>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vMerge w:val="continue"/>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23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6"/>
        </w:trPr>
        <w:tc>
          <w:tcPr>
            <w:tcW w:w="3360" w:type="dxa"/>
            <w:vAlign w:val="bottom"/>
            <w:tcBorders>
              <w:bottom w:val="single" w:sz="8" w:color="CCEEFF"/>
            </w:tcBorders>
            <w:gridSpan w:val="4"/>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Carlyle US CLO 2017-1, Ltd.</w:t>
            </w: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7"/>
        </w:trPr>
        <w:tc>
          <w:tcPr>
            <w:tcW w:w="3360" w:type="dxa"/>
            <w:vAlign w:val="bottom"/>
            <w:gridSpan w:val="4"/>
          </w:tcPr>
          <w:p>
            <w:pPr>
              <w:ind w:left="180"/>
              <w:spacing w:after="0" w:line="157"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8"/>
                <w:szCs w:val="18"/>
                <w:color w:val="auto"/>
                <w:vertAlign w:val="superscript"/>
              </w:rPr>
              <w:t>(5)(7)</w:t>
            </w:r>
            <w:r>
              <w:rPr>
                <w:rFonts w:ascii="Times New Roman" w:cs="Times New Roman" w:eastAsia="Times New Roman" w:hAnsi="Times New Roman"/>
                <w:sz w:val="12"/>
                <w:szCs w:val="12"/>
                <w:color w:val="auto"/>
              </w:rPr>
              <w:t>, (Estimated yield 11.11%,</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01/27/2021</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7,550,000</w:t>
            </w:r>
          </w:p>
        </w:tc>
        <w:tc>
          <w:tcPr>
            <w:tcW w:w="160" w:type="dxa"/>
            <w:vAlign w:val="bottom"/>
          </w:tcPr>
          <w:p>
            <w:pPr>
              <w:spacing w:after="0"/>
              <w:rPr>
                <w:sz w:val="13"/>
                <w:szCs w:val="13"/>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3,713,161</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2,114,000</w:t>
            </w: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360" w:type="dxa"/>
            <w:vAlign w:val="bottom"/>
            <w:gridSpan w:val="4"/>
          </w:tcPr>
          <w:p>
            <w:pPr>
              <w:ind w:left="340"/>
              <w:spacing w:after="0"/>
              <w:rPr>
                <w:sz w:val="20"/>
                <w:szCs w:val="20"/>
                <w:color w:val="auto"/>
              </w:rPr>
            </w:pPr>
            <w:r>
              <w:rPr>
                <w:rFonts w:ascii="Times New Roman" w:cs="Times New Roman" w:eastAsia="Times New Roman" w:hAnsi="Times New Roman"/>
                <w:sz w:val="13"/>
                <w:szCs w:val="13"/>
                <w:color w:val="auto"/>
              </w:rPr>
              <w:t>maturity April 20, 2031)</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6"/>
        </w:trPr>
        <w:tc>
          <w:tcPr>
            <w:tcW w:w="23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gridSpan w:val="4"/>
          </w:tcPr>
          <w:p>
            <w:pPr>
              <w:ind w:left="180"/>
              <w:spacing w:after="0"/>
              <w:rPr>
                <w:sz w:val="20"/>
                <w:szCs w:val="20"/>
                <w:color w:val="auto"/>
              </w:rPr>
            </w:pPr>
            <w:r>
              <w:rPr>
                <w:rFonts w:ascii="Times New Roman" w:cs="Times New Roman" w:eastAsia="Times New Roman" w:hAnsi="Times New Roman"/>
                <w:sz w:val="13"/>
                <w:szCs w:val="13"/>
                <w:b w:val="1"/>
                <w:bCs w:val="1"/>
                <w:color w:val="auto"/>
              </w:rPr>
              <w:t>Carlyle US CLO 2020-2, Ltd.</w:t>
            </w: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360" w:type="dxa"/>
            <w:vAlign w:val="bottom"/>
            <w:gridSpan w:val="4"/>
            <w:shd w:val="clear" w:color="auto" w:fill="CCEEFF"/>
          </w:tcPr>
          <w:p>
            <w:pPr>
              <w:ind w:left="180"/>
              <w:spacing w:after="0" w:line="157" w:lineRule="exact"/>
              <w:rPr>
                <w:sz w:val="20"/>
                <w:szCs w:val="20"/>
                <w:color w:val="auto"/>
              </w:rPr>
            </w:pPr>
            <w:r>
              <w:rPr>
                <w:rFonts w:ascii="Times New Roman" w:cs="Times New Roman" w:eastAsia="Times New Roman" w:hAnsi="Times New Roman"/>
                <w:sz w:val="12"/>
                <w:szCs w:val="12"/>
                <w:color w:val="auto"/>
              </w:rPr>
              <w:t>CLO subordinated notes</w:t>
            </w:r>
            <w:r>
              <w:rPr>
                <w:rFonts w:ascii="Times New Roman" w:cs="Times New Roman" w:eastAsia="Times New Roman" w:hAnsi="Times New Roman"/>
                <w:sz w:val="18"/>
                <w:szCs w:val="18"/>
                <w:color w:val="auto"/>
                <w:vertAlign w:val="superscript"/>
              </w:rPr>
              <w:t>(5)(7)(11)</w:t>
            </w:r>
            <w:r>
              <w:rPr>
                <w:rFonts w:ascii="Times New Roman" w:cs="Times New Roman" w:eastAsia="Times New Roman" w:hAnsi="Times New Roman"/>
                <w:sz w:val="12"/>
                <w:szCs w:val="12"/>
                <w:color w:val="auto"/>
              </w:rPr>
              <w:t>, (Estimated yield</w:t>
            </w:r>
          </w:p>
        </w:tc>
        <w:tc>
          <w:tcPr>
            <w:tcW w:w="8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10/21/2020</w:t>
            </w:r>
          </w:p>
        </w:tc>
        <w:tc>
          <w:tcPr>
            <w:tcW w:w="90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17,225,000</w:t>
            </w:r>
          </w:p>
        </w:tc>
        <w:tc>
          <w:tcPr>
            <w:tcW w:w="16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11,345,152</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11,282,375</w:t>
            </w: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36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26.34%, maturity January 25, 2035)</w:t>
            </w:r>
          </w:p>
        </w:tc>
        <w:tc>
          <w:tcPr>
            <w:tcW w:w="820" w:type="dxa"/>
            <w:vAlign w:val="bottom"/>
            <w:vMerge w:val="continue"/>
            <w:shd w:val="clear" w:color="auto" w:fill="CCEEFF"/>
          </w:tcPr>
          <w:p>
            <w:pPr>
              <w:spacing w:after="0"/>
              <w:rPr>
                <w:sz w:val="15"/>
                <w:szCs w:val="15"/>
                <w:color w:val="auto"/>
              </w:rPr>
            </w:pPr>
          </w:p>
        </w:tc>
        <w:tc>
          <w:tcPr>
            <w:tcW w:w="900" w:type="dxa"/>
            <w:vAlign w:val="bottom"/>
            <w:gridSpan w:val="3"/>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3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i w:val="1"/>
          <w:iCs w:val="1"/>
          <w:color w:val="auto"/>
        </w:rPr>
        <w:t>(Continued on next page)</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See Accompanying Notes.</w:t>
      </w:r>
    </w:p>
    <w:p>
      <w:pPr>
        <w:sectPr>
          <w:pgSz w:w="11900" w:h="16838" w:orient="portrait"/>
          <w:cols w:equalWidth="0" w:num="1">
            <w:col w:w="9019"/>
          </w:cols>
          <w:pgMar w:left="1440" w:top="262" w:right="1440" w:bottom="73"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22225</wp:posOffset>
            </wp:positionV>
            <wp:extent cx="482473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824730" cy="8255"/>
                    </a:xfrm>
                    <a:prstGeom prst="rect">
                      <a:avLst/>
                    </a:prstGeom>
                    <a:noFill/>
                  </pic:spPr>
                </pic:pic>
              </a:graphicData>
            </a:graphic>
          </wp:anchor>
        </w:drawing>
      </w:r>
    </w:p>
    <w:p>
      <w:pPr>
        <w:sectPr>
          <w:pgSz w:w="11900" w:h="16838" w:orient="portrait"/>
          <w:cols w:equalWidth="0" w:num="1">
            <w:col w:w="9019"/>
          </w:cols>
          <w:pgMar w:left="1440" w:top="262" w:right="1440" w:bottom="73" w:gutter="0" w:footer="0" w:header="0"/>
          <w:type w:val="continuous"/>
        </w:sectPr>
      </w:pPr>
    </w:p>
    <w:bookmarkStart w:id="19" w:name="page20"/>
    <w:bookmarkEnd w:id="19"/>
    <w:p>
      <w:pPr>
        <w:ind w:left="70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ectPr>
          <w:pgSz w:w="11900" w:h="16838" w:orient="portrait"/>
          <w:cols w:equalWidth="0" w:num="1">
            <w:col w:w="9019"/>
          </w:cols>
          <w:pgMar w:left="1440" w:top="262" w:right="1440" w:bottom="339" w:gutter="0" w:footer="0" w:header="0"/>
        </w:sectPr>
      </w:pPr>
    </w:p>
    <w:p>
      <w:pPr>
        <w:spacing w:after="0" w:line="200" w:lineRule="exact"/>
        <w:rPr>
          <w:sz w:val="20"/>
          <w:szCs w:val="20"/>
          <w:color w:val="auto"/>
        </w:rPr>
      </w:pPr>
    </w:p>
    <w:p>
      <w:pPr>
        <w:spacing w:after="0" w:line="321"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134"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7"/>
          <w:szCs w:val="17"/>
          <w:b w:val="1"/>
          <w:bCs w:val="1"/>
          <w:color w:val="auto"/>
        </w:rPr>
        <w:t>SCHEDULE OF INVESTMENTS – (continued)</w:t>
      </w:r>
    </w:p>
    <w:p>
      <w:pPr>
        <w:spacing w:after="0" w:line="27"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7"/>
          <w:szCs w:val="17"/>
          <w:b w:val="1"/>
          <w:bCs w:val="1"/>
          <w:color w:val="auto"/>
        </w:rPr>
        <w:t>SEPTEMBER 30, 2022</w:t>
      </w:r>
    </w:p>
    <w:p>
      <w:pPr>
        <w:spacing w:after="0" w:line="7"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56" w:lineRule="exact"/>
        <w:rPr>
          <w:sz w:val="20"/>
          <w:szCs w:val="20"/>
          <w:color w:val="auto"/>
        </w:rPr>
      </w:pPr>
    </w:p>
    <w:tbl>
      <w:tblPr>
        <w:tblLayout w:type="fixed"/>
        <w:tblInd w:w="7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ACQUISITION</w:t>
            </w:r>
          </w:p>
        </w:tc>
        <w:tc>
          <w:tcPr>
            <w:tcW w:w="80" w:type="dxa"/>
            <w:vAlign w:val="bottom"/>
          </w:tcPr>
          <w:p>
            <w:pPr>
              <w:spacing w:after="0"/>
              <w:rPr>
                <w:sz w:val="12"/>
                <w:szCs w:val="12"/>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5"/>
              </w:rPr>
              <w:t>PRINCIPAL</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right"/>
              <w:ind w:right="254"/>
              <w:spacing w:after="0"/>
              <w:rPr>
                <w:sz w:val="20"/>
                <w:szCs w:val="20"/>
                <w:color w:val="auto"/>
              </w:rPr>
            </w:pPr>
            <w:r>
              <w:rPr>
                <w:rFonts w:ascii="Times New Roman" w:cs="Times New Roman" w:eastAsia="Times New Roman" w:hAnsi="Times New Roman"/>
                <w:sz w:val="12"/>
                <w:szCs w:val="12"/>
                <w:b w:val="1"/>
                <w:bCs w:val="1"/>
                <w:color w:val="auto"/>
              </w:rPr>
              <w:t>FAIR</w:t>
            </w:r>
          </w:p>
        </w:tc>
        <w:tc>
          <w:tcPr>
            <w:tcW w:w="0" w:type="dxa"/>
            <w:vAlign w:val="bottom"/>
          </w:tcPr>
          <w:p>
            <w:pPr>
              <w:spacing w:after="0"/>
              <w:rPr>
                <w:sz w:val="1"/>
                <w:szCs w:val="1"/>
                <w:color w:val="auto"/>
              </w:rPr>
            </w:pPr>
          </w:p>
        </w:tc>
      </w:tr>
      <w:tr>
        <w:trPr>
          <w:trHeight w:val="119"/>
        </w:trPr>
        <w:tc>
          <w:tcPr>
            <w:tcW w:w="3360" w:type="dxa"/>
            <w:vAlign w:val="bottom"/>
            <w:gridSpan w:val="5"/>
            <w:vMerge w:val="restart"/>
          </w:tcPr>
          <w:p>
            <w:pPr>
              <w:spacing w:after="0"/>
              <w:rPr>
                <w:sz w:val="20"/>
                <w:szCs w:val="20"/>
                <w:color w:val="auto"/>
              </w:rPr>
            </w:pPr>
            <w:r>
              <w:rPr>
                <w:rFonts w:ascii="Times New Roman" w:cs="Times New Roman" w:eastAsia="Times New Roman" w:hAnsi="Times New Roman"/>
                <w:sz w:val="12"/>
                <w:szCs w:val="12"/>
                <w:b w:val="1"/>
                <w:bCs w:val="1"/>
                <w:color w:val="auto"/>
              </w:rPr>
              <w:t>COMPANY/INVESTMENT</w:t>
            </w:r>
            <w:r>
              <w:rPr>
                <w:rFonts w:ascii="Times New Roman" w:cs="Times New Roman" w:eastAsia="Times New Roman" w:hAnsi="Times New Roman"/>
                <w:sz w:val="13"/>
                <w:szCs w:val="13"/>
                <w:b w:val="1"/>
                <w:bCs w:val="1"/>
                <w:color w:val="auto"/>
                <w:vertAlign w:val="superscript"/>
              </w:rPr>
              <w:t>(1)(13)(14)</w:t>
            </w: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center"/>
              <w:ind w:right="100"/>
              <w:spacing w:after="0" w:line="120" w:lineRule="exact"/>
              <w:rPr>
                <w:sz w:val="20"/>
                <w:szCs w:val="20"/>
                <w:color w:val="auto"/>
              </w:rPr>
            </w:pPr>
            <w:r>
              <w:rPr>
                <w:rFonts w:ascii="Times New Roman" w:cs="Times New Roman" w:eastAsia="Times New Roman" w:hAnsi="Times New Roman"/>
                <w:sz w:val="12"/>
                <w:szCs w:val="12"/>
                <w:b w:val="1"/>
                <w:bCs w:val="1"/>
                <w:color w:val="auto"/>
                <w:w w:val="96"/>
              </w:rPr>
              <w:t>AMOUNT/</w:t>
            </w: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3360" w:type="dxa"/>
            <w:vAlign w:val="bottom"/>
            <w:gridSpan w:val="5"/>
            <w:vMerge w:val="continue"/>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87"/>
              </w:rPr>
              <w:t>DATE</w:t>
            </w:r>
            <w:r>
              <w:rPr>
                <w:rFonts w:ascii="Times New Roman" w:cs="Times New Roman" w:eastAsia="Times New Roman" w:hAnsi="Times New Roman"/>
                <w:sz w:val="13"/>
                <w:szCs w:val="13"/>
                <w:b w:val="1"/>
                <w:bCs w:val="1"/>
                <w:color w:val="auto"/>
                <w:w w:val="87"/>
                <w:vertAlign w:val="superscript"/>
              </w:rPr>
              <w:t>(15)</w:t>
            </w:r>
          </w:p>
        </w:tc>
        <w:tc>
          <w:tcPr>
            <w:tcW w:w="80" w:type="dxa"/>
            <w:vAlign w:val="bottom"/>
          </w:tcPr>
          <w:p>
            <w:pPr>
              <w:spacing w:after="0"/>
              <w:rPr>
                <w:sz w:val="15"/>
                <w:szCs w:val="15"/>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SHARES</w:t>
            </w:r>
          </w:p>
        </w:tc>
        <w:tc>
          <w:tcPr>
            <w:tcW w:w="160" w:type="dxa"/>
            <w:vAlign w:val="bottom"/>
          </w:tcPr>
          <w:p>
            <w:pPr>
              <w:spacing w:after="0"/>
              <w:rPr>
                <w:sz w:val="15"/>
                <w:szCs w:val="15"/>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COST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134"/>
              <w:spacing w:after="0"/>
              <w:rPr>
                <w:sz w:val="20"/>
                <w:szCs w:val="20"/>
                <w:color w:val="auto"/>
              </w:rPr>
            </w:pPr>
            <w:r>
              <w:rPr>
                <w:rFonts w:ascii="Times New Roman" w:cs="Times New Roman" w:eastAsia="Times New Roman" w:hAnsi="Times New Roman"/>
                <w:sz w:val="12"/>
                <w:szCs w:val="12"/>
                <w:b w:val="1"/>
                <w:bCs w:val="1"/>
                <w:color w:val="auto"/>
                <w:w w:val="99"/>
              </w:rPr>
              <w:t>VALUE</w:t>
            </w:r>
            <w:r>
              <w:rPr>
                <w:rFonts w:ascii="Times New Roman" w:cs="Times New Roman" w:eastAsia="Times New Roman" w:hAnsi="Times New Roman"/>
                <w:sz w:val="13"/>
                <w:szCs w:val="13"/>
                <w:b w:val="1"/>
                <w:bCs w:val="1"/>
                <w:color w:val="auto"/>
                <w:w w:val="99"/>
                <w:vertAlign w:val="superscript"/>
              </w:rPr>
              <w:t>(2)</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260" w:type="dxa"/>
            <w:vAlign w:val="bottom"/>
            <w:tcBorders>
              <w:top w:val="single" w:sz="8" w:color="auto"/>
            </w:tcBorders>
            <w:gridSpan w:val="3"/>
          </w:tcPr>
          <w:p>
            <w:pPr>
              <w:spacing w:after="0" w:line="127" w:lineRule="exact"/>
              <w:rPr>
                <w:sz w:val="20"/>
                <w:szCs w:val="20"/>
                <w:color w:val="auto"/>
              </w:rPr>
            </w:pPr>
            <w:r>
              <w:rPr>
                <w:rFonts w:ascii="Times New Roman" w:cs="Times New Roman" w:eastAsia="Times New Roman" w:hAnsi="Times New Roman"/>
                <w:sz w:val="13"/>
                <w:szCs w:val="13"/>
                <w:b w:val="1"/>
                <w:bCs w:val="1"/>
                <w:color w:val="auto"/>
              </w:rPr>
              <w:t>Collateralized Loan Obligation – Equity Investments</w:t>
            </w:r>
          </w:p>
        </w:tc>
        <w:tc>
          <w:tcPr>
            <w:tcW w:w="8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4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(continued)</w:t>
            </w:r>
          </w:p>
        </w:tc>
        <w:tc>
          <w:tcPr>
            <w:tcW w:w="300" w:type="dxa"/>
            <w:vAlign w:val="bottom"/>
            <w:gridSpan w:val="2"/>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36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Structured Finance – Equity Investments (continued)</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236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3"/>
                <w:szCs w:val="13"/>
                <w:b w:val="1"/>
                <w:bCs w:val="1"/>
                <w:color w:val="auto"/>
              </w:rPr>
              <w:t>Carlyle US CLO 2021-8, Ltd.</w:t>
            </w:r>
          </w:p>
        </w:tc>
        <w:tc>
          <w:tcPr>
            <w:tcW w:w="980" w:type="dxa"/>
            <w:vAlign w:val="bottom"/>
            <w:gridSpan w:val="3"/>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18.44%,</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08/24/2021</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$ 42,537,500</w:t>
            </w:r>
          </w:p>
        </w:tc>
        <w:tc>
          <w:tcPr>
            <w:tcW w:w="160" w:type="dxa"/>
            <w:vAlign w:val="bottom"/>
            <w:vMerge w:val="restart"/>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32,059,379</w:t>
            </w:r>
          </w:p>
        </w:tc>
        <w:tc>
          <w:tcPr>
            <w:tcW w:w="1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27,224,000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October 20, 2034)</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Cathedral Lake CLO 2013,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(5)(7)(11)</w:t>
            </w:r>
            <w:r>
              <w:rPr>
                <w:rFonts w:ascii="Times New Roman" w:cs="Times New Roman" w:eastAsia="Times New Roman" w:hAnsi="Times New Roman"/>
                <w:sz w:val="13"/>
                <w:szCs w:val="13"/>
                <w:color w:val="auto"/>
              </w:rPr>
              <w:t>, (Estimated yield 0.00%,</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05/31/2018</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21,350,000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4,549,040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1,067,500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October 15, 2029)</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Catskill Park CLO,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11.16%,</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02/10/2022</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6,300,000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3,018,038</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1,449,000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April 20, 2029)</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CBAM 2021-14,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18.04%,</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03/24/2022</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20,050,000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15,976,334</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12,230,500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April 20, 2034)</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Cedar Funding IV CLO,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15.54%,</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02/10/2022</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3,430,696</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2,017,039</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1,612,427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July 23, 2034)</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Cedar Funding VIII CLO,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15.84%,</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01/28/2022</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19,126,500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11,187,970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8,989,455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October 17, 2034)</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Cedar Funding XII CLO,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19.09%,</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03/23/2022</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20,008,575</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16,180,091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13,405,745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October 25, 2034)</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Cedar Funding XV CLO,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18.20%,</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02/16/2022</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21,735,000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17,444,716</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15,431,850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April 20, 2035)</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CIFC Fenway Warehouse II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warehouse notes</w:t>
            </w:r>
            <w:r>
              <w:rPr>
                <w:rFonts w:ascii="Times New Roman" w:cs="Times New Roman" w:eastAsia="Times New Roman" w:hAnsi="Times New Roman"/>
                <w:sz w:val="20"/>
                <w:szCs w:val="20"/>
                <w:color w:val="auto"/>
                <w:vertAlign w:val="superscript"/>
              </w:rPr>
              <w:t>(4)(5)(7)</w:t>
            </w:r>
            <w:r>
              <w:rPr>
                <w:rFonts w:ascii="Times New Roman" w:cs="Times New Roman" w:eastAsia="Times New Roman" w:hAnsi="Times New Roman"/>
                <w:sz w:val="13"/>
                <w:szCs w:val="13"/>
                <w:color w:val="auto"/>
              </w:rPr>
              <w:t>, (Estimated</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01/27/2022</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11,962,500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11,962,500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11,962,500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yield 15.17%, maturity October 05, 2023)</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CIFC Funding 2014-III,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income notes</w:t>
            </w:r>
            <w:r>
              <w:rPr>
                <w:rFonts w:ascii="Times New Roman" w:cs="Times New Roman" w:eastAsia="Times New Roman" w:hAnsi="Times New Roman"/>
                <w:sz w:val="20"/>
                <w:szCs w:val="20"/>
                <w:color w:val="auto"/>
                <w:vertAlign w:val="superscript"/>
              </w:rPr>
              <w:t>(5)(7)(11)</w:t>
            </w:r>
            <w:r>
              <w:rPr>
                <w:rFonts w:ascii="Times New Roman" w:cs="Times New Roman" w:eastAsia="Times New Roman" w:hAnsi="Times New Roman"/>
                <w:sz w:val="13"/>
                <w:szCs w:val="13"/>
                <w:color w:val="auto"/>
              </w:rPr>
              <w:t>, (Estimated yield 0.00%,</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03/06/2018</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18,225,000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7,153,527</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3,462,750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October 22, 2031)</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CIFC Funding 2021-VII,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income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17.92%,</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10/18/2021</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19,867,500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17,432,703</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14,701,950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January 23, 2035)</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Columbia Cent CLO 28 Limited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0.00%,</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01/14/2022</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40,000,000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9,956,540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4,000,000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November 07, 2030)</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Crestline Denali CLO XVI,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17.01%,</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06/10/2021</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22,000,000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10,661,447</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5,940,000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January 20, 2030)</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-7133590</wp:posOffset>
            </wp:positionV>
            <wp:extent cx="4824730" cy="168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-6739255</wp:posOffset>
            </wp:positionV>
            <wp:extent cx="4824730" cy="168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-6401435</wp:posOffset>
            </wp:positionV>
            <wp:extent cx="4824730" cy="2254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824730" cy="225425"/>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-6007735</wp:posOffset>
            </wp:positionV>
            <wp:extent cx="4824730" cy="168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-5613400</wp:posOffset>
            </wp:positionV>
            <wp:extent cx="4824730" cy="168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-5275580</wp:posOffset>
            </wp:positionV>
            <wp:extent cx="4824730" cy="2254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824730" cy="225425"/>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-4881880</wp:posOffset>
            </wp:positionV>
            <wp:extent cx="4824730" cy="168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-4487545</wp:posOffset>
            </wp:positionV>
            <wp:extent cx="4824730" cy="168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-4149725</wp:posOffset>
            </wp:positionV>
            <wp:extent cx="4824730" cy="2254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824730" cy="225425"/>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-3756025</wp:posOffset>
            </wp:positionV>
            <wp:extent cx="4824730" cy="168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-3361690</wp:posOffset>
            </wp:positionV>
            <wp:extent cx="4824730" cy="168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-3024505</wp:posOffset>
            </wp:positionV>
            <wp:extent cx="4824730" cy="2254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824730" cy="225425"/>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-2630170</wp:posOffset>
            </wp:positionV>
            <wp:extent cx="4824730" cy="168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-2236470</wp:posOffset>
            </wp:positionV>
            <wp:extent cx="4824730" cy="168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-1898650</wp:posOffset>
            </wp:positionV>
            <wp:extent cx="4824730" cy="2254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824730" cy="225425"/>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-1504315</wp:posOffset>
            </wp:positionV>
            <wp:extent cx="4824730" cy="168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-1110615</wp:posOffset>
            </wp:positionV>
            <wp:extent cx="4824730" cy="168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-772795</wp:posOffset>
            </wp:positionV>
            <wp:extent cx="4824730" cy="2254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824730" cy="225425"/>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-378460</wp:posOffset>
            </wp:positionV>
            <wp:extent cx="4824730" cy="168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-7511415</wp:posOffset>
            </wp:positionV>
            <wp:extent cx="4824730" cy="2089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824730" cy="208915"/>
                    </a:xfrm>
                    <a:prstGeom prst="rect">
                      <a:avLst/>
                    </a:prstGeom>
                    <a:noFill/>
                  </pic:spPr>
                </pic:pic>
              </a:graphicData>
            </a:graphic>
          </wp:anchor>
        </w:drawing>
      </w:r>
    </w:p>
    <w:p>
      <w:pPr>
        <w:spacing w:after="0" w:line="14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i w:val="1"/>
          <w:iCs w:val="1"/>
          <w:color w:val="auto"/>
        </w:rPr>
        <w:t>(Continued on next page)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80" w:right="879" w:hanging="38"/>
        <w:spacing w:after="0" w:line="232" w:lineRule="auto"/>
        <w:tabs>
          <w:tab w:leader="none" w:pos="193" w:val="left"/>
        </w:tabs>
        <w:numPr>
          <w:ilvl w:val="0"/>
          <w:numId w:val="1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OF NET</w:t>
      </w:r>
    </w:p>
    <w:p>
      <w:pPr>
        <w:spacing w:after="0"/>
        <w:rPr>
          <w:sz w:val="20"/>
          <w:szCs w:val="20"/>
          <w:color w:val="auto"/>
        </w:rPr>
      </w:pPr>
      <w:r>
        <w:rPr>
          <w:rFonts w:ascii="Times New Roman" w:cs="Times New Roman" w:eastAsia="Times New Roman" w:hAnsi="Times New Roman"/>
          <w:sz w:val="11"/>
          <w:szCs w:val="11"/>
          <w:b w:val="1"/>
          <w:bCs w:val="1"/>
          <w:color w:val="auto"/>
        </w:rPr>
        <w:t>ASSETS</w:t>
      </w:r>
    </w:p>
    <w:p>
      <w:pPr>
        <w:spacing w:after="0" w:line="12435" w:lineRule="exact"/>
        <w:rPr>
          <w:sz w:val="20"/>
          <w:szCs w:val="20"/>
          <w:color w:val="auto"/>
        </w:rPr>
      </w:pPr>
    </w:p>
    <w:p>
      <w:pPr>
        <w:sectPr>
          <w:pgSz w:w="11900" w:h="16838" w:orient="portrait"/>
          <w:cols w:equalWidth="0" w:num="2">
            <w:col w:w="7600" w:space="180"/>
            <w:col w:w="1239"/>
          </w:cols>
          <w:pgMar w:left="1440" w:top="262" w:right="1440" w:bottom="339"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Accompanying Notes.</w:t>
      </w:r>
    </w:p>
    <w:p>
      <w:pPr>
        <w:sectPr>
          <w:pgSz w:w="11900" w:h="16838" w:orient="portrait"/>
          <w:cols w:equalWidth="0" w:num="1">
            <w:col w:w="9019"/>
          </w:cols>
          <w:pgMar w:left="1440" w:top="262" w:right="1440" w:bottom="339" w:gutter="0" w:footer="0" w:header="0"/>
          <w:type w:val="continuous"/>
        </w:sectPr>
      </w:pP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22225</wp:posOffset>
            </wp:positionV>
            <wp:extent cx="482473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824730" cy="8255"/>
                    </a:xfrm>
                    <a:prstGeom prst="rect">
                      <a:avLst/>
                    </a:prstGeom>
                    <a:noFill/>
                  </pic:spPr>
                </pic:pic>
              </a:graphicData>
            </a:graphic>
          </wp:anchor>
        </w:drawing>
      </w:r>
    </w:p>
    <w:p>
      <w:pPr>
        <w:sectPr>
          <w:pgSz w:w="11900" w:h="16838" w:orient="portrait"/>
          <w:cols w:equalWidth="0" w:num="1">
            <w:col w:w="9019"/>
          </w:cols>
          <w:pgMar w:left="1440" w:top="262" w:right="1440" w:bottom="339" w:gutter="0" w:footer="0" w:header="0"/>
          <w:type w:val="continuous"/>
        </w:sectPr>
      </w:pPr>
    </w:p>
    <w:bookmarkStart w:id="20" w:name="page21"/>
    <w:bookmarkEnd w:id="20"/>
    <w:p>
      <w:pPr>
        <w:ind w:left="70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ectPr>
          <w:pgSz w:w="11900" w:h="16838" w:orient="portrait"/>
          <w:cols w:equalWidth="0" w:num="1">
            <w:col w:w="9019"/>
          </w:cols>
          <w:pgMar w:left="1440" w:top="262" w:right="1440" w:bottom="314" w:gutter="0" w:footer="0" w:header="0"/>
        </w:sectPr>
      </w:pPr>
    </w:p>
    <w:p>
      <w:pPr>
        <w:spacing w:after="0" w:line="200" w:lineRule="exact"/>
        <w:rPr>
          <w:sz w:val="20"/>
          <w:szCs w:val="20"/>
          <w:color w:val="auto"/>
        </w:rPr>
      </w:pPr>
    </w:p>
    <w:p>
      <w:pPr>
        <w:spacing w:after="0" w:line="321"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134"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7"/>
          <w:szCs w:val="17"/>
          <w:b w:val="1"/>
          <w:bCs w:val="1"/>
          <w:color w:val="auto"/>
        </w:rPr>
        <w:t>SCHEDULE OF INVESTMENTS – (continued)</w:t>
      </w:r>
    </w:p>
    <w:p>
      <w:pPr>
        <w:spacing w:after="0" w:line="27"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7"/>
          <w:szCs w:val="17"/>
          <w:b w:val="1"/>
          <w:bCs w:val="1"/>
          <w:color w:val="auto"/>
        </w:rPr>
        <w:t>SEPTEMBER 30, 2022</w:t>
      </w:r>
    </w:p>
    <w:p>
      <w:pPr>
        <w:spacing w:after="0" w:line="7"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56" w:lineRule="exact"/>
        <w:rPr>
          <w:sz w:val="20"/>
          <w:szCs w:val="20"/>
          <w:color w:val="auto"/>
        </w:rPr>
      </w:pPr>
    </w:p>
    <w:tbl>
      <w:tblPr>
        <w:tblLayout w:type="fixed"/>
        <w:tblInd w:w="7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ACQUISITION</w:t>
            </w:r>
          </w:p>
        </w:tc>
        <w:tc>
          <w:tcPr>
            <w:tcW w:w="80" w:type="dxa"/>
            <w:vAlign w:val="bottom"/>
          </w:tcPr>
          <w:p>
            <w:pPr>
              <w:spacing w:after="0"/>
              <w:rPr>
                <w:sz w:val="12"/>
                <w:szCs w:val="12"/>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5"/>
              </w:rPr>
              <w:t>PRINCIPAL</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right"/>
              <w:ind w:right="254"/>
              <w:spacing w:after="0"/>
              <w:rPr>
                <w:sz w:val="20"/>
                <w:szCs w:val="20"/>
                <w:color w:val="auto"/>
              </w:rPr>
            </w:pPr>
            <w:r>
              <w:rPr>
                <w:rFonts w:ascii="Times New Roman" w:cs="Times New Roman" w:eastAsia="Times New Roman" w:hAnsi="Times New Roman"/>
                <w:sz w:val="12"/>
                <w:szCs w:val="12"/>
                <w:b w:val="1"/>
                <w:bCs w:val="1"/>
                <w:color w:val="auto"/>
              </w:rPr>
              <w:t>FAIR</w:t>
            </w:r>
          </w:p>
        </w:tc>
        <w:tc>
          <w:tcPr>
            <w:tcW w:w="0" w:type="dxa"/>
            <w:vAlign w:val="bottom"/>
          </w:tcPr>
          <w:p>
            <w:pPr>
              <w:spacing w:after="0"/>
              <w:rPr>
                <w:sz w:val="1"/>
                <w:szCs w:val="1"/>
                <w:color w:val="auto"/>
              </w:rPr>
            </w:pPr>
          </w:p>
        </w:tc>
      </w:tr>
      <w:tr>
        <w:trPr>
          <w:trHeight w:val="119"/>
        </w:trPr>
        <w:tc>
          <w:tcPr>
            <w:tcW w:w="3360" w:type="dxa"/>
            <w:vAlign w:val="bottom"/>
            <w:gridSpan w:val="5"/>
            <w:vMerge w:val="restart"/>
          </w:tcPr>
          <w:p>
            <w:pPr>
              <w:spacing w:after="0"/>
              <w:rPr>
                <w:sz w:val="20"/>
                <w:szCs w:val="20"/>
                <w:color w:val="auto"/>
              </w:rPr>
            </w:pPr>
            <w:r>
              <w:rPr>
                <w:rFonts w:ascii="Times New Roman" w:cs="Times New Roman" w:eastAsia="Times New Roman" w:hAnsi="Times New Roman"/>
                <w:sz w:val="12"/>
                <w:szCs w:val="12"/>
                <w:b w:val="1"/>
                <w:bCs w:val="1"/>
                <w:color w:val="auto"/>
              </w:rPr>
              <w:t>COMPANY/INVESTMENT</w:t>
            </w:r>
            <w:r>
              <w:rPr>
                <w:rFonts w:ascii="Times New Roman" w:cs="Times New Roman" w:eastAsia="Times New Roman" w:hAnsi="Times New Roman"/>
                <w:sz w:val="13"/>
                <w:szCs w:val="13"/>
                <w:b w:val="1"/>
                <w:bCs w:val="1"/>
                <w:color w:val="auto"/>
                <w:vertAlign w:val="superscript"/>
              </w:rPr>
              <w:t>(1)(13)(14)</w:t>
            </w: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center"/>
              <w:ind w:right="100"/>
              <w:spacing w:after="0" w:line="120" w:lineRule="exact"/>
              <w:rPr>
                <w:sz w:val="20"/>
                <w:szCs w:val="20"/>
                <w:color w:val="auto"/>
              </w:rPr>
            </w:pPr>
            <w:r>
              <w:rPr>
                <w:rFonts w:ascii="Times New Roman" w:cs="Times New Roman" w:eastAsia="Times New Roman" w:hAnsi="Times New Roman"/>
                <w:sz w:val="12"/>
                <w:szCs w:val="12"/>
                <w:b w:val="1"/>
                <w:bCs w:val="1"/>
                <w:color w:val="auto"/>
                <w:w w:val="96"/>
              </w:rPr>
              <w:t>AMOUNT/</w:t>
            </w: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3360" w:type="dxa"/>
            <w:vAlign w:val="bottom"/>
            <w:gridSpan w:val="5"/>
            <w:vMerge w:val="continue"/>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87"/>
              </w:rPr>
              <w:t>DATE</w:t>
            </w:r>
            <w:r>
              <w:rPr>
                <w:rFonts w:ascii="Times New Roman" w:cs="Times New Roman" w:eastAsia="Times New Roman" w:hAnsi="Times New Roman"/>
                <w:sz w:val="13"/>
                <w:szCs w:val="13"/>
                <w:b w:val="1"/>
                <w:bCs w:val="1"/>
                <w:color w:val="auto"/>
                <w:w w:val="87"/>
                <w:vertAlign w:val="superscript"/>
              </w:rPr>
              <w:t>(15)</w:t>
            </w:r>
          </w:p>
        </w:tc>
        <w:tc>
          <w:tcPr>
            <w:tcW w:w="80" w:type="dxa"/>
            <w:vAlign w:val="bottom"/>
          </w:tcPr>
          <w:p>
            <w:pPr>
              <w:spacing w:after="0"/>
              <w:rPr>
                <w:sz w:val="15"/>
                <w:szCs w:val="15"/>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SHARES</w:t>
            </w:r>
          </w:p>
        </w:tc>
        <w:tc>
          <w:tcPr>
            <w:tcW w:w="160" w:type="dxa"/>
            <w:vAlign w:val="bottom"/>
          </w:tcPr>
          <w:p>
            <w:pPr>
              <w:spacing w:after="0"/>
              <w:rPr>
                <w:sz w:val="15"/>
                <w:szCs w:val="15"/>
                <w:color w:val="auto"/>
              </w:rPr>
            </w:pPr>
          </w:p>
        </w:tc>
        <w:tc>
          <w:tcPr>
            <w:tcW w:w="920" w:type="dxa"/>
            <w:vAlign w:val="bottom"/>
            <w:gridSpan w:val="3"/>
          </w:tcPr>
          <w:p>
            <w:pPr>
              <w:ind w:left="100"/>
              <w:spacing w:after="0"/>
              <w:rPr>
                <w:sz w:val="20"/>
                <w:szCs w:val="20"/>
                <w:color w:val="auto"/>
              </w:rPr>
            </w:pPr>
            <w:r>
              <w:rPr>
                <w:rFonts w:ascii="Times New Roman" w:cs="Times New Roman" w:eastAsia="Times New Roman" w:hAnsi="Times New Roman"/>
                <w:sz w:val="12"/>
                <w:szCs w:val="12"/>
                <w:b w:val="1"/>
                <w:bCs w:val="1"/>
                <w:color w:val="auto"/>
              </w:rPr>
              <w:t>COST</w:t>
            </w:r>
          </w:p>
        </w:tc>
        <w:tc>
          <w:tcPr>
            <w:tcW w:w="740" w:type="dxa"/>
            <w:vAlign w:val="bottom"/>
          </w:tcPr>
          <w:p>
            <w:pPr>
              <w:jc w:val="right"/>
              <w:ind w:right="134"/>
              <w:spacing w:after="0"/>
              <w:rPr>
                <w:sz w:val="20"/>
                <w:szCs w:val="20"/>
                <w:color w:val="auto"/>
              </w:rPr>
            </w:pPr>
            <w:r>
              <w:rPr>
                <w:rFonts w:ascii="Times New Roman" w:cs="Times New Roman" w:eastAsia="Times New Roman" w:hAnsi="Times New Roman"/>
                <w:sz w:val="12"/>
                <w:szCs w:val="12"/>
                <w:b w:val="1"/>
                <w:bCs w:val="1"/>
                <w:color w:val="auto"/>
                <w:w w:val="99"/>
              </w:rPr>
              <w:t>VALUE</w:t>
            </w:r>
            <w:r>
              <w:rPr>
                <w:rFonts w:ascii="Times New Roman" w:cs="Times New Roman" w:eastAsia="Times New Roman" w:hAnsi="Times New Roman"/>
                <w:sz w:val="13"/>
                <w:szCs w:val="13"/>
                <w:b w:val="1"/>
                <w:bCs w:val="1"/>
                <w:color w:val="auto"/>
                <w:w w:val="99"/>
                <w:vertAlign w:val="superscript"/>
              </w:rPr>
              <w:t>(2)</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260" w:type="dxa"/>
            <w:vAlign w:val="bottom"/>
            <w:tcBorders>
              <w:top w:val="single" w:sz="8" w:color="auto"/>
            </w:tcBorders>
            <w:gridSpan w:val="3"/>
          </w:tcPr>
          <w:p>
            <w:pPr>
              <w:spacing w:after="0" w:line="127" w:lineRule="exact"/>
              <w:rPr>
                <w:sz w:val="20"/>
                <w:szCs w:val="20"/>
                <w:color w:val="auto"/>
              </w:rPr>
            </w:pPr>
            <w:r>
              <w:rPr>
                <w:rFonts w:ascii="Times New Roman" w:cs="Times New Roman" w:eastAsia="Times New Roman" w:hAnsi="Times New Roman"/>
                <w:sz w:val="13"/>
                <w:szCs w:val="13"/>
                <w:b w:val="1"/>
                <w:bCs w:val="1"/>
                <w:color w:val="auto"/>
              </w:rPr>
              <w:t>Collateralized Loan Obligation – Equity Investments</w:t>
            </w:r>
          </w:p>
        </w:tc>
        <w:tc>
          <w:tcPr>
            <w:tcW w:w="8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4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(continued)</w:t>
            </w:r>
          </w:p>
        </w:tc>
        <w:tc>
          <w:tcPr>
            <w:tcW w:w="300" w:type="dxa"/>
            <w:vAlign w:val="bottom"/>
            <w:gridSpan w:val="2"/>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36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Structured Finance – Equity Investments (continued)</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236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3"/>
                <w:szCs w:val="13"/>
                <w:b w:val="1"/>
                <w:bCs w:val="1"/>
                <w:color w:val="auto"/>
              </w:rPr>
              <w:t>Dryden 33 Senior Loan Fund</w:t>
            </w:r>
          </w:p>
        </w:tc>
        <w:tc>
          <w:tcPr>
            <w:tcW w:w="980" w:type="dxa"/>
            <w:vAlign w:val="bottom"/>
            <w:gridSpan w:val="3"/>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(5)(7)(10)(11)</w:t>
            </w:r>
            <w:r>
              <w:rPr>
                <w:rFonts w:ascii="Times New Roman" w:cs="Times New Roman" w:eastAsia="Times New Roman" w:hAnsi="Times New Roman"/>
                <w:sz w:val="13"/>
                <w:szCs w:val="13"/>
                <w:color w:val="auto"/>
              </w:rPr>
              <w:t>, (Estimated yield</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11/18/2020</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  9,600,000</w:t>
            </w:r>
          </w:p>
        </w:tc>
        <w:tc>
          <w:tcPr>
            <w:tcW w:w="160" w:type="dxa"/>
            <w:vAlign w:val="bottom"/>
            <w:vMerge w:val="restart"/>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3"/>
            <w:vMerge w:val="restart"/>
          </w:tcPr>
          <w:p>
            <w:pPr>
              <w:ind w:left="560"/>
              <w:spacing w:after="0"/>
              <w:rPr>
                <w:sz w:val="20"/>
                <w:szCs w:val="20"/>
                <w:color w:val="auto"/>
              </w:rPr>
            </w:pPr>
            <w:r>
              <w:rPr>
                <w:rFonts w:ascii="Times New Roman" w:cs="Times New Roman" w:eastAsia="Times New Roman" w:hAnsi="Times New Roman"/>
                <w:sz w:val="13"/>
                <w:szCs w:val="13"/>
                <w:color w:val="auto"/>
              </w:rPr>
              <w:t>—  $</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67,200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0.00%, maturity April 15, 2029)</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Dryden 38 Senior Loan Fund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4.68%,</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09/23/2021</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13,100,000</w:t>
            </w:r>
          </w:p>
        </w:tc>
        <w:tc>
          <w:tcPr>
            <w:tcW w:w="160" w:type="dxa"/>
            <w:vAlign w:val="bottom"/>
          </w:tcPr>
          <w:p>
            <w:pPr>
              <w:spacing w:after="0"/>
              <w:rPr>
                <w:sz w:val="15"/>
                <w:szCs w:val="15"/>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6,578,190</w:t>
            </w: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4,323,000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July 15, 2030)</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Dryden 53 CLO, LLC</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14.90%,</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02/10/2022</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9,640,783</w:t>
            </w:r>
          </w:p>
        </w:tc>
        <w:tc>
          <w:tcPr>
            <w:tcW w:w="160" w:type="dxa"/>
            <w:vAlign w:val="bottom"/>
          </w:tcPr>
          <w:p>
            <w:pPr>
              <w:spacing w:after="0"/>
              <w:rPr>
                <w:sz w:val="15"/>
                <w:szCs w:val="15"/>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4,863,980</w:t>
            </w: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2,892,235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January 15, 2031)</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Dryden 75 CLO,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19.70%,</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08/17/2022</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2,120,000</w:t>
            </w:r>
          </w:p>
        </w:tc>
        <w:tc>
          <w:tcPr>
            <w:tcW w:w="160" w:type="dxa"/>
            <w:vAlign w:val="bottom"/>
          </w:tcPr>
          <w:p>
            <w:pPr>
              <w:spacing w:after="0"/>
              <w:rPr>
                <w:sz w:val="15"/>
                <w:szCs w:val="15"/>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1,730,417</w:t>
            </w: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1,556,144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April 14, 2034)</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Dryden 86 CLO,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18.58%,</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03/23/2022</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31,375,000</w:t>
            </w:r>
          </w:p>
        </w:tc>
        <w:tc>
          <w:tcPr>
            <w:tcW w:w="160" w:type="dxa"/>
            <w:vAlign w:val="bottom"/>
          </w:tcPr>
          <w:p>
            <w:pPr>
              <w:spacing w:after="0"/>
              <w:rPr>
                <w:sz w:val="15"/>
                <w:szCs w:val="15"/>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22,273,444</w:t>
            </w: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19,452,500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July 17, 2030)</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Dryden 106 CLO,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warehouse notes</w:t>
            </w:r>
            <w:r>
              <w:rPr>
                <w:rFonts w:ascii="Times New Roman" w:cs="Times New Roman" w:eastAsia="Times New Roman" w:hAnsi="Times New Roman"/>
                <w:sz w:val="20"/>
                <w:szCs w:val="20"/>
                <w:color w:val="auto"/>
                <w:vertAlign w:val="superscript"/>
              </w:rPr>
              <w:t>(4)(5)(7)</w:t>
            </w:r>
            <w:r>
              <w:rPr>
                <w:rFonts w:ascii="Times New Roman" w:cs="Times New Roman" w:eastAsia="Times New Roman" w:hAnsi="Times New Roman"/>
                <w:sz w:val="13"/>
                <w:szCs w:val="13"/>
                <w:color w:val="auto"/>
              </w:rPr>
              <w:t>, (Estimated</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01/26/2022</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15,275,000</w:t>
            </w:r>
          </w:p>
        </w:tc>
        <w:tc>
          <w:tcPr>
            <w:tcW w:w="160" w:type="dxa"/>
            <w:vAlign w:val="bottom"/>
          </w:tcPr>
          <w:p>
            <w:pPr>
              <w:spacing w:after="0"/>
              <w:rPr>
                <w:sz w:val="15"/>
                <w:szCs w:val="15"/>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15,275,000</w:t>
            </w: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15,275,000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yield 15.04%, maturity July 10, 2023)</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Eaton Vance CLO 2015-1,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13.22%,</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02/01/2022</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2,500,000</w:t>
            </w:r>
          </w:p>
        </w:tc>
        <w:tc>
          <w:tcPr>
            <w:tcW w:w="160" w:type="dxa"/>
            <w:vAlign w:val="bottom"/>
          </w:tcPr>
          <w:p>
            <w:pPr>
              <w:spacing w:after="0"/>
              <w:rPr>
                <w:sz w:val="15"/>
                <w:szCs w:val="15"/>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1,153,135</w:t>
            </w: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625,000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January 20, 2030)</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Elevation CLO 2020-11,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(5)(7)(11)</w:t>
            </w:r>
            <w:r>
              <w:rPr>
                <w:rFonts w:ascii="Times New Roman" w:cs="Times New Roman" w:eastAsia="Times New Roman" w:hAnsi="Times New Roman"/>
                <w:sz w:val="13"/>
                <w:szCs w:val="13"/>
                <w:color w:val="auto"/>
              </w:rPr>
              <w:t>, (Estimated yield</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02/21/2020</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24,000,000</w:t>
            </w:r>
          </w:p>
        </w:tc>
        <w:tc>
          <w:tcPr>
            <w:tcW w:w="160" w:type="dxa"/>
            <w:vAlign w:val="bottom"/>
          </w:tcPr>
          <w:p>
            <w:pPr>
              <w:spacing w:after="0"/>
              <w:rPr>
                <w:sz w:val="15"/>
                <w:szCs w:val="15"/>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19,987,767</w:t>
            </w: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13,920,000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14.64%, maturity April 15, 2033)</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Elevation CLO 2021-12,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16.18%,</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02/11/2021</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27,190,000</w:t>
            </w:r>
          </w:p>
        </w:tc>
        <w:tc>
          <w:tcPr>
            <w:tcW w:w="160" w:type="dxa"/>
            <w:vAlign w:val="bottom"/>
          </w:tcPr>
          <w:p>
            <w:pPr>
              <w:spacing w:after="0"/>
              <w:rPr>
                <w:sz w:val="15"/>
                <w:szCs w:val="15"/>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19,050,694</w:t>
            </w: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13,187,150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April 20, 2032)</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Elevation CLO 2021-14,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16.94%,</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09/21/2021</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32,000,000</w:t>
            </w:r>
          </w:p>
        </w:tc>
        <w:tc>
          <w:tcPr>
            <w:tcW w:w="160" w:type="dxa"/>
            <w:vAlign w:val="bottom"/>
          </w:tcPr>
          <w:p>
            <w:pPr>
              <w:spacing w:after="0"/>
              <w:rPr>
                <w:sz w:val="15"/>
                <w:szCs w:val="15"/>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26,131,774</w:t>
            </w: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19,520,000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October 20, 2034)</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Elmwood CLO V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17.34%,</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01/25/2022</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10,400,000</w:t>
            </w:r>
          </w:p>
        </w:tc>
        <w:tc>
          <w:tcPr>
            <w:tcW w:w="160" w:type="dxa"/>
            <w:vAlign w:val="bottom"/>
          </w:tcPr>
          <w:p>
            <w:pPr>
              <w:spacing w:after="0"/>
              <w:rPr>
                <w:sz w:val="15"/>
                <w:szCs w:val="15"/>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10,587,207</w:t>
            </w: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9,776,000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October 20, 2034)</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Elmwood CLO VII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18.09%,</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03/11/2022</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5,000,000</w:t>
            </w:r>
          </w:p>
        </w:tc>
        <w:tc>
          <w:tcPr>
            <w:tcW w:w="160" w:type="dxa"/>
            <w:vAlign w:val="bottom"/>
          </w:tcPr>
          <w:p>
            <w:pPr>
              <w:spacing w:after="0"/>
              <w:rPr>
                <w:sz w:val="15"/>
                <w:szCs w:val="15"/>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3,935,735</w:t>
            </w: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3,600,000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January 17, 2034)</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Gulf Stream Meridian 4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19.27%,</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03/18/2022</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8,500,000</w:t>
            </w:r>
          </w:p>
        </w:tc>
        <w:tc>
          <w:tcPr>
            <w:tcW w:w="160" w:type="dxa"/>
            <w:vAlign w:val="bottom"/>
          </w:tcPr>
          <w:p>
            <w:pPr>
              <w:spacing w:after="0"/>
              <w:rPr>
                <w:sz w:val="15"/>
                <w:szCs w:val="15"/>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6,909,081</w:t>
            </w: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6,009,458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July 15, 2034)</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-7133590</wp:posOffset>
            </wp:positionV>
            <wp:extent cx="4824730" cy="168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-6739255</wp:posOffset>
            </wp:positionV>
            <wp:extent cx="4824730" cy="168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-6401435</wp:posOffset>
            </wp:positionV>
            <wp:extent cx="4824730" cy="22542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824730" cy="225425"/>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-6007735</wp:posOffset>
            </wp:positionV>
            <wp:extent cx="4824730" cy="168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-5613400</wp:posOffset>
            </wp:positionV>
            <wp:extent cx="4824730" cy="168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-5275580</wp:posOffset>
            </wp:positionV>
            <wp:extent cx="4824730" cy="2254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824730" cy="225425"/>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-4881880</wp:posOffset>
            </wp:positionV>
            <wp:extent cx="4824730" cy="168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-4487545</wp:posOffset>
            </wp:positionV>
            <wp:extent cx="4824730" cy="168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-4149725</wp:posOffset>
            </wp:positionV>
            <wp:extent cx="4824730" cy="22542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824730" cy="225425"/>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-3756025</wp:posOffset>
            </wp:positionV>
            <wp:extent cx="4824730" cy="168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-3361690</wp:posOffset>
            </wp:positionV>
            <wp:extent cx="4824730" cy="168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-3024505</wp:posOffset>
            </wp:positionV>
            <wp:extent cx="4824730" cy="22542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824730" cy="225425"/>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-2630170</wp:posOffset>
            </wp:positionV>
            <wp:extent cx="4824730" cy="168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-2236470</wp:posOffset>
            </wp:positionV>
            <wp:extent cx="4824730" cy="168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-1898650</wp:posOffset>
            </wp:positionV>
            <wp:extent cx="4824730" cy="22542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824730" cy="225425"/>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-1504315</wp:posOffset>
            </wp:positionV>
            <wp:extent cx="4824730" cy="168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-1110615</wp:posOffset>
            </wp:positionV>
            <wp:extent cx="4824730" cy="168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-772795</wp:posOffset>
            </wp:positionV>
            <wp:extent cx="4824730" cy="22542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824730" cy="225425"/>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-378460</wp:posOffset>
            </wp:positionV>
            <wp:extent cx="4824730" cy="168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-7511415</wp:posOffset>
            </wp:positionV>
            <wp:extent cx="4824730" cy="2089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824730" cy="208915"/>
                    </a:xfrm>
                    <a:prstGeom prst="rect">
                      <a:avLst/>
                    </a:prstGeom>
                    <a:noFill/>
                  </pic:spPr>
                </pic:pic>
              </a:graphicData>
            </a:graphic>
          </wp:anchor>
        </w:drawing>
      </w:r>
    </w:p>
    <w:p>
      <w:pPr>
        <w:spacing w:after="0" w:line="14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i w:val="1"/>
          <w:iCs w:val="1"/>
          <w:color w:val="auto"/>
        </w:rPr>
        <w:t>(Continued on next page)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80" w:right="879" w:hanging="38"/>
        <w:spacing w:after="0" w:line="232" w:lineRule="auto"/>
        <w:tabs>
          <w:tab w:leader="none" w:pos="193" w:val="left"/>
        </w:tabs>
        <w:numPr>
          <w:ilvl w:val="0"/>
          <w:numId w:val="1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OF NET</w:t>
      </w:r>
    </w:p>
    <w:p>
      <w:pPr>
        <w:spacing w:after="0"/>
        <w:rPr>
          <w:sz w:val="20"/>
          <w:szCs w:val="20"/>
          <w:color w:val="auto"/>
        </w:rPr>
      </w:pPr>
      <w:r>
        <w:rPr>
          <w:rFonts w:ascii="Times New Roman" w:cs="Times New Roman" w:eastAsia="Times New Roman" w:hAnsi="Times New Roman"/>
          <w:sz w:val="11"/>
          <w:szCs w:val="11"/>
          <w:b w:val="1"/>
          <w:bCs w:val="1"/>
          <w:color w:val="auto"/>
        </w:rPr>
        <w:t>ASSETS</w:t>
      </w:r>
    </w:p>
    <w:p>
      <w:pPr>
        <w:spacing w:after="0" w:line="12435" w:lineRule="exact"/>
        <w:rPr>
          <w:sz w:val="20"/>
          <w:szCs w:val="20"/>
          <w:color w:val="auto"/>
        </w:rPr>
      </w:pPr>
    </w:p>
    <w:p>
      <w:pPr>
        <w:sectPr>
          <w:pgSz w:w="11900" w:h="16838" w:orient="portrait"/>
          <w:cols w:equalWidth="0" w:num="2">
            <w:col w:w="7600" w:space="180"/>
            <w:col w:w="1239"/>
          </w:cols>
          <w:pgMar w:left="1440" w:top="262" w:right="1440" w:bottom="314" w:gutter="0" w:footer="0" w:header="0"/>
          <w:type w:val="continuous"/>
        </w:sect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Accompanying Notes.</w:t>
      </w:r>
    </w:p>
    <w:p>
      <w:pPr>
        <w:sectPr>
          <w:pgSz w:w="11900" w:h="16838" w:orient="portrait"/>
          <w:cols w:equalWidth="0" w:num="1">
            <w:col w:w="9019"/>
          </w:cols>
          <w:pgMar w:left="1440" w:top="262" w:right="1440" w:bottom="314" w:gutter="0" w:footer="0" w:header="0"/>
          <w:type w:val="continuous"/>
        </w:sectPr>
      </w:pP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22225</wp:posOffset>
            </wp:positionV>
            <wp:extent cx="482473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824730" cy="8255"/>
                    </a:xfrm>
                    <a:prstGeom prst="rect">
                      <a:avLst/>
                    </a:prstGeom>
                    <a:noFill/>
                  </pic:spPr>
                </pic:pic>
              </a:graphicData>
            </a:graphic>
          </wp:anchor>
        </w:drawing>
      </w:r>
    </w:p>
    <w:p>
      <w:pPr>
        <w:sectPr>
          <w:pgSz w:w="11900" w:h="16838" w:orient="portrait"/>
          <w:cols w:equalWidth="0" w:num="1">
            <w:col w:w="9019"/>
          </w:cols>
          <w:pgMar w:left="1440" w:top="262" w:right="1440" w:bottom="314" w:gutter="0" w:footer="0" w:header="0"/>
          <w:type w:val="continuous"/>
        </w:sectPr>
      </w:pPr>
    </w:p>
    <w:bookmarkStart w:id="21" w:name="page22"/>
    <w:bookmarkEnd w:id="21"/>
    <w:p>
      <w:pPr>
        <w:ind w:left="70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ectPr>
          <w:pgSz w:w="11900" w:h="16838" w:orient="portrait"/>
          <w:cols w:equalWidth="0" w:num="1">
            <w:col w:w="9019"/>
          </w:cols>
          <w:pgMar w:left="1440" w:top="262" w:right="1440" w:bottom="314" w:gutter="0" w:footer="0" w:header="0"/>
        </w:sectPr>
      </w:pPr>
    </w:p>
    <w:p>
      <w:pPr>
        <w:spacing w:after="0" w:line="200" w:lineRule="exact"/>
        <w:rPr>
          <w:sz w:val="20"/>
          <w:szCs w:val="20"/>
          <w:color w:val="auto"/>
        </w:rPr>
      </w:pPr>
    </w:p>
    <w:p>
      <w:pPr>
        <w:spacing w:after="0" w:line="321"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134"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7"/>
          <w:szCs w:val="17"/>
          <w:b w:val="1"/>
          <w:bCs w:val="1"/>
          <w:color w:val="auto"/>
        </w:rPr>
        <w:t>SCHEDULE OF INVESTMENTS – (continued)</w:t>
      </w:r>
    </w:p>
    <w:p>
      <w:pPr>
        <w:spacing w:after="0" w:line="27"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7"/>
          <w:szCs w:val="17"/>
          <w:b w:val="1"/>
          <w:bCs w:val="1"/>
          <w:color w:val="auto"/>
        </w:rPr>
        <w:t>SEPTEMBER 30, 2022</w:t>
      </w:r>
    </w:p>
    <w:p>
      <w:pPr>
        <w:spacing w:after="0" w:line="7"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56" w:lineRule="exact"/>
        <w:rPr>
          <w:sz w:val="20"/>
          <w:szCs w:val="20"/>
          <w:color w:val="auto"/>
        </w:rPr>
      </w:pPr>
    </w:p>
    <w:tbl>
      <w:tblPr>
        <w:tblLayout w:type="fixed"/>
        <w:tblInd w:w="7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ACQUISITION</w:t>
            </w:r>
          </w:p>
        </w:tc>
        <w:tc>
          <w:tcPr>
            <w:tcW w:w="80" w:type="dxa"/>
            <w:vAlign w:val="bottom"/>
          </w:tcPr>
          <w:p>
            <w:pPr>
              <w:spacing w:after="0"/>
              <w:rPr>
                <w:sz w:val="12"/>
                <w:szCs w:val="12"/>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5"/>
              </w:rPr>
              <w:t>PRINCIPAL</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right"/>
              <w:ind w:right="254"/>
              <w:spacing w:after="0"/>
              <w:rPr>
                <w:sz w:val="20"/>
                <w:szCs w:val="20"/>
                <w:color w:val="auto"/>
              </w:rPr>
            </w:pPr>
            <w:r>
              <w:rPr>
                <w:rFonts w:ascii="Times New Roman" w:cs="Times New Roman" w:eastAsia="Times New Roman" w:hAnsi="Times New Roman"/>
                <w:sz w:val="12"/>
                <w:szCs w:val="12"/>
                <w:b w:val="1"/>
                <w:bCs w:val="1"/>
                <w:color w:val="auto"/>
              </w:rPr>
              <w:t>FAIR</w:t>
            </w:r>
          </w:p>
        </w:tc>
        <w:tc>
          <w:tcPr>
            <w:tcW w:w="0" w:type="dxa"/>
            <w:vAlign w:val="bottom"/>
          </w:tcPr>
          <w:p>
            <w:pPr>
              <w:spacing w:after="0"/>
              <w:rPr>
                <w:sz w:val="1"/>
                <w:szCs w:val="1"/>
                <w:color w:val="auto"/>
              </w:rPr>
            </w:pPr>
          </w:p>
        </w:tc>
      </w:tr>
      <w:tr>
        <w:trPr>
          <w:trHeight w:val="119"/>
        </w:trPr>
        <w:tc>
          <w:tcPr>
            <w:tcW w:w="3360" w:type="dxa"/>
            <w:vAlign w:val="bottom"/>
            <w:gridSpan w:val="5"/>
            <w:vMerge w:val="restart"/>
          </w:tcPr>
          <w:p>
            <w:pPr>
              <w:spacing w:after="0"/>
              <w:rPr>
                <w:sz w:val="20"/>
                <w:szCs w:val="20"/>
                <w:color w:val="auto"/>
              </w:rPr>
            </w:pPr>
            <w:r>
              <w:rPr>
                <w:rFonts w:ascii="Times New Roman" w:cs="Times New Roman" w:eastAsia="Times New Roman" w:hAnsi="Times New Roman"/>
                <w:sz w:val="12"/>
                <w:szCs w:val="12"/>
                <w:b w:val="1"/>
                <w:bCs w:val="1"/>
                <w:color w:val="auto"/>
              </w:rPr>
              <w:t>COMPANY/INVESTMENT</w:t>
            </w:r>
            <w:r>
              <w:rPr>
                <w:rFonts w:ascii="Times New Roman" w:cs="Times New Roman" w:eastAsia="Times New Roman" w:hAnsi="Times New Roman"/>
                <w:sz w:val="13"/>
                <w:szCs w:val="13"/>
                <w:b w:val="1"/>
                <w:bCs w:val="1"/>
                <w:color w:val="auto"/>
                <w:vertAlign w:val="superscript"/>
              </w:rPr>
              <w:t>(1)(13)(14)</w:t>
            </w: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center"/>
              <w:ind w:right="100"/>
              <w:spacing w:after="0" w:line="120" w:lineRule="exact"/>
              <w:rPr>
                <w:sz w:val="20"/>
                <w:szCs w:val="20"/>
                <w:color w:val="auto"/>
              </w:rPr>
            </w:pPr>
            <w:r>
              <w:rPr>
                <w:rFonts w:ascii="Times New Roman" w:cs="Times New Roman" w:eastAsia="Times New Roman" w:hAnsi="Times New Roman"/>
                <w:sz w:val="12"/>
                <w:szCs w:val="12"/>
                <w:b w:val="1"/>
                <w:bCs w:val="1"/>
                <w:color w:val="auto"/>
                <w:w w:val="96"/>
              </w:rPr>
              <w:t>AMOUNT/</w:t>
            </w: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3360" w:type="dxa"/>
            <w:vAlign w:val="bottom"/>
            <w:gridSpan w:val="5"/>
            <w:vMerge w:val="continue"/>
          </w:tcPr>
          <w:p>
            <w:pPr>
              <w:spacing w:after="0"/>
              <w:rPr>
                <w:sz w:val="16"/>
                <w:szCs w:val="16"/>
                <w:color w:val="auto"/>
              </w:rPr>
            </w:pPr>
          </w:p>
        </w:tc>
        <w:tc>
          <w:tcPr>
            <w:tcW w:w="820" w:type="dxa"/>
            <w:vAlign w:val="bottom"/>
          </w:tcPr>
          <w:p>
            <w:pPr>
              <w:jc w:val="center"/>
              <w:spacing w:after="0" w:line="190" w:lineRule="exact"/>
              <w:rPr>
                <w:sz w:val="20"/>
                <w:szCs w:val="20"/>
                <w:color w:val="auto"/>
              </w:rPr>
            </w:pPr>
            <w:r>
              <w:rPr>
                <w:rFonts w:ascii="Times New Roman" w:cs="Times New Roman" w:eastAsia="Times New Roman" w:hAnsi="Times New Roman"/>
                <w:sz w:val="22"/>
                <w:szCs w:val="22"/>
                <w:b w:val="1"/>
                <w:bCs w:val="1"/>
                <w:color w:val="auto"/>
                <w:w w:val="80"/>
                <w:vertAlign w:val="subscript"/>
              </w:rPr>
              <w:t>DATE</w:t>
            </w:r>
            <w:r>
              <w:rPr>
                <w:rFonts w:ascii="Times New Roman" w:cs="Times New Roman" w:eastAsia="Times New Roman" w:hAnsi="Times New Roman"/>
                <w:sz w:val="7"/>
                <w:szCs w:val="7"/>
                <w:b w:val="1"/>
                <w:bCs w:val="1"/>
                <w:color w:val="auto"/>
                <w:w w:val="80"/>
              </w:rPr>
              <w:t>(15)</w:t>
            </w:r>
          </w:p>
        </w:tc>
        <w:tc>
          <w:tcPr>
            <w:tcW w:w="80" w:type="dxa"/>
            <w:vAlign w:val="bottom"/>
          </w:tcPr>
          <w:p>
            <w:pPr>
              <w:spacing w:after="0"/>
              <w:rPr>
                <w:sz w:val="16"/>
                <w:szCs w:val="16"/>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SHARES</w:t>
            </w:r>
          </w:p>
        </w:tc>
        <w:tc>
          <w:tcPr>
            <w:tcW w:w="160" w:type="dxa"/>
            <w:vAlign w:val="bottom"/>
          </w:tcPr>
          <w:p>
            <w:pPr>
              <w:spacing w:after="0"/>
              <w:rPr>
                <w:sz w:val="16"/>
                <w:szCs w:val="16"/>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COST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134"/>
              <w:spacing w:after="0"/>
              <w:rPr>
                <w:sz w:val="20"/>
                <w:szCs w:val="20"/>
                <w:color w:val="auto"/>
              </w:rPr>
            </w:pPr>
            <w:r>
              <w:rPr>
                <w:rFonts w:ascii="Times New Roman" w:cs="Times New Roman" w:eastAsia="Times New Roman" w:hAnsi="Times New Roman"/>
                <w:sz w:val="12"/>
                <w:szCs w:val="12"/>
                <w:b w:val="1"/>
                <w:bCs w:val="1"/>
                <w:color w:val="auto"/>
                <w:w w:val="99"/>
              </w:rPr>
              <w:t>VALUE</w:t>
            </w:r>
            <w:r>
              <w:rPr>
                <w:rFonts w:ascii="Times New Roman" w:cs="Times New Roman" w:eastAsia="Times New Roman" w:hAnsi="Times New Roman"/>
                <w:sz w:val="13"/>
                <w:szCs w:val="13"/>
                <w:b w:val="1"/>
                <w:bCs w:val="1"/>
                <w:color w:val="auto"/>
                <w:w w:val="99"/>
                <w:vertAlign w:val="superscript"/>
              </w:rPr>
              <w:t>(2)</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260" w:type="dxa"/>
            <w:vAlign w:val="bottom"/>
            <w:tcBorders>
              <w:top w:val="single" w:sz="8" w:color="auto"/>
            </w:tcBorders>
            <w:gridSpan w:val="3"/>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Collateralized Loan Obligation – Equity Investments</w:t>
            </w:r>
          </w:p>
        </w:tc>
        <w:tc>
          <w:tcPr>
            <w:tcW w:w="8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4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(continued)</w:t>
            </w:r>
          </w:p>
        </w:tc>
        <w:tc>
          <w:tcPr>
            <w:tcW w:w="300" w:type="dxa"/>
            <w:vAlign w:val="bottom"/>
            <w:gridSpan w:val="2"/>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36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Structured Finance – Equity Investments (continued)</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236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3"/>
                <w:szCs w:val="13"/>
                <w:b w:val="1"/>
                <w:bCs w:val="1"/>
                <w:color w:val="auto"/>
              </w:rPr>
              <w:t>Harriman Park CLO, Ltd.</w:t>
            </w:r>
          </w:p>
        </w:tc>
        <w:tc>
          <w:tcPr>
            <w:tcW w:w="980" w:type="dxa"/>
            <w:vAlign w:val="bottom"/>
            <w:gridSpan w:val="3"/>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16.22%,</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01/24/2022</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  2,000,000</w:t>
            </w:r>
          </w:p>
        </w:tc>
        <w:tc>
          <w:tcPr>
            <w:tcW w:w="160" w:type="dxa"/>
            <w:vAlign w:val="bottom"/>
            <w:vMerge w:val="restart"/>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1,795,891</w:t>
            </w:r>
          </w:p>
        </w:tc>
        <w:tc>
          <w:tcPr>
            <w:tcW w:w="1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1,460,000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April 20, 2034)</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Highbridge Loan Management 3-2014,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15.08%,</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06/19/2020</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25,500,000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7,927,725</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3,060,000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July 18, 2029)</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Highbridge Loan Management 5-2015,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20.93%,</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08/03/2021</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18,125,000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6,427,740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4,140,838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October 15, 2030)</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HPS Loan Management 10-2016,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income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17.73%,</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10/21/2021</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24,460,380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11,106,387</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9,050,341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January 20, 2028)</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HPS Loan Management 2021-16,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income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19.21%,</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11/12/2021</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24,174,000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20,971,816</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17,405,280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January 23, 2035)</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ICG US CLO 2018-2,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34.68%,</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05/24/2022</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20,000,000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8,345,945</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8,000,000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July 22, 2031)</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Kings Park CLO,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income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19.86%,</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12/07/2021</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30,552,500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23,556,186</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22,914,375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January 21, 2035)</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KVK CLO 2013-1,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14.90%,</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09/22/2020</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3,950,000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993,966</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730,750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January 14, 2028)</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LCM 35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income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20.38%,</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10/28/2021</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28,000,000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21,844,248</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16,991,677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October 15, 2034)</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Longfellow Place CLO,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0.00%,</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01/11/2018</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19,640,000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5,309,310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1,964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April 15, 2029)</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Madison Park Funding XI,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12.97%,</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01/21/2022</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11,000,000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3,872,100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2,200,000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July 23, 2047)</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Madison Park Funding XIII,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(5)(7)(11)</w:t>
            </w:r>
            <w:r>
              <w:rPr>
                <w:rFonts w:ascii="Times New Roman" w:cs="Times New Roman" w:eastAsia="Times New Roman" w:hAnsi="Times New Roman"/>
                <w:sz w:val="13"/>
                <w:szCs w:val="13"/>
                <w:color w:val="auto"/>
              </w:rPr>
              <w:t>, (Estimated yield</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09/17/2019</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21,500,000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7,915,930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4,945,000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18.16%, maturity April 19, 2030)</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Madison Park Funding XV,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(5)(7)(10)</w:t>
            </w:r>
            <w:r>
              <w:rPr>
                <w:rFonts w:ascii="Times New Roman" w:cs="Times New Roman" w:eastAsia="Times New Roman" w:hAnsi="Times New Roman"/>
                <w:sz w:val="13"/>
                <w:szCs w:val="13"/>
                <w:color w:val="auto"/>
              </w:rPr>
              <w:t>, (Estimated yield 0.00%,</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03/07/2019</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34,300,000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102,900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January 27, 2026)</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-7133590</wp:posOffset>
            </wp:positionV>
            <wp:extent cx="4824730" cy="168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-6739255</wp:posOffset>
            </wp:positionV>
            <wp:extent cx="4824730" cy="168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-6401435</wp:posOffset>
            </wp:positionV>
            <wp:extent cx="4824730" cy="22542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824730" cy="225425"/>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-6007735</wp:posOffset>
            </wp:positionV>
            <wp:extent cx="4824730" cy="168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-5613400</wp:posOffset>
            </wp:positionV>
            <wp:extent cx="4824730" cy="168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-5275580</wp:posOffset>
            </wp:positionV>
            <wp:extent cx="4824730" cy="22542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824730" cy="225425"/>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-4881880</wp:posOffset>
            </wp:positionV>
            <wp:extent cx="4824730" cy="168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-4487545</wp:posOffset>
            </wp:positionV>
            <wp:extent cx="4824730" cy="168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-4149725</wp:posOffset>
            </wp:positionV>
            <wp:extent cx="4824730" cy="22542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824730" cy="225425"/>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-3756025</wp:posOffset>
            </wp:positionV>
            <wp:extent cx="4824730" cy="168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-3361690</wp:posOffset>
            </wp:positionV>
            <wp:extent cx="4824730" cy="168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-3024505</wp:posOffset>
            </wp:positionV>
            <wp:extent cx="4824730" cy="22542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824730" cy="225425"/>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-2630170</wp:posOffset>
            </wp:positionV>
            <wp:extent cx="4824730" cy="168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-2236470</wp:posOffset>
            </wp:positionV>
            <wp:extent cx="4824730" cy="168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-1898650</wp:posOffset>
            </wp:positionV>
            <wp:extent cx="4824730" cy="22542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824730" cy="225425"/>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-1504315</wp:posOffset>
            </wp:positionV>
            <wp:extent cx="4824730" cy="168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-1110615</wp:posOffset>
            </wp:positionV>
            <wp:extent cx="4824730" cy="168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-772795</wp:posOffset>
            </wp:positionV>
            <wp:extent cx="4824730" cy="22542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824730" cy="225425"/>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-378460</wp:posOffset>
            </wp:positionV>
            <wp:extent cx="4824730" cy="168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-7511415</wp:posOffset>
            </wp:positionV>
            <wp:extent cx="4824730" cy="2089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824730" cy="208915"/>
                    </a:xfrm>
                    <a:prstGeom prst="rect">
                      <a:avLst/>
                    </a:prstGeom>
                    <a:noFill/>
                  </pic:spPr>
                </pic:pic>
              </a:graphicData>
            </a:graphic>
          </wp:anchor>
        </w:drawing>
      </w:r>
    </w:p>
    <w:p>
      <w:pPr>
        <w:spacing w:after="0" w:line="14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i w:val="1"/>
          <w:iCs w:val="1"/>
          <w:color w:val="auto"/>
        </w:rPr>
        <w:t>(Continued on next page)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80" w:right="879" w:hanging="38"/>
        <w:spacing w:after="0" w:line="232" w:lineRule="auto"/>
        <w:tabs>
          <w:tab w:leader="none" w:pos="193" w:val="left"/>
        </w:tabs>
        <w:numPr>
          <w:ilvl w:val="0"/>
          <w:numId w:val="1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OF NET</w:t>
      </w:r>
    </w:p>
    <w:p>
      <w:pPr>
        <w:spacing w:after="0"/>
        <w:rPr>
          <w:sz w:val="20"/>
          <w:szCs w:val="20"/>
          <w:color w:val="auto"/>
        </w:rPr>
      </w:pPr>
      <w:r>
        <w:rPr>
          <w:rFonts w:ascii="Times New Roman" w:cs="Times New Roman" w:eastAsia="Times New Roman" w:hAnsi="Times New Roman"/>
          <w:sz w:val="11"/>
          <w:szCs w:val="11"/>
          <w:b w:val="1"/>
          <w:bCs w:val="1"/>
          <w:color w:val="auto"/>
        </w:rPr>
        <w:t>ASSETS</w:t>
      </w:r>
    </w:p>
    <w:p>
      <w:pPr>
        <w:spacing w:after="0" w:line="12435" w:lineRule="exact"/>
        <w:rPr>
          <w:sz w:val="20"/>
          <w:szCs w:val="20"/>
          <w:color w:val="auto"/>
        </w:rPr>
      </w:pPr>
    </w:p>
    <w:p>
      <w:pPr>
        <w:sectPr>
          <w:pgSz w:w="11900" w:h="16838" w:orient="portrait"/>
          <w:cols w:equalWidth="0" w:num="2">
            <w:col w:w="7600" w:space="180"/>
            <w:col w:w="1239"/>
          </w:cols>
          <w:pgMar w:left="1440" w:top="262" w:right="1440" w:bottom="314" w:gutter="0" w:footer="0" w:header="0"/>
          <w:type w:val="continuous"/>
        </w:sect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Accompanying Notes.</w:t>
      </w:r>
    </w:p>
    <w:p>
      <w:pPr>
        <w:sectPr>
          <w:pgSz w:w="11900" w:h="16838" w:orient="portrait"/>
          <w:cols w:equalWidth="0" w:num="1">
            <w:col w:w="9019"/>
          </w:cols>
          <w:pgMar w:left="1440" w:top="262" w:right="1440" w:bottom="314" w:gutter="0" w:footer="0" w:header="0"/>
          <w:type w:val="continuous"/>
        </w:sectPr>
      </w:pP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22225</wp:posOffset>
            </wp:positionV>
            <wp:extent cx="482473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824730" cy="8255"/>
                    </a:xfrm>
                    <a:prstGeom prst="rect">
                      <a:avLst/>
                    </a:prstGeom>
                    <a:noFill/>
                  </pic:spPr>
                </pic:pic>
              </a:graphicData>
            </a:graphic>
          </wp:anchor>
        </w:drawing>
      </w:r>
    </w:p>
    <w:p>
      <w:pPr>
        <w:sectPr>
          <w:pgSz w:w="11900" w:h="16838" w:orient="portrait"/>
          <w:cols w:equalWidth="0" w:num="1">
            <w:col w:w="9019"/>
          </w:cols>
          <w:pgMar w:left="1440" w:top="262" w:right="1440" w:bottom="314" w:gutter="0" w:footer="0" w:header="0"/>
          <w:type w:val="continuous"/>
        </w:sectPr>
      </w:pPr>
    </w:p>
    <w:bookmarkStart w:id="22" w:name="page23"/>
    <w:bookmarkEnd w:id="22"/>
    <w:p>
      <w:pPr>
        <w:ind w:left="70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ectPr>
          <w:pgSz w:w="11900" w:h="16838" w:orient="portrait"/>
          <w:cols w:equalWidth="0" w:num="1">
            <w:col w:w="9019"/>
          </w:cols>
          <w:pgMar w:left="1440" w:top="262" w:right="1440" w:bottom="263" w:gutter="0" w:footer="0" w:header="0"/>
        </w:sectPr>
      </w:pPr>
    </w:p>
    <w:p>
      <w:pPr>
        <w:spacing w:after="0" w:line="200" w:lineRule="exact"/>
        <w:rPr>
          <w:sz w:val="20"/>
          <w:szCs w:val="20"/>
          <w:color w:val="auto"/>
        </w:rPr>
      </w:pPr>
    </w:p>
    <w:p>
      <w:pPr>
        <w:spacing w:after="0" w:line="321"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134"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7"/>
          <w:szCs w:val="17"/>
          <w:b w:val="1"/>
          <w:bCs w:val="1"/>
          <w:color w:val="auto"/>
        </w:rPr>
        <w:t>SCHEDULE OF INVESTMENTS – (continued)</w:t>
      </w:r>
    </w:p>
    <w:p>
      <w:pPr>
        <w:spacing w:after="0" w:line="27"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7"/>
          <w:szCs w:val="17"/>
          <w:b w:val="1"/>
          <w:bCs w:val="1"/>
          <w:color w:val="auto"/>
        </w:rPr>
        <w:t>SEPTEMBER 30, 2022</w:t>
      </w:r>
    </w:p>
    <w:p>
      <w:pPr>
        <w:spacing w:after="0" w:line="7"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56" w:lineRule="exact"/>
        <w:rPr>
          <w:sz w:val="20"/>
          <w:szCs w:val="20"/>
          <w:color w:val="auto"/>
        </w:rPr>
      </w:pPr>
    </w:p>
    <w:tbl>
      <w:tblPr>
        <w:tblLayout w:type="fixed"/>
        <w:tblInd w:w="7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ACQUISITION</w:t>
            </w:r>
          </w:p>
        </w:tc>
        <w:tc>
          <w:tcPr>
            <w:tcW w:w="80" w:type="dxa"/>
            <w:vAlign w:val="bottom"/>
          </w:tcPr>
          <w:p>
            <w:pPr>
              <w:spacing w:after="0"/>
              <w:rPr>
                <w:sz w:val="12"/>
                <w:szCs w:val="12"/>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5"/>
              </w:rPr>
              <w:t>PRINCIPAL</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right"/>
              <w:ind w:right="254"/>
              <w:spacing w:after="0"/>
              <w:rPr>
                <w:sz w:val="20"/>
                <w:szCs w:val="20"/>
                <w:color w:val="auto"/>
              </w:rPr>
            </w:pPr>
            <w:r>
              <w:rPr>
                <w:rFonts w:ascii="Times New Roman" w:cs="Times New Roman" w:eastAsia="Times New Roman" w:hAnsi="Times New Roman"/>
                <w:sz w:val="12"/>
                <w:szCs w:val="12"/>
                <w:b w:val="1"/>
                <w:bCs w:val="1"/>
                <w:color w:val="auto"/>
              </w:rPr>
              <w:t>FAIR</w:t>
            </w:r>
          </w:p>
        </w:tc>
        <w:tc>
          <w:tcPr>
            <w:tcW w:w="0" w:type="dxa"/>
            <w:vAlign w:val="bottom"/>
          </w:tcPr>
          <w:p>
            <w:pPr>
              <w:spacing w:after="0"/>
              <w:rPr>
                <w:sz w:val="1"/>
                <w:szCs w:val="1"/>
                <w:color w:val="auto"/>
              </w:rPr>
            </w:pPr>
          </w:p>
        </w:tc>
      </w:tr>
      <w:tr>
        <w:trPr>
          <w:trHeight w:val="119"/>
        </w:trPr>
        <w:tc>
          <w:tcPr>
            <w:tcW w:w="3360" w:type="dxa"/>
            <w:vAlign w:val="bottom"/>
            <w:gridSpan w:val="5"/>
            <w:vMerge w:val="restart"/>
          </w:tcPr>
          <w:p>
            <w:pPr>
              <w:spacing w:after="0"/>
              <w:rPr>
                <w:sz w:val="20"/>
                <w:szCs w:val="20"/>
                <w:color w:val="auto"/>
              </w:rPr>
            </w:pPr>
            <w:r>
              <w:rPr>
                <w:rFonts w:ascii="Times New Roman" w:cs="Times New Roman" w:eastAsia="Times New Roman" w:hAnsi="Times New Roman"/>
                <w:sz w:val="12"/>
                <w:szCs w:val="12"/>
                <w:b w:val="1"/>
                <w:bCs w:val="1"/>
                <w:color w:val="auto"/>
              </w:rPr>
              <w:t>COMPANY/INVESTMENT</w:t>
            </w:r>
            <w:r>
              <w:rPr>
                <w:rFonts w:ascii="Times New Roman" w:cs="Times New Roman" w:eastAsia="Times New Roman" w:hAnsi="Times New Roman"/>
                <w:sz w:val="13"/>
                <w:szCs w:val="13"/>
                <w:b w:val="1"/>
                <w:bCs w:val="1"/>
                <w:color w:val="auto"/>
                <w:vertAlign w:val="superscript"/>
              </w:rPr>
              <w:t>(1)(13)(14)</w:t>
            </w: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center"/>
              <w:ind w:right="100"/>
              <w:spacing w:after="0" w:line="120" w:lineRule="exact"/>
              <w:rPr>
                <w:sz w:val="20"/>
                <w:szCs w:val="20"/>
                <w:color w:val="auto"/>
              </w:rPr>
            </w:pPr>
            <w:r>
              <w:rPr>
                <w:rFonts w:ascii="Times New Roman" w:cs="Times New Roman" w:eastAsia="Times New Roman" w:hAnsi="Times New Roman"/>
                <w:sz w:val="12"/>
                <w:szCs w:val="12"/>
                <w:b w:val="1"/>
                <w:bCs w:val="1"/>
                <w:color w:val="auto"/>
                <w:w w:val="96"/>
              </w:rPr>
              <w:t>AMOUNT/</w:t>
            </w: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3360" w:type="dxa"/>
            <w:vAlign w:val="bottom"/>
            <w:gridSpan w:val="5"/>
            <w:vMerge w:val="continue"/>
          </w:tcPr>
          <w:p>
            <w:pPr>
              <w:spacing w:after="0"/>
              <w:rPr>
                <w:sz w:val="16"/>
                <w:szCs w:val="16"/>
                <w:color w:val="auto"/>
              </w:rPr>
            </w:pPr>
          </w:p>
        </w:tc>
        <w:tc>
          <w:tcPr>
            <w:tcW w:w="820" w:type="dxa"/>
            <w:vAlign w:val="bottom"/>
          </w:tcPr>
          <w:p>
            <w:pPr>
              <w:jc w:val="center"/>
              <w:spacing w:after="0" w:line="190" w:lineRule="exact"/>
              <w:rPr>
                <w:sz w:val="20"/>
                <w:szCs w:val="20"/>
                <w:color w:val="auto"/>
              </w:rPr>
            </w:pPr>
            <w:r>
              <w:rPr>
                <w:rFonts w:ascii="Times New Roman" w:cs="Times New Roman" w:eastAsia="Times New Roman" w:hAnsi="Times New Roman"/>
                <w:sz w:val="22"/>
                <w:szCs w:val="22"/>
                <w:b w:val="1"/>
                <w:bCs w:val="1"/>
                <w:color w:val="auto"/>
                <w:w w:val="80"/>
                <w:vertAlign w:val="subscript"/>
              </w:rPr>
              <w:t>DATE</w:t>
            </w:r>
            <w:r>
              <w:rPr>
                <w:rFonts w:ascii="Times New Roman" w:cs="Times New Roman" w:eastAsia="Times New Roman" w:hAnsi="Times New Roman"/>
                <w:sz w:val="7"/>
                <w:szCs w:val="7"/>
                <w:b w:val="1"/>
                <w:bCs w:val="1"/>
                <w:color w:val="auto"/>
                <w:w w:val="80"/>
              </w:rPr>
              <w:t>(15)</w:t>
            </w:r>
          </w:p>
        </w:tc>
        <w:tc>
          <w:tcPr>
            <w:tcW w:w="80" w:type="dxa"/>
            <w:vAlign w:val="bottom"/>
          </w:tcPr>
          <w:p>
            <w:pPr>
              <w:spacing w:after="0"/>
              <w:rPr>
                <w:sz w:val="16"/>
                <w:szCs w:val="16"/>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SHARES</w:t>
            </w:r>
          </w:p>
        </w:tc>
        <w:tc>
          <w:tcPr>
            <w:tcW w:w="160" w:type="dxa"/>
            <w:vAlign w:val="bottom"/>
          </w:tcPr>
          <w:p>
            <w:pPr>
              <w:spacing w:after="0"/>
              <w:rPr>
                <w:sz w:val="16"/>
                <w:szCs w:val="16"/>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COST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134"/>
              <w:spacing w:after="0"/>
              <w:rPr>
                <w:sz w:val="20"/>
                <w:szCs w:val="20"/>
                <w:color w:val="auto"/>
              </w:rPr>
            </w:pPr>
            <w:r>
              <w:rPr>
                <w:rFonts w:ascii="Times New Roman" w:cs="Times New Roman" w:eastAsia="Times New Roman" w:hAnsi="Times New Roman"/>
                <w:sz w:val="12"/>
                <w:szCs w:val="12"/>
                <w:b w:val="1"/>
                <w:bCs w:val="1"/>
                <w:color w:val="auto"/>
                <w:w w:val="99"/>
              </w:rPr>
              <w:t>VALUE</w:t>
            </w:r>
            <w:r>
              <w:rPr>
                <w:rFonts w:ascii="Times New Roman" w:cs="Times New Roman" w:eastAsia="Times New Roman" w:hAnsi="Times New Roman"/>
                <w:sz w:val="13"/>
                <w:szCs w:val="13"/>
                <w:b w:val="1"/>
                <w:bCs w:val="1"/>
                <w:color w:val="auto"/>
                <w:w w:val="99"/>
                <w:vertAlign w:val="superscript"/>
              </w:rPr>
              <w:t>(2)</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260" w:type="dxa"/>
            <w:vAlign w:val="bottom"/>
            <w:tcBorders>
              <w:top w:val="single" w:sz="8" w:color="auto"/>
            </w:tcBorders>
            <w:gridSpan w:val="3"/>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Collateralized Loan Obligation – Equity Investments</w:t>
            </w:r>
          </w:p>
        </w:tc>
        <w:tc>
          <w:tcPr>
            <w:tcW w:w="8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4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(continued)</w:t>
            </w:r>
          </w:p>
        </w:tc>
        <w:tc>
          <w:tcPr>
            <w:tcW w:w="300" w:type="dxa"/>
            <w:vAlign w:val="bottom"/>
            <w:gridSpan w:val="2"/>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36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Structured Finance – Equity Investments (continued)</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236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3"/>
                <w:szCs w:val="13"/>
                <w:b w:val="1"/>
                <w:bCs w:val="1"/>
                <w:color w:val="auto"/>
              </w:rPr>
              <w:t>Madison Park Funding XXI, Ltd.</w:t>
            </w:r>
          </w:p>
        </w:tc>
        <w:tc>
          <w:tcPr>
            <w:tcW w:w="980" w:type="dxa"/>
            <w:vAlign w:val="bottom"/>
            <w:gridSpan w:val="3"/>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14.19%,</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01/26/2022</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  7,000,000</w:t>
            </w:r>
          </w:p>
        </w:tc>
        <w:tc>
          <w:tcPr>
            <w:tcW w:w="160" w:type="dxa"/>
            <w:vAlign w:val="bottom"/>
            <w:vMerge w:val="restart"/>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4,986,193</w:t>
            </w:r>
          </w:p>
        </w:tc>
        <w:tc>
          <w:tcPr>
            <w:tcW w:w="1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3,850,000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October 15, 2032)</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Madison Park Funding XXIV,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11.34%,</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03/28/2019</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3,568,750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1,936,916</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1,142,000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October 20, 2029)</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Madison Park Funding XXVIII,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15.33%,</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02/01/2022</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4,267,000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2,798,594</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2,193,623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July 15, 2030)</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Madison Park Funding XXX,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(5)(7)(11)</w:t>
            </w:r>
            <w:r>
              <w:rPr>
                <w:rFonts w:ascii="Times New Roman" w:cs="Times New Roman" w:eastAsia="Times New Roman" w:hAnsi="Times New Roman"/>
                <w:sz w:val="13"/>
                <w:szCs w:val="13"/>
                <w:color w:val="auto"/>
              </w:rPr>
              <w:t>, (Estimated yield</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02/23/2018</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17,550,000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10,773,845</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7,082,896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12.17%, maturity April 15, 2047)</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Madison Park Funding XXXVIII,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income notes</w:t>
            </w:r>
            <w:r>
              <w:rPr>
                <w:rFonts w:ascii="Times New Roman" w:cs="Times New Roman" w:eastAsia="Times New Roman" w:hAnsi="Times New Roman"/>
                <w:sz w:val="20"/>
                <w:szCs w:val="20"/>
                <w:color w:val="auto"/>
                <w:vertAlign w:val="superscript"/>
              </w:rPr>
              <w:t>(5)(7)(11)</w:t>
            </w:r>
            <w:r>
              <w:rPr>
                <w:rFonts w:ascii="Times New Roman" w:cs="Times New Roman" w:eastAsia="Times New Roman" w:hAnsi="Times New Roman"/>
                <w:sz w:val="13"/>
                <w:szCs w:val="13"/>
                <w:color w:val="auto"/>
              </w:rPr>
              <w:t>, (Estimated yield 20.67%,</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05/14/2021</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21,250,000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16,724,538</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15,937,500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July 17, 2034)</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Madison Park Funding LII,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income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17.46%,</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11/22/2021</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15,365,000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12,089,333</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11,370,100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January 22, 2035)</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Madison Park Fund XLI, Ltd. (fka: Atrium XII</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b w:val="1"/>
                <w:bCs w:val="1"/>
                <w:color w:val="auto"/>
              </w:rPr>
              <w:t>CLO)</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19.08%,</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10/08/2015</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39,075,000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16,466,548</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12,113,250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April 22, 2027)</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Man GLG US CLO 2018-2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(5)(7)(8)(10)</w:t>
            </w:r>
            <w:r>
              <w:rPr>
                <w:rFonts w:ascii="Times New Roman" w:cs="Times New Roman" w:eastAsia="Times New Roman" w:hAnsi="Times New Roman"/>
                <w:sz w:val="13"/>
                <w:szCs w:val="13"/>
                <w:color w:val="auto"/>
              </w:rPr>
              <w:t>, (Estimated yield</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02/18/2021</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32,000,000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64,000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0.00%, maturity October 15, 2028)</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Marble Point CLO XI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income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0.00%,</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05/07/2019</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8,500,000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3,464,073</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1,615,000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December 18, 2047)</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Marble Point CLO XVIII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18.81%,</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01/25/2022</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26,500,000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20,615,268</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16,960,000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October 15, 2050)</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Midocean Credit CLO II</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income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0.00%,</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06/17/2021</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13,600,000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3,256,849</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1,360,000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January 29, 2030)</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Midocean Credit CLO III</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income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0.00%,</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04/24/2019</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16,650,000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5,997,994</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1,332,000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April 21, 2031)</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Midocean Credit CLO VI</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income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11.03%,</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11/08/2016</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29,700,000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22,361,083</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13,068,000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April 20, 2033)</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-7165340</wp:posOffset>
            </wp:positionV>
            <wp:extent cx="4824730" cy="168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-6771640</wp:posOffset>
            </wp:positionV>
            <wp:extent cx="4824730" cy="168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-6433820</wp:posOffset>
            </wp:positionV>
            <wp:extent cx="4824730" cy="22542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824730" cy="225425"/>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-6039485</wp:posOffset>
            </wp:positionV>
            <wp:extent cx="4824730" cy="168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-5645785</wp:posOffset>
            </wp:positionV>
            <wp:extent cx="4824730" cy="168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-5307965</wp:posOffset>
            </wp:positionV>
            <wp:extent cx="4824730" cy="22542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824730" cy="225425"/>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-4914265</wp:posOffset>
            </wp:positionV>
            <wp:extent cx="4824730" cy="168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-4519930</wp:posOffset>
            </wp:positionV>
            <wp:extent cx="4824730" cy="168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-4182110</wp:posOffset>
            </wp:positionV>
            <wp:extent cx="4824730" cy="22542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824730" cy="225425"/>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-3788410</wp:posOffset>
            </wp:positionV>
            <wp:extent cx="4824730" cy="2012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824730" cy="201295"/>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-3361690</wp:posOffset>
            </wp:positionV>
            <wp:extent cx="4824730" cy="168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-3024505</wp:posOffset>
            </wp:positionV>
            <wp:extent cx="4824730" cy="22542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824730" cy="225425"/>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-2630170</wp:posOffset>
            </wp:positionV>
            <wp:extent cx="4824730" cy="168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-2236470</wp:posOffset>
            </wp:positionV>
            <wp:extent cx="4824730" cy="168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-1898650</wp:posOffset>
            </wp:positionV>
            <wp:extent cx="4824730" cy="22542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824730" cy="225425"/>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-1504315</wp:posOffset>
            </wp:positionV>
            <wp:extent cx="4824730" cy="168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-1110615</wp:posOffset>
            </wp:positionV>
            <wp:extent cx="4824730" cy="168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-772795</wp:posOffset>
            </wp:positionV>
            <wp:extent cx="4824730" cy="22542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824730" cy="225425"/>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-378460</wp:posOffset>
            </wp:positionV>
            <wp:extent cx="4824730" cy="168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-7543800</wp:posOffset>
            </wp:positionV>
            <wp:extent cx="4824730" cy="2089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824730" cy="208915"/>
                    </a:xfrm>
                    <a:prstGeom prst="rect">
                      <a:avLst/>
                    </a:prstGeom>
                    <a:noFill/>
                  </pic:spPr>
                </pic:pic>
              </a:graphicData>
            </a:graphic>
          </wp:anchor>
        </w:drawing>
      </w:r>
    </w:p>
    <w:p>
      <w:pPr>
        <w:spacing w:after="0" w:line="14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i w:val="1"/>
          <w:iCs w:val="1"/>
          <w:color w:val="auto"/>
        </w:rPr>
        <w:t>(Continued on next page)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80" w:right="879" w:hanging="38"/>
        <w:spacing w:after="0" w:line="232" w:lineRule="auto"/>
        <w:tabs>
          <w:tab w:leader="none" w:pos="193" w:val="left"/>
        </w:tabs>
        <w:numPr>
          <w:ilvl w:val="0"/>
          <w:numId w:val="1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OF NET</w:t>
      </w:r>
    </w:p>
    <w:p>
      <w:pPr>
        <w:spacing w:after="0"/>
        <w:rPr>
          <w:sz w:val="20"/>
          <w:szCs w:val="20"/>
          <w:color w:val="auto"/>
        </w:rPr>
      </w:pPr>
      <w:r>
        <w:rPr>
          <w:rFonts w:ascii="Times New Roman" w:cs="Times New Roman" w:eastAsia="Times New Roman" w:hAnsi="Times New Roman"/>
          <w:sz w:val="11"/>
          <w:szCs w:val="11"/>
          <w:b w:val="1"/>
          <w:bCs w:val="1"/>
          <w:color w:val="auto"/>
        </w:rPr>
        <w:t>ASSETS</w:t>
      </w:r>
    </w:p>
    <w:p>
      <w:pPr>
        <w:spacing w:after="0" w:line="12485" w:lineRule="exact"/>
        <w:rPr>
          <w:sz w:val="20"/>
          <w:szCs w:val="20"/>
          <w:color w:val="auto"/>
        </w:rPr>
      </w:pPr>
    </w:p>
    <w:p>
      <w:pPr>
        <w:sectPr>
          <w:pgSz w:w="11900" w:h="16838" w:orient="portrait"/>
          <w:cols w:equalWidth="0" w:num="2">
            <w:col w:w="7600" w:space="180"/>
            <w:col w:w="1239"/>
          </w:cols>
          <w:pgMar w:left="1440" w:top="262" w:right="1440" w:bottom="263" w:gutter="0" w:footer="0" w:header="0"/>
          <w:type w:val="continuous"/>
        </w:sect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Accompanying Notes.</w:t>
      </w:r>
    </w:p>
    <w:p>
      <w:pPr>
        <w:sectPr>
          <w:pgSz w:w="11900" w:h="16838" w:orient="portrait"/>
          <w:cols w:equalWidth="0" w:num="1">
            <w:col w:w="9019"/>
          </w:cols>
          <w:pgMar w:left="1440" w:top="262" w:right="1440" w:bottom="263" w:gutter="0" w:footer="0" w:header="0"/>
          <w:type w:val="continuous"/>
        </w:sectPr>
      </w:pP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22225</wp:posOffset>
            </wp:positionV>
            <wp:extent cx="482473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824730" cy="8255"/>
                    </a:xfrm>
                    <a:prstGeom prst="rect">
                      <a:avLst/>
                    </a:prstGeom>
                    <a:noFill/>
                  </pic:spPr>
                </pic:pic>
              </a:graphicData>
            </a:graphic>
          </wp:anchor>
        </w:drawing>
      </w:r>
    </w:p>
    <w:p>
      <w:pPr>
        <w:sectPr>
          <w:pgSz w:w="11900" w:h="16838" w:orient="portrait"/>
          <w:cols w:equalWidth="0" w:num="1">
            <w:col w:w="9019"/>
          </w:cols>
          <w:pgMar w:left="1440" w:top="262" w:right="1440" w:bottom="263" w:gutter="0" w:footer="0" w:header="0"/>
          <w:type w:val="continuous"/>
        </w:sectPr>
      </w:pPr>
    </w:p>
    <w:bookmarkStart w:id="23" w:name="page24"/>
    <w:bookmarkEnd w:id="23"/>
    <w:p>
      <w:pPr>
        <w:ind w:left="70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ectPr>
          <w:pgSz w:w="11900" w:h="16838" w:orient="portrait"/>
          <w:cols w:equalWidth="0" w:num="1">
            <w:col w:w="9019"/>
          </w:cols>
          <w:pgMar w:left="1440" w:top="262" w:right="1440" w:bottom="314" w:gutter="0" w:footer="0" w:header="0"/>
        </w:sectPr>
      </w:pPr>
    </w:p>
    <w:p>
      <w:pPr>
        <w:spacing w:after="0" w:line="200" w:lineRule="exact"/>
        <w:rPr>
          <w:sz w:val="20"/>
          <w:szCs w:val="20"/>
          <w:color w:val="auto"/>
        </w:rPr>
      </w:pPr>
    </w:p>
    <w:p>
      <w:pPr>
        <w:spacing w:after="0" w:line="321"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134"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7"/>
          <w:szCs w:val="17"/>
          <w:b w:val="1"/>
          <w:bCs w:val="1"/>
          <w:color w:val="auto"/>
        </w:rPr>
        <w:t>SCHEDULE OF INVESTMENTS – (continued)</w:t>
      </w:r>
    </w:p>
    <w:p>
      <w:pPr>
        <w:spacing w:after="0" w:line="27"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7"/>
          <w:szCs w:val="17"/>
          <w:b w:val="1"/>
          <w:bCs w:val="1"/>
          <w:color w:val="auto"/>
        </w:rPr>
        <w:t>SEPTEMBER 30, 2022</w:t>
      </w:r>
    </w:p>
    <w:p>
      <w:pPr>
        <w:spacing w:after="0" w:line="7"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56" w:lineRule="exact"/>
        <w:rPr>
          <w:sz w:val="20"/>
          <w:szCs w:val="20"/>
          <w:color w:val="auto"/>
        </w:rPr>
      </w:pPr>
    </w:p>
    <w:tbl>
      <w:tblPr>
        <w:tblLayout w:type="fixed"/>
        <w:tblInd w:w="7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ACQUISITION</w:t>
            </w:r>
          </w:p>
        </w:tc>
        <w:tc>
          <w:tcPr>
            <w:tcW w:w="80" w:type="dxa"/>
            <w:vAlign w:val="bottom"/>
          </w:tcPr>
          <w:p>
            <w:pPr>
              <w:spacing w:after="0"/>
              <w:rPr>
                <w:sz w:val="12"/>
                <w:szCs w:val="12"/>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5"/>
              </w:rPr>
              <w:t>PRINCIPAL</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right"/>
              <w:ind w:right="254"/>
              <w:spacing w:after="0"/>
              <w:rPr>
                <w:sz w:val="20"/>
                <w:szCs w:val="20"/>
                <w:color w:val="auto"/>
              </w:rPr>
            </w:pPr>
            <w:r>
              <w:rPr>
                <w:rFonts w:ascii="Times New Roman" w:cs="Times New Roman" w:eastAsia="Times New Roman" w:hAnsi="Times New Roman"/>
                <w:sz w:val="12"/>
                <w:szCs w:val="12"/>
                <w:b w:val="1"/>
                <w:bCs w:val="1"/>
                <w:color w:val="auto"/>
              </w:rPr>
              <w:t>FAIR</w:t>
            </w:r>
          </w:p>
        </w:tc>
        <w:tc>
          <w:tcPr>
            <w:tcW w:w="0" w:type="dxa"/>
            <w:vAlign w:val="bottom"/>
          </w:tcPr>
          <w:p>
            <w:pPr>
              <w:spacing w:after="0"/>
              <w:rPr>
                <w:sz w:val="1"/>
                <w:szCs w:val="1"/>
                <w:color w:val="auto"/>
              </w:rPr>
            </w:pPr>
          </w:p>
        </w:tc>
      </w:tr>
      <w:tr>
        <w:trPr>
          <w:trHeight w:val="119"/>
        </w:trPr>
        <w:tc>
          <w:tcPr>
            <w:tcW w:w="3360" w:type="dxa"/>
            <w:vAlign w:val="bottom"/>
            <w:gridSpan w:val="5"/>
            <w:vMerge w:val="restart"/>
          </w:tcPr>
          <w:p>
            <w:pPr>
              <w:spacing w:after="0"/>
              <w:rPr>
                <w:sz w:val="20"/>
                <w:szCs w:val="20"/>
                <w:color w:val="auto"/>
              </w:rPr>
            </w:pPr>
            <w:r>
              <w:rPr>
                <w:rFonts w:ascii="Times New Roman" w:cs="Times New Roman" w:eastAsia="Times New Roman" w:hAnsi="Times New Roman"/>
                <w:sz w:val="12"/>
                <w:szCs w:val="12"/>
                <w:b w:val="1"/>
                <w:bCs w:val="1"/>
                <w:color w:val="auto"/>
              </w:rPr>
              <w:t>COMPANY/INVESTMENT</w:t>
            </w:r>
            <w:r>
              <w:rPr>
                <w:rFonts w:ascii="Times New Roman" w:cs="Times New Roman" w:eastAsia="Times New Roman" w:hAnsi="Times New Roman"/>
                <w:sz w:val="13"/>
                <w:szCs w:val="13"/>
                <w:b w:val="1"/>
                <w:bCs w:val="1"/>
                <w:color w:val="auto"/>
                <w:vertAlign w:val="superscript"/>
              </w:rPr>
              <w:t>(1)(13)(14)</w:t>
            </w: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center"/>
              <w:ind w:right="100"/>
              <w:spacing w:after="0" w:line="120" w:lineRule="exact"/>
              <w:rPr>
                <w:sz w:val="20"/>
                <w:szCs w:val="20"/>
                <w:color w:val="auto"/>
              </w:rPr>
            </w:pPr>
            <w:r>
              <w:rPr>
                <w:rFonts w:ascii="Times New Roman" w:cs="Times New Roman" w:eastAsia="Times New Roman" w:hAnsi="Times New Roman"/>
                <w:sz w:val="12"/>
                <w:szCs w:val="12"/>
                <w:b w:val="1"/>
                <w:bCs w:val="1"/>
                <w:color w:val="auto"/>
                <w:w w:val="96"/>
              </w:rPr>
              <w:t>AMOUNT/</w:t>
            </w: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3360" w:type="dxa"/>
            <w:vAlign w:val="bottom"/>
            <w:gridSpan w:val="5"/>
            <w:vMerge w:val="continue"/>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87"/>
              </w:rPr>
              <w:t>DATE</w:t>
            </w:r>
            <w:r>
              <w:rPr>
                <w:rFonts w:ascii="Times New Roman" w:cs="Times New Roman" w:eastAsia="Times New Roman" w:hAnsi="Times New Roman"/>
                <w:sz w:val="13"/>
                <w:szCs w:val="13"/>
                <w:b w:val="1"/>
                <w:bCs w:val="1"/>
                <w:color w:val="auto"/>
                <w:w w:val="87"/>
                <w:vertAlign w:val="superscript"/>
              </w:rPr>
              <w:t>(15)</w:t>
            </w:r>
          </w:p>
        </w:tc>
        <w:tc>
          <w:tcPr>
            <w:tcW w:w="80" w:type="dxa"/>
            <w:vAlign w:val="bottom"/>
          </w:tcPr>
          <w:p>
            <w:pPr>
              <w:spacing w:after="0"/>
              <w:rPr>
                <w:sz w:val="15"/>
                <w:szCs w:val="15"/>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SHARES</w:t>
            </w:r>
          </w:p>
        </w:tc>
        <w:tc>
          <w:tcPr>
            <w:tcW w:w="160" w:type="dxa"/>
            <w:vAlign w:val="bottom"/>
          </w:tcPr>
          <w:p>
            <w:pPr>
              <w:spacing w:after="0"/>
              <w:rPr>
                <w:sz w:val="15"/>
                <w:szCs w:val="15"/>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COST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134"/>
              <w:spacing w:after="0"/>
              <w:rPr>
                <w:sz w:val="20"/>
                <w:szCs w:val="20"/>
                <w:color w:val="auto"/>
              </w:rPr>
            </w:pPr>
            <w:r>
              <w:rPr>
                <w:rFonts w:ascii="Times New Roman" w:cs="Times New Roman" w:eastAsia="Times New Roman" w:hAnsi="Times New Roman"/>
                <w:sz w:val="12"/>
                <w:szCs w:val="12"/>
                <w:b w:val="1"/>
                <w:bCs w:val="1"/>
                <w:color w:val="auto"/>
                <w:w w:val="99"/>
              </w:rPr>
              <w:t>VALUE</w:t>
            </w:r>
            <w:r>
              <w:rPr>
                <w:rFonts w:ascii="Times New Roman" w:cs="Times New Roman" w:eastAsia="Times New Roman" w:hAnsi="Times New Roman"/>
                <w:sz w:val="13"/>
                <w:szCs w:val="13"/>
                <w:b w:val="1"/>
                <w:bCs w:val="1"/>
                <w:color w:val="auto"/>
                <w:w w:val="99"/>
                <w:vertAlign w:val="superscript"/>
              </w:rPr>
              <w:t>(2)</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260" w:type="dxa"/>
            <w:vAlign w:val="bottom"/>
            <w:tcBorders>
              <w:top w:val="single" w:sz="8" w:color="auto"/>
            </w:tcBorders>
            <w:gridSpan w:val="3"/>
          </w:tcPr>
          <w:p>
            <w:pPr>
              <w:spacing w:after="0" w:line="127" w:lineRule="exact"/>
              <w:rPr>
                <w:sz w:val="20"/>
                <w:szCs w:val="20"/>
                <w:color w:val="auto"/>
              </w:rPr>
            </w:pPr>
            <w:r>
              <w:rPr>
                <w:rFonts w:ascii="Times New Roman" w:cs="Times New Roman" w:eastAsia="Times New Roman" w:hAnsi="Times New Roman"/>
                <w:sz w:val="13"/>
                <w:szCs w:val="13"/>
                <w:b w:val="1"/>
                <w:bCs w:val="1"/>
                <w:color w:val="auto"/>
              </w:rPr>
              <w:t>Collateralized Loan Obligation – Equity Investments</w:t>
            </w:r>
          </w:p>
        </w:tc>
        <w:tc>
          <w:tcPr>
            <w:tcW w:w="8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4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(continued)</w:t>
            </w:r>
          </w:p>
        </w:tc>
        <w:tc>
          <w:tcPr>
            <w:tcW w:w="300" w:type="dxa"/>
            <w:vAlign w:val="bottom"/>
            <w:gridSpan w:val="2"/>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36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Structured Finance – Equity Investments (continued)</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236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3"/>
                <w:szCs w:val="13"/>
                <w:b w:val="1"/>
                <w:bCs w:val="1"/>
                <w:color w:val="auto"/>
              </w:rPr>
              <w:t>Milford Park CLO, Ltd.</w:t>
            </w:r>
          </w:p>
        </w:tc>
        <w:tc>
          <w:tcPr>
            <w:tcW w:w="980" w:type="dxa"/>
            <w:vAlign w:val="bottom"/>
            <w:gridSpan w:val="3"/>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(5)(7)(9)</w:t>
            </w:r>
            <w:r>
              <w:rPr>
                <w:rFonts w:ascii="Times New Roman" w:cs="Times New Roman" w:eastAsia="Times New Roman" w:hAnsi="Times New Roman"/>
                <w:sz w:val="13"/>
                <w:szCs w:val="13"/>
                <w:color w:val="auto"/>
              </w:rPr>
              <w:t>, (Estimated yield</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05/12/2022</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$ 32,960,000</w:t>
            </w:r>
          </w:p>
        </w:tc>
        <w:tc>
          <w:tcPr>
            <w:tcW w:w="160" w:type="dxa"/>
            <w:vAlign w:val="bottom"/>
            <w:vMerge w:val="restart"/>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30,286,217</w:t>
            </w:r>
          </w:p>
        </w:tc>
        <w:tc>
          <w:tcPr>
            <w:tcW w:w="1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29,004,800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18.24%, maturity July 20, 2035)</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MP CLO VIII,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income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15.70%,</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11/10/2021</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11,000,000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4,053,019</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2,970,000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April 28, 2034)</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Nassau 2017-II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income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0.00%,</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09/17/2019</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24,400,000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8,671,293</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1,464,000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January 15, 2030)</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Neuberger Berman CLO XIV,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16.03%,</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01/26/2022</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7,800,000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2,864,670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1,872,000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January 28, 2030)</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NorthWoods Capital XIV-B,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0.00%,</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12/18/2019</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6,975,000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3,158,416</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1,883,250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November 13, 2031)</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Nyack Park CLO,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19.22%,</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09/02/2021</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30,000,000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24,304,558</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22,800,000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October 20, 2034)</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Oaktree CLO 2018-1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22.18%,</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08/25/2022</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11,000,000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4,555,169</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4,180,000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October 20, 2030)</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Ocean Trails CLO VI</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(5)(7)(10)</w:t>
            </w:r>
            <w:r>
              <w:rPr>
                <w:rFonts w:ascii="Times New Roman" w:cs="Times New Roman" w:eastAsia="Times New Roman" w:hAnsi="Times New Roman"/>
                <w:sz w:val="13"/>
                <w:szCs w:val="13"/>
                <w:color w:val="auto"/>
              </w:rPr>
              <w:t>, (Estimated yield 0.00%,</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10/30/2018</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4,000,000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474,040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45,317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July 15, 2028)</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OCP CLO 2020-18,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20.20%,</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08/16/2022</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22,500,000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10,094,364</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8,775,000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July 20, 2032)</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OCP CLO 2021-22,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21.30%,</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07/26/2022</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7,950,000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5,987,616</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5,724,000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December 02, 2034)</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Octagon Investment Partners XVII,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19.36%,</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05/18/2021</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9,300,500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2,579,215</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1,674,090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January 25, 2031)</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Octagon Investment Partners XXII,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(5)(7)(11)</w:t>
            </w:r>
            <w:r>
              <w:rPr>
                <w:rFonts w:ascii="Times New Roman" w:cs="Times New Roman" w:eastAsia="Times New Roman" w:hAnsi="Times New Roman"/>
                <w:sz w:val="13"/>
                <w:szCs w:val="13"/>
                <w:color w:val="auto"/>
              </w:rPr>
              <w:t>, (Estimated yield</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06/07/2018</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32,055,000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12,180,859</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7,212,375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13.32%, maturity January 22, 2030)</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Octagon Investment Partners 36,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19.14%,</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08/24/2021</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10,250,000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5,423,141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3,417,048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April 15, 2031)</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-7133590</wp:posOffset>
            </wp:positionV>
            <wp:extent cx="4824730" cy="168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-6739255</wp:posOffset>
            </wp:positionV>
            <wp:extent cx="4824730" cy="1689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-6401435</wp:posOffset>
            </wp:positionV>
            <wp:extent cx="4824730" cy="22542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824730" cy="225425"/>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-6007735</wp:posOffset>
            </wp:positionV>
            <wp:extent cx="4824730" cy="168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-5613400</wp:posOffset>
            </wp:positionV>
            <wp:extent cx="4824730" cy="168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-5275580</wp:posOffset>
            </wp:positionV>
            <wp:extent cx="4824730" cy="22542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824730" cy="225425"/>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-4881880</wp:posOffset>
            </wp:positionV>
            <wp:extent cx="4824730" cy="1689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-4487545</wp:posOffset>
            </wp:positionV>
            <wp:extent cx="4824730" cy="1689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-4149725</wp:posOffset>
            </wp:positionV>
            <wp:extent cx="4824730" cy="22542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824730" cy="225425"/>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-3756025</wp:posOffset>
            </wp:positionV>
            <wp:extent cx="4824730" cy="1689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-3361690</wp:posOffset>
            </wp:positionV>
            <wp:extent cx="4824730" cy="1689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-3024505</wp:posOffset>
            </wp:positionV>
            <wp:extent cx="4824730" cy="22542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824730" cy="225425"/>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-2630170</wp:posOffset>
            </wp:positionV>
            <wp:extent cx="4824730" cy="1689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-2236470</wp:posOffset>
            </wp:positionV>
            <wp:extent cx="4824730" cy="1689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-1898650</wp:posOffset>
            </wp:positionV>
            <wp:extent cx="4824730" cy="22542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824730" cy="225425"/>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-1504315</wp:posOffset>
            </wp:positionV>
            <wp:extent cx="4824730" cy="1689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-1110615</wp:posOffset>
            </wp:positionV>
            <wp:extent cx="4824730" cy="1689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-772795</wp:posOffset>
            </wp:positionV>
            <wp:extent cx="4824730" cy="22542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824730" cy="225425"/>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-378460</wp:posOffset>
            </wp:positionV>
            <wp:extent cx="4824730" cy="1689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-7511415</wp:posOffset>
            </wp:positionV>
            <wp:extent cx="4824730" cy="2089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824730" cy="208915"/>
                    </a:xfrm>
                    <a:prstGeom prst="rect">
                      <a:avLst/>
                    </a:prstGeom>
                    <a:noFill/>
                  </pic:spPr>
                </pic:pic>
              </a:graphicData>
            </a:graphic>
          </wp:anchor>
        </w:drawing>
      </w:r>
    </w:p>
    <w:p>
      <w:pPr>
        <w:spacing w:after="0" w:line="14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i w:val="1"/>
          <w:iCs w:val="1"/>
          <w:color w:val="auto"/>
        </w:rPr>
        <w:t>(Continued on next page)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80" w:right="879" w:hanging="38"/>
        <w:spacing w:after="0" w:line="232" w:lineRule="auto"/>
        <w:tabs>
          <w:tab w:leader="none" w:pos="193" w:val="left"/>
        </w:tabs>
        <w:numPr>
          <w:ilvl w:val="0"/>
          <w:numId w:val="1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OF NET</w:t>
      </w:r>
    </w:p>
    <w:p>
      <w:pPr>
        <w:spacing w:after="0"/>
        <w:rPr>
          <w:sz w:val="20"/>
          <w:szCs w:val="20"/>
          <w:color w:val="auto"/>
        </w:rPr>
      </w:pPr>
      <w:r>
        <w:rPr>
          <w:rFonts w:ascii="Times New Roman" w:cs="Times New Roman" w:eastAsia="Times New Roman" w:hAnsi="Times New Roman"/>
          <w:sz w:val="11"/>
          <w:szCs w:val="11"/>
          <w:b w:val="1"/>
          <w:bCs w:val="1"/>
          <w:color w:val="auto"/>
        </w:rPr>
        <w:t>ASSETS</w:t>
      </w:r>
    </w:p>
    <w:p>
      <w:pPr>
        <w:spacing w:after="0" w:line="12435" w:lineRule="exact"/>
        <w:rPr>
          <w:sz w:val="20"/>
          <w:szCs w:val="20"/>
          <w:color w:val="auto"/>
        </w:rPr>
      </w:pPr>
    </w:p>
    <w:p>
      <w:pPr>
        <w:sectPr>
          <w:pgSz w:w="11900" w:h="16838" w:orient="portrait"/>
          <w:cols w:equalWidth="0" w:num="2">
            <w:col w:w="7600" w:space="180"/>
            <w:col w:w="1239"/>
          </w:cols>
          <w:pgMar w:left="1440" w:top="262" w:right="1440" w:bottom="314" w:gutter="0" w:footer="0" w:header="0"/>
          <w:type w:val="continuous"/>
        </w:sect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Accompanying Notes.</w:t>
      </w:r>
    </w:p>
    <w:p>
      <w:pPr>
        <w:sectPr>
          <w:pgSz w:w="11900" w:h="16838" w:orient="portrait"/>
          <w:cols w:equalWidth="0" w:num="1">
            <w:col w:w="9019"/>
          </w:cols>
          <w:pgMar w:left="1440" w:top="262" w:right="1440" w:bottom="314" w:gutter="0" w:footer="0" w:header="0"/>
          <w:type w:val="continuous"/>
        </w:sectPr>
      </w:pP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22225</wp:posOffset>
            </wp:positionV>
            <wp:extent cx="482473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824730" cy="8255"/>
                    </a:xfrm>
                    <a:prstGeom prst="rect">
                      <a:avLst/>
                    </a:prstGeom>
                    <a:noFill/>
                  </pic:spPr>
                </pic:pic>
              </a:graphicData>
            </a:graphic>
          </wp:anchor>
        </w:drawing>
      </w:r>
    </w:p>
    <w:p>
      <w:pPr>
        <w:sectPr>
          <w:pgSz w:w="11900" w:h="16838" w:orient="portrait"/>
          <w:cols w:equalWidth="0" w:num="1">
            <w:col w:w="9019"/>
          </w:cols>
          <w:pgMar w:left="1440" w:top="262" w:right="1440" w:bottom="314" w:gutter="0" w:footer="0" w:header="0"/>
          <w:type w:val="continuous"/>
        </w:sectPr>
      </w:pPr>
    </w:p>
    <w:bookmarkStart w:id="24" w:name="page25"/>
    <w:bookmarkEnd w:id="24"/>
    <w:p>
      <w:pPr>
        <w:ind w:left="70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ectPr>
          <w:pgSz w:w="11900" w:h="16838" w:orient="portrait"/>
          <w:cols w:equalWidth="0" w:num="1">
            <w:col w:w="9019"/>
          </w:cols>
          <w:pgMar w:left="1440" w:top="262" w:right="1440" w:bottom="567" w:gutter="0" w:footer="0" w:header="0"/>
        </w:sectPr>
      </w:pPr>
    </w:p>
    <w:p>
      <w:pPr>
        <w:spacing w:after="0" w:line="200" w:lineRule="exact"/>
        <w:rPr>
          <w:sz w:val="20"/>
          <w:szCs w:val="20"/>
          <w:color w:val="auto"/>
        </w:rPr>
      </w:pPr>
    </w:p>
    <w:p>
      <w:pPr>
        <w:spacing w:after="0" w:line="321"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134"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7"/>
          <w:szCs w:val="17"/>
          <w:b w:val="1"/>
          <w:bCs w:val="1"/>
          <w:color w:val="auto"/>
        </w:rPr>
        <w:t>SCHEDULE OF INVESTMENTS – (continued)</w:t>
      </w:r>
    </w:p>
    <w:p>
      <w:pPr>
        <w:spacing w:after="0" w:line="27"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7"/>
          <w:szCs w:val="17"/>
          <w:b w:val="1"/>
          <w:bCs w:val="1"/>
          <w:color w:val="auto"/>
        </w:rPr>
        <w:t>SEPTEMBER 30, 2022</w:t>
      </w:r>
    </w:p>
    <w:p>
      <w:pPr>
        <w:spacing w:after="0" w:line="7"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56" w:lineRule="exact"/>
        <w:rPr>
          <w:sz w:val="20"/>
          <w:szCs w:val="20"/>
          <w:color w:val="auto"/>
        </w:rPr>
      </w:pPr>
    </w:p>
    <w:tbl>
      <w:tblPr>
        <w:tblLayout w:type="fixed"/>
        <w:tblInd w:w="7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ACQUISITION</w:t>
            </w:r>
          </w:p>
        </w:tc>
        <w:tc>
          <w:tcPr>
            <w:tcW w:w="80" w:type="dxa"/>
            <w:vAlign w:val="bottom"/>
          </w:tcPr>
          <w:p>
            <w:pPr>
              <w:spacing w:after="0"/>
              <w:rPr>
                <w:sz w:val="12"/>
                <w:szCs w:val="12"/>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5"/>
              </w:rPr>
              <w:t>PRINCIPAL</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right"/>
              <w:ind w:right="254"/>
              <w:spacing w:after="0"/>
              <w:rPr>
                <w:sz w:val="20"/>
                <w:szCs w:val="20"/>
                <w:color w:val="auto"/>
              </w:rPr>
            </w:pPr>
            <w:r>
              <w:rPr>
                <w:rFonts w:ascii="Times New Roman" w:cs="Times New Roman" w:eastAsia="Times New Roman" w:hAnsi="Times New Roman"/>
                <w:sz w:val="12"/>
                <w:szCs w:val="12"/>
                <w:b w:val="1"/>
                <w:bCs w:val="1"/>
                <w:color w:val="auto"/>
              </w:rPr>
              <w:t>FAIR</w:t>
            </w:r>
          </w:p>
        </w:tc>
        <w:tc>
          <w:tcPr>
            <w:tcW w:w="0" w:type="dxa"/>
            <w:vAlign w:val="bottom"/>
          </w:tcPr>
          <w:p>
            <w:pPr>
              <w:spacing w:after="0"/>
              <w:rPr>
                <w:sz w:val="1"/>
                <w:szCs w:val="1"/>
                <w:color w:val="auto"/>
              </w:rPr>
            </w:pPr>
          </w:p>
        </w:tc>
      </w:tr>
      <w:tr>
        <w:trPr>
          <w:trHeight w:val="119"/>
        </w:trPr>
        <w:tc>
          <w:tcPr>
            <w:tcW w:w="3360" w:type="dxa"/>
            <w:vAlign w:val="bottom"/>
            <w:gridSpan w:val="5"/>
            <w:vMerge w:val="restart"/>
          </w:tcPr>
          <w:p>
            <w:pPr>
              <w:spacing w:after="0"/>
              <w:rPr>
                <w:sz w:val="20"/>
                <w:szCs w:val="20"/>
                <w:color w:val="auto"/>
              </w:rPr>
            </w:pPr>
            <w:r>
              <w:rPr>
                <w:rFonts w:ascii="Times New Roman" w:cs="Times New Roman" w:eastAsia="Times New Roman" w:hAnsi="Times New Roman"/>
                <w:sz w:val="12"/>
                <w:szCs w:val="12"/>
                <w:b w:val="1"/>
                <w:bCs w:val="1"/>
                <w:color w:val="auto"/>
              </w:rPr>
              <w:t>COMPANY/INVESTMENT</w:t>
            </w:r>
            <w:r>
              <w:rPr>
                <w:rFonts w:ascii="Times New Roman" w:cs="Times New Roman" w:eastAsia="Times New Roman" w:hAnsi="Times New Roman"/>
                <w:sz w:val="13"/>
                <w:szCs w:val="13"/>
                <w:b w:val="1"/>
                <w:bCs w:val="1"/>
                <w:color w:val="auto"/>
                <w:vertAlign w:val="superscript"/>
              </w:rPr>
              <w:t>(1)(13)(14)</w:t>
            </w: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center"/>
              <w:ind w:right="100"/>
              <w:spacing w:after="0" w:line="120" w:lineRule="exact"/>
              <w:rPr>
                <w:sz w:val="20"/>
                <w:szCs w:val="20"/>
                <w:color w:val="auto"/>
              </w:rPr>
            </w:pPr>
            <w:r>
              <w:rPr>
                <w:rFonts w:ascii="Times New Roman" w:cs="Times New Roman" w:eastAsia="Times New Roman" w:hAnsi="Times New Roman"/>
                <w:sz w:val="12"/>
                <w:szCs w:val="12"/>
                <w:b w:val="1"/>
                <w:bCs w:val="1"/>
                <w:color w:val="auto"/>
                <w:w w:val="96"/>
              </w:rPr>
              <w:t>AMOUNT/</w:t>
            </w: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3360" w:type="dxa"/>
            <w:vAlign w:val="bottom"/>
            <w:gridSpan w:val="5"/>
            <w:vMerge w:val="continue"/>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87"/>
              </w:rPr>
              <w:t>DATE</w:t>
            </w:r>
            <w:r>
              <w:rPr>
                <w:rFonts w:ascii="Times New Roman" w:cs="Times New Roman" w:eastAsia="Times New Roman" w:hAnsi="Times New Roman"/>
                <w:sz w:val="13"/>
                <w:szCs w:val="13"/>
                <w:b w:val="1"/>
                <w:bCs w:val="1"/>
                <w:color w:val="auto"/>
                <w:w w:val="87"/>
                <w:vertAlign w:val="superscript"/>
              </w:rPr>
              <w:t>(15)</w:t>
            </w:r>
          </w:p>
        </w:tc>
        <w:tc>
          <w:tcPr>
            <w:tcW w:w="80" w:type="dxa"/>
            <w:vAlign w:val="bottom"/>
          </w:tcPr>
          <w:p>
            <w:pPr>
              <w:spacing w:after="0"/>
              <w:rPr>
                <w:sz w:val="15"/>
                <w:szCs w:val="15"/>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SHARES</w:t>
            </w:r>
          </w:p>
        </w:tc>
        <w:tc>
          <w:tcPr>
            <w:tcW w:w="160" w:type="dxa"/>
            <w:vAlign w:val="bottom"/>
          </w:tcPr>
          <w:p>
            <w:pPr>
              <w:spacing w:after="0"/>
              <w:rPr>
                <w:sz w:val="15"/>
                <w:szCs w:val="15"/>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COST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134"/>
              <w:spacing w:after="0"/>
              <w:rPr>
                <w:sz w:val="20"/>
                <w:szCs w:val="20"/>
                <w:color w:val="auto"/>
              </w:rPr>
            </w:pPr>
            <w:r>
              <w:rPr>
                <w:rFonts w:ascii="Times New Roman" w:cs="Times New Roman" w:eastAsia="Times New Roman" w:hAnsi="Times New Roman"/>
                <w:sz w:val="12"/>
                <w:szCs w:val="12"/>
                <w:b w:val="1"/>
                <w:bCs w:val="1"/>
                <w:color w:val="auto"/>
                <w:w w:val="99"/>
              </w:rPr>
              <w:t>VALUE</w:t>
            </w:r>
            <w:r>
              <w:rPr>
                <w:rFonts w:ascii="Times New Roman" w:cs="Times New Roman" w:eastAsia="Times New Roman" w:hAnsi="Times New Roman"/>
                <w:sz w:val="13"/>
                <w:szCs w:val="13"/>
                <w:b w:val="1"/>
                <w:bCs w:val="1"/>
                <w:color w:val="auto"/>
                <w:w w:val="99"/>
                <w:vertAlign w:val="superscript"/>
              </w:rPr>
              <w:t>(2)</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260" w:type="dxa"/>
            <w:vAlign w:val="bottom"/>
            <w:tcBorders>
              <w:top w:val="single" w:sz="8" w:color="auto"/>
            </w:tcBorders>
            <w:gridSpan w:val="3"/>
          </w:tcPr>
          <w:p>
            <w:pPr>
              <w:spacing w:after="0" w:line="127" w:lineRule="exact"/>
              <w:rPr>
                <w:sz w:val="20"/>
                <w:szCs w:val="20"/>
                <w:color w:val="auto"/>
              </w:rPr>
            </w:pPr>
            <w:r>
              <w:rPr>
                <w:rFonts w:ascii="Times New Roman" w:cs="Times New Roman" w:eastAsia="Times New Roman" w:hAnsi="Times New Roman"/>
                <w:sz w:val="13"/>
                <w:szCs w:val="13"/>
                <w:b w:val="1"/>
                <w:bCs w:val="1"/>
                <w:color w:val="auto"/>
              </w:rPr>
              <w:t>Collateralized Loan Obligation – Equity Investments</w:t>
            </w:r>
          </w:p>
        </w:tc>
        <w:tc>
          <w:tcPr>
            <w:tcW w:w="8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4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(continued)</w:t>
            </w:r>
          </w:p>
        </w:tc>
        <w:tc>
          <w:tcPr>
            <w:tcW w:w="300" w:type="dxa"/>
            <w:vAlign w:val="bottom"/>
            <w:gridSpan w:val="2"/>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36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Structured Finance – Equity Investments (continued)</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236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3"/>
                <w:szCs w:val="13"/>
                <w:b w:val="1"/>
                <w:bCs w:val="1"/>
                <w:color w:val="auto"/>
              </w:rPr>
              <w:t>Octagon Investment Partners 38, Ltd.</w:t>
            </w:r>
          </w:p>
        </w:tc>
        <w:tc>
          <w:tcPr>
            <w:tcW w:w="980" w:type="dxa"/>
            <w:vAlign w:val="bottom"/>
            <w:gridSpan w:val="3"/>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30.09%,</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09/13/2022</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$ 10,000,000</w:t>
            </w:r>
          </w:p>
        </w:tc>
        <w:tc>
          <w:tcPr>
            <w:tcW w:w="160" w:type="dxa"/>
            <w:vAlign w:val="bottom"/>
            <w:vMerge w:val="restart"/>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4,463,267</w:t>
            </w:r>
          </w:p>
        </w:tc>
        <w:tc>
          <w:tcPr>
            <w:tcW w:w="1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4,100,000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July 20, 2030)</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Octagon Investment Partners 39,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15.52%,</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04/27/2022</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2,800,000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1,348,788</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1,064,000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October 20, 2030)</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Octagon Investment Partners 40,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23.22%,</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02/14/2019</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7,000,000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4,401,490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3,990,000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January 20, 2035)</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Octagon Investment Partners 48,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19.75%,</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07/25/2022</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10,250,000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8,124,412</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7,790,000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October 20, 2034)</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Octagon 57,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income notes</w:t>
            </w:r>
            <w:r>
              <w:rPr>
                <w:rFonts w:ascii="Times New Roman" w:cs="Times New Roman" w:eastAsia="Times New Roman" w:hAnsi="Times New Roman"/>
                <w:sz w:val="20"/>
                <w:szCs w:val="20"/>
                <w:color w:val="auto"/>
                <w:vertAlign w:val="superscript"/>
              </w:rPr>
              <w:t>(5)(7)(11)</w:t>
            </w:r>
            <w:r>
              <w:rPr>
                <w:rFonts w:ascii="Times New Roman" w:cs="Times New Roman" w:eastAsia="Times New Roman" w:hAnsi="Times New Roman"/>
                <w:sz w:val="13"/>
                <w:szCs w:val="13"/>
                <w:color w:val="auto"/>
              </w:rPr>
              <w:t>, (Estimated yield 21.66%,</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10/13/2021</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31,725,000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24,388,131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22,123,161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October 15, 2034)</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Octagon 60,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warehouse notes</w:t>
            </w:r>
            <w:r>
              <w:rPr>
                <w:rFonts w:ascii="Times New Roman" w:cs="Times New Roman" w:eastAsia="Times New Roman" w:hAnsi="Times New Roman"/>
                <w:sz w:val="20"/>
                <w:szCs w:val="20"/>
                <w:color w:val="auto"/>
                <w:vertAlign w:val="superscript"/>
              </w:rPr>
              <w:t>(4)(5)(7)</w:t>
            </w:r>
            <w:r>
              <w:rPr>
                <w:rFonts w:ascii="Times New Roman" w:cs="Times New Roman" w:eastAsia="Times New Roman" w:hAnsi="Times New Roman"/>
                <w:sz w:val="13"/>
                <w:szCs w:val="13"/>
                <w:color w:val="auto"/>
              </w:rPr>
              <w:t>, (Estimated</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02/04/2022</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16,000,100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16,000,100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16,000,100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yield 14.77%, maturity July 10, 2023)</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(5)(7)(9)</w:t>
            </w:r>
            <w:r>
              <w:rPr>
                <w:rFonts w:ascii="Times New Roman" w:cs="Times New Roman" w:eastAsia="Times New Roman" w:hAnsi="Times New Roman"/>
                <w:sz w:val="13"/>
                <w:szCs w:val="13"/>
                <w:color w:val="auto"/>
              </w:rPr>
              <w:t>, (Estimated yield</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09/08/2022</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35,750,000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28,453,036</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28,095,546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20.19%, maturity October 20, 2035)</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OFSI BSL VIII,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preferred shares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0.00%,</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04/26/2019</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8,500,000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3,731,484</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892,500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August 16, 2029)</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OZLM VII,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0.00%,</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01/29/2020</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21,891,673</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4,000,316</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543,273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July 17, 2029)</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OZLM IX,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25.23%,</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06/24/2022</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13,000,000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2,341,620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1,755,000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October 20, 2031)</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OZLM XIV,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22.36%,</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12/07/2015</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31,810,472</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14,339,086</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10,982,129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July 15, 2034)</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OZLM XIX,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20.05%,</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04/29/2022</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34,000,000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16,995,315</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14,598,442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January 15, 2035)</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Race Point IX CLO, Limited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12.00%,</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06/23/2021</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2,394,474</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763,322</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478,895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October 15, 2030)</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-6795770</wp:posOffset>
            </wp:positionV>
            <wp:extent cx="4824730" cy="1689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-6401435</wp:posOffset>
            </wp:positionV>
            <wp:extent cx="4824730" cy="1689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-6063615</wp:posOffset>
            </wp:positionV>
            <wp:extent cx="4824730" cy="22542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824730" cy="225425"/>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-5669915</wp:posOffset>
            </wp:positionV>
            <wp:extent cx="4824730" cy="1689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-5275580</wp:posOffset>
            </wp:positionV>
            <wp:extent cx="4824730" cy="1689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-4938395</wp:posOffset>
            </wp:positionV>
            <wp:extent cx="4824730" cy="22542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824730" cy="225425"/>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-4544060</wp:posOffset>
            </wp:positionV>
            <wp:extent cx="4824730" cy="1689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-4149725</wp:posOffset>
            </wp:positionV>
            <wp:extent cx="4824730" cy="1689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-3812540</wp:posOffset>
            </wp:positionV>
            <wp:extent cx="4824730" cy="22542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824730" cy="225425"/>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-3361690</wp:posOffset>
            </wp:positionV>
            <wp:extent cx="4824730" cy="1689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-3024505</wp:posOffset>
            </wp:positionV>
            <wp:extent cx="4824730" cy="22542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824730" cy="225425"/>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-2630170</wp:posOffset>
            </wp:positionV>
            <wp:extent cx="4824730" cy="1689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-2236470</wp:posOffset>
            </wp:positionV>
            <wp:extent cx="4824730" cy="1689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-1898650</wp:posOffset>
            </wp:positionV>
            <wp:extent cx="4824730" cy="22542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824730" cy="225425"/>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-1504315</wp:posOffset>
            </wp:positionV>
            <wp:extent cx="4824730" cy="1689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-1110615</wp:posOffset>
            </wp:positionV>
            <wp:extent cx="4824730" cy="1689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-772795</wp:posOffset>
            </wp:positionV>
            <wp:extent cx="4824730" cy="22542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824730" cy="225425"/>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-378460</wp:posOffset>
            </wp:positionV>
            <wp:extent cx="4824730" cy="1689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-7173595</wp:posOffset>
            </wp:positionV>
            <wp:extent cx="4824730" cy="2089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824730" cy="208915"/>
                    </a:xfrm>
                    <a:prstGeom prst="rect">
                      <a:avLst/>
                    </a:prstGeom>
                    <a:noFill/>
                  </pic:spPr>
                </pic:pic>
              </a:graphicData>
            </a:graphic>
          </wp:anchor>
        </w:drawing>
      </w:r>
    </w:p>
    <w:p>
      <w:pPr>
        <w:spacing w:after="0" w:line="14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i w:val="1"/>
          <w:iCs w:val="1"/>
          <w:color w:val="auto"/>
        </w:rPr>
        <w:t>(Continued on next page)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80" w:right="879" w:hanging="38"/>
        <w:spacing w:after="0" w:line="232" w:lineRule="auto"/>
        <w:tabs>
          <w:tab w:leader="none" w:pos="193" w:val="left"/>
        </w:tabs>
        <w:numPr>
          <w:ilvl w:val="0"/>
          <w:numId w:val="1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OF NET</w:t>
      </w:r>
    </w:p>
    <w:p>
      <w:pPr>
        <w:spacing w:after="0"/>
        <w:rPr>
          <w:sz w:val="20"/>
          <w:szCs w:val="20"/>
          <w:color w:val="auto"/>
        </w:rPr>
      </w:pPr>
      <w:r>
        <w:rPr>
          <w:rFonts w:ascii="Times New Roman" w:cs="Times New Roman" w:eastAsia="Times New Roman" w:hAnsi="Times New Roman"/>
          <w:sz w:val="11"/>
          <w:szCs w:val="11"/>
          <w:b w:val="1"/>
          <w:bCs w:val="1"/>
          <w:color w:val="auto"/>
        </w:rPr>
        <w:t>ASSETS</w:t>
      </w:r>
    </w:p>
    <w:p>
      <w:pPr>
        <w:spacing w:after="0" w:line="11903" w:lineRule="exact"/>
        <w:rPr>
          <w:sz w:val="20"/>
          <w:szCs w:val="20"/>
          <w:color w:val="auto"/>
        </w:rPr>
      </w:pPr>
    </w:p>
    <w:p>
      <w:pPr>
        <w:sectPr>
          <w:pgSz w:w="11900" w:h="16838" w:orient="portrait"/>
          <w:cols w:equalWidth="0" w:num="2">
            <w:col w:w="7600" w:space="180"/>
            <w:col w:w="1239"/>
          </w:cols>
          <w:pgMar w:left="1440" w:top="262" w:right="1440" w:bottom="56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Accompanying Notes.</w:t>
      </w:r>
    </w:p>
    <w:p>
      <w:pPr>
        <w:sectPr>
          <w:pgSz w:w="11900" w:h="16838" w:orient="portrait"/>
          <w:cols w:equalWidth="0" w:num="1">
            <w:col w:w="9019"/>
          </w:cols>
          <w:pgMar w:left="1440" w:top="262" w:right="1440" w:bottom="567" w:gutter="0" w:footer="0" w:header="0"/>
          <w:type w:val="continuous"/>
        </w:sectPr>
      </w:pP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22225</wp:posOffset>
            </wp:positionV>
            <wp:extent cx="482473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824730" cy="8255"/>
                    </a:xfrm>
                    <a:prstGeom prst="rect">
                      <a:avLst/>
                    </a:prstGeom>
                    <a:noFill/>
                  </pic:spPr>
                </pic:pic>
              </a:graphicData>
            </a:graphic>
          </wp:anchor>
        </w:drawing>
      </w:r>
    </w:p>
    <w:p>
      <w:pPr>
        <w:sectPr>
          <w:pgSz w:w="11900" w:h="16838" w:orient="portrait"/>
          <w:cols w:equalWidth="0" w:num="1">
            <w:col w:w="9019"/>
          </w:cols>
          <w:pgMar w:left="1440" w:top="262" w:right="1440" w:bottom="567" w:gutter="0" w:footer="0" w:header="0"/>
          <w:type w:val="continuous"/>
        </w:sectPr>
      </w:pPr>
    </w:p>
    <w:bookmarkStart w:id="25" w:name="page26"/>
    <w:bookmarkEnd w:id="25"/>
    <w:p>
      <w:pPr>
        <w:ind w:left="70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ectPr>
          <w:pgSz w:w="11900" w:h="16838" w:orient="portrait"/>
          <w:cols w:equalWidth="0" w:num="1">
            <w:col w:w="9019"/>
          </w:cols>
          <w:pgMar w:left="1440" w:top="262" w:right="1440" w:bottom="314" w:gutter="0" w:footer="0" w:header="0"/>
        </w:sectPr>
      </w:pPr>
    </w:p>
    <w:p>
      <w:pPr>
        <w:spacing w:after="0" w:line="200" w:lineRule="exact"/>
        <w:rPr>
          <w:sz w:val="20"/>
          <w:szCs w:val="20"/>
          <w:color w:val="auto"/>
        </w:rPr>
      </w:pPr>
    </w:p>
    <w:p>
      <w:pPr>
        <w:spacing w:after="0" w:line="321"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134"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7"/>
          <w:szCs w:val="17"/>
          <w:b w:val="1"/>
          <w:bCs w:val="1"/>
          <w:color w:val="auto"/>
        </w:rPr>
        <w:t>SCHEDULE OF INVESTMENTS – (continued)</w:t>
      </w:r>
    </w:p>
    <w:p>
      <w:pPr>
        <w:spacing w:after="0" w:line="27"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7"/>
          <w:szCs w:val="17"/>
          <w:b w:val="1"/>
          <w:bCs w:val="1"/>
          <w:color w:val="auto"/>
        </w:rPr>
        <w:t>SEPTEMBER 30, 2022</w:t>
      </w:r>
    </w:p>
    <w:p>
      <w:pPr>
        <w:spacing w:after="0" w:line="7"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56" w:lineRule="exact"/>
        <w:rPr>
          <w:sz w:val="20"/>
          <w:szCs w:val="20"/>
          <w:color w:val="auto"/>
        </w:rPr>
      </w:pPr>
    </w:p>
    <w:tbl>
      <w:tblPr>
        <w:tblLayout w:type="fixed"/>
        <w:tblInd w:w="7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ACQUISITION</w:t>
            </w:r>
          </w:p>
        </w:tc>
        <w:tc>
          <w:tcPr>
            <w:tcW w:w="80" w:type="dxa"/>
            <w:vAlign w:val="bottom"/>
          </w:tcPr>
          <w:p>
            <w:pPr>
              <w:spacing w:after="0"/>
              <w:rPr>
                <w:sz w:val="12"/>
                <w:szCs w:val="12"/>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5"/>
              </w:rPr>
              <w:t>PRINCIPAL</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right"/>
              <w:ind w:right="254"/>
              <w:spacing w:after="0"/>
              <w:rPr>
                <w:sz w:val="20"/>
                <w:szCs w:val="20"/>
                <w:color w:val="auto"/>
              </w:rPr>
            </w:pPr>
            <w:r>
              <w:rPr>
                <w:rFonts w:ascii="Times New Roman" w:cs="Times New Roman" w:eastAsia="Times New Roman" w:hAnsi="Times New Roman"/>
                <w:sz w:val="12"/>
                <w:szCs w:val="12"/>
                <w:b w:val="1"/>
                <w:bCs w:val="1"/>
                <w:color w:val="auto"/>
              </w:rPr>
              <w:t>FAIR</w:t>
            </w:r>
          </w:p>
        </w:tc>
        <w:tc>
          <w:tcPr>
            <w:tcW w:w="0" w:type="dxa"/>
            <w:vAlign w:val="bottom"/>
          </w:tcPr>
          <w:p>
            <w:pPr>
              <w:spacing w:after="0"/>
              <w:rPr>
                <w:sz w:val="1"/>
                <w:szCs w:val="1"/>
                <w:color w:val="auto"/>
              </w:rPr>
            </w:pPr>
          </w:p>
        </w:tc>
      </w:tr>
      <w:tr>
        <w:trPr>
          <w:trHeight w:val="119"/>
        </w:trPr>
        <w:tc>
          <w:tcPr>
            <w:tcW w:w="3360" w:type="dxa"/>
            <w:vAlign w:val="bottom"/>
            <w:gridSpan w:val="5"/>
            <w:vMerge w:val="restart"/>
          </w:tcPr>
          <w:p>
            <w:pPr>
              <w:spacing w:after="0"/>
              <w:rPr>
                <w:sz w:val="20"/>
                <w:szCs w:val="20"/>
                <w:color w:val="auto"/>
              </w:rPr>
            </w:pPr>
            <w:r>
              <w:rPr>
                <w:rFonts w:ascii="Times New Roman" w:cs="Times New Roman" w:eastAsia="Times New Roman" w:hAnsi="Times New Roman"/>
                <w:sz w:val="12"/>
                <w:szCs w:val="12"/>
                <w:b w:val="1"/>
                <w:bCs w:val="1"/>
                <w:color w:val="auto"/>
              </w:rPr>
              <w:t>COMPANY/INVESTMENT</w:t>
            </w:r>
            <w:r>
              <w:rPr>
                <w:rFonts w:ascii="Times New Roman" w:cs="Times New Roman" w:eastAsia="Times New Roman" w:hAnsi="Times New Roman"/>
                <w:sz w:val="13"/>
                <w:szCs w:val="13"/>
                <w:b w:val="1"/>
                <w:bCs w:val="1"/>
                <w:color w:val="auto"/>
                <w:vertAlign w:val="superscript"/>
              </w:rPr>
              <w:t>(1)(13)(14)</w:t>
            </w: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center"/>
              <w:ind w:right="100"/>
              <w:spacing w:after="0" w:line="120" w:lineRule="exact"/>
              <w:rPr>
                <w:sz w:val="20"/>
                <w:szCs w:val="20"/>
                <w:color w:val="auto"/>
              </w:rPr>
            </w:pPr>
            <w:r>
              <w:rPr>
                <w:rFonts w:ascii="Times New Roman" w:cs="Times New Roman" w:eastAsia="Times New Roman" w:hAnsi="Times New Roman"/>
                <w:sz w:val="12"/>
                <w:szCs w:val="12"/>
                <w:b w:val="1"/>
                <w:bCs w:val="1"/>
                <w:color w:val="auto"/>
                <w:w w:val="96"/>
              </w:rPr>
              <w:t>AMOUNT/</w:t>
            </w: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3360" w:type="dxa"/>
            <w:vAlign w:val="bottom"/>
            <w:gridSpan w:val="5"/>
            <w:vMerge w:val="continue"/>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87"/>
              </w:rPr>
              <w:t>DATE</w:t>
            </w:r>
            <w:r>
              <w:rPr>
                <w:rFonts w:ascii="Times New Roman" w:cs="Times New Roman" w:eastAsia="Times New Roman" w:hAnsi="Times New Roman"/>
                <w:sz w:val="13"/>
                <w:szCs w:val="13"/>
                <w:b w:val="1"/>
                <w:bCs w:val="1"/>
                <w:color w:val="auto"/>
                <w:w w:val="87"/>
                <w:vertAlign w:val="superscript"/>
              </w:rPr>
              <w:t>(15)</w:t>
            </w:r>
          </w:p>
        </w:tc>
        <w:tc>
          <w:tcPr>
            <w:tcW w:w="80" w:type="dxa"/>
            <w:vAlign w:val="bottom"/>
          </w:tcPr>
          <w:p>
            <w:pPr>
              <w:spacing w:after="0"/>
              <w:rPr>
                <w:sz w:val="15"/>
                <w:szCs w:val="15"/>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SHARES</w:t>
            </w:r>
          </w:p>
        </w:tc>
        <w:tc>
          <w:tcPr>
            <w:tcW w:w="160" w:type="dxa"/>
            <w:vAlign w:val="bottom"/>
          </w:tcPr>
          <w:p>
            <w:pPr>
              <w:spacing w:after="0"/>
              <w:rPr>
                <w:sz w:val="15"/>
                <w:szCs w:val="15"/>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COST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134"/>
              <w:spacing w:after="0"/>
              <w:rPr>
                <w:sz w:val="20"/>
                <w:szCs w:val="20"/>
                <w:color w:val="auto"/>
              </w:rPr>
            </w:pPr>
            <w:r>
              <w:rPr>
                <w:rFonts w:ascii="Times New Roman" w:cs="Times New Roman" w:eastAsia="Times New Roman" w:hAnsi="Times New Roman"/>
                <w:sz w:val="12"/>
                <w:szCs w:val="12"/>
                <w:b w:val="1"/>
                <w:bCs w:val="1"/>
                <w:color w:val="auto"/>
                <w:w w:val="99"/>
              </w:rPr>
              <w:t>VALUE</w:t>
            </w:r>
            <w:r>
              <w:rPr>
                <w:rFonts w:ascii="Times New Roman" w:cs="Times New Roman" w:eastAsia="Times New Roman" w:hAnsi="Times New Roman"/>
                <w:sz w:val="13"/>
                <w:szCs w:val="13"/>
                <w:b w:val="1"/>
                <w:bCs w:val="1"/>
                <w:color w:val="auto"/>
                <w:w w:val="99"/>
                <w:vertAlign w:val="superscript"/>
              </w:rPr>
              <w:t>(2)</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260" w:type="dxa"/>
            <w:vAlign w:val="bottom"/>
            <w:tcBorders>
              <w:top w:val="single" w:sz="8" w:color="auto"/>
            </w:tcBorders>
            <w:gridSpan w:val="3"/>
          </w:tcPr>
          <w:p>
            <w:pPr>
              <w:spacing w:after="0" w:line="127" w:lineRule="exact"/>
              <w:rPr>
                <w:sz w:val="20"/>
                <w:szCs w:val="20"/>
                <w:color w:val="auto"/>
              </w:rPr>
            </w:pPr>
            <w:r>
              <w:rPr>
                <w:rFonts w:ascii="Times New Roman" w:cs="Times New Roman" w:eastAsia="Times New Roman" w:hAnsi="Times New Roman"/>
                <w:sz w:val="13"/>
                <w:szCs w:val="13"/>
                <w:b w:val="1"/>
                <w:bCs w:val="1"/>
                <w:color w:val="auto"/>
              </w:rPr>
              <w:t>Collateralized Loan Obligation – Equity Investments</w:t>
            </w:r>
          </w:p>
        </w:tc>
        <w:tc>
          <w:tcPr>
            <w:tcW w:w="8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4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(continued)</w:t>
            </w:r>
          </w:p>
        </w:tc>
        <w:tc>
          <w:tcPr>
            <w:tcW w:w="300" w:type="dxa"/>
            <w:vAlign w:val="bottom"/>
            <w:gridSpan w:val="2"/>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36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Structured Finance – Equity Investments (continued)</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236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3"/>
                <w:szCs w:val="13"/>
                <w:b w:val="1"/>
                <w:bCs w:val="1"/>
                <w:color w:val="auto"/>
              </w:rPr>
              <w:t>Regatta Charlie</w:t>
            </w:r>
          </w:p>
        </w:tc>
        <w:tc>
          <w:tcPr>
            <w:tcW w:w="980" w:type="dxa"/>
            <w:vAlign w:val="bottom"/>
            <w:gridSpan w:val="3"/>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warehouse notes</w:t>
            </w:r>
            <w:r>
              <w:rPr>
                <w:rFonts w:ascii="Times New Roman" w:cs="Times New Roman" w:eastAsia="Times New Roman" w:hAnsi="Times New Roman"/>
                <w:sz w:val="20"/>
                <w:szCs w:val="20"/>
                <w:color w:val="auto"/>
                <w:vertAlign w:val="superscript"/>
              </w:rPr>
              <w:t>(4)(5)(7)</w:t>
            </w:r>
            <w:r>
              <w:rPr>
                <w:rFonts w:ascii="Times New Roman" w:cs="Times New Roman" w:eastAsia="Times New Roman" w:hAnsi="Times New Roman"/>
                <w:sz w:val="13"/>
                <w:szCs w:val="13"/>
                <w:color w:val="auto"/>
              </w:rPr>
              <w:t>, (Estimated</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02/04/2022</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  6,693,750</w:t>
            </w:r>
          </w:p>
        </w:tc>
        <w:tc>
          <w:tcPr>
            <w:tcW w:w="160" w:type="dxa"/>
            <w:vAlign w:val="bottom"/>
            <w:vMerge w:val="restart"/>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6,693,750</w:t>
            </w:r>
          </w:p>
        </w:tc>
        <w:tc>
          <w:tcPr>
            <w:tcW w:w="1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6,693,750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yield 13.95%, maturity July 13, 2023)</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Regatta VI Funding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income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10.86%,</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10/21/2021</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22,000,000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10,888,457</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6,600,000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April 20, 2034)</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Regatta XVIII Funding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(5)(7)(8)</w:t>
            </w:r>
            <w:r>
              <w:rPr>
                <w:rFonts w:ascii="Times New Roman" w:cs="Times New Roman" w:eastAsia="Times New Roman" w:hAnsi="Times New Roman"/>
                <w:sz w:val="13"/>
                <w:szCs w:val="13"/>
                <w:color w:val="auto"/>
              </w:rPr>
              <w:t>, (Estimated yield</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02/18/2021</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28,886,856</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22,098,740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19,744,290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19.86%, maturity January 15, 2034)</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Regatta XXII Funding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(5)(7)(9)</w:t>
            </w:r>
            <w:r>
              <w:rPr>
                <w:rFonts w:ascii="Times New Roman" w:cs="Times New Roman" w:eastAsia="Times New Roman" w:hAnsi="Times New Roman"/>
                <w:sz w:val="13"/>
                <w:szCs w:val="13"/>
                <w:color w:val="auto"/>
              </w:rPr>
              <w:t>, (Estimated yield</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05/06/2022</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24,000,000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20,539,816</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18,960,000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15.99%, maturity July 20, 2035)</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Regatta XXIII Funding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income notes</w:t>
            </w:r>
            <w:r>
              <w:rPr>
                <w:rFonts w:ascii="Times New Roman" w:cs="Times New Roman" w:eastAsia="Times New Roman" w:hAnsi="Times New Roman"/>
                <w:sz w:val="20"/>
                <w:szCs w:val="20"/>
                <w:color w:val="auto"/>
                <w:vertAlign w:val="superscript"/>
              </w:rPr>
              <w:t>(5)(7)(11)</w:t>
            </w:r>
            <w:r>
              <w:rPr>
                <w:rFonts w:ascii="Times New Roman" w:cs="Times New Roman" w:eastAsia="Times New Roman" w:hAnsi="Times New Roman"/>
                <w:sz w:val="13"/>
                <w:szCs w:val="13"/>
                <w:color w:val="auto"/>
              </w:rPr>
              <w:t>, (Estimated yield 17.68%,</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11/04/2021</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22,496,000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17,828,038</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14,622,400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January 20, 2035)</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Riserva CLO,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18.14%,</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03/18/2022</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2,400,000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1,370,091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1,200,000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January 18, 2034)</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Rockford Tower CLO 2022-1,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(5)(7)(9)</w:t>
            </w:r>
            <w:r>
              <w:rPr>
                <w:rFonts w:ascii="Times New Roman" w:cs="Times New Roman" w:eastAsia="Times New Roman" w:hAnsi="Times New Roman"/>
                <w:sz w:val="13"/>
                <w:szCs w:val="13"/>
                <w:color w:val="auto"/>
              </w:rPr>
              <w:t>, (Estimated yield</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05/06/2022</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34,068,750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29,906,785</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25,210,875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18.13%, maturity July 20, 2035)</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Rockland Park CLO,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(5)(7)(8)</w:t>
            </w:r>
            <w:r>
              <w:rPr>
                <w:rFonts w:ascii="Times New Roman" w:cs="Times New Roman" w:eastAsia="Times New Roman" w:hAnsi="Times New Roman"/>
                <w:sz w:val="13"/>
                <w:szCs w:val="13"/>
                <w:color w:val="auto"/>
              </w:rPr>
              <w:t>, (Estimated yield</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04/26/2021</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28,750,000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22,978,831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19,287,344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18.62%, maturity April 20, 2034)</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Romark CLO – V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income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16.66%,</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11/18/2021</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27,000,000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20,058,518</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14,850,000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January 15, 2035)</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Shackleton 2013-IV-R CLO,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23.93%,</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08/14/2018</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24,500,000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7,791,706</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4,744,582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April 13, 2031)</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Shackleton 2014-V-R CLO,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(5)(7)(11)</w:t>
            </w:r>
            <w:r>
              <w:rPr>
                <w:rFonts w:ascii="Times New Roman" w:cs="Times New Roman" w:eastAsia="Times New Roman" w:hAnsi="Times New Roman"/>
                <w:sz w:val="13"/>
                <w:szCs w:val="13"/>
                <w:color w:val="auto"/>
              </w:rPr>
              <w:t>, (Estimated yield</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09/17/2019</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20,750,000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8,110,059</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4,772,500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13.58%, maturity May 07, 2031)</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Signal Peak CLO 9,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18.79%,</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07/19/2021</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22,110,000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18,584,346</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15,477,000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July 21, 2034)</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Sound Point CLO V-R,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7.78%,</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05/04/2021</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37,500,000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6,701,630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2,437,500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July 18, 2031)</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-7133590</wp:posOffset>
            </wp:positionV>
            <wp:extent cx="4824730" cy="16891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-6739255</wp:posOffset>
            </wp:positionV>
            <wp:extent cx="4824730" cy="1689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-6401435</wp:posOffset>
            </wp:positionV>
            <wp:extent cx="4824730" cy="22542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824730" cy="225425"/>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-6007735</wp:posOffset>
            </wp:positionV>
            <wp:extent cx="4824730" cy="16891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-5613400</wp:posOffset>
            </wp:positionV>
            <wp:extent cx="4824730" cy="16891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-5275580</wp:posOffset>
            </wp:positionV>
            <wp:extent cx="4824730" cy="22542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824730" cy="225425"/>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-4881880</wp:posOffset>
            </wp:positionV>
            <wp:extent cx="4824730" cy="16891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-4487545</wp:posOffset>
            </wp:positionV>
            <wp:extent cx="4824730" cy="1689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-4149725</wp:posOffset>
            </wp:positionV>
            <wp:extent cx="4824730" cy="22542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824730" cy="225425"/>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-3756025</wp:posOffset>
            </wp:positionV>
            <wp:extent cx="4824730" cy="16891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-3361690</wp:posOffset>
            </wp:positionV>
            <wp:extent cx="4824730" cy="16891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-3024505</wp:posOffset>
            </wp:positionV>
            <wp:extent cx="4824730" cy="22542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824730" cy="225425"/>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-2630170</wp:posOffset>
            </wp:positionV>
            <wp:extent cx="4824730" cy="16891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-2236470</wp:posOffset>
            </wp:positionV>
            <wp:extent cx="4824730" cy="16891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-1898650</wp:posOffset>
            </wp:positionV>
            <wp:extent cx="4824730" cy="22542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824730" cy="225425"/>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-1504315</wp:posOffset>
            </wp:positionV>
            <wp:extent cx="4824730" cy="16891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-1110615</wp:posOffset>
            </wp:positionV>
            <wp:extent cx="4824730" cy="16891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-772795</wp:posOffset>
            </wp:positionV>
            <wp:extent cx="4824730" cy="22542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824730" cy="225425"/>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-378460</wp:posOffset>
            </wp:positionV>
            <wp:extent cx="4824730" cy="16891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-7511415</wp:posOffset>
            </wp:positionV>
            <wp:extent cx="4824730" cy="2089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824730" cy="208915"/>
                    </a:xfrm>
                    <a:prstGeom prst="rect">
                      <a:avLst/>
                    </a:prstGeom>
                    <a:noFill/>
                  </pic:spPr>
                </pic:pic>
              </a:graphicData>
            </a:graphic>
          </wp:anchor>
        </w:drawing>
      </w:r>
    </w:p>
    <w:p>
      <w:pPr>
        <w:spacing w:after="0" w:line="14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i w:val="1"/>
          <w:iCs w:val="1"/>
          <w:color w:val="auto"/>
        </w:rPr>
        <w:t>(Continued on next page)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80" w:right="879" w:hanging="38"/>
        <w:spacing w:after="0" w:line="232" w:lineRule="auto"/>
        <w:tabs>
          <w:tab w:leader="none" w:pos="193" w:val="left"/>
        </w:tabs>
        <w:numPr>
          <w:ilvl w:val="0"/>
          <w:numId w:val="1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OF NET</w:t>
      </w:r>
    </w:p>
    <w:p>
      <w:pPr>
        <w:spacing w:after="0"/>
        <w:rPr>
          <w:sz w:val="20"/>
          <w:szCs w:val="20"/>
          <w:color w:val="auto"/>
        </w:rPr>
      </w:pPr>
      <w:r>
        <w:rPr>
          <w:rFonts w:ascii="Times New Roman" w:cs="Times New Roman" w:eastAsia="Times New Roman" w:hAnsi="Times New Roman"/>
          <w:sz w:val="11"/>
          <w:szCs w:val="11"/>
          <w:b w:val="1"/>
          <w:bCs w:val="1"/>
          <w:color w:val="auto"/>
        </w:rPr>
        <w:t>ASSETS</w:t>
      </w:r>
    </w:p>
    <w:p>
      <w:pPr>
        <w:spacing w:after="0" w:line="12435" w:lineRule="exact"/>
        <w:rPr>
          <w:sz w:val="20"/>
          <w:szCs w:val="20"/>
          <w:color w:val="auto"/>
        </w:rPr>
      </w:pPr>
    </w:p>
    <w:p>
      <w:pPr>
        <w:sectPr>
          <w:pgSz w:w="11900" w:h="16838" w:orient="portrait"/>
          <w:cols w:equalWidth="0" w:num="2">
            <w:col w:w="7600" w:space="180"/>
            <w:col w:w="1239"/>
          </w:cols>
          <w:pgMar w:left="1440" w:top="262" w:right="1440" w:bottom="314" w:gutter="0" w:footer="0" w:header="0"/>
          <w:type w:val="continuous"/>
        </w:sect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Accompanying Notes.</w:t>
      </w:r>
    </w:p>
    <w:p>
      <w:pPr>
        <w:sectPr>
          <w:pgSz w:w="11900" w:h="16838" w:orient="portrait"/>
          <w:cols w:equalWidth="0" w:num="1">
            <w:col w:w="9019"/>
          </w:cols>
          <w:pgMar w:left="1440" w:top="262" w:right="1440" w:bottom="314" w:gutter="0" w:footer="0" w:header="0"/>
          <w:type w:val="continuous"/>
        </w:sectPr>
      </w:pP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22225</wp:posOffset>
            </wp:positionV>
            <wp:extent cx="482473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824730" cy="8255"/>
                    </a:xfrm>
                    <a:prstGeom prst="rect">
                      <a:avLst/>
                    </a:prstGeom>
                    <a:noFill/>
                  </pic:spPr>
                </pic:pic>
              </a:graphicData>
            </a:graphic>
          </wp:anchor>
        </w:drawing>
      </w:r>
    </w:p>
    <w:p>
      <w:pPr>
        <w:sectPr>
          <w:pgSz w:w="11900" w:h="16838" w:orient="portrait"/>
          <w:cols w:equalWidth="0" w:num="1">
            <w:col w:w="9019"/>
          </w:cols>
          <w:pgMar w:left="1440" w:top="262" w:right="1440" w:bottom="314" w:gutter="0" w:footer="0" w:header="0"/>
          <w:type w:val="continuous"/>
        </w:sectPr>
      </w:pPr>
    </w:p>
    <w:bookmarkStart w:id="26" w:name="page27"/>
    <w:bookmarkEnd w:id="26"/>
    <w:p>
      <w:pPr>
        <w:ind w:left="70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ectPr>
          <w:pgSz w:w="11900" w:h="16838" w:orient="portrait"/>
          <w:cols w:equalWidth="0" w:num="1">
            <w:col w:w="9019"/>
          </w:cols>
          <w:pgMar w:left="1440" w:top="262" w:right="1440" w:bottom="314" w:gutter="0" w:footer="0" w:header="0"/>
        </w:sectPr>
      </w:pPr>
    </w:p>
    <w:p>
      <w:pPr>
        <w:spacing w:after="0" w:line="200" w:lineRule="exact"/>
        <w:rPr>
          <w:sz w:val="20"/>
          <w:szCs w:val="20"/>
          <w:color w:val="auto"/>
        </w:rPr>
      </w:pPr>
    </w:p>
    <w:p>
      <w:pPr>
        <w:spacing w:after="0" w:line="321"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134"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7"/>
          <w:szCs w:val="17"/>
          <w:b w:val="1"/>
          <w:bCs w:val="1"/>
          <w:color w:val="auto"/>
        </w:rPr>
        <w:t>SCHEDULE OF INVESTMENTS – (continued)</w:t>
      </w:r>
    </w:p>
    <w:p>
      <w:pPr>
        <w:spacing w:after="0" w:line="27"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7"/>
          <w:szCs w:val="17"/>
          <w:b w:val="1"/>
          <w:bCs w:val="1"/>
          <w:color w:val="auto"/>
        </w:rPr>
        <w:t>SEPTEMBER 30, 2022</w:t>
      </w:r>
    </w:p>
    <w:p>
      <w:pPr>
        <w:spacing w:after="0" w:line="7"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56" w:lineRule="exact"/>
        <w:rPr>
          <w:sz w:val="20"/>
          <w:szCs w:val="20"/>
          <w:color w:val="auto"/>
        </w:rPr>
      </w:pPr>
    </w:p>
    <w:tbl>
      <w:tblPr>
        <w:tblLayout w:type="fixed"/>
        <w:tblInd w:w="7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ACQUISITION</w:t>
            </w:r>
          </w:p>
        </w:tc>
        <w:tc>
          <w:tcPr>
            <w:tcW w:w="80" w:type="dxa"/>
            <w:vAlign w:val="bottom"/>
          </w:tcPr>
          <w:p>
            <w:pPr>
              <w:spacing w:after="0"/>
              <w:rPr>
                <w:sz w:val="12"/>
                <w:szCs w:val="12"/>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5"/>
              </w:rPr>
              <w:t>PRINCIPAL</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right"/>
              <w:ind w:right="254"/>
              <w:spacing w:after="0"/>
              <w:rPr>
                <w:sz w:val="20"/>
                <w:szCs w:val="20"/>
                <w:color w:val="auto"/>
              </w:rPr>
            </w:pPr>
            <w:r>
              <w:rPr>
                <w:rFonts w:ascii="Times New Roman" w:cs="Times New Roman" w:eastAsia="Times New Roman" w:hAnsi="Times New Roman"/>
                <w:sz w:val="12"/>
                <w:szCs w:val="12"/>
                <w:b w:val="1"/>
                <w:bCs w:val="1"/>
                <w:color w:val="auto"/>
              </w:rPr>
              <w:t>FAIR</w:t>
            </w:r>
          </w:p>
        </w:tc>
        <w:tc>
          <w:tcPr>
            <w:tcW w:w="0" w:type="dxa"/>
            <w:vAlign w:val="bottom"/>
          </w:tcPr>
          <w:p>
            <w:pPr>
              <w:spacing w:after="0"/>
              <w:rPr>
                <w:sz w:val="1"/>
                <w:szCs w:val="1"/>
                <w:color w:val="auto"/>
              </w:rPr>
            </w:pPr>
          </w:p>
        </w:tc>
      </w:tr>
      <w:tr>
        <w:trPr>
          <w:trHeight w:val="119"/>
        </w:trPr>
        <w:tc>
          <w:tcPr>
            <w:tcW w:w="3360" w:type="dxa"/>
            <w:vAlign w:val="bottom"/>
            <w:gridSpan w:val="5"/>
            <w:vMerge w:val="restart"/>
          </w:tcPr>
          <w:p>
            <w:pPr>
              <w:spacing w:after="0"/>
              <w:rPr>
                <w:sz w:val="20"/>
                <w:szCs w:val="20"/>
                <w:color w:val="auto"/>
              </w:rPr>
            </w:pPr>
            <w:r>
              <w:rPr>
                <w:rFonts w:ascii="Times New Roman" w:cs="Times New Roman" w:eastAsia="Times New Roman" w:hAnsi="Times New Roman"/>
                <w:sz w:val="12"/>
                <w:szCs w:val="12"/>
                <w:b w:val="1"/>
                <w:bCs w:val="1"/>
                <w:color w:val="auto"/>
              </w:rPr>
              <w:t>COMPANY/INVESTMENT</w:t>
            </w:r>
            <w:r>
              <w:rPr>
                <w:rFonts w:ascii="Times New Roman" w:cs="Times New Roman" w:eastAsia="Times New Roman" w:hAnsi="Times New Roman"/>
                <w:sz w:val="13"/>
                <w:szCs w:val="13"/>
                <w:b w:val="1"/>
                <w:bCs w:val="1"/>
                <w:color w:val="auto"/>
                <w:vertAlign w:val="superscript"/>
              </w:rPr>
              <w:t>(1)(13)(14)</w:t>
            </w: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center"/>
              <w:ind w:right="100"/>
              <w:spacing w:after="0" w:line="120" w:lineRule="exact"/>
              <w:rPr>
                <w:sz w:val="20"/>
                <w:szCs w:val="20"/>
                <w:color w:val="auto"/>
              </w:rPr>
            </w:pPr>
            <w:r>
              <w:rPr>
                <w:rFonts w:ascii="Times New Roman" w:cs="Times New Roman" w:eastAsia="Times New Roman" w:hAnsi="Times New Roman"/>
                <w:sz w:val="12"/>
                <w:szCs w:val="12"/>
                <w:b w:val="1"/>
                <w:bCs w:val="1"/>
                <w:color w:val="auto"/>
                <w:w w:val="96"/>
              </w:rPr>
              <w:t>AMOUNT/</w:t>
            </w: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3360" w:type="dxa"/>
            <w:vAlign w:val="bottom"/>
            <w:gridSpan w:val="5"/>
            <w:vMerge w:val="continue"/>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87"/>
              </w:rPr>
              <w:t>DATE</w:t>
            </w:r>
            <w:r>
              <w:rPr>
                <w:rFonts w:ascii="Times New Roman" w:cs="Times New Roman" w:eastAsia="Times New Roman" w:hAnsi="Times New Roman"/>
                <w:sz w:val="13"/>
                <w:szCs w:val="13"/>
                <w:b w:val="1"/>
                <w:bCs w:val="1"/>
                <w:color w:val="auto"/>
                <w:w w:val="87"/>
                <w:vertAlign w:val="superscript"/>
              </w:rPr>
              <w:t>(15)</w:t>
            </w:r>
          </w:p>
        </w:tc>
        <w:tc>
          <w:tcPr>
            <w:tcW w:w="80" w:type="dxa"/>
            <w:vAlign w:val="bottom"/>
          </w:tcPr>
          <w:p>
            <w:pPr>
              <w:spacing w:after="0"/>
              <w:rPr>
                <w:sz w:val="15"/>
                <w:szCs w:val="15"/>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SHARES</w:t>
            </w:r>
          </w:p>
        </w:tc>
        <w:tc>
          <w:tcPr>
            <w:tcW w:w="160" w:type="dxa"/>
            <w:vAlign w:val="bottom"/>
          </w:tcPr>
          <w:p>
            <w:pPr>
              <w:spacing w:after="0"/>
              <w:rPr>
                <w:sz w:val="15"/>
                <w:szCs w:val="15"/>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COST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134"/>
              <w:spacing w:after="0"/>
              <w:rPr>
                <w:sz w:val="20"/>
                <w:szCs w:val="20"/>
                <w:color w:val="auto"/>
              </w:rPr>
            </w:pPr>
            <w:r>
              <w:rPr>
                <w:rFonts w:ascii="Times New Roman" w:cs="Times New Roman" w:eastAsia="Times New Roman" w:hAnsi="Times New Roman"/>
                <w:sz w:val="12"/>
                <w:szCs w:val="12"/>
                <w:b w:val="1"/>
                <w:bCs w:val="1"/>
                <w:color w:val="auto"/>
                <w:w w:val="99"/>
              </w:rPr>
              <w:t>VALUE</w:t>
            </w:r>
            <w:r>
              <w:rPr>
                <w:rFonts w:ascii="Times New Roman" w:cs="Times New Roman" w:eastAsia="Times New Roman" w:hAnsi="Times New Roman"/>
                <w:sz w:val="13"/>
                <w:szCs w:val="13"/>
                <w:b w:val="1"/>
                <w:bCs w:val="1"/>
                <w:color w:val="auto"/>
                <w:w w:val="99"/>
                <w:vertAlign w:val="superscript"/>
              </w:rPr>
              <w:t>(2)</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260" w:type="dxa"/>
            <w:vAlign w:val="bottom"/>
            <w:tcBorders>
              <w:top w:val="single" w:sz="8" w:color="auto"/>
            </w:tcBorders>
            <w:gridSpan w:val="3"/>
          </w:tcPr>
          <w:p>
            <w:pPr>
              <w:spacing w:after="0" w:line="127" w:lineRule="exact"/>
              <w:rPr>
                <w:sz w:val="20"/>
                <w:szCs w:val="20"/>
                <w:color w:val="auto"/>
              </w:rPr>
            </w:pPr>
            <w:r>
              <w:rPr>
                <w:rFonts w:ascii="Times New Roman" w:cs="Times New Roman" w:eastAsia="Times New Roman" w:hAnsi="Times New Roman"/>
                <w:sz w:val="13"/>
                <w:szCs w:val="13"/>
                <w:b w:val="1"/>
                <w:bCs w:val="1"/>
                <w:color w:val="auto"/>
              </w:rPr>
              <w:t>Collateralized Loan Obligation – Equity Investments</w:t>
            </w:r>
          </w:p>
        </w:tc>
        <w:tc>
          <w:tcPr>
            <w:tcW w:w="8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4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(continued)</w:t>
            </w:r>
          </w:p>
        </w:tc>
        <w:tc>
          <w:tcPr>
            <w:tcW w:w="300" w:type="dxa"/>
            <w:vAlign w:val="bottom"/>
            <w:gridSpan w:val="2"/>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36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Structured Finance – Equity Investments (continued)</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236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3"/>
                <w:szCs w:val="13"/>
                <w:b w:val="1"/>
                <w:bCs w:val="1"/>
                <w:color w:val="auto"/>
              </w:rPr>
              <w:t>Sound Point CLO VI-R, Ltd.</w:t>
            </w:r>
          </w:p>
        </w:tc>
        <w:tc>
          <w:tcPr>
            <w:tcW w:w="980" w:type="dxa"/>
            <w:vAlign w:val="bottom"/>
            <w:gridSpan w:val="3"/>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0.00%,</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05/01/2018</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$ 24,656,983</w:t>
            </w:r>
          </w:p>
        </w:tc>
        <w:tc>
          <w:tcPr>
            <w:tcW w:w="160" w:type="dxa"/>
            <w:vAlign w:val="bottom"/>
            <w:vMerge w:val="restart"/>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5,637,484</w:t>
            </w:r>
          </w:p>
        </w:tc>
        <w:tc>
          <w:tcPr>
            <w:tcW w:w="1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1,232,849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October 20, 2031)</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Sound Point CLO XX,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11.16%,</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07/07/2021</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13,000,000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7,326,961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3,250,000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July 26, 2031)</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Telos CLO 2013-3,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(5)(7)(11)</w:t>
            </w:r>
            <w:r>
              <w:rPr>
                <w:rFonts w:ascii="Times New Roman" w:cs="Times New Roman" w:eastAsia="Times New Roman" w:hAnsi="Times New Roman"/>
                <w:sz w:val="13"/>
                <w:szCs w:val="13"/>
                <w:color w:val="auto"/>
              </w:rPr>
              <w:t>, (Estimated yield 0.00%,</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01/25/2013</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14,332,210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6,266,409</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143,322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July 17, 2026)</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Telos CLO 2013-4,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(5)(7)(11)</w:t>
            </w:r>
            <w:r>
              <w:rPr>
                <w:rFonts w:ascii="Times New Roman" w:cs="Times New Roman" w:eastAsia="Times New Roman" w:hAnsi="Times New Roman"/>
                <w:sz w:val="13"/>
                <w:szCs w:val="13"/>
                <w:color w:val="auto"/>
              </w:rPr>
              <w:t>, (Estimated yield 0.00%,</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07/11/2013</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14,350,000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4,873,111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483,025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January 17, 2030)</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Telos CLO 2014-6,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0.00%,</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11/08/2017</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21,400,000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9,166,640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214,000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January 17, 2027)</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THL Credit Wind River 2017-1 CLO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(5)(7)(8)</w:t>
            </w:r>
            <w:r>
              <w:rPr>
                <w:rFonts w:ascii="Times New Roman" w:cs="Times New Roman" w:eastAsia="Times New Roman" w:hAnsi="Times New Roman"/>
                <w:sz w:val="13"/>
                <w:szCs w:val="13"/>
                <w:color w:val="auto"/>
              </w:rPr>
              <w:t>, (Estimated yield</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02/02/2017</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14,200,000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8,933,469</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6,811,294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14.18%, maturity April 18, 2036)</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THL Credit Wind River 2018-3 CLO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19.41%,</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03/02/2022</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25,400,000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18,144,129</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14,732,000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January 20, 2031)</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Tralee CLO II,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0.00%,</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06/06/2018</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6,300,000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1,683,974</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63,000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July 20, 2029)</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Tralee CLO IV,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(5)(7)(8)</w:t>
            </w:r>
            <w:r>
              <w:rPr>
                <w:rFonts w:ascii="Times New Roman" w:cs="Times New Roman" w:eastAsia="Times New Roman" w:hAnsi="Times New Roman"/>
                <w:sz w:val="13"/>
                <w:szCs w:val="13"/>
                <w:color w:val="auto"/>
              </w:rPr>
              <w:t>, (Estimated yield 0.00%,</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12/21/2017</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13,270,000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5,916,671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403,994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January 20, 2030)</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Venture XV CLO, Limited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(5)(7)(11)</w:t>
            </w:r>
            <w:r>
              <w:rPr>
                <w:rFonts w:ascii="Times New Roman" w:cs="Times New Roman" w:eastAsia="Times New Roman" w:hAnsi="Times New Roman"/>
                <w:sz w:val="13"/>
                <w:szCs w:val="13"/>
                <w:color w:val="auto"/>
              </w:rPr>
              <w:t>, (Estimated yield 0.00%,</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01/31/2018</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15,992,521</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5,579,904</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2,079,028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July 15, 2032)</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Venture XVII CLO, Limited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(5)(7)(11)</w:t>
            </w:r>
            <w:r>
              <w:rPr>
                <w:rFonts w:ascii="Times New Roman" w:cs="Times New Roman" w:eastAsia="Times New Roman" w:hAnsi="Times New Roman"/>
                <w:sz w:val="13"/>
                <w:szCs w:val="13"/>
                <w:color w:val="auto"/>
              </w:rPr>
              <w:t>, (Estimated yield 0.00%,</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01/09/2017</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17,000,000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6,605,473</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715,993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April 15, 2027)</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Venture XX CLO, Limited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(5)(7)(10)(11)</w:t>
            </w:r>
            <w:r>
              <w:rPr>
                <w:rFonts w:ascii="Times New Roman" w:cs="Times New Roman" w:eastAsia="Times New Roman" w:hAnsi="Times New Roman"/>
                <w:sz w:val="13"/>
                <w:szCs w:val="13"/>
                <w:color w:val="auto"/>
              </w:rPr>
              <w:t>, (Estimated yield</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07/27/2018</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7,200,000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532,119</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0.00%, maturity April 15, 2027)</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Venture XXI CLO, Limited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0.00%,</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08/16/2017</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30,000,000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13,459,356</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900,000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July 15, 2027)</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-7133590</wp:posOffset>
            </wp:positionV>
            <wp:extent cx="4824730" cy="16891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-6739255</wp:posOffset>
            </wp:positionV>
            <wp:extent cx="4824730" cy="16891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-6401435</wp:posOffset>
            </wp:positionV>
            <wp:extent cx="4824730" cy="22542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824730" cy="225425"/>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-6007735</wp:posOffset>
            </wp:positionV>
            <wp:extent cx="4824730" cy="16891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-5613400</wp:posOffset>
            </wp:positionV>
            <wp:extent cx="4824730" cy="16891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-5275580</wp:posOffset>
            </wp:positionV>
            <wp:extent cx="4824730" cy="22542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824730" cy="225425"/>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-4881880</wp:posOffset>
            </wp:positionV>
            <wp:extent cx="4824730" cy="16891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-4487545</wp:posOffset>
            </wp:positionV>
            <wp:extent cx="4824730" cy="16891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-4149725</wp:posOffset>
            </wp:positionV>
            <wp:extent cx="4824730" cy="22542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824730" cy="225425"/>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-3756025</wp:posOffset>
            </wp:positionV>
            <wp:extent cx="4824730" cy="16891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-3361690</wp:posOffset>
            </wp:positionV>
            <wp:extent cx="4824730" cy="16891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-3024505</wp:posOffset>
            </wp:positionV>
            <wp:extent cx="4824730" cy="22542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824730" cy="225425"/>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-2630170</wp:posOffset>
            </wp:positionV>
            <wp:extent cx="4824730" cy="16891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-2236470</wp:posOffset>
            </wp:positionV>
            <wp:extent cx="4824730" cy="16891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-1898650</wp:posOffset>
            </wp:positionV>
            <wp:extent cx="4824730" cy="22542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4824730" cy="225425"/>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-1504315</wp:posOffset>
            </wp:positionV>
            <wp:extent cx="4824730" cy="16891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-1110615</wp:posOffset>
            </wp:positionV>
            <wp:extent cx="4824730" cy="16891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-772795</wp:posOffset>
            </wp:positionV>
            <wp:extent cx="4824730" cy="22542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4824730" cy="225425"/>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-378460</wp:posOffset>
            </wp:positionV>
            <wp:extent cx="4824730" cy="16891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-7511415</wp:posOffset>
            </wp:positionV>
            <wp:extent cx="4824730" cy="2089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4824730" cy="208915"/>
                    </a:xfrm>
                    <a:prstGeom prst="rect">
                      <a:avLst/>
                    </a:prstGeom>
                    <a:noFill/>
                  </pic:spPr>
                </pic:pic>
              </a:graphicData>
            </a:graphic>
          </wp:anchor>
        </w:drawing>
      </w:r>
    </w:p>
    <w:p>
      <w:pPr>
        <w:spacing w:after="0" w:line="14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i w:val="1"/>
          <w:iCs w:val="1"/>
          <w:color w:val="auto"/>
        </w:rPr>
        <w:t>(Continued on next page)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80" w:right="879" w:hanging="38"/>
        <w:spacing w:after="0" w:line="232" w:lineRule="auto"/>
        <w:tabs>
          <w:tab w:leader="none" w:pos="193" w:val="left"/>
        </w:tabs>
        <w:numPr>
          <w:ilvl w:val="0"/>
          <w:numId w:val="1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OF NET</w:t>
      </w:r>
    </w:p>
    <w:p>
      <w:pPr>
        <w:spacing w:after="0"/>
        <w:rPr>
          <w:sz w:val="20"/>
          <w:szCs w:val="20"/>
          <w:color w:val="auto"/>
        </w:rPr>
      </w:pPr>
      <w:r>
        <w:rPr>
          <w:rFonts w:ascii="Times New Roman" w:cs="Times New Roman" w:eastAsia="Times New Roman" w:hAnsi="Times New Roman"/>
          <w:sz w:val="11"/>
          <w:szCs w:val="11"/>
          <w:b w:val="1"/>
          <w:bCs w:val="1"/>
          <w:color w:val="auto"/>
        </w:rPr>
        <w:t>ASSETS</w:t>
      </w:r>
    </w:p>
    <w:p>
      <w:pPr>
        <w:spacing w:after="0" w:line="12435" w:lineRule="exact"/>
        <w:rPr>
          <w:sz w:val="20"/>
          <w:szCs w:val="20"/>
          <w:color w:val="auto"/>
        </w:rPr>
      </w:pPr>
    </w:p>
    <w:p>
      <w:pPr>
        <w:sectPr>
          <w:pgSz w:w="11900" w:h="16838" w:orient="portrait"/>
          <w:cols w:equalWidth="0" w:num="2">
            <w:col w:w="7600" w:space="180"/>
            <w:col w:w="1239"/>
          </w:cols>
          <w:pgMar w:left="1440" w:top="262" w:right="1440" w:bottom="314" w:gutter="0" w:footer="0" w:header="0"/>
          <w:type w:val="continuous"/>
        </w:sect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Accompanying Notes.</w:t>
      </w:r>
    </w:p>
    <w:p>
      <w:pPr>
        <w:sectPr>
          <w:pgSz w:w="11900" w:h="16838" w:orient="portrait"/>
          <w:cols w:equalWidth="0" w:num="1">
            <w:col w:w="9019"/>
          </w:cols>
          <w:pgMar w:left="1440" w:top="262" w:right="1440" w:bottom="314" w:gutter="0" w:footer="0" w:header="0"/>
          <w:type w:val="continuous"/>
        </w:sectPr>
      </w:pP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22225</wp:posOffset>
            </wp:positionV>
            <wp:extent cx="482473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4824730" cy="8255"/>
                    </a:xfrm>
                    <a:prstGeom prst="rect">
                      <a:avLst/>
                    </a:prstGeom>
                    <a:noFill/>
                  </pic:spPr>
                </pic:pic>
              </a:graphicData>
            </a:graphic>
          </wp:anchor>
        </w:drawing>
      </w:r>
    </w:p>
    <w:p>
      <w:pPr>
        <w:sectPr>
          <w:pgSz w:w="11900" w:h="16838" w:orient="portrait"/>
          <w:cols w:equalWidth="0" w:num="1">
            <w:col w:w="9019"/>
          </w:cols>
          <w:pgMar w:left="1440" w:top="262" w:right="1440" w:bottom="314" w:gutter="0" w:footer="0" w:header="0"/>
          <w:type w:val="continuous"/>
        </w:sectPr>
      </w:pPr>
    </w:p>
    <w:bookmarkStart w:id="27" w:name="page28"/>
    <w:bookmarkEnd w:id="27"/>
    <w:p>
      <w:pPr>
        <w:ind w:left="70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ectPr>
          <w:pgSz w:w="11900" w:h="16838" w:orient="portrait"/>
          <w:cols w:equalWidth="0" w:num="1">
            <w:col w:w="9019"/>
          </w:cols>
          <w:pgMar w:left="1440" w:top="262" w:right="1440" w:bottom="314" w:gutter="0" w:footer="0" w:header="0"/>
        </w:sectPr>
      </w:pPr>
    </w:p>
    <w:p>
      <w:pPr>
        <w:spacing w:after="0" w:line="200" w:lineRule="exact"/>
        <w:rPr>
          <w:sz w:val="20"/>
          <w:szCs w:val="20"/>
          <w:color w:val="auto"/>
        </w:rPr>
      </w:pPr>
    </w:p>
    <w:p>
      <w:pPr>
        <w:spacing w:after="0" w:line="321"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134"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7"/>
          <w:szCs w:val="17"/>
          <w:b w:val="1"/>
          <w:bCs w:val="1"/>
          <w:color w:val="auto"/>
        </w:rPr>
        <w:t>SCHEDULE OF INVESTMENTS – (continued)</w:t>
      </w:r>
    </w:p>
    <w:p>
      <w:pPr>
        <w:spacing w:after="0" w:line="27"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7"/>
          <w:szCs w:val="17"/>
          <w:b w:val="1"/>
          <w:bCs w:val="1"/>
          <w:color w:val="auto"/>
        </w:rPr>
        <w:t>SEPTEMBER 30, 2022</w:t>
      </w:r>
    </w:p>
    <w:p>
      <w:pPr>
        <w:spacing w:after="0" w:line="7"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56" w:lineRule="exact"/>
        <w:rPr>
          <w:sz w:val="20"/>
          <w:szCs w:val="20"/>
          <w:color w:val="auto"/>
        </w:rPr>
      </w:pPr>
    </w:p>
    <w:tbl>
      <w:tblPr>
        <w:tblLayout w:type="fixed"/>
        <w:tblInd w:w="7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ACQUISITION</w:t>
            </w:r>
          </w:p>
        </w:tc>
        <w:tc>
          <w:tcPr>
            <w:tcW w:w="80" w:type="dxa"/>
            <w:vAlign w:val="bottom"/>
          </w:tcPr>
          <w:p>
            <w:pPr>
              <w:spacing w:after="0"/>
              <w:rPr>
                <w:sz w:val="12"/>
                <w:szCs w:val="12"/>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5"/>
              </w:rPr>
              <w:t>PRINCIPAL</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right"/>
              <w:ind w:right="254"/>
              <w:spacing w:after="0"/>
              <w:rPr>
                <w:sz w:val="20"/>
                <w:szCs w:val="20"/>
                <w:color w:val="auto"/>
              </w:rPr>
            </w:pPr>
            <w:r>
              <w:rPr>
                <w:rFonts w:ascii="Times New Roman" w:cs="Times New Roman" w:eastAsia="Times New Roman" w:hAnsi="Times New Roman"/>
                <w:sz w:val="12"/>
                <w:szCs w:val="12"/>
                <w:b w:val="1"/>
                <w:bCs w:val="1"/>
                <w:color w:val="auto"/>
              </w:rPr>
              <w:t>FAIR</w:t>
            </w:r>
          </w:p>
        </w:tc>
        <w:tc>
          <w:tcPr>
            <w:tcW w:w="0" w:type="dxa"/>
            <w:vAlign w:val="bottom"/>
          </w:tcPr>
          <w:p>
            <w:pPr>
              <w:spacing w:after="0"/>
              <w:rPr>
                <w:sz w:val="1"/>
                <w:szCs w:val="1"/>
                <w:color w:val="auto"/>
              </w:rPr>
            </w:pPr>
          </w:p>
        </w:tc>
      </w:tr>
      <w:tr>
        <w:trPr>
          <w:trHeight w:val="119"/>
        </w:trPr>
        <w:tc>
          <w:tcPr>
            <w:tcW w:w="3360" w:type="dxa"/>
            <w:vAlign w:val="bottom"/>
            <w:gridSpan w:val="5"/>
            <w:vMerge w:val="restart"/>
          </w:tcPr>
          <w:p>
            <w:pPr>
              <w:spacing w:after="0"/>
              <w:rPr>
                <w:sz w:val="20"/>
                <w:szCs w:val="20"/>
                <w:color w:val="auto"/>
              </w:rPr>
            </w:pPr>
            <w:r>
              <w:rPr>
                <w:rFonts w:ascii="Times New Roman" w:cs="Times New Roman" w:eastAsia="Times New Roman" w:hAnsi="Times New Roman"/>
                <w:sz w:val="12"/>
                <w:szCs w:val="12"/>
                <w:b w:val="1"/>
                <w:bCs w:val="1"/>
                <w:color w:val="auto"/>
              </w:rPr>
              <w:t>COMPANY/INVESTMENT</w:t>
            </w:r>
            <w:r>
              <w:rPr>
                <w:rFonts w:ascii="Times New Roman" w:cs="Times New Roman" w:eastAsia="Times New Roman" w:hAnsi="Times New Roman"/>
                <w:sz w:val="13"/>
                <w:szCs w:val="13"/>
                <w:b w:val="1"/>
                <w:bCs w:val="1"/>
                <w:color w:val="auto"/>
                <w:vertAlign w:val="superscript"/>
              </w:rPr>
              <w:t>(1)(13)(14)</w:t>
            </w: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center"/>
              <w:ind w:right="100"/>
              <w:spacing w:after="0" w:line="120" w:lineRule="exact"/>
              <w:rPr>
                <w:sz w:val="20"/>
                <w:szCs w:val="20"/>
                <w:color w:val="auto"/>
              </w:rPr>
            </w:pPr>
            <w:r>
              <w:rPr>
                <w:rFonts w:ascii="Times New Roman" w:cs="Times New Roman" w:eastAsia="Times New Roman" w:hAnsi="Times New Roman"/>
                <w:sz w:val="12"/>
                <w:szCs w:val="12"/>
                <w:b w:val="1"/>
                <w:bCs w:val="1"/>
                <w:color w:val="auto"/>
                <w:w w:val="96"/>
              </w:rPr>
              <w:t>AMOUNT/</w:t>
            </w: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3360" w:type="dxa"/>
            <w:vAlign w:val="bottom"/>
            <w:gridSpan w:val="5"/>
            <w:vMerge w:val="continue"/>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87"/>
              </w:rPr>
              <w:t>DATE</w:t>
            </w:r>
            <w:r>
              <w:rPr>
                <w:rFonts w:ascii="Times New Roman" w:cs="Times New Roman" w:eastAsia="Times New Roman" w:hAnsi="Times New Roman"/>
                <w:sz w:val="13"/>
                <w:szCs w:val="13"/>
                <w:b w:val="1"/>
                <w:bCs w:val="1"/>
                <w:color w:val="auto"/>
                <w:w w:val="87"/>
                <w:vertAlign w:val="superscript"/>
              </w:rPr>
              <w:t>(15)</w:t>
            </w:r>
          </w:p>
        </w:tc>
        <w:tc>
          <w:tcPr>
            <w:tcW w:w="80" w:type="dxa"/>
            <w:vAlign w:val="bottom"/>
          </w:tcPr>
          <w:p>
            <w:pPr>
              <w:spacing w:after="0"/>
              <w:rPr>
                <w:sz w:val="15"/>
                <w:szCs w:val="15"/>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SHARES</w:t>
            </w:r>
          </w:p>
        </w:tc>
        <w:tc>
          <w:tcPr>
            <w:tcW w:w="160" w:type="dxa"/>
            <w:vAlign w:val="bottom"/>
          </w:tcPr>
          <w:p>
            <w:pPr>
              <w:spacing w:after="0"/>
              <w:rPr>
                <w:sz w:val="15"/>
                <w:szCs w:val="15"/>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COST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134"/>
              <w:spacing w:after="0"/>
              <w:rPr>
                <w:sz w:val="20"/>
                <w:szCs w:val="20"/>
                <w:color w:val="auto"/>
              </w:rPr>
            </w:pPr>
            <w:r>
              <w:rPr>
                <w:rFonts w:ascii="Times New Roman" w:cs="Times New Roman" w:eastAsia="Times New Roman" w:hAnsi="Times New Roman"/>
                <w:sz w:val="12"/>
                <w:szCs w:val="12"/>
                <w:b w:val="1"/>
                <w:bCs w:val="1"/>
                <w:color w:val="auto"/>
                <w:w w:val="99"/>
              </w:rPr>
              <w:t>VALUE</w:t>
            </w:r>
            <w:r>
              <w:rPr>
                <w:rFonts w:ascii="Times New Roman" w:cs="Times New Roman" w:eastAsia="Times New Roman" w:hAnsi="Times New Roman"/>
                <w:sz w:val="13"/>
                <w:szCs w:val="13"/>
                <w:b w:val="1"/>
                <w:bCs w:val="1"/>
                <w:color w:val="auto"/>
                <w:w w:val="99"/>
                <w:vertAlign w:val="superscript"/>
              </w:rPr>
              <w:t>(2)</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260" w:type="dxa"/>
            <w:vAlign w:val="bottom"/>
            <w:tcBorders>
              <w:top w:val="single" w:sz="8" w:color="auto"/>
            </w:tcBorders>
            <w:gridSpan w:val="3"/>
          </w:tcPr>
          <w:p>
            <w:pPr>
              <w:spacing w:after="0" w:line="127" w:lineRule="exact"/>
              <w:rPr>
                <w:sz w:val="20"/>
                <w:szCs w:val="20"/>
                <w:color w:val="auto"/>
              </w:rPr>
            </w:pPr>
            <w:r>
              <w:rPr>
                <w:rFonts w:ascii="Times New Roman" w:cs="Times New Roman" w:eastAsia="Times New Roman" w:hAnsi="Times New Roman"/>
                <w:sz w:val="13"/>
                <w:szCs w:val="13"/>
                <w:b w:val="1"/>
                <w:bCs w:val="1"/>
                <w:color w:val="auto"/>
              </w:rPr>
              <w:t>Collateralized Loan Obligation – Equity Investments</w:t>
            </w:r>
          </w:p>
        </w:tc>
        <w:tc>
          <w:tcPr>
            <w:tcW w:w="8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4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(continued)</w:t>
            </w:r>
          </w:p>
        </w:tc>
        <w:tc>
          <w:tcPr>
            <w:tcW w:w="300" w:type="dxa"/>
            <w:vAlign w:val="bottom"/>
            <w:gridSpan w:val="2"/>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36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Structured Finance – Equity Investments (continued)</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236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3"/>
                <w:szCs w:val="13"/>
                <w:b w:val="1"/>
                <w:bCs w:val="1"/>
                <w:color w:val="auto"/>
              </w:rPr>
              <w:t>Venture XXII CLO, Limited</w:t>
            </w:r>
          </w:p>
        </w:tc>
        <w:tc>
          <w:tcPr>
            <w:tcW w:w="980" w:type="dxa"/>
            <w:vAlign w:val="bottom"/>
            <w:gridSpan w:val="3"/>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19.30%,</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02/09/2022</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$ 18,500,000</w:t>
            </w:r>
          </w:p>
        </w:tc>
        <w:tc>
          <w:tcPr>
            <w:tcW w:w="160" w:type="dxa"/>
            <w:vAlign w:val="bottom"/>
            <w:vMerge w:val="restart"/>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9,883,803</w:t>
            </w:r>
          </w:p>
        </w:tc>
        <w:tc>
          <w:tcPr>
            <w:tcW w:w="1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6,105,000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January 15, 2031)</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Venture XXIII CLO, Limited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25.15%,</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05/24/2022</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4,125,000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1,375,363</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1,278,750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July 19, 2034)</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Venture XXV CLO, Limited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(5)(7)(8)</w:t>
            </w:r>
            <w:r>
              <w:rPr>
                <w:rFonts w:ascii="Times New Roman" w:cs="Times New Roman" w:eastAsia="Times New Roman" w:hAnsi="Times New Roman"/>
                <w:sz w:val="13"/>
                <w:szCs w:val="13"/>
                <w:color w:val="auto"/>
              </w:rPr>
              <w:t>, (Estimated yield</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09/25/2020</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13,750,000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3,657,282</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2,776,513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29.22%, maturity April 20, 2029)</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Venture 37 CLO, Limited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14.68%,</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05/28/2019</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8,500,000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6,140,570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3,995,000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July 15, 2032)</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Venture 40 CLO, Limited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(5)(7)(10)(11)</w:t>
            </w:r>
            <w:r>
              <w:rPr>
                <w:rFonts w:ascii="Times New Roman" w:cs="Times New Roman" w:eastAsia="Times New Roman" w:hAnsi="Times New Roman"/>
                <w:sz w:val="13"/>
                <w:szCs w:val="13"/>
                <w:color w:val="auto"/>
              </w:rPr>
              <w:t>, (Estimated yield</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10/16/2020</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17,580,000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949,320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0.00%, maturity November 24, 2031)</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Venture 41 CLO, Limited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21.13%,</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04/06/2022</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9,000,000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7,209,470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6,300,000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January 20, 2034)</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Venture 42 CLO, Limited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(5)(7)(8)</w:t>
            </w:r>
            <w:r>
              <w:rPr>
                <w:rFonts w:ascii="Times New Roman" w:cs="Times New Roman" w:eastAsia="Times New Roman" w:hAnsi="Times New Roman"/>
                <w:sz w:val="13"/>
                <w:szCs w:val="13"/>
                <w:color w:val="auto"/>
              </w:rPr>
              <w:t>, (Estimated yield</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03/15/2021</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7,000,000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5,828,574</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5,017,793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20.61%, maturity April 15, 2034)</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Venture 44 CLO, Limited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22.95%,</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08/16/2021</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24,750,000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19,280,474</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16,582,500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October 20, 2034)</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Vibrant CLO III,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23.87%,</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02/05/2019</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26,250,000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9,166,645</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5,250,000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October 20, 2031)</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Vibrant CLO XIV,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19.59%,</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08/17/2022</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24,900,000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16,735,202</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14,940,000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October 20, 2034)</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Voya CLO 2020-1,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18.17%,</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03/08/2022</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15,500,000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12,134,813</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10,540,000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July 16, 2034)</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Voya CLO 2020-3,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19.88%,</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05/03/2022</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10,500,000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8,311,501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7,665,000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October 20, 2031)</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Wellfleet 2016-2 CLO,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0.00%,</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09/28/2016</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11,000,000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5,616,219</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1,760,000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October 20, 2028)</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-7133590</wp:posOffset>
            </wp:positionV>
            <wp:extent cx="4824730" cy="16891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-6739255</wp:posOffset>
            </wp:positionV>
            <wp:extent cx="4824730" cy="16891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-6401435</wp:posOffset>
            </wp:positionV>
            <wp:extent cx="4824730" cy="22542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824730" cy="225425"/>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-6007735</wp:posOffset>
            </wp:positionV>
            <wp:extent cx="4824730" cy="16891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-5613400</wp:posOffset>
            </wp:positionV>
            <wp:extent cx="4824730" cy="16891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-5275580</wp:posOffset>
            </wp:positionV>
            <wp:extent cx="4824730" cy="22542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4824730" cy="225425"/>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-4881880</wp:posOffset>
            </wp:positionV>
            <wp:extent cx="4824730" cy="16891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-4487545</wp:posOffset>
            </wp:positionV>
            <wp:extent cx="4824730" cy="16891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-4149725</wp:posOffset>
            </wp:positionV>
            <wp:extent cx="4824730" cy="22542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824730" cy="225425"/>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-3756025</wp:posOffset>
            </wp:positionV>
            <wp:extent cx="4824730" cy="16891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-3361690</wp:posOffset>
            </wp:positionV>
            <wp:extent cx="4824730" cy="16891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-3024505</wp:posOffset>
            </wp:positionV>
            <wp:extent cx="4824730" cy="22542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824730" cy="225425"/>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-2630170</wp:posOffset>
            </wp:positionV>
            <wp:extent cx="4824730" cy="16891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-2236470</wp:posOffset>
            </wp:positionV>
            <wp:extent cx="4824730" cy="16891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-1898650</wp:posOffset>
            </wp:positionV>
            <wp:extent cx="4824730" cy="22542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4824730" cy="225425"/>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-1504315</wp:posOffset>
            </wp:positionV>
            <wp:extent cx="4824730" cy="16891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-1110615</wp:posOffset>
            </wp:positionV>
            <wp:extent cx="4824730" cy="16891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-772795</wp:posOffset>
            </wp:positionV>
            <wp:extent cx="4824730" cy="22542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4824730" cy="225425"/>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-378460</wp:posOffset>
            </wp:positionV>
            <wp:extent cx="4824730" cy="16891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-7511415</wp:posOffset>
            </wp:positionV>
            <wp:extent cx="4824730" cy="2089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824730" cy="208915"/>
                    </a:xfrm>
                    <a:prstGeom prst="rect">
                      <a:avLst/>
                    </a:prstGeom>
                    <a:noFill/>
                  </pic:spPr>
                </pic:pic>
              </a:graphicData>
            </a:graphic>
          </wp:anchor>
        </w:drawing>
      </w:r>
    </w:p>
    <w:p>
      <w:pPr>
        <w:spacing w:after="0" w:line="14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i w:val="1"/>
          <w:iCs w:val="1"/>
          <w:color w:val="auto"/>
        </w:rPr>
        <w:t>(Continued on next page)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80" w:right="879" w:hanging="38"/>
        <w:spacing w:after="0" w:line="232" w:lineRule="auto"/>
        <w:tabs>
          <w:tab w:leader="none" w:pos="193" w:val="left"/>
        </w:tabs>
        <w:numPr>
          <w:ilvl w:val="0"/>
          <w:numId w:val="1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OF NET</w:t>
      </w:r>
    </w:p>
    <w:p>
      <w:pPr>
        <w:spacing w:after="0"/>
        <w:rPr>
          <w:sz w:val="20"/>
          <w:szCs w:val="20"/>
          <w:color w:val="auto"/>
        </w:rPr>
      </w:pPr>
      <w:r>
        <w:rPr>
          <w:rFonts w:ascii="Times New Roman" w:cs="Times New Roman" w:eastAsia="Times New Roman" w:hAnsi="Times New Roman"/>
          <w:sz w:val="11"/>
          <w:szCs w:val="11"/>
          <w:b w:val="1"/>
          <w:bCs w:val="1"/>
          <w:color w:val="auto"/>
        </w:rPr>
        <w:t>ASSETS</w:t>
      </w:r>
    </w:p>
    <w:p>
      <w:pPr>
        <w:spacing w:after="0" w:line="12435" w:lineRule="exact"/>
        <w:rPr>
          <w:sz w:val="20"/>
          <w:szCs w:val="20"/>
          <w:color w:val="auto"/>
        </w:rPr>
      </w:pPr>
    </w:p>
    <w:p>
      <w:pPr>
        <w:sectPr>
          <w:pgSz w:w="11900" w:h="16838" w:orient="portrait"/>
          <w:cols w:equalWidth="0" w:num="2">
            <w:col w:w="7600" w:space="180"/>
            <w:col w:w="1239"/>
          </w:cols>
          <w:pgMar w:left="1440" w:top="262" w:right="1440" w:bottom="314" w:gutter="0" w:footer="0" w:header="0"/>
          <w:type w:val="continuous"/>
        </w:sect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Accompanying Notes.</w:t>
      </w:r>
    </w:p>
    <w:p>
      <w:pPr>
        <w:sectPr>
          <w:pgSz w:w="11900" w:h="16838" w:orient="portrait"/>
          <w:cols w:equalWidth="0" w:num="1">
            <w:col w:w="9019"/>
          </w:cols>
          <w:pgMar w:left="1440" w:top="262" w:right="1440" w:bottom="314" w:gutter="0" w:footer="0" w:header="0"/>
          <w:type w:val="continuous"/>
        </w:sectPr>
      </w:pP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22225</wp:posOffset>
            </wp:positionV>
            <wp:extent cx="482473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4824730" cy="8255"/>
                    </a:xfrm>
                    <a:prstGeom prst="rect">
                      <a:avLst/>
                    </a:prstGeom>
                    <a:noFill/>
                  </pic:spPr>
                </pic:pic>
              </a:graphicData>
            </a:graphic>
          </wp:anchor>
        </w:drawing>
      </w:r>
    </w:p>
    <w:p>
      <w:pPr>
        <w:sectPr>
          <w:pgSz w:w="11900" w:h="16838" w:orient="portrait"/>
          <w:cols w:equalWidth="0" w:num="1">
            <w:col w:w="9019"/>
          </w:cols>
          <w:pgMar w:left="1440" w:top="262" w:right="1440" w:bottom="314" w:gutter="0" w:footer="0" w:header="0"/>
          <w:type w:val="continuous"/>
        </w:sectPr>
      </w:pPr>
    </w:p>
    <w:bookmarkStart w:id="28" w:name="page29"/>
    <w:bookmarkEnd w:id="28"/>
    <w:p>
      <w:pPr>
        <w:ind w:left="70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ectPr>
          <w:pgSz w:w="11900" w:h="16838" w:orient="portrait"/>
          <w:cols w:equalWidth="0" w:num="1">
            <w:col w:w="9019"/>
          </w:cols>
          <w:pgMar w:left="1440" w:top="262" w:right="1440" w:bottom="745" w:gutter="0" w:footer="0" w:header="0"/>
        </w:sectPr>
      </w:pPr>
    </w:p>
    <w:p>
      <w:pPr>
        <w:spacing w:after="0" w:line="200" w:lineRule="exact"/>
        <w:rPr>
          <w:sz w:val="20"/>
          <w:szCs w:val="20"/>
          <w:color w:val="auto"/>
        </w:rPr>
      </w:pPr>
    </w:p>
    <w:p>
      <w:pPr>
        <w:spacing w:after="0" w:line="321"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134"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7"/>
          <w:szCs w:val="17"/>
          <w:b w:val="1"/>
          <w:bCs w:val="1"/>
          <w:color w:val="auto"/>
        </w:rPr>
        <w:t>SCHEDULE OF INVESTMENTS – (continued)</w:t>
      </w:r>
    </w:p>
    <w:p>
      <w:pPr>
        <w:spacing w:after="0" w:line="27"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7"/>
          <w:szCs w:val="17"/>
          <w:b w:val="1"/>
          <w:bCs w:val="1"/>
          <w:color w:val="auto"/>
        </w:rPr>
        <w:t>SEPTEMBER 30, 2022</w:t>
      </w:r>
    </w:p>
    <w:p>
      <w:pPr>
        <w:spacing w:after="0" w:line="7" w:lineRule="exact"/>
        <w:rPr>
          <w:sz w:val="20"/>
          <w:szCs w:val="20"/>
          <w:color w:val="auto"/>
        </w:rPr>
      </w:pPr>
    </w:p>
    <w:p>
      <w:pPr>
        <w:jc w:val="center"/>
        <w:ind w:left="140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56" w:lineRule="exact"/>
        <w:rPr>
          <w:sz w:val="20"/>
          <w:szCs w:val="20"/>
          <w:color w:val="auto"/>
        </w:rPr>
      </w:pPr>
    </w:p>
    <w:tbl>
      <w:tblPr>
        <w:tblLayout w:type="fixed"/>
        <w:tblInd w:w="7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ACQUISITION</w:t>
            </w:r>
          </w:p>
        </w:tc>
        <w:tc>
          <w:tcPr>
            <w:tcW w:w="80" w:type="dxa"/>
            <w:vAlign w:val="bottom"/>
          </w:tcPr>
          <w:p>
            <w:pPr>
              <w:spacing w:after="0"/>
              <w:rPr>
                <w:sz w:val="12"/>
                <w:szCs w:val="12"/>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5"/>
              </w:rPr>
              <w:t>PRINCIPAL</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right"/>
              <w:ind w:right="254"/>
              <w:spacing w:after="0"/>
              <w:rPr>
                <w:sz w:val="20"/>
                <w:szCs w:val="20"/>
                <w:color w:val="auto"/>
              </w:rPr>
            </w:pPr>
            <w:r>
              <w:rPr>
                <w:rFonts w:ascii="Times New Roman" w:cs="Times New Roman" w:eastAsia="Times New Roman" w:hAnsi="Times New Roman"/>
                <w:sz w:val="12"/>
                <w:szCs w:val="12"/>
                <w:b w:val="1"/>
                <w:bCs w:val="1"/>
                <w:color w:val="auto"/>
              </w:rPr>
              <w:t>FAIR</w:t>
            </w:r>
          </w:p>
        </w:tc>
        <w:tc>
          <w:tcPr>
            <w:tcW w:w="0" w:type="dxa"/>
            <w:vAlign w:val="bottom"/>
          </w:tcPr>
          <w:p>
            <w:pPr>
              <w:spacing w:after="0"/>
              <w:rPr>
                <w:sz w:val="1"/>
                <w:szCs w:val="1"/>
                <w:color w:val="auto"/>
              </w:rPr>
            </w:pPr>
          </w:p>
        </w:tc>
      </w:tr>
      <w:tr>
        <w:trPr>
          <w:trHeight w:val="119"/>
        </w:trPr>
        <w:tc>
          <w:tcPr>
            <w:tcW w:w="3360" w:type="dxa"/>
            <w:vAlign w:val="bottom"/>
            <w:gridSpan w:val="5"/>
            <w:vMerge w:val="restart"/>
          </w:tcPr>
          <w:p>
            <w:pPr>
              <w:spacing w:after="0"/>
              <w:rPr>
                <w:sz w:val="20"/>
                <w:szCs w:val="20"/>
                <w:color w:val="auto"/>
              </w:rPr>
            </w:pPr>
            <w:r>
              <w:rPr>
                <w:rFonts w:ascii="Times New Roman" w:cs="Times New Roman" w:eastAsia="Times New Roman" w:hAnsi="Times New Roman"/>
                <w:sz w:val="12"/>
                <w:szCs w:val="12"/>
                <w:b w:val="1"/>
                <w:bCs w:val="1"/>
                <w:color w:val="auto"/>
              </w:rPr>
              <w:t>COMPANY/INVESTMENT</w:t>
            </w:r>
            <w:r>
              <w:rPr>
                <w:rFonts w:ascii="Times New Roman" w:cs="Times New Roman" w:eastAsia="Times New Roman" w:hAnsi="Times New Roman"/>
                <w:sz w:val="13"/>
                <w:szCs w:val="13"/>
                <w:b w:val="1"/>
                <w:bCs w:val="1"/>
                <w:color w:val="auto"/>
                <w:vertAlign w:val="superscript"/>
              </w:rPr>
              <w:t>(1)(13)(14)</w:t>
            </w: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center"/>
              <w:ind w:right="100"/>
              <w:spacing w:after="0" w:line="120" w:lineRule="exact"/>
              <w:rPr>
                <w:sz w:val="20"/>
                <w:szCs w:val="20"/>
                <w:color w:val="auto"/>
              </w:rPr>
            </w:pPr>
            <w:r>
              <w:rPr>
                <w:rFonts w:ascii="Times New Roman" w:cs="Times New Roman" w:eastAsia="Times New Roman" w:hAnsi="Times New Roman"/>
                <w:sz w:val="12"/>
                <w:szCs w:val="12"/>
                <w:b w:val="1"/>
                <w:bCs w:val="1"/>
                <w:color w:val="auto"/>
                <w:w w:val="96"/>
              </w:rPr>
              <w:t>AMOUNT/</w:t>
            </w: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3360" w:type="dxa"/>
            <w:vAlign w:val="bottom"/>
            <w:gridSpan w:val="5"/>
            <w:vMerge w:val="continue"/>
          </w:tcPr>
          <w:p>
            <w:pPr>
              <w:spacing w:after="0"/>
              <w:rPr>
                <w:sz w:val="16"/>
                <w:szCs w:val="16"/>
                <w:color w:val="auto"/>
              </w:rPr>
            </w:pPr>
          </w:p>
        </w:tc>
        <w:tc>
          <w:tcPr>
            <w:tcW w:w="820" w:type="dxa"/>
            <w:vAlign w:val="bottom"/>
          </w:tcPr>
          <w:p>
            <w:pPr>
              <w:jc w:val="center"/>
              <w:spacing w:after="0" w:line="190" w:lineRule="exact"/>
              <w:rPr>
                <w:sz w:val="20"/>
                <w:szCs w:val="20"/>
                <w:color w:val="auto"/>
              </w:rPr>
            </w:pPr>
            <w:r>
              <w:rPr>
                <w:rFonts w:ascii="Times New Roman" w:cs="Times New Roman" w:eastAsia="Times New Roman" w:hAnsi="Times New Roman"/>
                <w:sz w:val="22"/>
                <w:szCs w:val="22"/>
                <w:b w:val="1"/>
                <w:bCs w:val="1"/>
                <w:color w:val="auto"/>
                <w:w w:val="80"/>
                <w:vertAlign w:val="subscript"/>
              </w:rPr>
              <w:t>DATE</w:t>
            </w:r>
            <w:r>
              <w:rPr>
                <w:rFonts w:ascii="Times New Roman" w:cs="Times New Roman" w:eastAsia="Times New Roman" w:hAnsi="Times New Roman"/>
                <w:sz w:val="7"/>
                <w:szCs w:val="7"/>
                <w:b w:val="1"/>
                <w:bCs w:val="1"/>
                <w:color w:val="auto"/>
                <w:w w:val="80"/>
              </w:rPr>
              <w:t>(15)</w:t>
            </w:r>
          </w:p>
        </w:tc>
        <w:tc>
          <w:tcPr>
            <w:tcW w:w="80" w:type="dxa"/>
            <w:vAlign w:val="bottom"/>
          </w:tcPr>
          <w:p>
            <w:pPr>
              <w:spacing w:after="0"/>
              <w:rPr>
                <w:sz w:val="16"/>
                <w:szCs w:val="16"/>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SHARES</w:t>
            </w:r>
          </w:p>
        </w:tc>
        <w:tc>
          <w:tcPr>
            <w:tcW w:w="160" w:type="dxa"/>
            <w:vAlign w:val="bottom"/>
          </w:tcPr>
          <w:p>
            <w:pPr>
              <w:spacing w:after="0"/>
              <w:rPr>
                <w:sz w:val="16"/>
                <w:szCs w:val="16"/>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COST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134"/>
              <w:spacing w:after="0"/>
              <w:rPr>
                <w:sz w:val="20"/>
                <w:szCs w:val="20"/>
                <w:color w:val="auto"/>
              </w:rPr>
            </w:pPr>
            <w:r>
              <w:rPr>
                <w:rFonts w:ascii="Times New Roman" w:cs="Times New Roman" w:eastAsia="Times New Roman" w:hAnsi="Times New Roman"/>
                <w:sz w:val="12"/>
                <w:szCs w:val="12"/>
                <w:b w:val="1"/>
                <w:bCs w:val="1"/>
                <w:color w:val="auto"/>
                <w:w w:val="99"/>
              </w:rPr>
              <w:t>VALUE</w:t>
            </w:r>
            <w:r>
              <w:rPr>
                <w:rFonts w:ascii="Times New Roman" w:cs="Times New Roman" w:eastAsia="Times New Roman" w:hAnsi="Times New Roman"/>
                <w:sz w:val="13"/>
                <w:szCs w:val="13"/>
                <w:b w:val="1"/>
                <w:bCs w:val="1"/>
                <w:color w:val="auto"/>
                <w:w w:val="99"/>
                <w:vertAlign w:val="superscript"/>
              </w:rPr>
              <w:t>(2)</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260" w:type="dxa"/>
            <w:vAlign w:val="bottom"/>
            <w:tcBorders>
              <w:top w:val="single" w:sz="8" w:color="auto"/>
            </w:tcBorders>
            <w:gridSpan w:val="3"/>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Collateralized Loan Obligation – Equity Investments</w:t>
            </w:r>
          </w:p>
        </w:tc>
        <w:tc>
          <w:tcPr>
            <w:tcW w:w="8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4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(continued)</w:t>
            </w:r>
          </w:p>
        </w:tc>
        <w:tc>
          <w:tcPr>
            <w:tcW w:w="300" w:type="dxa"/>
            <w:vAlign w:val="bottom"/>
            <w:gridSpan w:val="2"/>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36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Structured Finance – Equity Investments (continued)</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236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3"/>
                <w:szCs w:val="13"/>
                <w:b w:val="1"/>
                <w:bCs w:val="1"/>
                <w:color w:val="auto"/>
              </w:rPr>
              <w:t>Wellfleet CLO X, Ltd.</w:t>
            </w:r>
          </w:p>
        </w:tc>
        <w:tc>
          <w:tcPr>
            <w:tcW w:w="980" w:type="dxa"/>
            <w:vAlign w:val="bottom"/>
            <w:gridSpan w:val="3"/>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(5)(7)(8)(11)</w:t>
            </w:r>
            <w:r>
              <w:rPr>
                <w:rFonts w:ascii="Times New Roman" w:cs="Times New Roman" w:eastAsia="Times New Roman" w:hAnsi="Times New Roman"/>
                <w:sz w:val="13"/>
                <w:szCs w:val="13"/>
                <w:color w:val="auto"/>
              </w:rPr>
              <w:t>, (Estimated yield</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12/03/2020</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  7,310,000</w:t>
            </w:r>
          </w:p>
        </w:tc>
        <w:tc>
          <w:tcPr>
            <w:tcW w:w="160" w:type="dxa"/>
            <w:vAlign w:val="bottom"/>
            <w:vMerge w:val="restart"/>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3,908,744</w:t>
            </w:r>
          </w:p>
        </w:tc>
        <w:tc>
          <w:tcPr>
            <w:tcW w:w="1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3,087,052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22.05%, maturity July 20, 2032)</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Wellfleet CLO 2017-1,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income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11.51%,</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11/03/2021</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2,000,000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1,015,075</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440,000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April 20, 2029)</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West CLO 2014-1,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(5)(7)(10)(11)</w:t>
            </w:r>
            <w:r>
              <w:rPr>
                <w:rFonts w:ascii="Times New Roman" w:cs="Times New Roman" w:eastAsia="Times New Roman" w:hAnsi="Times New Roman"/>
                <w:sz w:val="13"/>
                <w:szCs w:val="13"/>
                <w:color w:val="auto"/>
              </w:rPr>
              <w:t>, (Estimated yield</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11/16/2018</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20,250,000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201,026</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384,750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0.00%, maturity July 18, 2026)</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Wind River 2021-2 CLO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(5)(7)(8)</w:t>
            </w:r>
            <w:r>
              <w:rPr>
                <w:rFonts w:ascii="Times New Roman" w:cs="Times New Roman" w:eastAsia="Times New Roman" w:hAnsi="Times New Roman"/>
                <w:sz w:val="13"/>
                <w:szCs w:val="13"/>
                <w:color w:val="auto"/>
              </w:rPr>
              <w:t>, (Estimated yield</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05/14/2021</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30,700,000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23,827,538</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20,832,383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22.01%, maturity July 20, 2034)</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York CLO-5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(5)(7)(8)</w:t>
            </w:r>
            <w:r>
              <w:rPr>
                <w:rFonts w:ascii="Times New Roman" w:cs="Times New Roman" w:eastAsia="Times New Roman" w:hAnsi="Times New Roman"/>
                <w:sz w:val="13"/>
                <w:szCs w:val="13"/>
                <w:color w:val="auto"/>
              </w:rPr>
              <w:t>, (Estimated yield</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05/20/2021</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24,625,000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14,041,019</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10,457,008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15.87%, maturity October 22, 2031)</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York CLO-2 Ltd.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(5)(7)(11)</w:t>
            </w:r>
            <w:r>
              <w:rPr>
                <w:rFonts w:ascii="Times New Roman" w:cs="Times New Roman" w:eastAsia="Times New Roman" w:hAnsi="Times New Roman"/>
                <w:sz w:val="13"/>
                <w:szCs w:val="13"/>
                <w:color w:val="auto"/>
              </w:rPr>
              <w:t>, (Estimated yield</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05/18/2022</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8,029,000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3,399,235</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3,131,310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29.52%, maturity January 22, 2031)</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Zais CLO 7, Limited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31.38%,</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06/29/2021</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9,200,000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2,516,738</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1,288,000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April 15, 2030)</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Zais CLO 8, Limited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(5)(7)(11)</w:t>
            </w:r>
            <w:r>
              <w:rPr>
                <w:rFonts w:ascii="Times New Roman" w:cs="Times New Roman" w:eastAsia="Times New Roman" w:hAnsi="Times New Roman"/>
                <w:sz w:val="13"/>
                <w:szCs w:val="13"/>
                <w:color w:val="auto"/>
              </w:rPr>
              <w:t>, (Estimated yield 0.00%,</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02/23/2018</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3,500,000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1,536,732</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560,000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April 15, 2029)</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3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Zais CLO 9, Limited</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gridSpan w:val="4"/>
          </w:tcPr>
          <w:p>
            <w:pPr>
              <w:ind w:left="160"/>
              <w:spacing w:after="0" w:line="181"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0.00%,</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06/19/2018</w:t>
            </w:r>
          </w:p>
        </w:tc>
        <w:tc>
          <w:tcPr>
            <w:tcW w:w="9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12,700,000</w:t>
            </w:r>
          </w:p>
        </w:tc>
        <w:tc>
          <w:tcPr>
            <w:tcW w:w="160" w:type="dxa"/>
            <w:vAlign w:val="bottom"/>
          </w:tcPr>
          <w:p>
            <w:pPr>
              <w:spacing w:after="0"/>
              <w:rPr>
                <w:sz w:val="15"/>
                <w:szCs w:val="15"/>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6,841,751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3,556,000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maturity July 20, 2031)</w:t>
            </w:r>
          </w:p>
        </w:tc>
        <w:tc>
          <w:tcPr>
            <w:tcW w:w="820" w:type="dxa"/>
            <w:vAlign w:val="bottom"/>
            <w:vMerge w:val="continue"/>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-4881880</wp:posOffset>
            </wp:positionV>
            <wp:extent cx="4824730" cy="16891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-4487545</wp:posOffset>
            </wp:positionV>
            <wp:extent cx="4824730" cy="16891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-4149725</wp:posOffset>
            </wp:positionV>
            <wp:extent cx="4824730" cy="22542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4824730" cy="225425"/>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-3756025</wp:posOffset>
            </wp:positionV>
            <wp:extent cx="4824730" cy="16891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-3361690</wp:posOffset>
            </wp:positionV>
            <wp:extent cx="4824730" cy="16891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-3024505</wp:posOffset>
            </wp:positionV>
            <wp:extent cx="4824730" cy="22542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4824730" cy="225425"/>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-2630170</wp:posOffset>
            </wp:positionV>
            <wp:extent cx="4824730" cy="16891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-2236470</wp:posOffset>
            </wp:positionV>
            <wp:extent cx="4824730" cy="16891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-1898650</wp:posOffset>
            </wp:positionV>
            <wp:extent cx="4824730" cy="22542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4824730" cy="225425"/>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-1504315</wp:posOffset>
            </wp:positionV>
            <wp:extent cx="4824730" cy="16891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-1110615</wp:posOffset>
            </wp:positionV>
            <wp:extent cx="4824730" cy="16891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-772795</wp:posOffset>
            </wp:positionV>
            <wp:extent cx="4824730" cy="22542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4824730" cy="225425"/>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-378460</wp:posOffset>
            </wp:positionV>
            <wp:extent cx="4824730" cy="16891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14605</wp:posOffset>
            </wp:positionV>
            <wp:extent cx="4824730" cy="16891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-5259705</wp:posOffset>
            </wp:positionV>
            <wp:extent cx="4824730" cy="2089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4824730" cy="2089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80" w:right="879" w:hanging="38"/>
        <w:spacing w:after="0" w:line="232" w:lineRule="auto"/>
        <w:tabs>
          <w:tab w:leader="none" w:pos="193" w:val="left"/>
        </w:tabs>
        <w:numPr>
          <w:ilvl w:val="0"/>
          <w:numId w:val="1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OF NET</w:t>
      </w:r>
    </w:p>
    <w:p>
      <w:pPr>
        <w:spacing w:after="0"/>
        <w:rPr>
          <w:sz w:val="20"/>
          <w:szCs w:val="20"/>
          <w:color w:val="auto"/>
        </w:rPr>
      </w:pPr>
      <w:r>
        <w:rPr>
          <w:rFonts w:ascii="Times New Roman" w:cs="Times New Roman" w:eastAsia="Times New Roman" w:hAnsi="Times New Roman"/>
          <w:sz w:val="11"/>
          <w:szCs w:val="11"/>
          <w:b w:val="1"/>
          <w:bCs w:val="1"/>
          <w:color w:val="auto"/>
        </w:rPr>
        <w:t>ASSETS</w:t>
      </w:r>
    </w:p>
    <w:p>
      <w:pPr>
        <w:spacing w:after="0" w:line="8526" w:lineRule="exact"/>
        <w:rPr>
          <w:sz w:val="20"/>
          <w:szCs w:val="20"/>
          <w:color w:val="auto"/>
        </w:rPr>
      </w:pPr>
    </w:p>
    <w:p>
      <w:pPr>
        <w:sectPr>
          <w:pgSz w:w="11900" w:h="16838" w:orient="portrait"/>
          <w:cols w:equalWidth="0" w:num="2">
            <w:col w:w="7600" w:space="180"/>
            <w:col w:w="1239"/>
          </w:cols>
          <w:pgMar w:left="1440" w:top="262" w:right="1440" w:bottom="745" w:gutter="0" w:footer="0" w:header="0"/>
          <w:type w:val="continuous"/>
        </w:sectPr>
      </w:pPr>
    </w:p>
    <w:p>
      <w:pPr>
        <w:spacing w:after="0" w:line="15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color w:val="auto"/>
        </w:rPr>
        <w:t>Other CLO equity related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33020</wp:posOffset>
            </wp:positionV>
            <wp:extent cx="4824730" cy="16891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4824730" cy="168910"/>
                    </a:xfrm>
                    <a:prstGeom prst="rect">
                      <a:avLst/>
                    </a:prstGeom>
                    <a:noFill/>
                  </pic:spPr>
                </pic:pic>
              </a:graphicData>
            </a:graphic>
          </wp:anchor>
        </w:drawing>
      </w:r>
    </w:p>
    <w:p>
      <w:pPr>
        <w:spacing w:after="0" w:line="9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color w:val="auto"/>
        </w:rPr>
        <w:t>Point AU Roche Park CLO, Ltd.</w:t>
      </w:r>
    </w:p>
    <w:p>
      <w:pPr>
        <w:ind w:left="880"/>
        <w:spacing w:after="0" w:line="232" w:lineRule="auto"/>
        <w:rPr>
          <w:sz w:val="20"/>
          <w:szCs w:val="20"/>
          <w:color w:val="auto"/>
        </w:rPr>
      </w:pPr>
      <w:r>
        <w:rPr>
          <w:rFonts w:ascii="Times New Roman" w:cs="Times New Roman" w:eastAsia="Times New Roman" w:hAnsi="Times New Roman"/>
          <w:sz w:val="13"/>
          <w:szCs w:val="13"/>
          <w:color w:val="auto"/>
        </w:rPr>
        <w:t>CLO M1 fee notes</w:t>
      </w:r>
      <w:r>
        <w:rPr>
          <w:rFonts w:ascii="Times New Roman" w:cs="Times New Roman" w:eastAsia="Times New Roman" w:hAnsi="Times New Roman"/>
          <w:sz w:val="20"/>
          <w:szCs w:val="20"/>
          <w:color w:val="auto"/>
          <w:vertAlign w:val="superscript"/>
        </w:rPr>
        <w:t>(5)(7)</w:t>
      </w:r>
      <w:r>
        <w:rPr>
          <w:rFonts w:ascii="Times New Roman" w:cs="Times New Roman" w:eastAsia="Times New Roman" w:hAnsi="Times New Roman"/>
          <w:sz w:val="13"/>
          <w:szCs w:val="13"/>
          <w:color w:val="auto"/>
        </w:rPr>
        <w:t>, (Estimated yield 0.00%,</w:t>
      </w:r>
    </w:p>
    <w:p>
      <w:pPr>
        <w:spacing w:after="0" w:line="1" w:lineRule="exact"/>
        <w:rPr>
          <w:sz w:val="20"/>
          <w:szCs w:val="20"/>
          <w:color w:val="auto"/>
        </w:rPr>
      </w:pPr>
    </w:p>
    <w:tbl>
      <w:tblPr>
        <w:tblLayout w:type="fixed"/>
        <w:tblInd w:w="700" w:type="dxa"/>
        <w:tblCellMar>
          <w:top w:w="0" w:type="dxa"/>
          <w:left w:w="0" w:type="dxa"/>
          <w:bottom w:w="0" w:type="dxa"/>
          <w:right w:w="0" w:type="dxa"/>
        </w:tblCellMar>
      </w:tblPr>
      <w:tr>
        <w:trPr>
          <w:trHeight w:val="179"/>
        </w:trPr>
        <w:tc>
          <w:tcPr>
            <w:tcW w:w="31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maturity July 20, 2031)</w:t>
            </w:r>
          </w:p>
        </w:tc>
        <w:tc>
          <w:tcPr>
            <w:tcW w:w="1640" w:type="dxa"/>
            <w:vAlign w:val="bottom"/>
          </w:tcPr>
          <w:p>
            <w:pPr>
              <w:jc w:val="right"/>
              <w:ind w:right="673"/>
              <w:spacing w:after="0"/>
              <w:rPr>
                <w:sz w:val="20"/>
                <w:szCs w:val="20"/>
                <w:color w:val="auto"/>
              </w:rPr>
            </w:pPr>
            <w:r>
              <w:rPr>
                <w:rFonts w:ascii="Times New Roman" w:cs="Times New Roman" w:eastAsia="Times New Roman" w:hAnsi="Times New Roman"/>
                <w:sz w:val="13"/>
                <w:szCs w:val="13"/>
                <w:color w:val="auto"/>
              </w:rPr>
              <w:t>5/28/2021</w:t>
            </w:r>
          </w:p>
        </w:tc>
        <w:tc>
          <w:tcPr>
            <w:tcW w:w="1420" w:type="dxa"/>
            <w:vAlign w:val="bottom"/>
          </w:tcPr>
          <w:p>
            <w:pPr>
              <w:jc w:val="right"/>
              <w:ind w:right="193"/>
              <w:spacing w:after="0"/>
              <w:rPr>
                <w:sz w:val="20"/>
                <w:szCs w:val="20"/>
                <w:color w:val="auto"/>
              </w:rPr>
            </w:pPr>
            <w:r>
              <w:rPr>
                <w:rFonts w:ascii="Times New Roman" w:cs="Times New Roman" w:eastAsia="Times New Roman" w:hAnsi="Times New Roman"/>
                <w:sz w:val="13"/>
                <w:szCs w:val="13"/>
                <w:color w:val="auto"/>
              </w:rPr>
              <w:t>162,958</w:t>
            </w:r>
          </w:p>
        </w:tc>
        <w:tc>
          <w:tcPr>
            <w:tcW w:w="1400" w:type="dxa"/>
            <w:vAlign w:val="bottom"/>
          </w:tcPr>
          <w:p>
            <w:pPr>
              <w:jc w:val="right"/>
              <w:ind w:right="633"/>
              <w:spacing w:after="0"/>
              <w:rPr>
                <w:sz w:val="20"/>
                <w:szCs w:val="20"/>
                <w:color w:val="auto"/>
              </w:rPr>
            </w:pPr>
            <w:r>
              <w:rPr>
                <w:rFonts w:ascii="Times New Roman" w:cs="Times New Roman" w:eastAsia="Times New Roman" w:hAnsi="Times New Roman"/>
                <w:sz w:val="13"/>
                <w:szCs w:val="13"/>
                <w:color w:val="auto"/>
              </w:rPr>
              <w:t>143,886</w:t>
            </w:r>
          </w:p>
        </w:tc>
        <w:tc>
          <w:tcPr>
            <w:tcW w:w="0" w:type="dxa"/>
            <w:vAlign w:val="bottom"/>
          </w:tcPr>
          <w:p>
            <w:pPr>
              <w:spacing w:after="0"/>
              <w:rPr>
                <w:sz w:val="1"/>
                <w:szCs w:val="1"/>
                <w:color w:val="auto"/>
              </w:rPr>
            </w:pPr>
          </w:p>
        </w:tc>
      </w:tr>
      <w:tr>
        <w:trPr>
          <w:trHeight w:val="162"/>
        </w:trPr>
        <w:tc>
          <w:tcPr>
            <w:tcW w:w="314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2"/>
                <w:szCs w:val="12"/>
                <w:color w:val="auto"/>
              </w:rPr>
              <w:t>CLO M2 fee notes</w:t>
            </w:r>
            <w:r>
              <w:rPr>
                <w:rFonts w:ascii="Times New Roman" w:cs="Times New Roman" w:eastAsia="Times New Roman" w:hAnsi="Times New Roman"/>
                <w:sz w:val="18"/>
                <w:szCs w:val="18"/>
                <w:color w:val="auto"/>
                <w:vertAlign w:val="superscript"/>
              </w:rPr>
              <w:t>(5)(7)</w:t>
            </w:r>
            <w:r>
              <w:rPr>
                <w:rFonts w:ascii="Times New Roman" w:cs="Times New Roman" w:eastAsia="Times New Roman" w:hAnsi="Times New Roman"/>
                <w:sz w:val="12"/>
                <w:szCs w:val="12"/>
                <w:color w:val="auto"/>
              </w:rPr>
              <w:t>, (Estimated yield 0.00%,</w:t>
            </w:r>
          </w:p>
        </w:tc>
        <w:tc>
          <w:tcPr>
            <w:tcW w:w="1640" w:type="dxa"/>
            <w:vAlign w:val="bottom"/>
            <w:vMerge w:val="restart"/>
            <w:shd w:val="clear" w:color="auto" w:fill="CCEEFF"/>
          </w:tcPr>
          <w:p>
            <w:pPr>
              <w:jc w:val="right"/>
              <w:ind w:right="673"/>
              <w:spacing w:after="0"/>
              <w:rPr>
                <w:sz w:val="20"/>
                <w:szCs w:val="20"/>
                <w:color w:val="auto"/>
              </w:rPr>
            </w:pPr>
            <w:r>
              <w:rPr>
                <w:rFonts w:ascii="Times New Roman" w:cs="Times New Roman" w:eastAsia="Times New Roman" w:hAnsi="Times New Roman"/>
                <w:sz w:val="13"/>
                <w:szCs w:val="13"/>
                <w:color w:val="auto"/>
              </w:rPr>
              <w:t>5/28/2021</w:t>
            </w:r>
          </w:p>
        </w:tc>
        <w:tc>
          <w:tcPr>
            <w:tcW w:w="1420" w:type="dxa"/>
            <w:vAlign w:val="bottom"/>
            <w:vMerge w:val="restart"/>
            <w:shd w:val="clear" w:color="auto" w:fill="CCEEFF"/>
          </w:tcPr>
          <w:p>
            <w:pPr>
              <w:jc w:val="right"/>
              <w:ind w:right="193"/>
              <w:spacing w:after="0"/>
              <w:rPr>
                <w:sz w:val="20"/>
                <w:szCs w:val="20"/>
                <w:color w:val="auto"/>
              </w:rPr>
            </w:pPr>
            <w:r>
              <w:rPr>
                <w:rFonts w:ascii="Times New Roman" w:cs="Times New Roman" w:eastAsia="Times New Roman" w:hAnsi="Times New Roman"/>
                <w:sz w:val="13"/>
                <w:szCs w:val="13"/>
                <w:color w:val="auto"/>
              </w:rPr>
              <w:t>293,744</w:t>
            </w:r>
          </w:p>
        </w:tc>
        <w:tc>
          <w:tcPr>
            <w:tcW w:w="1400" w:type="dxa"/>
            <w:vAlign w:val="bottom"/>
            <w:vMerge w:val="restart"/>
            <w:shd w:val="clear" w:color="auto" w:fill="CCEEFF"/>
          </w:tcPr>
          <w:p>
            <w:pPr>
              <w:jc w:val="right"/>
              <w:ind w:right="633"/>
              <w:spacing w:after="0"/>
              <w:rPr>
                <w:sz w:val="20"/>
                <w:szCs w:val="20"/>
                <w:color w:val="auto"/>
              </w:rPr>
            </w:pPr>
            <w:r>
              <w:rPr>
                <w:rFonts w:ascii="Times New Roman" w:cs="Times New Roman" w:eastAsia="Times New Roman" w:hAnsi="Times New Roman"/>
                <w:sz w:val="13"/>
                <w:szCs w:val="13"/>
                <w:color w:val="auto"/>
              </w:rPr>
              <w:t>259,346</w:t>
            </w:r>
          </w:p>
        </w:tc>
        <w:tc>
          <w:tcPr>
            <w:tcW w:w="0" w:type="dxa"/>
            <w:vAlign w:val="bottom"/>
          </w:tcPr>
          <w:p>
            <w:pPr>
              <w:spacing w:after="0"/>
              <w:rPr>
                <w:sz w:val="1"/>
                <w:szCs w:val="1"/>
                <w:color w:val="auto"/>
              </w:rPr>
            </w:pPr>
          </w:p>
        </w:tc>
      </w:tr>
      <w:tr>
        <w:trPr>
          <w:trHeight w:val="178"/>
        </w:trPr>
        <w:tc>
          <w:tcPr>
            <w:tcW w:w="31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maturity July 20, 2034)</w:t>
            </w:r>
          </w:p>
        </w:tc>
        <w:tc>
          <w:tcPr>
            <w:tcW w:w="1640" w:type="dxa"/>
            <w:vAlign w:val="bottom"/>
            <w:tcBorders>
              <w:bottom w:val="single" w:sz="8" w:color="CCEEFF"/>
            </w:tcBorders>
            <w:vMerge w:val="continue"/>
            <w:shd w:val="clear" w:color="auto" w:fill="CCEEFF"/>
          </w:tcPr>
          <w:p>
            <w:pPr>
              <w:spacing w:after="0"/>
              <w:rPr>
                <w:sz w:val="15"/>
                <w:szCs w:val="15"/>
                <w:color w:val="auto"/>
              </w:rPr>
            </w:pPr>
          </w:p>
        </w:tc>
        <w:tc>
          <w:tcPr>
            <w:tcW w:w="1420" w:type="dxa"/>
            <w:vAlign w:val="bottom"/>
            <w:tcBorders>
              <w:bottom w:val="single" w:sz="8" w:color="CCEEFF"/>
            </w:tcBorders>
            <w:vMerge w:val="continue"/>
            <w:shd w:val="clear" w:color="auto" w:fill="CCEEFF"/>
          </w:tcPr>
          <w:p>
            <w:pPr>
              <w:spacing w:after="0"/>
              <w:rPr>
                <w:sz w:val="15"/>
                <w:szCs w:val="15"/>
                <w:color w:val="auto"/>
              </w:rPr>
            </w:pPr>
          </w:p>
        </w:tc>
        <w:tc>
          <w:tcPr>
            <w:tcW w:w="140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314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6"/>
        </w:trPr>
        <w:tc>
          <w:tcPr>
            <w:tcW w:w="3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Rockford Tower CLO 2021-3, Ltd.</w:t>
            </w:r>
          </w:p>
        </w:tc>
        <w:tc>
          <w:tcPr>
            <w:tcW w:w="16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7"/>
        </w:trPr>
        <w:tc>
          <w:tcPr>
            <w:tcW w:w="3140" w:type="dxa"/>
            <w:vAlign w:val="bottom"/>
          </w:tcPr>
          <w:p>
            <w:pPr>
              <w:ind w:left="180"/>
              <w:spacing w:after="0" w:line="157" w:lineRule="exact"/>
              <w:rPr>
                <w:sz w:val="20"/>
                <w:szCs w:val="20"/>
                <w:color w:val="auto"/>
              </w:rPr>
            </w:pPr>
            <w:r>
              <w:rPr>
                <w:rFonts w:ascii="Times New Roman" w:cs="Times New Roman" w:eastAsia="Times New Roman" w:hAnsi="Times New Roman"/>
                <w:sz w:val="12"/>
                <w:szCs w:val="12"/>
                <w:color w:val="auto"/>
              </w:rPr>
              <w:t>CLO fee notes</w:t>
            </w:r>
            <w:r>
              <w:rPr>
                <w:rFonts w:ascii="Times New Roman" w:cs="Times New Roman" w:eastAsia="Times New Roman" w:hAnsi="Times New Roman"/>
                <w:sz w:val="18"/>
                <w:szCs w:val="18"/>
                <w:color w:val="auto"/>
                <w:vertAlign w:val="superscript"/>
              </w:rPr>
              <w:t>(5)(7)</w:t>
            </w:r>
            <w:r>
              <w:rPr>
                <w:rFonts w:ascii="Times New Roman" w:cs="Times New Roman" w:eastAsia="Times New Roman" w:hAnsi="Times New Roman"/>
                <w:sz w:val="12"/>
                <w:szCs w:val="12"/>
                <w:color w:val="auto"/>
              </w:rPr>
              <w:t>, (Estimated yield 0.00%,</w:t>
            </w:r>
          </w:p>
        </w:tc>
        <w:tc>
          <w:tcPr>
            <w:tcW w:w="1640" w:type="dxa"/>
            <w:vAlign w:val="bottom"/>
            <w:vMerge w:val="restart"/>
          </w:tcPr>
          <w:p>
            <w:pPr>
              <w:jc w:val="right"/>
              <w:ind w:right="673"/>
              <w:spacing w:after="0"/>
              <w:rPr>
                <w:sz w:val="20"/>
                <w:szCs w:val="20"/>
                <w:color w:val="auto"/>
              </w:rPr>
            </w:pPr>
            <w:r>
              <w:rPr>
                <w:rFonts w:ascii="Times New Roman" w:cs="Times New Roman" w:eastAsia="Times New Roman" w:hAnsi="Times New Roman"/>
                <w:sz w:val="13"/>
                <w:szCs w:val="13"/>
                <w:color w:val="auto"/>
              </w:rPr>
              <w:t>9/22/2021</w:t>
            </w:r>
          </w:p>
        </w:tc>
        <w:tc>
          <w:tcPr>
            <w:tcW w:w="1420" w:type="dxa"/>
            <w:vAlign w:val="bottom"/>
            <w:vMerge w:val="restart"/>
          </w:tcPr>
          <w:p>
            <w:pPr>
              <w:jc w:val="right"/>
              <w:ind w:right="193"/>
              <w:spacing w:after="0"/>
              <w:rPr>
                <w:sz w:val="20"/>
                <w:szCs w:val="20"/>
                <w:color w:val="auto"/>
              </w:rPr>
            </w:pPr>
            <w:r>
              <w:rPr>
                <w:rFonts w:ascii="Times New Roman" w:cs="Times New Roman" w:eastAsia="Times New Roman" w:hAnsi="Times New Roman"/>
                <w:sz w:val="13"/>
                <w:szCs w:val="13"/>
                <w:color w:val="auto"/>
              </w:rPr>
              <w:t>474,674</w:t>
            </w:r>
          </w:p>
        </w:tc>
        <w:tc>
          <w:tcPr>
            <w:tcW w:w="1400" w:type="dxa"/>
            <w:vAlign w:val="bottom"/>
            <w:vMerge w:val="restart"/>
          </w:tcPr>
          <w:p>
            <w:pPr>
              <w:jc w:val="right"/>
              <w:ind w:right="633"/>
              <w:spacing w:after="0"/>
              <w:rPr>
                <w:sz w:val="20"/>
                <w:szCs w:val="20"/>
                <w:color w:val="auto"/>
              </w:rPr>
            </w:pPr>
            <w:r>
              <w:rPr>
                <w:rFonts w:ascii="Times New Roman" w:cs="Times New Roman" w:eastAsia="Times New Roman" w:hAnsi="Times New Roman"/>
                <w:sz w:val="13"/>
                <w:szCs w:val="13"/>
                <w:color w:val="auto"/>
              </w:rPr>
              <w:t>420,166</w:t>
            </w:r>
          </w:p>
        </w:tc>
        <w:tc>
          <w:tcPr>
            <w:tcW w:w="0" w:type="dxa"/>
            <w:vAlign w:val="bottom"/>
          </w:tcPr>
          <w:p>
            <w:pPr>
              <w:spacing w:after="0"/>
              <w:rPr>
                <w:sz w:val="1"/>
                <w:szCs w:val="1"/>
                <w:color w:val="auto"/>
              </w:rPr>
            </w:pPr>
          </w:p>
        </w:tc>
      </w:tr>
      <w:tr>
        <w:trPr>
          <w:trHeight w:val="174"/>
        </w:trPr>
        <w:tc>
          <w:tcPr>
            <w:tcW w:w="31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maturity October 20, 2034)</w:t>
            </w:r>
          </w:p>
        </w:tc>
        <w:tc>
          <w:tcPr>
            <w:tcW w:w="1640" w:type="dxa"/>
            <w:vAlign w:val="bottom"/>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i w:val="1"/>
          <w:iCs w:val="1"/>
          <w:color w:val="auto"/>
        </w:rPr>
        <w:t>(Continued on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See Accompanying Notes.</w:t>
      </w:r>
    </w:p>
    <w:p>
      <w:pPr>
        <w:sectPr>
          <w:pgSz w:w="11900" w:h="16838" w:orient="portrait"/>
          <w:cols w:equalWidth="0" w:num="1">
            <w:col w:w="9019"/>
          </w:cols>
          <w:pgMar w:left="1440" w:top="262" w:right="1440" w:bottom="745" w:gutter="0" w:footer="0" w:header="0"/>
          <w:type w:val="continuous"/>
        </w:sectPr>
      </w:pP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22225</wp:posOffset>
            </wp:positionV>
            <wp:extent cx="482473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4824730" cy="8255"/>
                    </a:xfrm>
                    <a:prstGeom prst="rect">
                      <a:avLst/>
                    </a:prstGeom>
                    <a:noFill/>
                  </pic:spPr>
                </pic:pic>
              </a:graphicData>
            </a:graphic>
          </wp:anchor>
        </w:drawing>
      </w:r>
    </w:p>
    <w:p>
      <w:pPr>
        <w:sectPr>
          <w:pgSz w:w="11900" w:h="16838" w:orient="portrait"/>
          <w:cols w:equalWidth="0" w:num="1">
            <w:col w:w="9019"/>
          </w:cols>
          <w:pgMar w:left="1440" w:top="262" w:right="1440" w:bottom="745" w:gutter="0" w:footer="0" w:header="0"/>
          <w:type w:val="continuous"/>
        </w:sectPr>
      </w:pPr>
    </w:p>
    <w:bookmarkStart w:id="29" w:name="page30"/>
    <w:bookmarkEnd w:id="29"/>
    <w:p>
      <w:pPr>
        <w:ind w:left="7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10"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134"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7"/>
          <w:szCs w:val="17"/>
          <w:b w:val="1"/>
          <w:bCs w:val="1"/>
          <w:color w:val="auto"/>
        </w:rPr>
        <w:t>SCHEDULE OF INVESTMENTS – (continued)</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SEPTEMBER 30, 2022</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56" w:lineRule="exact"/>
        <w:rPr>
          <w:sz w:val="20"/>
          <w:szCs w:val="20"/>
          <w:color w:val="auto"/>
        </w:rPr>
      </w:pPr>
    </w:p>
    <w:tbl>
      <w:tblPr>
        <w:tblLayout w:type="fixed"/>
        <w:tblInd w:w="700" w:type="dxa"/>
        <w:tblCellMar>
          <w:top w:w="0" w:type="dxa"/>
          <w:left w:w="0" w:type="dxa"/>
          <w:bottom w:w="0" w:type="dxa"/>
          <w:right w:w="0" w:type="dxa"/>
        </w:tblCellMar>
      </w:tblPr>
      <w:tr>
        <w:trPr>
          <w:trHeight w:val="138"/>
        </w:trPr>
        <w:tc>
          <w:tcPr>
            <w:tcW w:w="10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ACQUISITION</w:t>
            </w: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PRINCIPAL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5"/>
              </w:rPr>
              <w:t>FAIR</w:t>
            </w:r>
          </w:p>
        </w:tc>
        <w:tc>
          <w:tcPr>
            <w:tcW w:w="620" w:type="dxa"/>
            <w:vAlign w:val="bottom"/>
            <w:gridSpan w:val="2"/>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 OF</w:t>
            </w:r>
          </w:p>
        </w:tc>
        <w:tc>
          <w:tcPr>
            <w:tcW w:w="0" w:type="dxa"/>
            <w:vAlign w:val="bottom"/>
          </w:tcPr>
          <w:p>
            <w:pPr>
              <w:spacing w:after="0"/>
              <w:rPr>
                <w:sz w:val="1"/>
                <w:szCs w:val="1"/>
                <w:color w:val="auto"/>
              </w:rPr>
            </w:pPr>
          </w:p>
        </w:tc>
      </w:tr>
      <w:tr>
        <w:trPr>
          <w:trHeight w:val="119"/>
        </w:trPr>
        <w:tc>
          <w:tcPr>
            <w:tcW w:w="3320" w:type="dxa"/>
            <w:vAlign w:val="bottom"/>
            <w:gridSpan w:val="5"/>
            <w:vMerge w:val="restart"/>
          </w:tcPr>
          <w:p>
            <w:pPr>
              <w:spacing w:after="0"/>
              <w:rPr>
                <w:sz w:val="20"/>
                <w:szCs w:val="20"/>
                <w:color w:val="auto"/>
              </w:rPr>
            </w:pPr>
            <w:r>
              <w:rPr>
                <w:rFonts w:ascii="Times New Roman" w:cs="Times New Roman" w:eastAsia="Times New Roman" w:hAnsi="Times New Roman"/>
                <w:sz w:val="12"/>
                <w:szCs w:val="12"/>
                <w:b w:val="1"/>
                <w:bCs w:val="1"/>
                <w:color w:val="auto"/>
              </w:rPr>
              <w:t>COMPANY/INVESTMENT</w:t>
            </w:r>
            <w:r>
              <w:rPr>
                <w:rFonts w:ascii="Times New Roman" w:cs="Times New Roman" w:eastAsia="Times New Roman" w:hAnsi="Times New Roman"/>
                <w:sz w:val="13"/>
                <w:szCs w:val="13"/>
                <w:b w:val="1"/>
                <w:bCs w:val="1"/>
                <w:color w:val="auto"/>
                <w:vertAlign w:val="superscript"/>
              </w:rPr>
              <w:t>(1)(13)(14)</w:t>
            </w:r>
          </w:p>
        </w:tc>
        <w:tc>
          <w:tcPr>
            <w:tcW w:w="900" w:type="dxa"/>
            <w:vAlign w:val="bottom"/>
            <w:gridSpan w:val="2"/>
            <w:vMerge w:val="continue"/>
          </w:tcPr>
          <w:p>
            <w:pPr>
              <w:spacing w:after="0"/>
              <w:rPr>
                <w:sz w:val="10"/>
                <w:szCs w:val="10"/>
                <w:color w:val="auto"/>
              </w:rPr>
            </w:pPr>
          </w:p>
        </w:tc>
        <w:tc>
          <w:tcPr>
            <w:tcW w:w="70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b w:val="1"/>
                <w:bCs w:val="1"/>
                <w:color w:val="auto"/>
                <w:w w:val="99"/>
              </w:rPr>
              <w:t>AMOUNT/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620" w:type="dxa"/>
            <w:vAlign w:val="bottom"/>
            <w:gridSpan w:val="2"/>
          </w:tcPr>
          <w:p>
            <w:pPr>
              <w:jc w:val="center"/>
              <w:ind w:right="20"/>
              <w:spacing w:after="0" w:line="120" w:lineRule="exact"/>
              <w:rPr>
                <w:sz w:val="20"/>
                <w:szCs w:val="20"/>
                <w:color w:val="auto"/>
              </w:rPr>
            </w:pPr>
            <w:r>
              <w:rPr>
                <w:rFonts w:ascii="Times New Roman" w:cs="Times New Roman" w:eastAsia="Times New Roman" w:hAnsi="Times New Roman"/>
                <w:sz w:val="12"/>
                <w:szCs w:val="12"/>
                <w:b w:val="1"/>
                <w:bCs w:val="1"/>
                <w:color w:val="auto"/>
                <w:w w:val="97"/>
              </w:rPr>
              <w:t>NET</w:t>
            </w:r>
          </w:p>
        </w:tc>
        <w:tc>
          <w:tcPr>
            <w:tcW w:w="0" w:type="dxa"/>
            <w:vAlign w:val="bottom"/>
          </w:tcPr>
          <w:p>
            <w:pPr>
              <w:spacing w:after="0"/>
              <w:rPr>
                <w:sz w:val="1"/>
                <w:szCs w:val="1"/>
                <w:color w:val="auto"/>
              </w:rPr>
            </w:pPr>
          </w:p>
        </w:tc>
      </w:tr>
      <w:tr>
        <w:trPr>
          <w:trHeight w:val="190"/>
        </w:trPr>
        <w:tc>
          <w:tcPr>
            <w:tcW w:w="3320" w:type="dxa"/>
            <w:vAlign w:val="bottom"/>
            <w:gridSpan w:val="5"/>
            <w:vMerge w:val="continue"/>
          </w:tcPr>
          <w:p>
            <w:pPr>
              <w:spacing w:after="0"/>
              <w:rPr>
                <w:sz w:val="16"/>
                <w:szCs w:val="16"/>
                <w:color w:val="auto"/>
              </w:rPr>
            </w:pPr>
          </w:p>
        </w:tc>
        <w:tc>
          <w:tcPr>
            <w:tcW w:w="900" w:type="dxa"/>
            <w:vAlign w:val="bottom"/>
            <w:gridSpan w:val="2"/>
          </w:tcPr>
          <w:p>
            <w:pPr>
              <w:jc w:val="center"/>
              <w:ind w:right="80"/>
              <w:spacing w:after="0" w:line="190" w:lineRule="exact"/>
              <w:rPr>
                <w:sz w:val="20"/>
                <w:szCs w:val="20"/>
                <w:color w:val="auto"/>
              </w:rPr>
            </w:pPr>
            <w:r>
              <w:rPr>
                <w:rFonts w:ascii="Times New Roman" w:cs="Times New Roman" w:eastAsia="Times New Roman" w:hAnsi="Times New Roman"/>
                <w:sz w:val="22"/>
                <w:szCs w:val="22"/>
                <w:b w:val="1"/>
                <w:bCs w:val="1"/>
                <w:color w:val="auto"/>
                <w:w w:val="80"/>
                <w:vertAlign w:val="subscript"/>
              </w:rPr>
              <w:t>DATE</w:t>
            </w:r>
            <w:r>
              <w:rPr>
                <w:rFonts w:ascii="Times New Roman" w:cs="Times New Roman" w:eastAsia="Times New Roman" w:hAnsi="Times New Roman"/>
                <w:sz w:val="7"/>
                <w:szCs w:val="7"/>
                <w:b w:val="1"/>
                <w:bCs w:val="1"/>
                <w:color w:val="auto"/>
                <w:w w:val="80"/>
              </w:rPr>
              <w:t>(15)</w:t>
            </w: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SHARES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COST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2"/>
              </w:rPr>
              <w:t>VALUE</w:t>
            </w:r>
            <w:r>
              <w:rPr>
                <w:rFonts w:ascii="Times New Roman" w:cs="Times New Roman" w:eastAsia="Times New Roman" w:hAnsi="Times New Roman"/>
                <w:sz w:val="13"/>
                <w:szCs w:val="13"/>
                <w:b w:val="1"/>
                <w:bCs w:val="1"/>
                <w:color w:val="auto"/>
                <w:w w:val="92"/>
                <w:vertAlign w:val="superscript"/>
              </w:rPr>
              <w:t>(2)</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ASSETS</w:t>
            </w:r>
          </w:p>
        </w:tc>
        <w:tc>
          <w:tcPr>
            <w:tcW w:w="0" w:type="dxa"/>
            <w:vAlign w:val="bottom"/>
          </w:tcPr>
          <w:p>
            <w:pPr>
              <w:spacing w:after="0"/>
              <w:rPr>
                <w:sz w:val="1"/>
                <w:szCs w:val="1"/>
                <w:color w:val="auto"/>
              </w:rPr>
            </w:pPr>
          </w:p>
        </w:tc>
      </w:tr>
      <w:tr>
        <w:trPr>
          <w:trHeight w:val="119"/>
        </w:trPr>
        <w:tc>
          <w:tcPr>
            <w:tcW w:w="3240" w:type="dxa"/>
            <w:vAlign w:val="bottom"/>
            <w:tcBorders>
              <w:top w:val="single" w:sz="8" w:color="auto"/>
            </w:tcBorders>
            <w:gridSpan w:val="4"/>
            <w:shd w:val="clear" w:color="auto" w:fill="CCEEFF"/>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Collateralized Loan Obligation – Equity Investments</w:t>
            </w:r>
          </w:p>
        </w:tc>
        <w:tc>
          <w:tcPr>
            <w:tcW w:w="8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3060" w:type="dxa"/>
            <w:vAlign w:val="bottom"/>
            <w:tcBorders>
              <w:top w:val="single" w:sz="8" w:color="auto"/>
            </w:tcBorders>
            <w:gridSpan w:val="3"/>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(continued)</w:t>
            </w:r>
          </w:p>
        </w:tc>
        <w:tc>
          <w:tcPr>
            <w:tcW w:w="260" w:type="dxa"/>
            <w:vAlign w:val="bottom"/>
            <w:tcBorders>
              <w:top w:val="single" w:sz="8" w:color="CCEEFF"/>
            </w:tcBorders>
            <w:gridSpan w:val="2"/>
            <w:shd w:val="clear" w:color="auto" w:fill="CCEEFF"/>
          </w:tcPr>
          <w:p>
            <w:pPr>
              <w:spacing w:after="0"/>
              <w:rPr>
                <w:sz w:val="14"/>
                <w:szCs w:val="14"/>
                <w:color w:val="auto"/>
              </w:rPr>
            </w:pPr>
          </w:p>
        </w:tc>
        <w:tc>
          <w:tcPr>
            <w:tcW w:w="8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32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Structured Finance – Equity Investments (continued)</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1020" w:type="dxa"/>
            <w:vAlign w:val="bottom"/>
            <w:tcBorders>
              <w:top w:val="single" w:sz="8" w:color="auto"/>
            </w:tcBorders>
          </w:tcPr>
          <w:p>
            <w:pPr>
              <w:spacing w:after="0"/>
              <w:rPr>
                <w:sz w:val="2"/>
                <w:szCs w:val="2"/>
                <w:color w:val="auto"/>
              </w:rPr>
            </w:pPr>
          </w:p>
        </w:tc>
        <w:tc>
          <w:tcPr>
            <w:tcW w:w="1360" w:type="dxa"/>
            <w:vAlign w:val="bottom"/>
            <w:tcBorders>
              <w:top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6"/>
        </w:trPr>
        <w:tc>
          <w:tcPr>
            <w:tcW w:w="332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CLO other</w:t>
            </w:r>
            <w:r>
              <w:rPr>
                <w:rFonts w:ascii="Times New Roman" w:cs="Times New Roman" w:eastAsia="Times New Roman" w:hAnsi="Times New Roman"/>
                <w:sz w:val="20"/>
                <w:szCs w:val="20"/>
                <w:color w:val="auto"/>
                <w:vertAlign w:val="superscript"/>
              </w:rPr>
              <w:t>(8)</w:t>
            </w:r>
          </w:p>
        </w:tc>
        <w:tc>
          <w:tcPr>
            <w:tcW w:w="9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1"/>
              </w:rPr>
              <w:t>Various</w:t>
            </w:r>
            <w:r>
              <w:rPr>
                <w:rFonts w:ascii="Times New Roman" w:cs="Times New Roman" w:eastAsia="Times New Roman" w:hAnsi="Times New Roman"/>
                <w:sz w:val="20"/>
                <w:szCs w:val="20"/>
                <w:color w:val="auto"/>
                <w:w w:val="91"/>
                <w:vertAlign w:val="superscript"/>
              </w:rPr>
              <w:t>(16)</w:t>
            </w:r>
          </w:p>
        </w:tc>
        <w:tc>
          <w:tcPr>
            <w:tcW w:w="7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7,955,207</w:t>
            </w: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7,151,244</w:t>
            </w:r>
          </w:p>
        </w:tc>
        <w:tc>
          <w:tcPr>
            <w:tcW w:w="4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320" w:type="dxa"/>
            <w:vAlign w:val="bottom"/>
            <w:gridSpan w:val="5"/>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Total Structured Finance – Equity Investments</w:t>
            </w: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3320" w:type="dxa"/>
            <w:vAlign w:val="bottom"/>
            <w:gridSpan w:val="5"/>
            <w:vMerge w:val="continue"/>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1,592,820,266</w:t>
            </w: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1,201,629,015</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153.42%</w:t>
            </w:r>
          </w:p>
        </w:tc>
        <w:tc>
          <w:tcPr>
            <w:tcW w:w="0" w:type="dxa"/>
            <w:vAlign w:val="bottom"/>
          </w:tcPr>
          <w:p>
            <w:pPr>
              <w:spacing w:after="0"/>
              <w:rPr>
                <w:sz w:val="1"/>
                <w:szCs w:val="1"/>
                <w:color w:val="auto"/>
              </w:rPr>
            </w:pPr>
          </w:p>
        </w:tc>
      </w:tr>
      <w:tr>
        <w:trPr>
          <w:trHeight w:val="100"/>
        </w:trPr>
        <w:tc>
          <w:tcPr>
            <w:tcW w:w="3320" w:type="dxa"/>
            <w:vAlign w:val="bottom"/>
            <w:tcBorders>
              <w:top w:val="single" w:sz="8" w:color="CCEEFF"/>
            </w:tcBorders>
            <w:gridSpan w:val="5"/>
            <w:shd w:val="clear" w:color="auto" w:fill="CCEEFF"/>
          </w:tcPr>
          <w:p>
            <w:pPr>
              <w:ind w:left="180"/>
              <w:spacing w:after="0" w:line="101" w:lineRule="exact"/>
              <w:rPr>
                <w:sz w:val="20"/>
                <w:szCs w:val="20"/>
                <w:color w:val="auto"/>
              </w:rPr>
            </w:pPr>
            <w:r>
              <w:rPr>
                <w:rFonts w:ascii="Times New Roman" w:cs="Times New Roman" w:eastAsia="Times New Roman" w:hAnsi="Times New Roman"/>
                <w:sz w:val="11"/>
                <w:szCs w:val="11"/>
                <w:b w:val="1"/>
                <w:bCs w:val="1"/>
                <w:color w:val="auto"/>
              </w:rPr>
              <w:t>Total Collateralized Loan Obligation – Equity</w:t>
            </w:r>
          </w:p>
        </w:tc>
        <w:tc>
          <w:tcPr>
            <w:tcW w:w="8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332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1,592,820,266</w:t>
            </w: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1,201,629,015</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153.42%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3320" w:type="dxa"/>
            <w:vAlign w:val="bottom"/>
            <w:gridSpan w:val="5"/>
          </w:tcPr>
          <w:p>
            <w:pPr>
              <w:ind w:left="180"/>
              <w:spacing w:after="0"/>
              <w:rPr>
                <w:sz w:val="20"/>
                <w:szCs w:val="20"/>
                <w:color w:val="auto"/>
              </w:rPr>
            </w:pPr>
            <w:r>
              <w:rPr>
                <w:rFonts w:ascii="Times New Roman" w:cs="Times New Roman" w:eastAsia="Times New Roman" w:hAnsi="Times New Roman"/>
                <w:sz w:val="13"/>
                <w:szCs w:val="13"/>
                <w:b w:val="1"/>
                <w:bCs w:val="1"/>
                <w:color w:val="auto"/>
              </w:rPr>
              <w:t>Total Investments</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1,637,451,828</w:t>
            </w: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1,238,494,473</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158.13%</w:t>
            </w:r>
          </w:p>
        </w:tc>
        <w:tc>
          <w:tcPr>
            <w:tcW w:w="0" w:type="dxa"/>
            <w:vAlign w:val="bottom"/>
          </w:tcPr>
          <w:p>
            <w:pPr>
              <w:spacing w:after="0"/>
              <w:rPr>
                <w:sz w:val="1"/>
                <w:szCs w:val="1"/>
                <w:color w:val="auto"/>
              </w:rPr>
            </w:pPr>
          </w:p>
        </w:tc>
      </w:tr>
      <w:tr>
        <w:trPr>
          <w:trHeight w:val="244"/>
        </w:trPr>
        <w:tc>
          <w:tcPr>
            <w:tcW w:w="1020" w:type="dxa"/>
            <w:vAlign w:val="bottom"/>
            <w:tcBorders>
              <w:top w:val="single" w:sz="8" w:color="CCEEFF"/>
            </w:tcBorders>
            <w:shd w:val="clear" w:color="auto" w:fill="CCEEFF"/>
          </w:tcPr>
          <w:p>
            <w:pPr>
              <w:spacing w:after="0"/>
              <w:rPr>
                <w:sz w:val="21"/>
                <w:szCs w:val="21"/>
                <w:color w:val="auto"/>
              </w:rPr>
            </w:pPr>
          </w:p>
        </w:tc>
        <w:tc>
          <w:tcPr>
            <w:tcW w:w="1360" w:type="dxa"/>
            <w:vAlign w:val="bottom"/>
            <w:tcBorders>
              <w:top w:val="single" w:sz="8" w:color="CCEEFF"/>
            </w:tcBorders>
            <w:shd w:val="clear" w:color="auto" w:fill="CCEEFF"/>
          </w:tcPr>
          <w:p>
            <w:pPr>
              <w:spacing w:after="0"/>
              <w:rPr>
                <w:sz w:val="21"/>
                <w:szCs w:val="21"/>
                <w:color w:val="auto"/>
              </w:rPr>
            </w:pPr>
          </w:p>
        </w:tc>
        <w:tc>
          <w:tcPr>
            <w:tcW w:w="68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8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70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332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Cash Equivalents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1020" w:type="dxa"/>
            <w:vAlign w:val="bottom"/>
            <w:tcBorders>
              <w:top w:val="single" w:sz="8" w:color="auto"/>
            </w:tcBorders>
          </w:tcPr>
          <w:p>
            <w:pPr>
              <w:spacing w:after="0"/>
              <w:rPr>
                <w:sz w:val="2"/>
                <w:szCs w:val="2"/>
                <w:color w:val="auto"/>
              </w:rPr>
            </w:pPr>
          </w:p>
        </w:tc>
        <w:tc>
          <w:tcPr>
            <w:tcW w:w="1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3320" w:type="dxa"/>
            <w:vAlign w:val="bottom"/>
            <w:gridSpan w:val="5"/>
            <w:shd w:val="clear" w:color="auto" w:fill="CCEEFF"/>
          </w:tcPr>
          <w:p>
            <w:pPr>
              <w:ind w:left="180"/>
              <w:spacing w:after="0" w:line="128" w:lineRule="exact"/>
              <w:rPr>
                <w:sz w:val="20"/>
                <w:szCs w:val="20"/>
                <w:color w:val="auto"/>
              </w:rPr>
            </w:pPr>
            <w:r>
              <w:rPr>
                <w:rFonts w:ascii="Times New Roman" w:cs="Times New Roman" w:eastAsia="Times New Roman" w:hAnsi="Times New Roman"/>
                <w:sz w:val="13"/>
                <w:szCs w:val="13"/>
                <w:color w:val="auto"/>
              </w:rPr>
              <w:t>First American Government Obligations Fund, Class Z</w:t>
            </w: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7"/>
        </w:trPr>
        <w:tc>
          <w:tcPr>
            <w:tcW w:w="3320" w:type="dxa"/>
            <w:vAlign w:val="bottom"/>
            <w:gridSpan w:val="5"/>
            <w:shd w:val="clear" w:color="auto" w:fill="CCEEFF"/>
          </w:tcPr>
          <w:p>
            <w:pPr>
              <w:ind w:left="340"/>
              <w:spacing w:after="0" w:line="227" w:lineRule="exact"/>
              <w:rPr>
                <w:sz w:val="20"/>
                <w:szCs w:val="20"/>
                <w:color w:val="auto"/>
              </w:rPr>
            </w:pPr>
            <w:r>
              <w:rPr>
                <w:rFonts w:ascii="Times New Roman" w:cs="Times New Roman" w:eastAsia="Times New Roman" w:hAnsi="Times New Roman"/>
                <w:sz w:val="26"/>
                <w:szCs w:val="26"/>
                <w:color w:val="auto"/>
                <w:vertAlign w:val="subscript"/>
              </w:rPr>
              <w:t>Shares</w:t>
            </w:r>
            <w:r>
              <w:rPr>
                <w:rFonts w:ascii="Times New Roman" w:cs="Times New Roman" w:eastAsia="Times New Roman" w:hAnsi="Times New Roman"/>
                <w:sz w:val="10"/>
                <w:szCs w:val="10"/>
                <w:color w:val="auto"/>
              </w:rPr>
              <w:t>(12)(18)</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40,665,848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40,665,848</w:t>
            </w: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40,665,848</w:t>
            </w: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3320" w:type="dxa"/>
            <w:vAlign w:val="bottom"/>
            <w:gridSpan w:val="5"/>
          </w:tcPr>
          <w:p>
            <w:pPr>
              <w:ind w:left="340"/>
              <w:spacing w:after="0"/>
              <w:rPr>
                <w:sz w:val="20"/>
                <w:szCs w:val="20"/>
                <w:color w:val="auto"/>
              </w:rPr>
            </w:pPr>
            <w:r>
              <w:rPr>
                <w:rFonts w:ascii="Times New Roman" w:cs="Times New Roman" w:eastAsia="Times New Roman" w:hAnsi="Times New Roman"/>
                <w:sz w:val="13"/>
                <w:szCs w:val="13"/>
                <w:b w:val="1"/>
                <w:bCs w:val="1"/>
                <w:color w:val="auto"/>
              </w:rPr>
              <w:t>Total Cash Equivalents</w:t>
            </w: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40,665,848</w:t>
            </w: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40,665,848</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5.19%</w:t>
            </w:r>
          </w:p>
        </w:tc>
        <w:tc>
          <w:tcPr>
            <w:tcW w:w="0" w:type="dxa"/>
            <w:vAlign w:val="bottom"/>
          </w:tcPr>
          <w:p>
            <w:pPr>
              <w:spacing w:after="0"/>
              <w:rPr>
                <w:sz w:val="1"/>
                <w:szCs w:val="1"/>
                <w:color w:val="auto"/>
              </w:rPr>
            </w:pPr>
          </w:p>
        </w:tc>
      </w:tr>
      <w:tr>
        <w:trPr>
          <w:trHeight w:val="264"/>
        </w:trPr>
        <w:tc>
          <w:tcPr>
            <w:tcW w:w="1020" w:type="dxa"/>
            <w:vAlign w:val="bottom"/>
            <w:tcBorders>
              <w:top w:val="single" w:sz="8" w:color="CCEEFF"/>
            </w:tcBorders>
            <w:shd w:val="clear" w:color="auto" w:fill="CCEEFF"/>
          </w:tcPr>
          <w:p>
            <w:pPr>
              <w:spacing w:after="0"/>
              <w:rPr>
                <w:sz w:val="22"/>
                <w:szCs w:val="22"/>
                <w:color w:val="auto"/>
              </w:rPr>
            </w:pPr>
          </w:p>
        </w:tc>
        <w:tc>
          <w:tcPr>
            <w:tcW w:w="1360" w:type="dxa"/>
            <w:vAlign w:val="bottom"/>
            <w:tcBorders>
              <w:top w:val="single" w:sz="8" w:color="CCEEFF"/>
            </w:tcBorders>
            <w:shd w:val="clear" w:color="auto" w:fill="CCEEFF"/>
          </w:tcPr>
          <w:p>
            <w:pPr>
              <w:spacing w:after="0"/>
              <w:rPr>
                <w:sz w:val="22"/>
                <w:szCs w:val="22"/>
                <w:color w:val="auto"/>
              </w:rPr>
            </w:pPr>
          </w:p>
        </w:tc>
        <w:tc>
          <w:tcPr>
            <w:tcW w:w="68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82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70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48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3"/>
        </w:trPr>
        <w:tc>
          <w:tcPr>
            <w:tcW w:w="332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Total Investments and Cash Equivalents</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1,678,117,676</w:t>
            </w: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1,279,160,321</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163.32%</w:t>
            </w:r>
          </w:p>
        </w:tc>
        <w:tc>
          <w:tcPr>
            <w:tcW w:w="0" w:type="dxa"/>
            <w:vAlign w:val="bottom"/>
          </w:tcPr>
          <w:p>
            <w:pPr>
              <w:spacing w:after="0"/>
              <w:rPr>
                <w:sz w:val="1"/>
                <w:szCs w:val="1"/>
                <w:color w:val="auto"/>
              </w:rPr>
            </w:pPr>
          </w:p>
        </w:tc>
      </w:tr>
      <w:tr>
        <w:trPr>
          <w:trHeight w:val="214"/>
        </w:trPr>
        <w:tc>
          <w:tcPr>
            <w:tcW w:w="1020" w:type="dxa"/>
            <w:vAlign w:val="bottom"/>
          </w:tcPr>
          <w:p>
            <w:pPr>
              <w:spacing w:after="0"/>
              <w:rPr>
                <w:sz w:val="20"/>
                <w:szCs w:val="20"/>
                <w:color w:val="auto"/>
              </w:rPr>
            </w:pPr>
            <w:r>
              <w:rPr>
                <w:rFonts w:ascii="Times New Roman" w:cs="Times New Roman" w:eastAsia="Times New Roman" w:hAnsi="Times New Roman"/>
                <w:sz w:val="15"/>
                <w:szCs w:val="15"/>
                <w:color w:val="auto"/>
              </w:rPr>
              <w:t>____________</w:t>
            </w:r>
          </w:p>
        </w:tc>
        <w:tc>
          <w:tcPr>
            <w:tcW w:w="1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1100" w:hanging="395"/>
        <w:spacing w:after="0"/>
        <w:tabs>
          <w:tab w:leader="none" w:pos="110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do not “control” and are not an “affiliate” of any of our portfolio companies, each as defined in the Investment Company</w:t>
      </w:r>
    </w:p>
    <w:p>
      <w:pPr>
        <w:spacing w:after="0" w:line="3" w:lineRule="exact"/>
        <w:rPr>
          <w:rFonts w:ascii="Times New Roman" w:cs="Times New Roman" w:eastAsia="Times New Roman" w:hAnsi="Times New Roman"/>
          <w:sz w:val="13"/>
          <w:szCs w:val="13"/>
          <w:color w:val="auto"/>
        </w:rPr>
      </w:pPr>
    </w:p>
    <w:p>
      <w:pPr>
        <w:ind w:left="1120" w:right="779"/>
        <w:spacing w:after="0" w:line="223"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Act of 1940, as amended (the “1940 Act”). In general, under the 1940 Act, we would be presumed to “control” a portfolio company if we owned more than 25% of its voting securities and would be an “affiliate” of a portfolio company if we owned 5% or more of its voting securities.</w:t>
      </w:r>
    </w:p>
    <w:p>
      <w:pPr>
        <w:spacing w:after="0" w:line="1" w:lineRule="exact"/>
        <w:rPr>
          <w:rFonts w:ascii="Times New Roman" w:cs="Times New Roman" w:eastAsia="Times New Roman" w:hAnsi="Times New Roman"/>
          <w:sz w:val="13"/>
          <w:szCs w:val="13"/>
          <w:color w:val="auto"/>
        </w:rPr>
      </w:pPr>
    </w:p>
    <w:p>
      <w:pPr>
        <w:ind w:left="1100" w:hanging="395"/>
        <w:spacing w:after="0" w:line="223" w:lineRule="auto"/>
        <w:tabs>
          <w:tab w:leader="none" w:pos="110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Fair value is determined in good faith by the Board of Directors of the Fund.</w:t>
      </w:r>
    </w:p>
    <w:p>
      <w:pPr>
        <w:ind w:left="1100" w:hanging="395"/>
        <w:spacing w:after="0" w:line="223" w:lineRule="auto"/>
        <w:tabs>
          <w:tab w:leader="none" w:pos="110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Cost value reflects accretion of original issue discount or market discount.</w:t>
      </w:r>
    </w:p>
    <w:p>
      <w:pPr>
        <w:ind w:left="1120" w:right="859" w:hanging="415"/>
        <w:spacing w:after="0" w:line="223" w:lineRule="auto"/>
        <w:tabs>
          <w:tab w:leader="none" w:pos="1113"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subordinated shares represent an investment in a warehouse facility, which is a financing structure intended to aggregate loans that may be used to form the basis of a CLO vehicle.</w:t>
      </w:r>
    </w:p>
    <w:p>
      <w:pPr>
        <w:ind w:left="1120" w:right="1139" w:hanging="415"/>
        <w:spacing w:after="0" w:line="223" w:lineRule="auto"/>
        <w:tabs>
          <w:tab w:leader="none" w:pos="1113"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Cost value reflects accretion of effective yield less any cash distributions received or entitled to be received from CLO equity investments.</w:t>
      </w:r>
    </w:p>
    <w:p>
      <w:pPr>
        <w:ind w:left="1120" w:right="859" w:hanging="415"/>
        <w:spacing w:after="0" w:line="223" w:lineRule="auto"/>
        <w:tabs>
          <w:tab w:leader="none" w:pos="1113"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CLO secured notes generally bear interest at a rate determined by reference to three-month LIBOR which resets quarterly. For each CLO debt investment, the rate provided is as of September 30, 2022.</w:t>
      </w:r>
    </w:p>
    <w:p>
      <w:pPr>
        <w:ind w:left="1120" w:right="759" w:hanging="415"/>
        <w:spacing w:after="0"/>
        <w:tabs>
          <w:tab w:leader="none" w:pos="1113"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CLO subordinated notes, preferred shares and income notes are considered equity positions in the CLO funds. Equity investments are entitled to recurring distributions which are generally equal to the remaining cash flow of the payments made by the underlying fund’s securities less contractual payments to debt holders and fund expenses. The estimated yield indicated is based upon a current projection of the amount and timing of these recurring distributions and the estimated amount of repayment of principal upon termination. Such projections are periodically reviewed and adjusted, and the estimated yield may not ultimately be realized.</w:t>
      </w:r>
    </w:p>
    <w:p>
      <w:pPr>
        <w:spacing w:after="0" w:line="88" w:lineRule="exact"/>
        <w:rPr>
          <w:rFonts w:ascii="Times New Roman" w:cs="Times New Roman" w:eastAsia="Times New Roman" w:hAnsi="Times New Roman"/>
          <w:sz w:val="13"/>
          <w:szCs w:val="13"/>
          <w:color w:val="auto"/>
        </w:rPr>
      </w:pPr>
    </w:p>
    <w:p>
      <w:pPr>
        <w:ind w:left="1120" w:right="899" w:hanging="415"/>
        <w:spacing w:after="0" w:line="223" w:lineRule="auto"/>
        <w:tabs>
          <w:tab w:leader="none" w:pos="1113"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Fair value includes the Fund’s interest in subordinated fee notes, and represents discounted cash flows associated with fees earned from those fee notes.</w:t>
      </w:r>
    </w:p>
    <w:p>
      <w:pPr>
        <w:ind w:left="1120" w:right="779" w:hanging="415"/>
        <w:spacing w:after="0" w:line="223" w:lineRule="auto"/>
        <w:tabs>
          <w:tab w:leader="none" w:pos="1113"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Investment has not made inaugural distribution for relevant period end. Please refer to “Note 3. Summary of Significant Accounting Policies — Investment Income.”</w:t>
      </w:r>
    </w:p>
    <w:p>
      <w:pPr>
        <w:ind w:left="1120" w:right="1699" w:hanging="415"/>
        <w:spacing w:after="0" w:line="223" w:lineRule="auto"/>
        <w:tabs>
          <w:tab w:leader="none" w:pos="1104"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CLO equity investment was optionally redeemed. Please refer to “Note 3. Summary of Significant Accounting Policies — Securities Transactions.”</w:t>
      </w:r>
    </w:p>
    <w:p>
      <w:pPr>
        <w:ind w:left="1080" w:hanging="375"/>
        <w:spacing w:after="0" w:line="223" w:lineRule="auto"/>
        <w:tabs>
          <w:tab w:leader="none" w:pos="108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Investment is co-invested with the Fund’s affiliates. See “Note 5. Related Party Transactions.”</w:t>
      </w:r>
    </w:p>
    <w:p>
      <w:pPr>
        <w:ind w:left="1100" w:hanging="395"/>
        <w:spacing w:after="0" w:line="223" w:lineRule="auto"/>
        <w:tabs>
          <w:tab w:leader="none" w:pos="110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cash equivalents held in a money market account as of September 30, 2022.</w:t>
      </w:r>
    </w:p>
    <w:p>
      <w:pPr>
        <w:ind w:left="1100" w:hanging="395"/>
        <w:spacing w:after="0" w:line="223" w:lineRule="auto"/>
        <w:tabs>
          <w:tab w:leader="none" w:pos="110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fair value of the investment was determined using significant unobservable inputs. See “Note 4. Fair Value.”</w:t>
      </w:r>
    </w:p>
    <w:p>
      <w:pPr>
        <w:ind w:left="1120" w:right="839" w:hanging="415"/>
        <w:spacing w:after="0"/>
        <w:tabs>
          <w:tab w:leader="none" w:pos="1104"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Fund generally acquires its investments in transactions not subject to registration under the Securities Act of 1933, as amended (the “Securities Act”). These investments are generally subject to restrictions as “restricted securities” (within the meaning of the Securities Act). Unless otherwise noted, all securities were acquired in transactions not subject to registration under the Securities Act.</w:t>
      </w:r>
    </w:p>
    <w:p>
      <w:pPr>
        <w:spacing w:after="0" w:line="108" w:lineRule="exact"/>
        <w:rPr>
          <w:rFonts w:ascii="Times New Roman" w:cs="Times New Roman" w:eastAsia="Times New Roman" w:hAnsi="Times New Roman"/>
          <w:sz w:val="13"/>
          <w:szCs w:val="13"/>
          <w:color w:val="auto"/>
        </w:rPr>
      </w:pPr>
    </w:p>
    <w:p>
      <w:pPr>
        <w:ind w:left="1100" w:hanging="395"/>
        <w:spacing w:after="0" w:line="223" w:lineRule="auto"/>
        <w:tabs>
          <w:tab w:leader="none" w:pos="110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Acquisition date represents the initial date of purchase.</w:t>
      </w:r>
    </w:p>
    <w:p>
      <w:pPr>
        <w:ind w:left="1100" w:hanging="395"/>
        <w:spacing w:after="0" w:line="223" w:lineRule="auto"/>
        <w:tabs>
          <w:tab w:leader="none" w:pos="110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Cost and fair value total represents multiple investments which were purchased within one year prior to September 30, 2022.</w:t>
      </w:r>
    </w:p>
    <w:p>
      <w:pPr>
        <w:ind w:left="1120" w:right="739" w:hanging="415"/>
        <w:spacing w:after="0" w:line="223" w:lineRule="auto"/>
        <w:tabs>
          <w:tab w:leader="none" w:pos="1104"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principal balance outstanding for this debt investment, in whole or in part, is indexed to the 90-day Secured Overnight Financing Rate “SOFR”.</w:t>
      </w:r>
    </w:p>
    <w:p>
      <w:pPr>
        <w:ind w:left="1100" w:hanging="395"/>
        <w:spacing w:after="0"/>
        <w:tabs>
          <w:tab w:leader="none" w:pos="110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Investment represents greater than 5% of net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See Accompanying Notes.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15240</wp:posOffset>
            </wp:positionV>
            <wp:extent cx="482473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4824730"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30" w:name="page31"/>
    <w:bookmarkEnd w:id="30"/>
    <w:p>
      <w:pPr>
        <w:ind w:left="7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STATEMENT OF OPERATIONS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56" w:lineRule="exact"/>
        <w:rPr>
          <w:sz w:val="20"/>
          <w:szCs w:val="20"/>
          <w:color w:val="auto"/>
        </w:rPr>
      </w:pPr>
    </w:p>
    <w:tbl>
      <w:tblPr>
        <w:tblLayout w:type="fixed"/>
        <w:tblInd w:w="70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right"/>
              <w:ind w:right="101"/>
              <w:spacing w:after="0"/>
              <w:rPr>
                <w:sz w:val="20"/>
                <w:szCs w:val="20"/>
                <w:color w:val="auto"/>
              </w:rPr>
            </w:pPr>
            <w:r>
              <w:rPr>
                <w:rFonts w:ascii="Times New Roman" w:cs="Times New Roman" w:eastAsia="Times New Roman" w:hAnsi="Times New Roman"/>
                <w:sz w:val="15"/>
                <w:szCs w:val="15"/>
                <w:b w:val="1"/>
                <w:bCs w:val="1"/>
                <w:color w:val="auto"/>
              </w:rPr>
              <w:t>Six Months Ended</w:t>
            </w:r>
          </w:p>
        </w:tc>
      </w:tr>
      <w:tr>
        <w:trPr>
          <w:trHeight w:val="201"/>
        </w:trPr>
        <w:tc>
          <w:tcPr>
            <w:tcW w:w="50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right"/>
              <w:ind w:right="41"/>
              <w:spacing w:after="0"/>
              <w:rPr>
                <w:sz w:val="20"/>
                <w:szCs w:val="20"/>
                <w:color w:val="auto"/>
              </w:rPr>
            </w:pPr>
            <w:r>
              <w:rPr>
                <w:rFonts w:ascii="Times New Roman" w:cs="Times New Roman" w:eastAsia="Times New Roman" w:hAnsi="Times New Roman"/>
                <w:sz w:val="15"/>
                <w:szCs w:val="15"/>
                <w:b w:val="1"/>
                <w:bCs w:val="1"/>
                <w:color w:val="auto"/>
              </w:rPr>
              <w:t>September 30, 2022</w:t>
            </w:r>
          </w:p>
        </w:tc>
      </w:tr>
      <w:tr>
        <w:trPr>
          <w:trHeight w:val="43"/>
        </w:trPr>
        <w:tc>
          <w:tcPr>
            <w:tcW w:w="5020" w:type="dxa"/>
            <w:vAlign w:val="bottom"/>
            <w:tcBorders>
              <w:bottom w:val="single" w:sz="8" w:color="CCEEFF"/>
            </w:tcBorders>
          </w:tcPr>
          <w:p>
            <w:pPr>
              <w:spacing w:after="0"/>
              <w:rPr>
                <w:sz w:val="3"/>
                <w:szCs w:val="3"/>
                <w:color w:val="auto"/>
              </w:rPr>
            </w:pPr>
          </w:p>
        </w:tc>
        <w:tc>
          <w:tcPr>
            <w:tcW w:w="106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r>
        <w:trPr>
          <w:trHeight w:val="239"/>
        </w:trPr>
        <w:tc>
          <w:tcPr>
            <w:tcW w:w="5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INVESTMENT INCOME</w:t>
            </w: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r>
      <w:tr>
        <w:trPr>
          <w:trHeight w:val="227"/>
        </w:trPr>
        <w:tc>
          <w:tcPr>
            <w:tcW w:w="50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Income from securitization vehicles and investments</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122,759,918</w:t>
            </w:r>
          </w:p>
        </w:tc>
        <w:tc>
          <w:tcPr>
            <w:tcW w:w="120" w:type="dxa"/>
            <w:vAlign w:val="bottom"/>
          </w:tcPr>
          <w:p>
            <w:pPr>
              <w:spacing w:after="0"/>
              <w:rPr>
                <w:sz w:val="19"/>
                <w:szCs w:val="19"/>
                <w:color w:val="auto"/>
              </w:rPr>
            </w:pPr>
          </w:p>
        </w:tc>
      </w:tr>
      <w:tr>
        <w:trPr>
          <w:trHeight w:val="39"/>
        </w:trPr>
        <w:tc>
          <w:tcPr>
            <w:tcW w:w="50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46"/>
        </w:trPr>
        <w:tc>
          <w:tcPr>
            <w:tcW w:w="5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Interest income – debt investments</w:t>
            </w: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2,703,180</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40"/>
        </w:trPr>
        <w:tc>
          <w:tcPr>
            <w:tcW w:w="50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 income</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2,729,728</w:t>
            </w:r>
          </w:p>
        </w:tc>
        <w:tc>
          <w:tcPr>
            <w:tcW w:w="120" w:type="dxa"/>
            <w:vAlign w:val="bottom"/>
          </w:tcPr>
          <w:p>
            <w:pPr>
              <w:spacing w:after="0"/>
              <w:rPr>
                <w:sz w:val="20"/>
                <w:szCs w:val="20"/>
                <w:color w:val="auto"/>
              </w:rPr>
            </w:pPr>
          </w:p>
        </w:tc>
      </w:tr>
      <w:tr>
        <w:trPr>
          <w:trHeight w:val="26"/>
        </w:trPr>
        <w:tc>
          <w:tcPr>
            <w:tcW w:w="50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46"/>
        </w:trPr>
        <w:tc>
          <w:tcPr>
            <w:tcW w:w="50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investment income</w:t>
            </w: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128,192,826</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59"/>
        </w:trPr>
        <w:tc>
          <w:tcPr>
            <w:tcW w:w="50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r>
      <w:tr>
        <w:trPr>
          <w:trHeight w:val="246"/>
        </w:trPr>
        <w:tc>
          <w:tcPr>
            <w:tcW w:w="5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EXPENSES</w:t>
            </w: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r>
      <w:tr>
        <w:trPr>
          <w:trHeight w:val="227"/>
        </w:trPr>
        <w:tc>
          <w:tcPr>
            <w:tcW w:w="50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Interest expense</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41"/>
              <w:spacing w:after="0"/>
              <w:rPr>
                <w:sz w:val="20"/>
                <w:szCs w:val="20"/>
                <w:color w:val="auto"/>
              </w:rPr>
            </w:pPr>
            <w:r>
              <w:rPr>
                <w:rFonts w:ascii="Times New Roman" w:cs="Times New Roman" w:eastAsia="Times New Roman" w:hAnsi="Times New Roman"/>
                <w:sz w:val="17"/>
                <w:szCs w:val="17"/>
                <w:color w:val="auto"/>
              </w:rPr>
              <w:t>15,382,542</w:t>
            </w:r>
          </w:p>
        </w:tc>
      </w:tr>
      <w:tr>
        <w:trPr>
          <w:trHeight w:val="39"/>
        </w:trPr>
        <w:tc>
          <w:tcPr>
            <w:tcW w:w="50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46"/>
        </w:trPr>
        <w:tc>
          <w:tcPr>
            <w:tcW w:w="5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Base management fees</w:t>
            </w: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rPr>
              <w:t>12,959,542</w:t>
            </w:r>
          </w:p>
        </w:tc>
      </w:tr>
      <w:tr>
        <w:trPr>
          <w:trHeight w:val="227"/>
        </w:trPr>
        <w:tc>
          <w:tcPr>
            <w:tcW w:w="50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Incentive fees</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41"/>
              <w:spacing w:after="0"/>
              <w:rPr>
                <w:sz w:val="20"/>
                <w:szCs w:val="20"/>
                <w:color w:val="auto"/>
              </w:rPr>
            </w:pPr>
            <w:r>
              <w:rPr>
                <w:rFonts w:ascii="Times New Roman" w:cs="Times New Roman" w:eastAsia="Times New Roman" w:hAnsi="Times New Roman"/>
                <w:sz w:val="17"/>
                <w:szCs w:val="17"/>
                <w:color w:val="auto"/>
              </w:rPr>
              <w:t>18,677,755</w:t>
            </w:r>
          </w:p>
        </w:tc>
      </w:tr>
      <w:tr>
        <w:trPr>
          <w:trHeight w:val="39"/>
        </w:trPr>
        <w:tc>
          <w:tcPr>
            <w:tcW w:w="50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46"/>
        </w:trPr>
        <w:tc>
          <w:tcPr>
            <w:tcW w:w="5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Excise tax expense</w:t>
            </w: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3,977,912</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27"/>
        </w:trPr>
        <w:tc>
          <w:tcPr>
            <w:tcW w:w="50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Professional fees</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41"/>
              <w:spacing w:after="0"/>
              <w:rPr>
                <w:sz w:val="20"/>
                <w:szCs w:val="20"/>
                <w:color w:val="auto"/>
              </w:rPr>
            </w:pPr>
            <w:r>
              <w:rPr>
                <w:rFonts w:ascii="Times New Roman" w:cs="Times New Roman" w:eastAsia="Times New Roman" w:hAnsi="Times New Roman"/>
                <w:sz w:val="17"/>
                <w:szCs w:val="17"/>
                <w:color w:val="auto"/>
              </w:rPr>
              <w:t>674,440</w:t>
            </w:r>
          </w:p>
        </w:tc>
      </w:tr>
      <w:tr>
        <w:trPr>
          <w:trHeight w:val="39"/>
        </w:trPr>
        <w:tc>
          <w:tcPr>
            <w:tcW w:w="50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46"/>
        </w:trPr>
        <w:tc>
          <w:tcPr>
            <w:tcW w:w="5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Administrator expense</w:t>
            </w: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rPr>
              <w:t>552,829</w:t>
            </w:r>
          </w:p>
        </w:tc>
      </w:tr>
      <w:tr>
        <w:trPr>
          <w:trHeight w:val="227"/>
        </w:trPr>
        <w:tc>
          <w:tcPr>
            <w:tcW w:w="50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41"/>
              <w:spacing w:after="0"/>
              <w:rPr>
                <w:sz w:val="20"/>
                <w:szCs w:val="20"/>
                <w:color w:val="auto"/>
              </w:rPr>
            </w:pPr>
            <w:r>
              <w:rPr>
                <w:rFonts w:ascii="Times New Roman" w:cs="Times New Roman" w:eastAsia="Times New Roman" w:hAnsi="Times New Roman"/>
                <w:sz w:val="17"/>
                <w:szCs w:val="17"/>
                <w:color w:val="auto"/>
              </w:rPr>
              <w:t>739,359</w:t>
            </w:r>
          </w:p>
        </w:tc>
      </w:tr>
      <w:tr>
        <w:trPr>
          <w:trHeight w:val="39"/>
        </w:trPr>
        <w:tc>
          <w:tcPr>
            <w:tcW w:w="50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46"/>
        </w:trPr>
        <w:tc>
          <w:tcPr>
            <w:tcW w:w="5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Directors’ fees</w:t>
            </w: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rPr>
              <w:t>167,000</w:t>
            </w:r>
          </w:p>
        </w:tc>
      </w:tr>
      <w:tr>
        <w:trPr>
          <w:trHeight w:val="227"/>
        </w:trPr>
        <w:tc>
          <w:tcPr>
            <w:tcW w:w="50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Insurance expense</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41"/>
              <w:spacing w:after="0"/>
              <w:rPr>
                <w:sz w:val="20"/>
                <w:szCs w:val="20"/>
                <w:color w:val="auto"/>
              </w:rPr>
            </w:pPr>
            <w:r>
              <w:rPr>
                <w:rFonts w:ascii="Times New Roman" w:cs="Times New Roman" w:eastAsia="Times New Roman" w:hAnsi="Times New Roman"/>
                <w:sz w:val="17"/>
                <w:szCs w:val="17"/>
                <w:color w:val="auto"/>
              </w:rPr>
              <w:t>140,861</w:t>
            </w:r>
          </w:p>
        </w:tc>
      </w:tr>
      <w:tr>
        <w:trPr>
          <w:trHeight w:val="39"/>
        </w:trPr>
        <w:tc>
          <w:tcPr>
            <w:tcW w:w="50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6"/>
        </w:trPr>
        <w:tc>
          <w:tcPr>
            <w:tcW w:w="5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Transfer agent and custodian fees</w:t>
            </w:r>
          </w:p>
        </w:tc>
        <w:tc>
          <w:tcPr>
            <w:tcW w:w="10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rPr>
              <w:t>209,567</w:t>
            </w:r>
          </w:p>
        </w:tc>
      </w:tr>
      <w:tr>
        <w:trPr>
          <w:trHeight w:val="220"/>
        </w:trPr>
        <w:tc>
          <w:tcPr>
            <w:tcW w:w="50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Total expenses</w:t>
            </w:r>
          </w:p>
        </w:tc>
        <w:tc>
          <w:tcPr>
            <w:tcW w:w="10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53,481,807</w:t>
            </w:r>
          </w:p>
        </w:tc>
        <w:tc>
          <w:tcPr>
            <w:tcW w:w="120" w:type="dxa"/>
            <w:vAlign w:val="bottom"/>
          </w:tcPr>
          <w:p>
            <w:pPr>
              <w:spacing w:after="0"/>
              <w:rPr>
                <w:sz w:val="19"/>
                <w:szCs w:val="19"/>
                <w:color w:val="auto"/>
              </w:rPr>
            </w:pPr>
          </w:p>
        </w:tc>
      </w:tr>
      <w:tr>
        <w:trPr>
          <w:trHeight w:val="26"/>
        </w:trPr>
        <w:tc>
          <w:tcPr>
            <w:tcW w:w="50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46"/>
        </w:trPr>
        <w:tc>
          <w:tcPr>
            <w:tcW w:w="5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investment income</w:t>
            </w: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rPr>
              <w:t>74,711,019</w:t>
            </w:r>
          </w:p>
        </w:tc>
      </w:tr>
      <w:tr>
        <w:trPr>
          <w:trHeight w:val="211"/>
        </w:trPr>
        <w:tc>
          <w:tcPr>
            <w:tcW w:w="5020" w:type="dxa"/>
            <w:vAlign w:val="bottom"/>
          </w:tcPr>
          <w:p>
            <w:pPr>
              <w:spacing w:after="0"/>
              <w:rPr>
                <w:sz w:val="20"/>
                <w:szCs w:val="20"/>
                <w:color w:val="auto"/>
              </w:rPr>
            </w:pPr>
            <w:r>
              <w:rPr>
                <w:rFonts w:ascii="Times New Roman" w:cs="Times New Roman" w:eastAsia="Times New Roman" w:hAnsi="Times New Roman"/>
                <w:sz w:val="17"/>
                <w:szCs w:val="17"/>
                <w:color w:val="auto"/>
              </w:rPr>
              <w:t>Net change in unrealized depreciation on investments</w:t>
            </w:r>
          </w:p>
        </w:tc>
        <w:tc>
          <w:tcPr>
            <w:tcW w:w="10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(246,128,160)</w:t>
            </w:r>
          </w:p>
        </w:tc>
        <w:tc>
          <w:tcPr>
            <w:tcW w:w="120" w:type="dxa"/>
            <w:vAlign w:val="bottom"/>
          </w:tcPr>
          <w:p>
            <w:pPr>
              <w:spacing w:after="0"/>
              <w:rPr>
                <w:sz w:val="18"/>
                <w:szCs w:val="18"/>
                <w:color w:val="auto"/>
              </w:rPr>
            </w:pPr>
          </w:p>
        </w:tc>
      </w:tr>
      <w:tr>
        <w:trPr>
          <w:trHeight w:val="35"/>
        </w:trPr>
        <w:tc>
          <w:tcPr>
            <w:tcW w:w="50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6"/>
        </w:trPr>
        <w:tc>
          <w:tcPr>
            <w:tcW w:w="5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realized loss on investments</w:t>
            </w:r>
          </w:p>
        </w:tc>
        <w:tc>
          <w:tcPr>
            <w:tcW w:w="10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(14,023,385)</w:t>
            </w:r>
          </w:p>
        </w:tc>
      </w:tr>
      <w:tr>
        <w:trPr>
          <w:trHeight w:val="220"/>
        </w:trPr>
        <w:tc>
          <w:tcPr>
            <w:tcW w:w="5020" w:type="dxa"/>
            <w:vAlign w:val="bottom"/>
          </w:tcPr>
          <w:p>
            <w:pPr>
              <w:spacing w:after="0"/>
              <w:rPr>
                <w:sz w:val="20"/>
                <w:szCs w:val="20"/>
                <w:color w:val="auto"/>
              </w:rPr>
            </w:pPr>
            <w:r>
              <w:rPr>
                <w:rFonts w:ascii="Times New Roman" w:cs="Times New Roman" w:eastAsia="Times New Roman" w:hAnsi="Times New Roman"/>
                <w:sz w:val="17"/>
                <w:szCs w:val="17"/>
                <w:color w:val="auto"/>
              </w:rPr>
              <w:t>Net realized loss and net change in unrealized depreciation</w:t>
            </w:r>
          </w:p>
        </w:tc>
        <w:tc>
          <w:tcPr>
            <w:tcW w:w="10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(260,151,545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6"/>
        </w:trPr>
        <w:tc>
          <w:tcPr>
            <w:tcW w:w="50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27"/>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decrease in net assets resulting from operations</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(185,440,526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See Accompanying Notes.</w:t>
      </w:r>
    </w:p>
    <w:p>
      <w:pPr>
        <w:sectPr>
          <w:pgSz w:w="11900" w:h="16838" w:orient="portrait"/>
          <w:cols w:equalWidth="0" w:num="1">
            <w:col w:w="9019"/>
          </w:cols>
          <w:pgMar w:left="1440" w:top="262" w:right="1440" w:bottom="1440" w:gutter="0" w:footer="0" w:header="0"/>
        </w:sectPr>
      </w:pP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22225</wp:posOffset>
            </wp:positionV>
            <wp:extent cx="482473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4824730"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type w:val="continuous"/>
        </w:sectPr>
      </w:pPr>
    </w:p>
    <w:bookmarkStart w:id="31" w:name="page32"/>
    <w:bookmarkEnd w:id="31"/>
    <w:p>
      <w:pPr>
        <w:ind w:left="7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STATEMENT OF CHANGES IN NET ASSETS</w:t>
      </w:r>
    </w:p>
    <w:p>
      <w:pPr>
        <w:spacing w:after="0" w:line="156" w:lineRule="exact"/>
        <w:rPr>
          <w:sz w:val="20"/>
          <w:szCs w:val="20"/>
          <w:color w:val="auto"/>
        </w:rPr>
      </w:pPr>
    </w:p>
    <w:tbl>
      <w:tblPr>
        <w:tblLayout w:type="fixed"/>
        <w:tblInd w:w="70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right"/>
              <w:ind w:right="218"/>
              <w:spacing w:after="0"/>
              <w:rPr>
                <w:sz w:val="20"/>
                <w:szCs w:val="20"/>
                <w:color w:val="auto"/>
              </w:rPr>
            </w:pPr>
            <w:r>
              <w:rPr>
                <w:rFonts w:ascii="Times New Roman" w:cs="Times New Roman" w:eastAsia="Times New Roman" w:hAnsi="Times New Roman"/>
                <w:sz w:val="15"/>
                <w:szCs w:val="15"/>
                <w:b w:val="1"/>
                <w:bCs w:val="1"/>
                <w:color w:val="auto"/>
              </w:rPr>
              <w:t>(Unaudited)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00" w:type="dxa"/>
            <w:vAlign w:val="bottom"/>
            <w:gridSpan w:val="3"/>
          </w:tcPr>
          <w:p>
            <w:pPr>
              <w:jc w:val="right"/>
              <w:ind w:right="38"/>
              <w:spacing w:after="0"/>
              <w:rPr>
                <w:sz w:val="20"/>
                <w:szCs w:val="20"/>
                <w:color w:val="auto"/>
              </w:rPr>
            </w:pPr>
            <w:r>
              <w:rPr>
                <w:rFonts w:ascii="Times New Roman" w:cs="Times New Roman" w:eastAsia="Times New Roman" w:hAnsi="Times New Roman"/>
                <w:sz w:val="15"/>
                <w:szCs w:val="15"/>
                <w:b w:val="1"/>
                <w:bCs w:val="1"/>
                <w:color w:val="auto"/>
              </w:rPr>
              <w:t>Six Months Ended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221"/>
              <w:spacing w:after="0"/>
              <w:rPr>
                <w:sz w:val="20"/>
                <w:szCs w:val="20"/>
                <w:color w:val="auto"/>
              </w:rPr>
            </w:pPr>
            <w:r>
              <w:rPr>
                <w:rFonts w:ascii="Times New Roman" w:cs="Times New Roman" w:eastAsia="Times New Roman" w:hAnsi="Times New Roman"/>
                <w:sz w:val="15"/>
                <w:szCs w:val="15"/>
                <w:b w:val="1"/>
                <w:bCs w:val="1"/>
                <w:color w:val="auto"/>
              </w:rPr>
              <w:t>Year Ended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September 30, 2022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5"/>
                <w:szCs w:val="15"/>
                <w:b w:val="1"/>
                <w:bCs w:val="1"/>
                <w:color w:val="auto"/>
              </w:rPr>
              <w:t>March 31, 2022</w:t>
            </w:r>
          </w:p>
        </w:tc>
        <w:tc>
          <w:tcPr>
            <w:tcW w:w="0" w:type="dxa"/>
            <w:vAlign w:val="bottom"/>
          </w:tcPr>
          <w:p>
            <w:pPr>
              <w:spacing w:after="0"/>
              <w:rPr>
                <w:sz w:val="1"/>
                <w:szCs w:val="1"/>
                <w:color w:val="auto"/>
              </w:rPr>
            </w:pPr>
          </w:p>
        </w:tc>
      </w:tr>
      <w:tr>
        <w:trPr>
          <w:trHeight w:val="43"/>
        </w:trPr>
        <w:tc>
          <w:tcPr>
            <w:tcW w:w="484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8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(Decrease) increase in net assets from operations:</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8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Net investment income</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tcPr>
          <w:p>
            <w:pPr>
              <w:jc w:val="right"/>
              <w:ind w:right="78"/>
              <w:spacing w:after="0"/>
              <w:rPr>
                <w:sz w:val="20"/>
                <w:szCs w:val="20"/>
                <w:color w:val="auto"/>
              </w:rPr>
            </w:pPr>
            <w:r>
              <w:rPr>
                <w:rFonts w:ascii="Times New Roman" w:cs="Times New Roman" w:eastAsia="Times New Roman" w:hAnsi="Times New Roman"/>
                <w:sz w:val="17"/>
                <w:szCs w:val="17"/>
                <w:color w:val="auto"/>
              </w:rPr>
              <w:t>74,711,019</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ind w:right="41"/>
              <w:spacing w:after="0"/>
              <w:rPr>
                <w:sz w:val="20"/>
                <w:szCs w:val="20"/>
                <w:color w:val="auto"/>
              </w:rPr>
            </w:pPr>
            <w:r>
              <w:rPr>
                <w:rFonts w:ascii="Times New Roman" w:cs="Times New Roman" w:eastAsia="Times New Roman" w:hAnsi="Times New Roman"/>
                <w:sz w:val="17"/>
                <w:szCs w:val="17"/>
                <w:color w:val="auto"/>
              </w:rPr>
              <w:t>119,792,034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8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6"/>
        </w:trPr>
        <w:tc>
          <w:tcPr>
            <w:tcW w:w="20" w:type="dxa"/>
            <w:vAlign w:val="bottom"/>
          </w:tcPr>
          <w:p>
            <w:pPr>
              <w:spacing w:after="0"/>
              <w:rPr>
                <w:sz w:val="21"/>
                <w:szCs w:val="21"/>
                <w:color w:val="auto"/>
              </w:rPr>
            </w:pPr>
          </w:p>
        </w:tc>
        <w:tc>
          <w:tcPr>
            <w:tcW w:w="48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Net realized (losses) gains on investments</w:t>
            </w: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(14,023,385)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2,344,273</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820" w:type="dxa"/>
            <w:vAlign w:val="bottom"/>
          </w:tcPr>
          <w:p>
            <w:pPr>
              <w:ind w:left="160"/>
              <w:spacing w:after="0" w:line="186" w:lineRule="exact"/>
              <w:rPr>
                <w:sz w:val="20"/>
                <w:szCs w:val="20"/>
                <w:color w:val="auto"/>
              </w:rPr>
            </w:pPr>
            <w:r>
              <w:rPr>
                <w:rFonts w:ascii="Times New Roman" w:cs="Times New Roman" w:eastAsia="Times New Roman" w:hAnsi="Times New Roman"/>
                <w:sz w:val="17"/>
                <w:szCs w:val="17"/>
                <w:color w:val="auto"/>
              </w:rPr>
              <w:t>Net realized losses on the redemption of mandatorily redeemable</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preferred stock</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78"/>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(1,017,577)</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8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6"/>
        </w:trPr>
        <w:tc>
          <w:tcPr>
            <w:tcW w:w="20" w:type="dxa"/>
            <w:vAlign w:val="bottom"/>
          </w:tcPr>
          <w:p>
            <w:pPr>
              <w:spacing w:after="0"/>
              <w:rPr>
                <w:sz w:val="23"/>
                <w:szCs w:val="23"/>
                <w:color w:val="auto"/>
              </w:rPr>
            </w:pPr>
          </w:p>
        </w:tc>
        <w:tc>
          <w:tcPr>
            <w:tcW w:w="48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w w:val="99"/>
              </w:rPr>
              <w:t>Net change in unrealized (depreciation) appreciation on investments</w:t>
            </w:r>
          </w:p>
        </w:tc>
        <w:tc>
          <w:tcPr>
            <w:tcW w:w="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(246,128,160)</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4,759,261</w:t>
            </w:r>
          </w:p>
        </w:tc>
        <w:tc>
          <w:tcPr>
            <w:tcW w:w="1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4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(decrease) in net assets resulting from operations</w:t>
            </w:r>
          </w:p>
        </w:tc>
        <w:tc>
          <w:tcPr>
            <w:tcW w:w="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(185,440,526</w:t>
            </w:r>
          </w:p>
        </w:tc>
        <w:tc>
          <w:tcPr>
            <w:tcW w:w="12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125,877,991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8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48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Distributions of net investment income</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(68,119,032</w:t>
            </w:r>
          </w:p>
        </w:tc>
        <w:tc>
          <w:tcPr>
            <w:tcW w:w="120" w:type="dxa"/>
            <w:vAlign w:val="bottom"/>
            <w:tcBorders>
              <w:top w:val="single" w:sz="8" w:color="CCEEFF"/>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(98,698,871</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0"/>
        </w:trPr>
        <w:tc>
          <w:tcPr>
            <w:tcW w:w="4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distributions to stockholders</w:t>
            </w:r>
          </w:p>
        </w:tc>
        <w:tc>
          <w:tcPr>
            <w:tcW w:w="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(68,119,032</w:t>
            </w:r>
          </w:p>
        </w:tc>
        <w:tc>
          <w:tcPr>
            <w:tcW w:w="12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(98,698,871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6"/>
        </w:trPr>
        <w:tc>
          <w:tcPr>
            <w:tcW w:w="48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20" w:type="dxa"/>
            <w:vAlign w:val="bottom"/>
            <w:vMerge w:val="restart"/>
          </w:tcPr>
          <w:p>
            <w:pPr>
              <w:spacing w:after="0"/>
              <w:rPr>
                <w:sz w:val="22"/>
                <w:szCs w:val="22"/>
                <w:color w:val="auto"/>
              </w:rPr>
            </w:pPr>
          </w:p>
        </w:tc>
        <w:tc>
          <w:tcPr>
            <w:tcW w:w="482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4820" w:type="dxa"/>
            <w:vAlign w:val="bottom"/>
          </w:tcPr>
          <w:p>
            <w:pPr>
              <w:spacing w:after="0" w:line="186" w:lineRule="exact"/>
              <w:rPr>
                <w:sz w:val="20"/>
                <w:szCs w:val="20"/>
                <w:color w:val="auto"/>
              </w:rPr>
            </w:pPr>
            <w:r>
              <w:rPr>
                <w:rFonts w:ascii="Times New Roman" w:cs="Times New Roman" w:eastAsia="Times New Roman" w:hAnsi="Times New Roman"/>
                <w:sz w:val="17"/>
                <w:szCs w:val="17"/>
                <w:color w:val="auto"/>
              </w:rPr>
              <w:t>Capital share transactions:</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Issuance of common stock (net of underwriting fees and offering</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costs of $747,713 and $3,626,247, respectively)</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78"/>
              <w:spacing w:after="0"/>
              <w:rPr>
                <w:sz w:val="20"/>
                <w:szCs w:val="20"/>
                <w:color w:val="auto"/>
              </w:rPr>
            </w:pPr>
            <w:r>
              <w:rPr>
                <w:rFonts w:ascii="Times New Roman" w:cs="Times New Roman" w:eastAsia="Times New Roman" w:hAnsi="Times New Roman"/>
                <w:sz w:val="17"/>
                <w:szCs w:val="17"/>
                <w:color w:val="auto"/>
              </w:rPr>
              <w:t>80,106,301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310,628,470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8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6"/>
        </w:trPr>
        <w:tc>
          <w:tcPr>
            <w:tcW w:w="20" w:type="dxa"/>
            <w:vAlign w:val="bottom"/>
          </w:tcPr>
          <w:p>
            <w:pPr>
              <w:spacing w:after="0"/>
              <w:rPr>
                <w:sz w:val="23"/>
                <w:szCs w:val="23"/>
                <w:color w:val="auto"/>
              </w:rPr>
            </w:pPr>
          </w:p>
        </w:tc>
        <w:tc>
          <w:tcPr>
            <w:tcW w:w="48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Reinvestment of distributions</w:t>
            </w:r>
          </w:p>
        </w:tc>
        <w:tc>
          <w:tcPr>
            <w:tcW w:w="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9,535,639</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rPr>
              <w:t>13,094,960</w:t>
            </w:r>
          </w:p>
        </w:tc>
        <w:tc>
          <w:tcPr>
            <w:tcW w:w="0" w:type="dxa"/>
            <w:vAlign w:val="bottom"/>
          </w:tcPr>
          <w:p>
            <w:pPr>
              <w:spacing w:after="0"/>
              <w:rPr>
                <w:sz w:val="1"/>
                <w:szCs w:val="1"/>
                <w:color w:val="auto"/>
              </w:rPr>
            </w:pPr>
          </w:p>
        </w:tc>
      </w:tr>
      <w:tr>
        <w:trPr>
          <w:trHeight w:val="220"/>
        </w:trPr>
        <w:tc>
          <w:tcPr>
            <w:tcW w:w="4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increase in net assets from capital share transactions</w:t>
            </w:r>
          </w:p>
        </w:tc>
        <w:tc>
          <w:tcPr>
            <w:tcW w:w="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89,641,940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323,723,430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8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48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9019"/>
          </w:cols>
          <w:pgMar w:left="1440" w:top="262" w:right="1440" w:bottom="1440" w:gutter="0" w:footer="0" w:header="0"/>
        </w:sectPr>
      </w:pPr>
    </w:p>
    <w:p>
      <w:pPr>
        <w:ind w:left="700"/>
        <w:spacing w:after="0"/>
        <w:rPr>
          <w:sz w:val="20"/>
          <w:szCs w:val="20"/>
          <w:color w:val="auto"/>
        </w:rPr>
      </w:pPr>
      <w:r>
        <w:rPr>
          <w:rFonts w:ascii="Times New Roman" w:cs="Times New Roman" w:eastAsia="Times New Roman" w:hAnsi="Times New Roman"/>
          <w:sz w:val="16"/>
          <w:szCs w:val="16"/>
          <w:color w:val="auto"/>
        </w:rPr>
        <w:t>Total (decrease) increase in net assets</w:t>
      </w:r>
    </w:p>
    <w:p>
      <w:pPr>
        <w:spacing w:after="0" w:line="8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Net assets at beginning of period/year</w:t>
      </w:r>
    </w:p>
    <w:p>
      <w:pPr>
        <w:spacing w:after="0" w:line="36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Net assets at end of period/year</w:t>
      </w:r>
    </w:p>
    <w:p>
      <w:pPr>
        <w:spacing w:after="0" w:line="20" w:lineRule="exact"/>
        <w:rPr>
          <w:sz w:val="20"/>
          <w:szCs w:val="20"/>
          <w:color w:val="auto"/>
        </w:rPr>
      </w:pPr>
      <w:r>
        <w:rPr>
          <w:sz w:val="20"/>
          <w:szCs w:val="20"/>
          <w:color w:val="auto"/>
        </w:rPr>
        <w:br w:type="column"/>
      </w:r>
    </w:p>
    <w:p>
      <w:pPr>
        <w:jc w:val="both"/>
        <w:ind w:left="280"/>
        <w:spacing w:after="0"/>
        <w:tabs>
          <w:tab w:leader="none" w:pos="1720" w:val="left"/>
        </w:tabs>
        <w:rPr>
          <w:sz w:val="20"/>
          <w:szCs w:val="20"/>
          <w:color w:val="auto"/>
        </w:rPr>
      </w:pPr>
      <w:r>
        <w:rPr>
          <w:rFonts w:ascii="Times New Roman" w:cs="Times New Roman" w:eastAsia="Times New Roman" w:hAnsi="Times New Roman"/>
          <w:sz w:val="17"/>
          <w:szCs w:val="17"/>
          <w:color w:val="auto"/>
        </w:rPr>
        <w:t>(163,917,618)</w:t>
      </w:r>
      <w:r>
        <w:rPr>
          <w:sz w:val="20"/>
          <w:szCs w:val="20"/>
          <w:color w:val="auto"/>
        </w:rPr>
        <w:tab/>
      </w:r>
      <w:r>
        <w:rPr>
          <w:rFonts w:ascii="Times New Roman" w:cs="Times New Roman" w:eastAsia="Times New Roman" w:hAnsi="Times New Roman"/>
          <w:sz w:val="17"/>
          <w:szCs w:val="17"/>
          <w:color w:val="auto"/>
        </w:rPr>
        <w:t>350,902,550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39370</wp:posOffset>
            </wp:positionV>
            <wp:extent cx="4824730" cy="16891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4824730" cy="168910"/>
                    </a:xfrm>
                    <a:prstGeom prst="rect">
                      <a:avLst/>
                    </a:prstGeom>
                    <a:noFill/>
                  </pic:spPr>
                </pic:pic>
              </a:graphicData>
            </a:graphic>
          </wp:anchor>
        </w:drawing>
      </w:r>
    </w:p>
    <w:p>
      <w:pPr>
        <w:spacing w:after="0" w:line="63" w:lineRule="exact"/>
        <w:rPr>
          <w:sz w:val="20"/>
          <w:szCs w:val="20"/>
          <w:color w:val="auto"/>
        </w:rPr>
      </w:pPr>
    </w:p>
    <w:p>
      <w:pPr>
        <w:jc w:val="both"/>
        <w:ind w:left="320"/>
        <w:spacing w:after="0"/>
        <w:tabs>
          <w:tab w:leader="none" w:pos="1720" w:val="left"/>
        </w:tabs>
        <w:rPr>
          <w:sz w:val="20"/>
          <w:szCs w:val="20"/>
          <w:color w:val="auto"/>
        </w:rPr>
      </w:pPr>
      <w:r>
        <w:rPr>
          <w:rFonts w:ascii="Times New Roman" w:cs="Times New Roman" w:eastAsia="Times New Roman" w:hAnsi="Times New Roman"/>
          <w:sz w:val="17"/>
          <w:szCs w:val="17"/>
          <w:color w:val="auto"/>
        </w:rPr>
        <w:t>947,156,299</w:t>
      </w:r>
      <w:r>
        <w:rPr>
          <w:sz w:val="20"/>
          <w:szCs w:val="20"/>
          <w:color w:val="auto"/>
        </w:rPr>
        <w:tab/>
      </w:r>
      <w:r>
        <w:rPr>
          <w:rFonts w:ascii="Times New Roman" w:cs="Times New Roman" w:eastAsia="Times New Roman" w:hAnsi="Times New Roman"/>
          <w:sz w:val="17"/>
          <w:szCs w:val="17"/>
          <w:color w:val="auto"/>
        </w:rPr>
        <w:t>596,253,749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208280</wp:posOffset>
            </wp:positionV>
            <wp:extent cx="4824730" cy="16891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4824730" cy="168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31115</wp:posOffset>
            </wp:positionV>
            <wp:extent cx="164020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640205" cy="8255"/>
                    </a:xfrm>
                    <a:prstGeom prst="rect">
                      <a:avLst/>
                    </a:prstGeom>
                    <a:noFill/>
                  </pic:spPr>
                </pic:pic>
              </a:graphicData>
            </a:graphic>
          </wp:anchor>
        </w:drawing>
      </w:r>
    </w:p>
    <w:p>
      <w:pPr>
        <w:spacing w:after="0" w:line="329" w:lineRule="exact"/>
        <w:rPr>
          <w:sz w:val="20"/>
          <w:szCs w:val="20"/>
          <w:color w:val="auto"/>
        </w:rPr>
      </w:pPr>
    </w:p>
    <w:p>
      <w:pPr>
        <w:spacing w:after="0"/>
        <w:tabs>
          <w:tab w:leader="none" w:pos="300" w:val="left"/>
          <w:tab w:leader="none" w:pos="1360" w:val="left"/>
          <w:tab w:leader="none" w:pos="1720" w:val="left"/>
        </w:tabs>
        <w:rPr>
          <w:sz w:val="20"/>
          <w:szCs w:val="20"/>
          <w:color w:val="auto"/>
        </w:rPr>
      </w:pPr>
      <w:r>
        <w:rPr>
          <w:rFonts w:ascii="Times New Roman" w:cs="Times New Roman" w:eastAsia="Times New Roman" w:hAnsi="Times New Roman"/>
          <w:sz w:val="17"/>
          <w:szCs w:val="17"/>
          <w:color w:val="auto"/>
        </w:rPr>
        <w:t>$</w:t>
        <w:tab/>
        <w:t>783,238,681</w:t>
        <w:tab/>
        <w:t>$</w:t>
      </w:r>
      <w:r>
        <w:rPr>
          <w:sz w:val="20"/>
          <w:szCs w:val="20"/>
          <w:color w:val="auto"/>
        </w:rPr>
        <w:tab/>
      </w:r>
      <w:r>
        <w:rPr>
          <w:rFonts w:ascii="Times New Roman" w:cs="Times New Roman" w:eastAsia="Times New Roman" w:hAnsi="Times New Roman"/>
          <w:sz w:val="16"/>
          <w:szCs w:val="16"/>
          <w:color w:val="auto"/>
        </w:rPr>
        <w:t>947,156,299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39370</wp:posOffset>
            </wp:positionV>
            <wp:extent cx="164020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64020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80" w:space="720"/>
            <w:col w:w="3419"/>
          </w:cols>
          <w:pgMar w:left="1440" w:top="262" w:right="1440" w:bottom="1440" w:gutter="0" w:footer="0" w:header="0"/>
          <w:type w:val="continuous"/>
        </w:sectPr>
      </w:pPr>
    </w:p>
    <w:p>
      <w:pPr>
        <w:spacing w:after="0" w:line="140" w:lineRule="exact"/>
        <w:rPr>
          <w:sz w:val="20"/>
          <w:szCs w:val="20"/>
          <w:color w:val="auto"/>
        </w:rPr>
      </w:pPr>
    </w:p>
    <w:tbl>
      <w:tblPr>
        <w:tblLayout w:type="fixed"/>
        <w:tblInd w:w="700" w:type="dxa"/>
        <w:tblCellMar>
          <w:top w:w="0" w:type="dxa"/>
          <w:left w:w="0" w:type="dxa"/>
          <w:bottom w:w="0" w:type="dxa"/>
          <w:right w:w="0" w:type="dxa"/>
        </w:tblCellMar>
      </w:tblPr>
      <w:tr>
        <w:trPr>
          <w:trHeight w:val="246"/>
        </w:trPr>
        <w:tc>
          <w:tcPr>
            <w:tcW w:w="4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Capital share activity:</w:t>
            </w:r>
          </w:p>
        </w:tc>
        <w:tc>
          <w:tcPr>
            <w:tcW w:w="1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r>
      <w:tr>
        <w:trPr>
          <w:trHeight w:val="227"/>
        </w:trPr>
        <w:tc>
          <w:tcPr>
            <w:tcW w:w="49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Shares issued</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12,771,940</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42,165,903</w:t>
            </w:r>
          </w:p>
        </w:tc>
        <w:tc>
          <w:tcPr>
            <w:tcW w:w="120" w:type="dxa"/>
            <w:vAlign w:val="bottom"/>
          </w:tcPr>
          <w:p>
            <w:pPr>
              <w:spacing w:after="0"/>
              <w:rPr>
                <w:sz w:val="19"/>
                <w:szCs w:val="19"/>
                <w:color w:val="auto"/>
              </w:rPr>
            </w:pPr>
          </w:p>
        </w:tc>
      </w:tr>
      <w:tr>
        <w:trPr>
          <w:trHeight w:val="39"/>
        </w:trPr>
        <w:tc>
          <w:tcPr>
            <w:tcW w:w="49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6"/>
        </w:trPr>
        <w:tc>
          <w:tcPr>
            <w:tcW w:w="4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Shares issued from distribution reinvestment plan</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1,639,165</w:t>
            </w: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1,859,664</w:t>
            </w:r>
          </w:p>
        </w:tc>
        <w:tc>
          <w:tcPr>
            <w:tcW w:w="120" w:type="dxa"/>
            <w:vAlign w:val="bottom"/>
            <w:tcBorders>
              <w:bottom w:val="single" w:sz="8" w:color="CCEEFF"/>
            </w:tcBorders>
            <w:shd w:val="clear" w:color="auto" w:fill="CCEEFF"/>
          </w:tcPr>
          <w:p>
            <w:pPr>
              <w:spacing w:after="0"/>
              <w:rPr>
                <w:sz w:val="23"/>
                <w:szCs w:val="23"/>
                <w:color w:val="auto"/>
              </w:rPr>
            </w:pPr>
          </w:p>
        </w:tc>
      </w:tr>
      <w:tr>
        <w:trPr>
          <w:trHeight w:val="227"/>
        </w:trPr>
        <w:tc>
          <w:tcPr>
            <w:tcW w:w="49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 increase in capital share activity</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14,411,105</w:t>
            </w:r>
          </w:p>
        </w:tc>
        <w:tc>
          <w:tcPr>
            <w:tcW w:w="20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44,025,567</w:t>
            </w:r>
          </w:p>
        </w:tc>
        <w:tc>
          <w:tcPr>
            <w:tcW w:w="120" w:type="dxa"/>
            <w:vAlign w:val="bottom"/>
          </w:tcPr>
          <w:p>
            <w:pPr>
              <w:spacing w:after="0"/>
              <w:rPr>
                <w:sz w:val="19"/>
                <w:szCs w:val="19"/>
                <w:color w:val="auto"/>
              </w:rPr>
            </w:pPr>
          </w:p>
        </w:tc>
      </w:tr>
      <w:tr>
        <w:trPr>
          <w:trHeight w:val="20"/>
        </w:trPr>
        <w:tc>
          <w:tcPr>
            <w:tcW w:w="49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See Accompanying Notes.</w:t>
      </w:r>
    </w:p>
    <w:p>
      <w:pPr>
        <w:sectPr>
          <w:pgSz w:w="11900" w:h="16838" w:orient="portrait"/>
          <w:cols w:equalWidth="0" w:num="1">
            <w:col w:w="9019"/>
          </w:cols>
          <w:pgMar w:left="1440" w:top="262" w:right="1440" w:bottom="1440" w:gutter="0" w:footer="0" w:header="0"/>
          <w:type w:val="continuous"/>
        </w:sectPr>
      </w:pP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22225</wp:posOffset>
            </wp:positionV>
            <wp:extent cx="482473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4824730"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type w:val="continuous"/>
        </w:sectPr>
      </w:pPr>
    </w:p>
    <w:bookmarkStart w:id="32" w:name="page33"/>
    <w:bookmarkEnd w:id="32"/>
    <w:p>
      <w:pPr>
        <w:ind w:left="7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STATEMENT OF CASH FLOWS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56" w:lineRule="exact"/>
        <w:rPr>
          <w:sz w:val="20"/>
          <w:szCs w:val="20"/>
          <w:color w:val="auto"/>
        </w:rPr>
      </w:pPr>
    </w:p>
    <w:tbl>
      <w:tblPr>
        <w:tblLayout w:type="fixed"/>
        <w:tblInd w:w="700" w:type="dxa"/>
        <w:tblCellMar>
          <w:top w:w="0" w:type="dxa"/>
          <w:left w:w="0" w:type="dxa"/>
          <w:bottom w:w="0" w:type="dxa"/>
          <w:right w:w="0" w:type="dxa"/>
        </w:tblCellMar>
      </w:tblPr>
      <w:tr>
        <w:trPr>
          <w:trHeight w:val="190"/>
        </w:trPr>
        <w:tc>
          <w:tcPr>
            <w:tcW w:w="6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right"/>
              <w:ind w:right="81"/>
              <w:spacing w:after="0"/>
              <w:rPr>
                <w:sz w:val="20"/>
                <w:szCs w:val="20"/>
                <w:color w:val="auto"/>
              </w:rPr>
            </w:pPr>
            <w:r>
              <w:rPr>
                <w:rFonts w:ascii="Times New Roman" w:cs="Times New Roman" w:eastAsia="Times New Roman" w:hAnsi="Times New Roman"/>
                <w:sz w:val="15"/>
                <w:szCs w:val="15"/>
                <w:b w:val="1"/>
                <w:bCs w:val="1"/>
                <w:color w:val="auto"/>
              </w:rPr>
              <w:t>Six Months Ended</w:t>
            </w:r>
          </w:p>
        </w:tc>
      </w:tr>
      <w:tr>
        <w:trPr>
          <w:trHeight w:val="201"/>
        </w:trPr>
        <w:tc>
          <w:tcPr>
            <w:tcW w:w="6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right"/>
              <w:ind w:right="21"/>
              <w:spacing w:after="0"/>
              <w:rPr>
                <w:sz w:val="20"/>
                <w:szCs w:val="20"/>
                <w:color w:val="auto"/>
              </w:rPr>
            </w:pPr>
            <w:r>
              <w:rPr>
                <w:rFonts w:ascii="Times New Roman" w:cs="Times New Roman" w:eastAsia="Times New Roman" w:hAnsi="Times New Roman"/>
                <w:sz w:val="15"/>
                <w:szCs w:val="15"/>
                <w:b w:val="1"/>
                <w:bCs w:val="1"/>
                <w:color w:val="auto"/>
              </w:rPr>
              <w:t>September 30, 2022</w:t>
            </w:r>
          </w:p>
        </w:tc>
      </w:tr>
      <w:tr>
        <w:trPr>
          <w:trHeight w:val="43"/>
        </w:trPr>
        <w:tc>
          <w:tcPr>
            <w:tcW w:w="60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r>
        <w:trPr>
          <w:trHeight w:val="239"/>
        </w:trPr>
        <w:tc>
          <w:tcPr>
            <w:tcW w:w="6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r>
      <w:tr>
        <w:trPr>
          <w:trHeight w:val="227"/>
        </w:trPr>
        <w:tc>
          <w:tcPr>
            <w:tcW w:w="6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 decrease in net assets resulting from operations</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(185,440,526)</w:t>
            </w:r>
          </w:p>
        </w:tc>
      </w:tr>
      <w:tr>
        <w:trPr>
          <w:trHeight w:val="39"/>
        </w:trPr>
        <w:tc>
          <w:tcPr>
            <w:tcW w:w="6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186"/>
        </w:trPr>
        <w:tc>
          <w:tcPr>
            <w:tcW w:w="6040" w:type="dxa"/>
            <w:vAlign w:val="bottom"/>
            <w:shd w:val="clear" w:color="auto" w:fill="CCEEFF"/>
          </w:tcPr>
          <w:p>
            <w:pPr>
              <w:ind w:left="180"/>
              <w:spacing w:after="0" w:line="186" w:lineRule="exact"/>
              <w:rPr>
                <w:sz w:val="20"/>
                <w:szCs w:val="20"/>
                <w:color w:val="auto"/>
              </w:rPr>
            </w:pPr>
            <w:r>
              <w:rPr>
                <w:rFonts w:ascii="Times New Roman" w:cs="Times New Roman" w:eastAsia="Times New Roman" w:hAnsi="Times New Roman"/>
                <w:sz w:val="17"/>
                <w:szCs w:val="17"/>
                <w:color w:val="auto"/>
              </w:rPr>
              <w:t>Adjustments to reconcile net decrease in net assets resulting from operations to net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37"/>
        </w:trPr>
        <w:tc>
          <w:tcPr>
            <w:tcW w:w="60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cash used in operating activities:</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r>
      <w:tr>
        <w:trPr>
          <w:trHeight w:val="227"/>
        </w:trPr>
        <w:tc>
          <w:tcPr>
            <w:tcW w:w="60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Accretion of discount on investments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(524,252)</w:t>
            </w:r>
          </w:p>
        </w:tc>
      </w:tr>
      <w:tr>
        <w:trPr>
          <w:trHeight w:val="39"/>
        </w:trPr>
        <w:tc>
          <w:tcPr>
            <w:tcW w:w="6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46"/>
        </w:trPr>
        <w:tc>
          <w:tcPr>
            <w:tcW w:w="60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Amortization of deferred issuance costs on mandatorily redeemable preferred stock</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rPr>
              <w:t>626,007</w:t>
            </w:r>
          </w:p>
        </w:tc>
      </w:tr>
      <w:tr>
        <w:trPr>
          <w:trHeight w:val="227"/>
        </w:trPr>
        <w:tc>
          <w:tcPr>
            <w:tcW w:w="60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Amortization of deferred offering costs on common stock</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41"/>
              <w:spacing w:after="0"/>
              <w:rPr>
                <w:sz w:val="20"/>
                <w:szCs w:val="20"/>
                <w:color w:val="auto"/>
              </w:rPr>
            </w:pPr>
            <w:r>
              <w:rPr>
                <w:rFonts w:ascii="Times New Roman" w:cs="Times New Roman" w:eastAsia="Times New Roman" w:hAnsi="Times New Roman"/>
                <w:sz w:val="17"/>
                <w:szCs w:val="17"/>
                <w:color w:val="auto"/>
              </w:rPr>
              <w:t>45,864</w:t>
            </w:r>
          </w:p>
        </w:tc>
      </w:tr>
      <w:tr>
        <w:trPr>
          <w:trHeight w:val="39"/>
        </w:trPr>
        <w:tc>
          <w:tcPr>
            <w:tcW w:w="6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46"/>
        </w:trPr>
        <w:tc>
          <w:tcPr>
            <w:tcW w:w="60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Amortization of deferred issuance costs on notes payable – unsecured notes</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rPr>
              <w:t>513,802</w:t>
            </w:r>
          </w:p>
        </w:tc>
      </w:tr>
      <w:tr>
        <w:trPr>
          <w:trHeight w:val="227"/>
        </w:trPr>
        <w:tc>
          <w:tcPr>
            <w:tcW w:w="60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Purchases of investments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(361,286,328)</w:t>
            </w:r>
          </w:p>
        </w:tc>
      </w:tr>
      <w:tr>
        <w:trPr>
          <w:trHeight w:val="39"/>
        </w:trPr>
        <w:tc>
          <w:tcPr>
            <w:tcW w:w="6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46"/>
        </w:trPr>
        <w:tc>
          <w:tcPr>
            <w:tcW w:w="60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Sales of investments</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rPr>
              <w:t>34,905,555</w:t>
            </w:r>
          </w:p>
        </w:tc>
      </w:tr>
      <w:tr>
        <w:trPr>
          <w:trHeight w:val="227"/>
        </w:trPr>
        <w:tc>
          <w:tcPr>
            <w:tcW w:w="60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Repayments of principal and reductions to investment cost value</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41"/>
              <w:spacing w:after="0"/>
              <w:rPr>
                <w:sz w:val="20"/>
                <w:szCs w:val="20"/>
                <w:color w:val="auto"/>
              </w:rPr>
            </w:pPr>
            <w:r>
              <w:rPr>
                <w:rFonts w:ascii="Times New Roman" w:cs="Times New Roman" w:eastAsia="Times New Roman" w:hAnsi="Times New Roman"/>
                <w:sz w:val="17"/>
                <w:szCs w:val="17"/>
                <w:color w:val="auto"/>
              </w:rPr>
              <w:t>96,463,578</w:t>
            </w:r>
          </w:p>
        </w:tc>
      </w:tr>
      <w:tr>
        <w:trPr>
          <w:trHeight w:val="39"/>
        </w:trPr>
        <w:tc>
          <w:tcPr>
            <w:tcW w:w="6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46"/>
        </w:trPr>
        <w:tc>
          <w:tcPr>
            <w:tcW w:w="60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Net change in unrealized depreciation on investments</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246,128,160</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27"/>
        </w:trPr>
        <w:tc>
          <w:tcPr>
            <w:tcW w:w="60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Net realized loss on investments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41"/>
              <w:spacing w:after="0"/>
              <w:rPr>
                <w:sz w:val="20"/>
                <w:szCs w:val="20"/>
                <w:color w:val="auto"/>
              </w:rPr>
            </w:pPr>
            <w:r>
              <w:rPr>
                <w:rFonts w:ascii="Times New Roman" w:cs="Times New Roman" w:eastAsia="Times New Roman" w:hAnsi="Times New Roman"/>
                <w:sz w:val="17"/>
                <w:szCs w:val="17"/>
                <w:color w:val="auto"/>
              </w:rPr>
              <w:t>14,023,385</w:t>
            </w:r>
          </w:p>
        </w:tc>
      </w:tr>
      <w:tr>
        <w:trPr>
          <w:trHeight w:val="39"/>
        </w:trPr>
        <w:tc>
          <w:tcPr>
            <w:tcW w:w="6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46"/>
        </w:trPr>
        <w:tc>
          <w:tcPr>
            <w:tcW w:w="60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Net reductions to CLO equity and related investment cost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rPr>
              <w:t>74,602,099</w:t>
            </w:r>
          </w:p>
        </w:tc>
      </w:tr>
      <w:tr>
        <w:trPr>
          <w:trHeight w:val="227"/>
        </w:trPr>
        <w:tc>
          <w:tcPr>
            <w:tcW w:w="60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Decrease in distributions receivable</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7,925,144</w:t>
            </w:r>
          </w:p>
        </w:tc>
        <w:tc>
          <w:tcPr>
            <w:tcW w:w="120" w:type="dxa"/>
            <w:vAlign w:val="bottom"/>
          </w:tcPr>
          <w:p>
            <w:pPr>
              <w:spacing w:after="0"/>
              <w:rPr>
                <w:sz w:val="19"/>
                <w:szCs w:val="19"/>
                <w:color w:val="auto"/>
              </w:rPr>
            </w:pPr>
          </w:p>
        </w:tc>
      </w:tr>
      <w:tr>
        <w:trPr>
          <w:trHeight w:val="39"/>
        </w:trPr>
        <w:tc>
          <w:tcPr>
            <w:tcW w:w="6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46"/>
        </w:trPr>
        <w:tc>
          <w:tcPr>
            <w:tcW w:w="60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Decrease in fee receivable</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rPr>
              <w:t>31,791</w:t>
            </w:r>
          </w:p>
        </w:tc>
      </w:tr>
      <w:tr>
        <w:trPr>
          <w:trHeight w:val="227"/>
        </w:trPr>
        <w:tc>
          <w:tcPr>
            <w:tcW w:w="60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Increase in interest receivable</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(624,771)</w:t>
            </w:r>
          </w:p>
        </w:tc>
      </w:tr>
      <w:tr>
        <w:trPr>
          <w:trHeight w:val="39"/>
        </w:trPr>
        <w:tc>
          <w:tcPr>
            <w:tcW w:w="6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46"/>
        </w:trPr>
        <w:tc>
          <w:tcPr>
            <w:tcW w:w="60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Decrease in prepaid expenses and other assets</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rPr>
              <w:t>226,541</w:t>
            </w:r>
          </w:p>
        </w:tc>
      </w:tr>
      <w:tr>
        <w:trPr>
          <w:trHeight w:val="227"/>
        </w:trPr>
        <w:tc>
          <w:tcPr>
            <w:tcW w:w="60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Decrease in base management fee payable</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(380,166)</w:t>
            </w:r>
          </w:p>
        </w:tc>
      </w:tr>
      <w:tr>
        <w:trPr>
          <w:trHeight w:val="39"/>
        </w:trPr>
        <w:tc>
          <w:tcPr>
            <w:tcW w:w="6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46"/>
        </w:trPr>
        <w:tc>
          <w:tcPr>
            <w:tcW w:w="60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Increase in incentive fee payable</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rPr>
              <w:t>887,579</w:t>
            </w:r>
          </w:p>
        </w:tc>
      </w:tr>
      <w:tr>
        <w:trPr>
          <w:trHeight w:val="227"/>
        </w:trPr>
        <w:tc>
          <w:tcPr>
            <w:tcW w:w="60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Increase in interest payable</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41"/>
              <w:spacing w:after="0"/>
              <w:rPr>
                <w:sz w:val="20"/>
                <w:szCs w:val="20"/>
                <w:color w:val="auto"/>
              </w:rPr>
            </w:pPr>
            <w:r>
              <w:rPr>
                <w:rFonts w:ascii="Times New Roman" w:cs="Times New Roman" w:eastAsia="Times New Roman" w:hAnsi="Times New Roman"/>
                <w:sz w:val="17"/>
                <w:szCs w:val="17"/>
                <w:color w:val="auto"/>
              </w:rPr>
              <w:t>2</w:t>
            </w:r>
          </w:p>
        </w:tc>
      </w:tr>
      <w:tr>
        <w:trPr>
          <w:trHeight w:val="39"/>
        </w:trPr>
        <w:tc>
          <w:tcPr>
            <w:tcW w:w="6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46"/>
        </w:trPr>
        <w:tc>
          <w:tcPr>
            <w:tcW w:w="60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Decrease in administrator expense payable</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(21,873)</w:t>
            </w:r>
          </w:p>
        </w:tc>
      </w:tr>
      <w:tr>
        <w:trPr>
          <w:trHeight w:val="227"/>
        </w:trPr>
        <w:tc>
          <w:tcPr>
            <w:tcW w:w="60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Increase in accrued offering costs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41"/>
              <w:spacing w:after="0"/>
              <w:rPr>
                <w:sz w:val="20"/>
                <w:szCs w:val="20"/>
                <w:color w:val="auto"/>
              </w:rPr>
            </w:pPr>
            <w:r>
              <w:rPr>
                <w:rFonts w:ascii="Times New Roman" w:cs="Times New Roman" w:eastAsia="Times New Roman" w:hAnsi="Times New Roman"/>
                <w:sz w:val="17"/>
                <w:szCs w:val="17"/>
                <w:color w:val="auto"/>
              </w:rPr>
              <w:t>10,000</w:t>
            </w:r>
          </w:p>
        </w:tc>
      </w:tr>
      <w:tr>
        <w:trPr>
          <w:trHeight w:val="39"/>
        </w:trPr>
        <w:tc>
          <w:tcPr>
            <w:tcW w:w="6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6"/>
        </w:trPr>
        <w:tc>
          <w:tcPr>
            <w:tcW w:w="60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Increase in accrued expenses</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rPr>
              <w:t>333,116</w:t>
            </w:r>
          </w:p>
        </w:tc>
      </w:tr>
      <w:tr>
        <w:trPr>
          <w:trHeight w:val="220"/>
        </w:trPr>
        <w:tc>
          <w:tcPr>
            <w:tcW w:w="6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(71,555,293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6"/>
        </w:trPr>
        <w:tc>
          <w:tcPr>
            <w:tcW w:w="60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39"/>
        </w:trPr>
        <w:tc>
          <w:tcPr>
            <w:tcW w:w="6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r>
      <w:tr>
        <w:trPr>
          <w:trHeight w:val="227"/>
        </w:trPr>
        <w:tc>
          <w:tcPr>
            <w:tcW w:w="6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Distributions paid (net of reinvestment of distributions of $9,535,639)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(58,583,393)</w:t>
            </w:r>
          </w:p>
        </w:tc>
      </w:tr>
      <w:tr>
        <w:trPr>
          <w:trHeight w:val="39"/>
        </w:trPr>
        <w:tc>
          <w:tcPr>
            <w:tcW w:w="6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46"/>
        </w:trPr>
        <w:tc>
          <w:tcPr>
            <w:tcW w:w="6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Proceeds from the issuance of common stock</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7"/>
                <w:szCs w:val="17"/>
                <w:color w:val="auto"/>
              </w:rPr>
              <w:t>80,854,014</w:t>
            </w:r>
          </w:p>
        </w:tc>
      </w:tr>
      <w:tr>
        <w:trPr>
          <w:trHeight w:val="227"/>
        </w:trPr>
        <w:tc>
          <w:tcPr>
            <w:tcW w:w="6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Underwriting fees and offering costs for the issuance of common stock</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(747,713)</w:t>
            </w:r>
          </w:p>
        </w:tc>
      </w:tr>
      <w:tr>
        <w:trPr>
          <w:trHeight w:val="39"/>
        </w:trPr>
        <w:tc>
          <w:tcPr>
            <w:tcW w:w="6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46"/>
        </w:trPr>
        <w:tc>
          <w:tcPr>
            <w:tcW w:w="6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Payment of deferred issuance costs – notes payable</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(47,445)</w:t>
            </w:r>
          </w:p>
        </w:tc>
      </w:tr>
      <w:tr>
        <w:trPr>
          <w:trHeight w:val="227"/>
        </w:trPr>
        <w:tc>
          <w:tcPr>
            <w:tcW w:w="6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Proceeds from the issuance of mandatorily redeemable preferred stock</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41"/>
              <w:spacing w:after="0"/>
              <w:rPr>
                <w:sz w:val="20"/>
                <w:szCs w:val="20"/>
                <w:color w:val="auto"/>
              </w:rPr>
            </w:pPr>
            <w:r>
              <w:rPr>
                <w:rFonts w:ascii="Times New Roman" w:cs="Times New Roman" w:eastAsia="Times New Roman" w:hAnsi="Times New Roman"/>
                <w:sz w:val="17"/>
                <w:szCs w:val="17"/>
                <w:color w:val="auto"/>
              </w:rPr>
              <w:t>63,750,000</w:t>
            </w:r>
          </w:p>
        </w:tc>
      </w:tr>
      <w:tr>
        <w:trPr>
          <w:trHeight w:val="39"/>
        </w:trPr>
        <w:tc>
          <w:tcPr>
            <w:tcW w:w="6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6"/>
        </w:trPr>
        <w:tc>
          <w:tcPr>
            <w:tcW w:w="6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Deferred issuance costs for the issuance of mandatorily redeemable preferred stock</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(2,354,574)</w:t>
            </w:r>
          </w:p>
        </w:tc>
      </w:tr>
      <w:tr>
        <w:trPr>
          <w:trHeight w:val="220"/>
        </w:trPr>
        <w:tc>
          <w:tcPr>
            <w:tcW w:w="6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82,870,889</w:t>
            </w:r>
          </w:p>
        </w:tc>
        <w:tc>
          <w:tcPr>
            <w:tcW w:w="120" w:type="dxa"/>
            <w:vAlign w:val="bottom"/>
          </w:tcPr>
          <w:p>
            <w:pPr>
              <w:spacing w:after="0"/>
              <w:rPr>
                <w:sz w:val="19"/>
                <w:szCs w:val="19"/>
                <w:color w:val="auto"/>
              </w:rPr>
            </w:pPr>
          </w:p>
        </w:tc>
      </w:tr>
      <w:tr>
        <w:trPr>
          <w:trHeight w:val="26"/>
        </w:trPr>
        <w:tc>
          <w:tcPr>
            <w:tcW w:w="60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59"/>
        </w:trPr>
        <w:tc>
          <w:tcPr>
            <w:tcW w:w="6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bl>
    <w:p>
      <w:pPr>
        <w:spacing w:after="0" w:line="9" w:lineRule="exact"/>
        <w:rPr>
          <w:sz w:val="20"/>
          <w:szCs w:val="20"/>
          <w:color w:val="auto"/>
        </w:rPr>
      </w:pPr>
    </w:p>
    <w:p>
      <w:pPr>
        <w:sectPr>
          <w:pgSz w:w="11900" w:h="16838" w:orient="portrait"/>
          <w:cols w:equalWidth="0" w:num="1">
            <w:col w:w="9019"/>
          </w:cols>
          <w:pgMar w:left="1440" w:top="262" w:right="1440" w:bottom="1440" w:gutter="0" w:footer="0" w:header="0"/>
        </w:sectPr>
      </w:pPr>
    </w:p>
    <w:p>
      <w:pPr>
        <w:ind w:left="700"/>
        <w:spacing w:after="0"/>
        <w:rPr>
          <w:sz w:val="20"/>
          <w:szCs w:val="20"/>
          <w:color w:val="auto"/>
        </w:rPr>
      </w:pPr>
      <w:r>
        <w:rPr>
          <w:rFonts w:ascii="Times New Roman" w:cs="Times New Roman" w:eastAsia="Times New Roman" w:hAnsi="Times New Roman"/>
          <w:sz w:val="17"/>
          <w:szCs w:val="17"/>
          <w:color w:val="auto"/>
        </w:rPr>
        <w:t>Net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39370</wp:posOffset>
            </wp:positionV>
            <wp:extent cx="4824730" cy="16891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4824730" cy="168910"/>
                    </a:xfrm>
                    <a:prstGeom prst="rect">
                      <a:avLst/>
                    </a:prstGeom>
                    <a:noFill/>
                  </pic:spPr>
                </pic:pic>
              </a:graphicData>
            </a:graphic>
          </wp:anchor>
        </w:drawing>
      </w:r>
    </w:p>
    <w:p>
      <w:pPr>
        <w:spacing w:after="0" w:line="5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p>
      <w:pPr>
        <w:spacing w:after="0" w:line="8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Cash and cash equivalents,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39370</wp:posOffset>
            </wp:positionV>
            <wp:extent cx="4824730" cy="18478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4824730" cy="1847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839"/>
        <w:spacing w:after="0"/>
        <w:rPr>
          <w:sz w:val="20"/>
          <w:szCs w:val="20"/>
          <w:color w:val="auto"/>
        </w:rPr>
      </w:pPr>
      <w:r>
        <w:rPr>
          <w:rFonts w:ascii="Times New Roman" w:cs="Times New Roman" w:eastAsia="Times New Roman" w:hAnsi="Times New Roman"/>
          <w:sz w:val="17"/>
          <w:szCs w:val="17"/>
          <w:color w:val="auto"/>
        </w:rPr>
        <w:t>11,315,596</w:t>
      </w:r>
    </w:p>
    <w:p>
      <w:pPr>
        <w:spacing w:after="0" w:line="83" w:lineRule="exact"/>
        <w:rPr>
          <w:sz w:val="20"/>
          <w:szCs w:val="20"/>
          <w:color w:val="auto"/>
        </w:rPr>
      </w:pPr>
    </w:p>
    <w:p>
      <w:pPr>
        <w:jc w:val="right"/>
        <w:ind w:right="839"/>
        <w:spacing w:after="0"/>
        <w:rPr>
          <w:sz w:val="20"/>
          <w:szCs w:val="20"/>
          <w:color w:val="auto"/>
        </w:rPr>
      </w:pPr>
      <w:r>
        <w:rPr>
          <w:rFonts w:ascii="Times New Roman" w:cs="Times New Roman" w:eastAsia="Times New Roman" w:hAnsi="Times New Roman"/>
          <w:sz w:val="17"/>
          <w:szCs w:val="17"/>
          <w:color w:val="auto"/>
        </w:rPr>
        <w:t>34,672,822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31115</wp:posOffset>
            </wp:positionV>
            <wp:extent cx="86042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60425" cy="8255"/>
                    </a:xfrm>
                    <a:prstGeom prst="rect">
                      <a:avLst/>
                    </a:prstGeom>
                    <a:noFill/>
                  </pic:spPr>
                </pic:pic>
              </a:graphicData>
            </a:graphic>
          </wp:anchor>
        </w:drawing>
      </w:r>
    </w:p>
    <w:p>
      <w:pPr>
        <w:spacing w:after="0" w:line="50" w:lineRule="exact"/>
        <w:rPr>
          <w:sz w:val="20"/>
          <w:szCs w:val="20"/>
          <w:color w:val="auto"/>
        </w:rPr>
      </w:pPr>
    </w:p>
    <w:p>
      <w:pPr>
        <w:ind w:left="600" w:hanging="599"/>
        <w:spacing w:after="0"/>
        <w:tabs>
          <w:tab w:leader="none" w:pos="6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45,988,418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30480</wp:posOffset>
            </wp:positionV>
            <wp:extent cx="86042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6042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100" w:space="720"/>
            <w:col w:w="2199"/>
          </w:cols>
          <w:pgMar w:left="1440" w:top="262" w:right="1440" w:bottom="1440" w:gutter="0" w:footer="0" w:header="0"/>
          <w:type w:val="continuous"/>
        </w:sectPr>
      </w:pPr>
    </w:p>
    <w:p>
      <w:pPr>
        <w:spacing w:after="0" w:line="161" w:lineRule="exact"/>
        <w:rPr>
          <w:sz w:val="20"/>
          <w:szCs w:val="20"/>
          <w:color w:val="auto"/>
        </w:rPr>
      </w:pPr>
    </w:p>
    <w:tbl>
      <w:tblPr>
        <w:tblLayout w:type="fixed"/>
        <w:tblInd w:w="700" w:type="dxa"/>
        <w:tblCellMar>
          <w:top w:w="0" w:type="dxa"/>
          <w:left w:w="0" w:type="dxa"/>
          <w:bottom w:w="0" w:type="dxa"/>
          <w:right w:w="0" w:type="dxa"/>
        </w:tblCellMar>
      </w:tblPr>
      <w:tr>
        <w:trPr>
          <w:trHeight w:val="218"/>
        </w:trPr>
        <w:tc>
          <w:tcPr>
            <w:tcW w:w="5480" w:type="dxa"/>
            <w:vAlign w:val="bottom"/>
          </w:tcPr>
          <w:p>
            <w:pPr>
              <w:spacing w:after="0"/>
              <w:rPr>
                <w:sz w:val="20"/>
                <w:szCs w:val="20"/>
                <w:color w:val="auto"/>
              </w:rPr>
            </w:pPr>
            <w:r>
              <w:rPr>
                <w:rFonts w:ascii="Times New Roman" w:cs="Times New Roman" w:eastAsia="Times New Roman" w:hAnsi="Times New Roman"/>
                <w:sz w:val="17"/>
                <w:szCs w:val="17"/>
                <w:color w:val="auto"/>
              </w:rPr>
              <w:t>SUPPLEMENTAL DISCLOSURES</w:t>
            </w: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9"/>
        </w:trPr>
        <w:tc>
          <w:tcPr>
            <w:tcW w:w="54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46"/>
        </w:trPr>
        <w:tc>
          <w:tcPr>
            <w:tcW w:w="5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Cash paid for interest</w:t>
            </w:r>
          </w:p>
        </w:tc>
        <w:tc>
          <w:tcPr>
            <w:tcW w:w="980" w:type="dxa"/>
            <w:vAlign w:val="bottom"/>
            <w:tcBorders>
              <w:bottom w:val="single" w:sz="8" w:color="CCEEFF"/>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14,242,731</w:t>
            </w:r>
          </w:p>
        </w:tc>
      </w:tr>
      <w:tr>
        <w:trPr>
          <w:trHeight w:val="227"/>
        </w:trPr>
        <w:tc>
          <w:tcPr>
            <w:tcW w:w="54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Cash paid for excise taxes</w:t>
            </w:r>
          </w:p>
        </w:tc>
        <w:tc>
          <w:tcPr>
            <w:tcW w:w="98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3,977,912</w:t>
            </w:r>
          </w:p>
        </w:tc>
      </w:tr>
      <w:tr>
        <w:trPr>
          <w:trHeight w:val="39"/>
        </w:trPr>
        <w:tc>
          <w:tcPr>
            <w:tcW w:w="54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46"/>
        </w:trPr>
        <w:tc>
          <w:tcPr>
            <w:tcW w:w="5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NON-CASH ACTIVITIES</w:t>
            </w:r>
          </w:p>
        </w:tc>
        <w:tc>
          <w:tcPr>
            <w:tcW w:w="9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27"/>
        </w:trPr>
        <w:tc>
          <w:tcPr>
            <w:tcW w:w="54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Value of shares issued in connection with dividend reinvestment plan</w:t>
            </w:r>
          </w:p>
        </w:tc>
        <w:tc>
          <w:tcPr>
            <w:tcW w:w="98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9,535,639</w:t>
            </w:r>
          </w:p>
        </w:tc>
      </w:tr>
      <w:tr>
        <w:trPr>
          <w:trHeight w:val="39"/>
        </w:trPr>
        <w:tc>
          <w:tcPr>
            <w:tcW w:w="54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27"/>
        </w:trPr>
        <w:tc>
          <w:tcPr>
            <w:tcW w:w="5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Cost of securities purchased not settled</w:t>
            </w:r>
          </w:p>
        </w:tc>
        <w:tc>
          <w:tcPr>
            <w:tcW w:w="98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29,402,588</w:t>
            </w:r>
          </w:p>
        </w:tc>
      </w:tr>
      <w:tr>
        <w:trPr>
          <w:trHeight w:val="39"/>
        </w:trPr>
        <w:tc>
          <w:tcPr>
            <w:tcW w:w="548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See Accompanying Notes.</w:t>
      </w:r>
    </w:p>
    <w:p>
      <w:pPr>
        <w:sectPr>
          <w:pgSz w:w="11900" w:h="16838" w:orient="portrait"/>
          <w:cols w:equalWidth="0" w:num="1">
            <w:col w:w="9019"/>
          </w:cols>
          <w:pgMar w:left="1440" w:top="262" w:right="1440" w:bottom="1440" w:gutter="0" w:footer="0" w:header="0"/>
          <w:type w:val="continuous"/>
        </w:sectPr>
      </w:pP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22225</wp:posOffset>
            </wp:positionV>
            <wp:extent cx="482473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4824730"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type w:val="continuous"/>
        </w:sectPr>
      </w:pPr>
    </w:p>
    <w:bookmarkStart w:id="33" w:name="page34"/>
    <w:bookmarkEnd w:id="33"/>
    <w:p>
      <w:pPr>
        <w:ind w:left="7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SEPTEMBER 30, 2022</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NOTE 1. UNAUDITED INTERIM FINANCIAL STATEMENTS</w:t>
      </w:r>
    </w:p>
    <w:p>
      <w:pPr>
        <w:spacing w:after="0" w:line="13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7"/>
          <w:szCs w:val="17"/>
          <w:color w:val="auto"/>
        </w:rPr>
        <w:t>Interim financial statements of Oxford Lane Capital Corp. (“OXLC,” “we,” “us,” “our,” or the “Fund”)</w:t>
      </w:r>
    </w:p>
    <w:p>
      <w:pPr>
        <w:spacing w:after="0" w:line="2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are prepared in accordance with generally accepted accounting principles in the United States of America</w:t>
      </w:r>
    </w:p>
    <w:p>
      <w:pPr>
        <w:spacing w:after="0" w:line="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(“GAAP”) for interim financial information and pursuant to the requirements for reporting on Form N-</w:t>
      </w:r>
    </w:p>
    <w:p>
      <w:pPr>
        <w:spacing w:after="0" w:line="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CSR. Accordingly, certain disclosures accompanying annual financial statements prepared in accordance with</w:t>
      </w:r>
    </w:p>
    <w:p>
      <w:pPr>
        <w:spacing w:after="0" w:line="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GAAP are omitted. In the opinion of management, all adjustments, consisting of normal recurring accruals,</w:t>
      </w:r>
    </w:p>
    <w:p>
      <w:pPr>
        <w:spacing w:after="0" w:line="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necessary for the fair statement of financial results for the interim periods have been included. The current</w:t>
      </w:r>
    </w:p>
    <w:p>
      <w:pPr>
        <w:spacing w:after="0" w:line="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period’s results of operations are not necessarily indicative of results that may be achieved for the year. The</w:t>
      </w:r>
    </w:p>
    <w:p>
      <w:pPr>
        <w:spacing w:after="0" w:line="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interim financial statements and notes thereto should be read in conjunction with the financial statements and</w:t>
      </w:r>
    </w:p>
    <w:p>
      <w:pPr>
        <w:spacing w:after="0" w:line="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notes thereto included in the Fund’s Form N-CSR for the year ended March 31, 2022, as filed with the</w:t>
      </w:r>
    </w:p>
    <w:p>
      <w:pPr>
        <w:spacing w:after="0" w:line="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Securities and Exchange Commission (“SEC”).</w:t>
      </w:r>
    </w:p>
    <w:p>
      <w:pPr>
        <w:spacing w:after="0" w:line="1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NOTE 2. ORGANIZATION</w:t>
      </w:r>
    </w:p>
    <w:p>
      <w:pPr>
        <w:spacing w:after="0" w:line="150" w:lineRule="exact"/>
        <w:rPr>
          <w:sz w:val="20"/>
          <w:szCs w:val="20"/>
          <w:color w:val="auto"/>
        </w:rPr>
      </w:pPr>
    </w:p>
    <w:p>
      <w:pPr>
        <w:ind w:left="700" w:right="779" w:firstLine="405"/>
        <w:spacing w:after="0" w:line="250" w:lineRule="auto"/>
        <w:rPr>
          <w:sz w:val="20"/>
          <w:szCs w:val="20"/>
          <w:color w:val="auto"/>
        </w:rPr>
      </w:pPr>
      <w:r>
        <w:rPr>
          <w:rFonts w:ascii="Times New Roman" w:cs="Times New Roman" w:eastAsia="Times New Roman" w:hAnsi="Times New Roman"/>
          <w:sz w:val="17"/>
          <w:szCs w:val="17"/>
          <w:color w:val="auto"/>
        </w:rPr>
        <w:t>The Fund was incorporated under the General Corporation Laws of the State of Maryland on June 9, 2010. The Fund is a diversified closed-end management investment company that has registered under the Investment Company Act of 1940, as amended (the “1940 Act”). In addition, the Fund has elected to be treated for tax purposes as a regulated investment company (“RIC”) under Subchapter M of the Internal Revenue Code of 1986, as amended (the “Code”). The Fund’s investment objective is to maximize its portfolio’s risk adjusted total return, and it currently seeks to achieve its investment objective by investing in structured finance investments, specifically the equity and junior debt tranches of collateralized loan obligation (“CLO”) vehicles, which are collateralized primarily by a diverse portfolio of senior secured loans made to companies whose debt is unrated or is rated below investment grade (the “Senior Loans”). The Fund’s investment activities are managed by Oxford Lane Management, LLC (“Oxford Lane Management”), a registered investment adviser under the Investment Advisers Act of 1940, as amended (the “Advisers Act”). Oxford Funds, LLC (“Oxford Funds”), is the managing member of Oxford Lane Management and serves as the administrator of the Fund. Under the investment advisory agreement with Oxford Lane Management (the “Investment Advisory Agreement”), the Fund has agreed to pay Oxford Lane Management an annual base management fee based on gross assets as well as an incentive fee based on its performance. For further detail please refer to “Note 5. Related Party Transactions.”</w:t>
      </w:r>
    </w:p>
    <w:p>
      <w:pPr>
        <w:spacing w:after="0" w:line="18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NOTE 3. SUMMARY OF SIGNIFICANT ACCOUNTING POLICIES</w:t>
      </w:r>
    </w:p>
    <w:p>
      <w:pPr>
        <w:spacing w:after="0" w:line="21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BASIS OF PRESENTATION</w:t>
      </w:r>
    </w:p>
    <w:p>
      <w:pPr>
        <w:spacing w:after="0" w:line="150" w:lineRule="exact"/>
        <w:rPr>
          <w:sz w:val="20"/>
          <w:szCs w:val="20"/>
          <w:color w:val="auto"/>
        </w:rPr>
      </w:pPr>
    </w:p>
    <w:p>
      <w:pPr>
        <w:ind w:left="700" w:right="759" w:firstLine="405"/>
        <w:spacing w:after="0" w:line="255" w:lineRule="auto"/>
        <w:rPr>
          <w:sz w:val="20"/>
          <w:szCs w:val="20"/>
          <w:color w:val="auto"/>
        </w:rPr>
      </w:pPr>
      <w:r>
        <w:rPr>
          <w:rFonts w:ascii="Times New Roman" w:cs="Times New Roman" w:eastAsia="Times New Roman" w:hAnsi="Times New Roman"/>
          <w:sz w:val="17"/>
          <w:szCs w:val="17"/>
          <w:color w:val="auto"/>
        </w:rPr>
        <w:t xml:space="preserve">The accompanying financial statements, which have been prepared in accordance with GAAP, include the accounts of the Fund. The Fund follows the accounting and reporting guidance in Financial Accounting Standards Board (“FASB”) Accounting Standards Codification (“ASC”) Topic 946, </w:t>
      </w:r>
      <w:r>
        <w:rPr>
          <w:rFonts w:ascii="Times New Roman" w:cs="Times New Roman" w:eastAsia="Times New Roman" w:hAnsi="Times New Roman"/>
          <w:sz w:val="17"/>
          <w:szCs w:val="17"/>
          <w:i w:val="1"/>
          <w:iCs w:val="1"/>
          <w:color w:val="auto"/>
        </w:rPr>
        <w:t>Financial</w:t>
      </w:r>
    </w:p>
    <w:p>
      <w:pPr>
        <w:spacing w:after="0" w:line="1" w:lineRule="exact"/>
        <w:rPr>
          <w:sz w:val="20"/>
          <w:szCs w:val="20"/>
          <w:color w:val="auto"/>
        </w:rPr>
      </w:pPr>
    </w:p>
    <w:p>
      <w:pPr>
        <w:ind w:left="700" w:right="939"/>
        <w:spacing w:after="0" w:line="253" w:lineRule="auto"/>
        <w:rPr>
          <w:sz w:val="20"/>
          <w:szCs w:val="20"/>
          <w:color w:val="auto"/>
        </w:rPr>
      </w:pPr>
      <w:r>
        <w:rPr>
          <w:rFonts w:ascii="Times New Roman" w:cs="Times New Roman" w:eastAsia="Times New Roman" w:hAnsi="Times New Roman"/>
          <w:sz w:val="17"/>
          <w:szCs w:val="17"/>
          <w:i w:val="1"/>
          <w:iCs w:val="1"/>
          <w:color w:val="auto"/>
        </w:rPr>
        <w:t>Services — Investment Companies</w:t>
      </w:r>
      <w:r>
        <w:rPr>
          <w:rFonts w:ascii="Times New Roman" w:cs="Times New Roman" w:eastAsia="Times New Roman" w:hAnsi="Times New Roman"/>
          <w:sz w:val="17"/>
          <w:szCs w:val="17"/>
          <w:color w:val="auto"/>
        </w:rPr>
        <w:t>. Certain prior period figures have been reclassified from those originally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published on Form N-CSR to conform to the current period presentation for comparative purposes. The Fund maintains its accounting records in U.S. dollars.</w:t>
      </w:r>
    </w:p>
    <w:p>
      <w:pPr>
        <w:spacing w:after="0" w:line="1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USE OF ESTIMATES</w:t>
      </w:r>
    </w:p>
    <w:p>
      <w:pPr>
        <w:spacing w:after="0" w:line="138" w:lineRule="exact"/>
        <w:rPr>
          <w:sz w:val="20"/>
          <w:szCs w:val="20"/>
          <w:color w:val="auto"/>
        </w:rPr>
      </w:pPr>
    </w:p>
    <w:p>
      <w:pPr>
        <w:ind w:left="700" w:right="799" w:firstLine="405"/>
        <w:spacing w:after="0" w:line="262" w:lineRule="auto"/>
        <w:rPr>
          <w:sz w:val="20"/>
          <w:szCs w:val="20"/>
          <w:color w:val="auto"/>
        </w:rPr>
      </w:pPr>
      <w:r>
        <w:rPr>
          <w:rFonts w:ascii="Times New Roman" w:cs="Times New Roman" w:eastAsia="Times New Roman" w:hAnsi="Times New Roman"/>
          <w:sz w:val="17"/>
          <w:szCs w:val="17"/>
          <w:color w:val="auto"/>
        </w:rPr>
        <w:t>The financial statements have been prepared in accordance with GAAP, which requires management to make estimates and assumptions that affect the amounts reported in the financial statements and accompanying notes. Actual results may differ from those estimates and such differences could be material.</w:t>
      </w:r>
    </w:p>
    <w:p>
      <w:pPr>
        <w:spacing w:after="0" w:line="107" w:lineRule="exact"/>
        <w:rPr>
          <w:sz w:val="20"/>
          <w:szCs w:val="20"/>
          <w:color w:val="auto"/>
        </w:rPr>
      </w:pPr>
    </w:p>
    <w:p>
      <w:pPr>
        <w:ind w:left="700" w:right="1039" w:firstLine="405"/>
        <w:spacing w:after="0" w:line="258" w:lineRule="auto"/>
        <w:rPr>
          <w:sz w:val="20"/>
          <w:szCs w:val="20"/>
          <w:color w:val="auto"/>
        </w:rPr>
      </w:pPr>
      <w:r>
        <w:rPr>
          <w:rFonts w:ascii="Times New Roman" w:cs="Times New Roman" w:eastAsia="Times New Roman" w:hAnsi="Times New Roman"/>
          <w:sz w:val="17"/>
          <w:szCs w:val="17"/>
          <w:color w:val="auto"/>
        </w:rPr>
        <w:t>In the normal course of business, the Fund may enter into contracts that contain a variety of representations and provide indemnifications. The Fund’s maximum exposure under these arrangements is unknown as this would involve future claims that may be made against the Fund that have not yet occurred. However, based upon experience, the Fund expects the risk of loss to be remote.</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15240</wp:posOffset>
            </wp:positionV>
            <wp:extent cx="482473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4824730"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34" w:name="page35"/>
    <w:bookmarkEnd w:id="34"/>
    <w:p>
      <w:pPr>
        <w:ind w:left="7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SEPTEMBER 30, 2022</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 xml:space="preserve">NOTE 3. SUMMARY OF SIGNIFICANT ACCOUNTING POLICIES </w:t>
      </w:r>
      <w:r>
        <w:rPr>
          <w:rFonts w:ascii="Times New Roman" w:cs="Times New Roman" w:eastAsia="Times New Roman" w:hAnsi="Times New Roman"/>
          <w:sz w:val="17"/>
          <w:szCs w:val="17"/>
          <w:color w:val="auto"/>
        </w:rPr>
        <w:t>(cont.)</w:t>
      </w:r>
    </w:p>
    <w:p>
      <w:pPr>
        <w:spacing w:after="0" w:line="21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CASH EQUIVALENTS</w:t>
      </w:r>
    </w:p>
    <w:p>
      <w:pPr>
        <w:spacing w:after="0" w:line="138" w:lineRule="exact"/>
        <w:rPr>
          <w:sz w:val="20"/>
          <w:szCs w:val="20"/>
          <w:color w:val="auto"/>
        </w:rPr>
      </w:pPr>
    </w:p>
    <w:p>
      <w:pPr>
        <w:ind w:left="700" w:right="739" w:firstLine="405"/>
        <w:spacing w:after="0" w:line="273" w:lineRule="auto"/>
        <w:rPr>
          <w:sz w:val="20"/>
          <w:szCs w:val="20"/>
          <w:color w:val="auto"/>
        </w:rPr>
      </w:pPr>
      <w:r>
        <w:rPr>
          <w:rFonts w:ascii="Times New Roman" w:cs="Times New Roman" w:eastAsia="Times New Roman" w:hAnsi="Times New Roman"/>
          <w:sz w:val="16"/>
          <w:szCs w:val="16"/>
          <w:color w:val="auto"/>
        </w:rPr>
        <w:t>Cash and cash equivalents consist of deposits held at custodian banks, and highly liquid investments, such as money market funds, which contain investments with original maturities of three months or less. The Fund places its cash equivalents with financial institutions, and, at times, cash held in bank accounts may exceed the Federal Deposit Insurance Corporation (“FDIC”) insured limit. Cash equivalents are classified as Level 1 assets and are included on the Fund’s Schedule of Investments. Cash equivalents are carried at cost or amortized cost which approximates fair value, and investments held in money market funds are valued at NAV per share.</w:t>
      </w:r>
    </w:p>
    <w:p>
      <w:pPr>
        <w:spacing w:after="0" w:line="15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INVESTMENT VALUATION</w:t>
      </w:r>
    </w:p>
    <w:p>
      <w:pPr>
        <w:spacing w:after="0" w:line="15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7"/>
          <w:szCs w:val="17"/>
          <w:color w:val="auto"/>
        </w:rPr>
        <w:t>The Fund determines the fair values of its investment portfolio in accordance with the provisions of</w:t>
      </w:r>
    </w:p>
    <w:p>
      <w:pPr>
        <w:spacing w:after="0" w:line="23" w:lineRule="exact"/>
        <w:rPr>
          <w:sz w:val="20"/>
          <w:szCs w:val="20"/>
          <w:color w:val="auto"/>
        </w:rPr>
      </w:pPr>
    </w:p>
    <w:p>
      <w:pPr>
        <w:ind w:left="700" w:right="719"/>
        <w:spacing w:after="0" w:line="250" w:lineRule="auto"/>
        <w:rPr>
          <w:sz w:val="20"/>
          <w:szCs w:val="20"/>
          <w:color w:val="auto"/>
        </w:rPr>
      </w:pPr>
      <w:r>
        <w:rPr>
          <w:rFonts w:ascii="Times New Roman" w:cs="Times New Roman" w:eastAsia="Times New Roman" w:hAnsi="Times New Roman"/>
          <w:sz w:val="17"/>
          <w:szCs w:val="17"/>
          <w:color w:val="auto"/>
        </w:rPr>
        <w:t>ASC 820, Fair Value Measurement (“ASC 820-10”) and Rule 2a-5 under the 1940 Act (“Rule 2a-5”). Estimates made in the preparation of the Fund’s financial statements include the valuation of investments and the related amounts of unrealized appreciation and depreciation of investments recorded. The Fund believes that there is no single definitive method for determining fair value in good faith. As a result, determining fair value requires that judgment be applied to the specific facts and circumstances of each portfolio investment while employing a consistently applied valuation process for the types of investments the Fund makes. The Fund is required to specifically fair value each individual investment on a quarterly basis.</w:t>
      </w:r>
    </w:p>
    <w:p>
      <w:pPr>
        <w:spacing w:after="0" w:line="116" w:lineRule="exact"/>
        <w:rPr>
          <w:sz w:val="20"/>
          <w:szCs w:val="20"/>
          <w:color w:val="auto"/>
        </w:rPr>
      </w:pPr>
    </w:p>
    <w:p>
      <w:pPr>
        <w:ind w:left="700" w:right="719" w:firstLine="405"/>
        <w:spacing w:after="0" w:line="251" w:lineRule="auto"/>
        <w:rPr>
          <w:sz w:val="20"/>
          <w:szCs w:val="20"/>
          <w:color w:val="auto"/>
        </w:rPr>
      </w:pPr>
      <w:r>
        <w:rPr>
          <w:rFonts w:ascii="Times New Roman" w:cs="Times New Roman" w:eastAsia="Times New Roman" w:hAnsi="Times New Roman"/>
          <w:sz w:val="17"/>
          <w:szCs w:val="17"/>
          <w:color w:val="auto"/>
        </w:rPr>
        <w:t>ASC 820-10 clarified the definition of fair value and requires companies to expand their disclosure about the use of fair value to measure assets and liabilities in interim and annual periods subsequent to initial recognition. ASC 820-10 defines fair value as the price that would be received to sell an asset or paid to transfer a liability in an orderly transaction between market participants at the measurement date. ASC 820-10 also establishes a three-tier fair value hierarchy, which prioritizes the inputs used in measuring fair value. These tiers include: Level 1, defined as observable inputs such as quoted prices in active markets; Level 2, which includes inputs such as quoted prices for similar securities in active markets and quoted prices for identical securities in markets that are not active; and Level 3, defined as unobservable inputs for which little or no market data exists, therefore requiring an entity to develop its own assumptions. The Fund considers the attributes of current market conditions on an ongoing basis and has determined that due to the general illiquidity of the market for its investment portfolio, whereby little or no market data exists, all of the Fund’s investments are based upon “Level 3” inputs as of September 30, 2022.</w:t>
      </w:r>
    </w:p>
    <w:p>
      <w:pPr>
        <w:spacing w:after="0" w:line="101" w:lineRule="exact"/>
        <w:rPr>
          <w:sz w:val="20"/>
          <w:szCs w:val="20"/>
          <w:color w:val="auto"/>
        </w:rPr>
      </w:pPr>
    </w:p>
    <w:p>
      <w:pPr>
        <w:ind w:left="700" w:right="1079" w:firstLine="405"/>
        <w:spacing w:after="0" w:line="281" w:lineRule="auto"/>
        <w:rPr>
          <w:sz w:val="20"/>
          <w:szCs w:val="20"/>
          <w:color w:val="auto"/>
        </w:rPr>
      </w:pPr>
      <w:r>
        <w:rPr>
          <w:rFonts w:ascii="Times New Roman" w:cs="Times New Roman" w:eastAsia="Times New Roman" w:hAnsi="Times New Roman"/>
          <w:sz w:val="17"/>
          <w:szCs w:val="17"/>
          <w:i w:val="1"/>
          <w:iCs w:val="1"/>
          <w:color w:val="auto"/>
        </w:rPr>
        <w:t>Good Faith Determinations of Fair Value</w:t>
      </w:r>
      <w:r>
        <w:rPr>
          <w:rFonts w:ascii="Times New Roman" w:cs="Times New Roman" w:eastAsia="Times New Roman" w:hAnsi="Times New Roman"/>
          <w:sz w:val="17"/>
          <w:szCs w:val="17"/>
          <w:color w:val="auto"/>
        </w:rPr>
        <w:t>, Rule 2a-5 was adopted by the SEC in December 2020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establishes requirements for determining fair value in good faith for purposes of the 1940 Act.</w:t>
      </w:r>
    </w:p>
    <w:p>
      <w:pPr>
        <w:spacing w:after="0" w:line="91" w:lineRule="exact"/>
        <w:rPr>
          <w:sz w:val="20"/>
          <w:szCs w:val="20"/>
          <w:color w:val="auto"/>
        </w:rPr>
      </w:pPr>
    </w:p>
    <w:p>
      <w:pPr>
        <w:ind w:left="700" w:right="739" w:firstLine="405"/>
        <w:spacing w:after="0" w:line="252" w:lineRule="auto"/>
        <w:rPr>
          <w:sz w:val="20"/>
          <w:szCs w:val="20"/>
          <w:color w:val="auto"/>
        </w:rPr>
      </w:pPr>
      <w:r>
        <w:rPr>
          <w:rFonts w:ascii="Times New Roman" w:cs="Times New Roman" w:eastAsia="Times New Roman" w:hAnsi="Times New Roman"/>
          <w:sz w:val="17"/>
          <w:szCs w:val="17"/>
          <w:color w:val="auto"/>
        </w:rPr>
        <w:t>Our Board of Directors has adopted valuation policies and procedures (the “Valuation Policy”) that are intended to comply with Rule 2a-5. The Board determines the value of its investment portfolio each quarter. In connection with that determination, members of Oxford Lane Management’s portfolio management team prepare a quarterly analysis of each portfolio investment using the most recent portfolio company financial statements, forecasts and other relevant financial and operational information. The Fund may engage third-party valuation firms to provide assistance in valuing certain of its investments although the Board ultimately determines the appropriate valuation of each such investment. Changes in fair value, as described above, are recorded in the statement of operations as net change in unrealized appreciation/depreciation on investments.</w:t>
      </w:r>
    </w:p>
    <w:p>
      <w:pPr>
        <w:spacing w:after="0" w:line="17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i w:val="1"/>
          <w:iCs w:val="1"/>
          <w:color w:val="auto"/>
        </w:rPr>
        <w:t>Collateralized Loan Obligations — Debt and Equity</w:t>
      </w:r>
    </w:p>
    <w:p>
      <w:pPr>
        <w:spacing w:after="0" w:line="150" w:lineRule="exact"/>
        <w:rPr>
          <w:sz w:val="20"/>
          <w:szCs w:val="20"/>
          <w:color w:val="auto"/>
        </w:rPr>
      </w:pPr>
    </w:p>
    <w:p>
      <w:pPr>
        <w:ind w:left="700" w:right="759" w:firstLine="405"/>
        <w:spacing w:after="0" w:line="254" w:lineRule="auto"/>
        <w:rPr>
          <w:sz w:val="20"/>
          <w:szCs w:val="20"/>
          <w:color w:val="auto"/>
        </w:rPr>
      </w:pPr>
      <w:r>
        <w:rPr>
          <w:rFonts w:ascii="Times New Roman" w:cs="Times New Roman" w:eastAsia="Times New Roman" w:hAnsi="Times New Roman"/>
          <w:sz w:val="17"/>
          <w:szCs w:val="17"/>
          <w:color w:val="auto"/>
        </w:rPr>
        <w:t>The Fund has acquired debt and equity positions in CLO investment vehicles and has purchased CLO warehouse facilities. These investments are special purpose financing vehicles. In valuing such investments, the Fund considers the indicative prices provided by a recognized industry pricing service as a primary source for the Fund’s CLO debt and equity positions, and the implied yield of such prices, supplemented by actual trades executed in the market at or around period-end, as well as the indicative prices provided by the broker who arranges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15240</wp:posOffset>
            </wp:positionV>
            <wp:extent cx="482473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4824730"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35" w:name="page36"/>
    <w:bookmarkEnd w:id="35"/>
    <w:p>
      <w:pPr>
        <w:ind w:left="7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SEPTEMBER 30, 2022</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 xml:space="preserve">NOTE 3. SUMMARY OF SIGNIFICANT ACCOUNTING POLICIES </w:t>
      </w:r>
      <w:r>
        <w:rPr>
          <w:rFonts w:ascii="Times New Roman" w:cs="Times New Roman" w:eastAsia="Times New Roman" w:hAnsi="Times New Roman"/>
          <w:sz w:val="17"/>
          <w:szCs w:val="17"/>
          <w:color w:val="auto"/>
        </w:rPr>
        <w:t>(cont.)</w:t>
      </w:r>
    </w:p>
    <w:p>
      <w:pPr>
        <w:spacing w:after="0" w:line="176" w:lineRule="exact"/>
        <w:rPr>
          <w:sz w:val="20"/>
          <w:szCs w:val="20"/>
          <w:color w:val="auto"/>
        </w:rPr>
      </w:pPr>
    </w:p>
    <w:p>
      <w:pPr>
        <w:ind w:left="700" w:right="739"/>
        <w:spacing w:after="0" w:line="250" w:lineRule="auto"/>
        <w:rPr>
          <w:sz w:val="20"/>
          <w:szCs w:val="20"/>
          <w:color w:val="auto"/>
        </w:rPr>
      </w:pPr>
      <w:r>
        <w:rPr>
          <w:rFonts w:ascii="Times New Roman" w:cs="Times New Roman" w:eastAsia="Times New Roman" w:hAnsi="Times New Roman"/>
          <w:sz w:val="17"/>
          <w:szCs w:val="17"/>
          <w:color w:val="auto"/>
        </w:rPr>
        <w:t>transactions in such investment vehicles. The Fund also considers those instances in which the record date for an equity distribution payment falls on or before the last day of the period, and the likelihood that a prospective purchaser would require a downward adjustment to the indicative price representing substantially all of the pending distribution. Additional factors include any available information on other relevant transactions, including firm bids and offers in the market and information resulting from bids-wanted-in-competition. In addition, the Fund considers the operating metrics of the specific investment vehicle, including compliance with collateralization tests, defaulted and restructured securities, and payment defaults, if any. In periods of illiquidity and volatility, the Fund may rely more heavily on other qualities and metrics, including, but not limited to, the collateral manager, time left in the reinvestment period, and expected cash flows and overcollateralization ratios, instead of the Fund’s generated valuation yields. Oxford Lane Management or the Fund’s Board of Directors may elect to engage third-party valuation firms to provide assistance to our Valuation Committee and Board of Directors in valuing certain of our investments, including, but not limited to, when requested by the Board of Directors or Oxford Lane Management. If a third-party valuation firm is engaged by the Fund, it will provide the Board of Directors with a written report with respect to each investment it has reviewed. The Valuation Committee will evaluate the impact of such additional information, and factor it into its consideration of fair value.</w:t>
      </w:r>
    </w:p>
    <w:p>
      <w:pPr>
        <w:spacing w:after="0" w:line="18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i w:val="1"/>
          <w:iCs w:val="1"/>
          <w:color w:val="auto"/>
        </w:rPr>
        <w:t>Securities Sold Under Agreement to Repurchase</w:t>
      </w:r>
    </w:p>
    <w:p>
      <w:pPr>
        <w:spacing w:after="0" w:line="150" w:lineRule="exact"/>
        <w:rPr>
          <w:sz w:val="20"/>
          <w:szCs w:val="20"/>
          <w:color w:val="auto"/>
        </w:rPr>
      </w:pPr>
    </w:p>
    <w:p>
      <w:pPr>
        <w:ind w:left="700" w:right="839" w:firstLine="405"/>
        <w:spacing w:after="0" w:line="258" w:lineRule="auto"/>
        <w:rPr>
          <w:sz w:val="20"/>
          <w:szCs w:val="20"/>
          <w:color w:val="auto"/>
        </w:rPr>
      </w:pPr>
      <w:r>
        <w:rPr>
          <w:rFonts w:ascii="Times New Roman" w:cs="Times New Roman" w:eastAsia="Times New Roman" w:hAnsi="Times New Roman"/>
          <w:sz w:val="17"/>
          <w:szCs w:val="17"/>
          <w:color w:val="auto"/>
        </w:rPr>
        <w:t>The Fund may enter into an agreement whereby it sells securities to be repurchased at an agreed-upon price and date. Under such an agreement, the Fund accounts for this transaction as a collateralized financing transaction which is recorded at the contracted repurchase amount plus interest. Refer to “Note 9. Borrowings” for further details.</w:t>
      </w:r>
    </w:p>
    <w:p>
      <w:pPr>
        <w:spacing w:after="0" w:line="16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SHARE REPURCHASES</w:t>
      </w:r>
    </w:p>
    <w:p>
      <w:pPr>
        <w:spacing w:after="0" w:line="138" w:lineRule="exact"/>
        <w:rPr>
          <w:sz w:val="20"/>
          <w:szCs w:val="20"/>
          <w:color w:val="auto"/>
        </w:rPr>
      </w:pPr>
    </w:p>
    <w:p>
      <w:pPr>
        <w:ind w:left="700" w:right="839" w:firstLine="405"/>
        <w:spacing w:after="0" w:line="255" w:lineRule="auto"/>
        <w:rPr>
          <w:sz w:val="20"/>
          <w:szCs w:val="20"/>
          <w:color w:val="auto"/>
        </w:rPr>
      </w:pPr>
      <w:r>
        <w:rPr>
          <w:rFonts w:ascii="Times New Roman" w:cs="Times New Roman" w:eastAsia="Times New Roman" w:hAnsi="Times New Roman"/>
          <w:sz w:val="17"/>
          <w:szCs w:val="17"/>
          <w:color w:val="auto"/>
        </w:rPr>
        <w:t>From time to time, the Board of Directors may authorize a share repurchase program under which shares of the Fund’s common stock are purchased in open market transactions. Since the Fund is incorporated in the State of Maryland, state law requires share repurchases to be accounted for as a share retirement. The cost of repurchased shares is charged against capital on the settlement date. There was no share repurchase program authorized on the Fund’s common stock for the six months ended September 30, 2022.</w:t>
      </w:r>
    </w:p>
    <w:p>
      <w:pPr>
        <w:spacing w:after="0" w:line="17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PREFERRED STOCK</w:t>
      </w:r>
    </w:p>
    <w:p>
      <w:pPr>
        <w:spacing w:after="0" w:line="150" w:lineRule="exact"/>
        <w:rPr>
          <w:sz w:val="20"/>
          <w:szCs w:val="20"/>
          <w:color w:val="auto"/>
        </w:rPr>
      </w:pPr>
    </w:p>
    <w:p>
      <w:pPr>
        <w:ind w:left="700" w:right="899" w:firstLine="405"/>
        <w:spacing w:after="0" w:line="262" w:lineRule="auto"/>
        <w:rPr>
          <w:sz w:val="20"/>
          <w:szCs w:val="20"/>
          <w:color w:val="auto"/>
        </w:rPr>
      </w:pPr>
      <w:r>
        <w:rPr>
          <w:rFonts w:ascii="Times New Roman" w:cs="Times New Roman" w:eastAsia="Times New Roman" w:hAnsi="Times New Roman"/>
          <w:sz w:val="17"/>
          <w:szCs w:val="17"/>
          <w:color w:val="auto"/>
        </w:rPr>
        <w:t>The Fund carries its mandatorily redeemable preferred stock at accreted cost on the Statement of Assets and Liabilities, and not fair value. Refer to “Note 8. Mandatorily Redeemable Preferred Stock” for further details.</w:t>
      </w:r>
    </w:p>
    <w:p>
      <w:pPr>
        <w:spacing w:after="0" w:line="16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PREPAID EXPENSES AND OTHER ASSETS</w:t>
      </w:r>
    </w:p>
    <w:p>
      <w:pPr>
        <w:spacing w:after="0" w:line="15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7"/>
          <w:szCs w:val="17"/>
          <w:color w:val="auto"/>
        </w:rPr>
        <w:t>Prepaid expenses and other assets consists primarily of insurance costs.</w:t>
      </w:r>
    </w:p>
    <w:p>
      <w:pPr>
        <w:spacing w:after="0" w:line="20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INVESTMENT INCOME</w:t>
      </w:r>
    </w:p>
    <w:p>
      <w:pPr>
        <w:spacing w:after="0" w:line="21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i w:val="1"/>
          <w:iCs w:val="1"/>
          <w:color w:val="auto"/>
        </w:rPr>
        <w:t>Income from securitization vehicles and investments</w:t>
      </w:r>
    </w:p>
    <w:p>
      <w:pPr>
        <w:spacing w:after="0" w:line="138" w:lineRule="exact"/>
        <w:rPr>
          <w:sz w:val="20"/>
          <w:szCs w:val="20"/>
          <w:color w:val="auto"/>
        </w:rPr>
      </w:pPr>
    </w:p>
    <w:p>
      <w:pPr>
        <w:ind w:left="700" w:right="879" w:firstLine="405"/>
        <w:spacing w:after="0" w:line="252" w:lineRule="auto"/>
        <w:rPr>
          <w:sz w:val="20"/>
          <w:szCs w:val="20"/>
          <w:color w:val="auto"/>
        </w:rPr>
      </w:pPr>
      <w:r>
        <w:rPr>
          <w:rFonts w:ascii="Times New Roman" w:cs="Times New Roman" w:eastAsia="Times New Roman" w:hAnsi="Times New Roman"/>
          <w:sz w:val="17"/>
          <w:szCs w:val="17"/>
          <w:color w:val="auto"/>
        </w:rPr>
        <w:t xml:space="preserve">Income from investments in the equity class securities of CLO vehicles (typically income notes or subordinated notes) is recorded using the effective interest method in accordance with the provisions of ASC 325-40 </w:t>
      </w:r>
      <w:r>
        <w:rPr>
          <w:rFonts w:ascii="Times New Roman" w:cs="Times New Roman" w:eastAsia="Times New Roman" w:hAnsi="Times New Roman"/>
          <w:sz w:val="17"/>
          <w:szCs w:val="17"/>
          <w:i w:val="1"/>
          <w:iCs w:val="1"/>
          <w:color w:val="auto"/>
        </w:rPr>
        <w:t>Beneficial Interests in Securitized Financial Assets</w:t>
      </w:r>
      <w:r>
        <w:rPr>
          <w:rFonts w:ascii="Times New Roman" w:cs="Times New Roman" w:eastAsia="Times New Roman" w:hAnsi="Times New Roman"/>
          <w:sz w:val="17"/>
          <w:szCs w:val="17"/>
          <w:color w:val="auto"/>
        </w:rPr>
        <w:t>, based upon estimated cash flows, their expected timing, and expected redemption, including those CLO equity investments that have not made their inaugural distribution for the relevant period end. The Fund monitors the expected residual payments, and effective yield is determined and updated periodically, as needed. Accordingly, investment income recognized on CLO equity securities in the GAAP statement of operations differs from both the tax-basis investment income and from the cash distributions actually received by the Fund during the period.</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15240</wp:posOffset>
            </wp:positionV>
            <wp:extent cx="482473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4824730"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36" w:name="page37"/>
    <w:bookmarkEnd w:id="36"/>
    <w:p>
      <w:pPr>
        <w:ind w:left="7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SEPTEMBER 30, 2022</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 xml:space="preserve">NOTE 3. SUMMARY OF SIGNIFICANT ACCOUNTING POLICIES </w:t>
      </w:r>
      <w:r>
        <w:rPr>
          <w:rFonts w:ascii="Times New Roman" w:cs="Times New Roman" w:eastAsia="Times New Roman" w:hAnsi="Times New Roman"/>
          <w:sz w:val="17"/>
          <w:szCs w:val="17"/>
          <w:color w:val="auto"/>
        </w:rPr>
        <w:t>(cont.)</w:t>
      </w:r>
    </w:p>
    <w:p>
      <w:pPr>
        <w:spacing w:after="0" w:line="176" w:lineRule="exact"/>
        <w:rPr>
          <w:sz w:val="20"/>
          <w:szCs w:val="20"/>
          <w:color w:val="auto"/>
        </w:rPr>
      </w:pPr>
    </w:p>
    <w:p>
      <w:pPr>
        <w:ind w:left="700" w:right="799" w:firstLine="405"/>
        <w:spacing w:after="0" w:line="258" w:lineRule="auto"/>
        <w:rPr>
          <w:sz w:val="20"/>
          <w:szCs w:val="20"/>
          <w:color w:val="auto"/>
        </w:rPr>
      </w:pPr>
      <w:r>
        <w:rPr>
          <w:rFonts w:ascii="Times New Roman" w:cs="Times New Roman" w:eastAsia="Times New Roman" w:hAnsi="Times New Roman"/>
          <w:sz w:val="17"/>
          <w:szCs w:val="17"/>
          <w:color w:val="auto"/>
        </w:rPr>
        <w:t>The Fund also records income on its investments in certain securitization vehicles (or “CLO warehouse facilities”) based on a stated rate per the underlying note purchase agreement plus accrued interest or, if there is no stated rate, then an estimated rate is calculated using a base case model projecting the timing of the ramp-up of the CLO warehouse facility.</w:t>
      </w:r>
    </w:p>
    <w:p>
      <w:pPr>
        <w:spacing w:after="0" w:line="16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i w:val="1"/>
          <w:iCs w:val="1"/>
          <w:color w:val="auto"/>
        </w:rPr>
        <w:t>Interest Income — Debt Investments</w:t>
      </w:r>
    </w:p>
    <w:p>
      <w:pPr>
        <w:spacing w:after="0" w:line="150" w:lineRule="exact"/>
        <w:rPr>
          <w:sz w:val="20"/>
          <w:szCs w:val="20"/>
          <w:color w:val="auto"/>
        </w:rPr>
      </w:pPr>
    </w:p>
    <w:p>
      <w:pPr>
        <w:ind w:left="700" w:right="799" w:firstLine="405"/>
        <w:spacing w:after="0" w:line="254" w:lineRule="auto"/>
        <w:rPr>
          <w:sz w:val="20"/>
          <w:szCs w:val="20"/>
          <w:color w:val="auto"/>
        </w:rPr>
      </w:pPr>
      <w:r>
        <w:rPr>
          <w:rFonts w:ascii="Times New Roman" w:cs="Times New Roman" w:eastAsia="Times New Roman" w:hAnsi="Times New Roman"/>
          <w:sz w:val="17"/>
          <w:szCs w:val="17"/>
          <w:color w:val="auto"/>
        </w:rPr>
        <w:t>Interest income is recorded on an accrual basis using the contractual rate applicable to each debt investment and includes the accretion of market discounts and/or original issue discount (“OID”) and amortization of market premiums. Discounts from and premiums to par value on securities purchased are accreted/amortized into interest income over the life of the respective security using the effective yield method. The amortized cost of investments represents the original cost adjusted for the accretion of discounts and amortization of premiums, if any.</w:t>
      </w:r>
    </w:p>
    <w:p>
      <w:pPr>
        <w:spacing w:after="0" w:line="101" w:lineRule="exact"/>
        <w:rPr>
          <w:sz w:val="20"/>
          <w:szCs w:val="20"/>
          <w:color w:val="auto"/>
        </w:rPr>
      </w:pPr>
    </w:p>
    <w:p>
      <w:pPr>
        <w:ind w:left="700" w:right="739" w:firstLine="405"/>
        <w:spacing w:after="0" w:line="253" w:lineRule="auto"/>
        <w:rPr>
          <w:sz w:val="20"/>
          <w:szCs w:val="20"/>
          <w:color w:val="auto"/>
        </w:rPr>
      </w:pPr>
      <w:r>
        <w:rPr>
          <w:rFonts w:ascii="Times New Roman" w:cs="Times New Roman" w:eastAsia="Times New Roman" w:hAnsi="Times New Roman"/>
          <w:sz w:val="17"/>
          <w:szCs w:val="17"/>
          <w:color w:val="auto"/>
        </w:rPr>
        <w:t>Generally, if the Fund does not expect the borrower to be able to service its debt and other obligations, the Fund will, on a discretionary basis, place the debt instrument on non-accrual status and will generally cease recognizing interest income on that loan for financial reporting purposes until all principal and interest have been brought current through payment or due to restructuring such that the interest income is deemed to be collectible. The Fund generally restores non-accrual loans to accrual status when past due principal and interest is paid and, in the Fund’s judgment, the payments are likely to remain current. As of September 30, 2022, the Fund had no non-accrual investments in its portfolio.</w:t>
      </w:r>
    </w:p>
    <w:p>
      <w:pPr>
        <w:spacing w:after="0" w:line="115" w:lineRule="exact"/>
        <w:rPr>
          <w:sz w:val="20"/>
          <w:szCs w:val="20"/>
          <w:color w:val="auto"/>
        </w:rPr>
      </w:pPr>
    </w:p>
    <w:p>
      <w:pPr>
        <w:jc w:val="both"/>
        <w:ind w:left="700" w:right="859" w:firstLine="405"/>
        <w:spacing w:after="0" w:line="262" w:lineRule="auto"/>
        <w:rPr>
          <w:sz w:val="20"/>
          <w:szCs w:val="20"/>
          <w:color w:val="auto"/>
        </w:rPr>
      </w:pPr>
      <w:r>
        <w:rPr>
          <w:rFonts w:ascii="Times New Roman" w:cs="Times New Roman" w:eastAsia="Times New Roman" w:hAnsi="Times New Roman"/>
          <w:sz w:val="17"/>
          <w:szCs w:val="17"/>
          <w:color w:val="auto"/>
        </w:rPr>
        <w:t>Interest income also includes a payment-in-kind (“PIK”) provision on certain investments in the Fund’s portfolio. Refer to the section below, “Payment-In-Kind,” for a description of the PIK provision and its impact on interest income.</w:t>
      </w:r>
    </w:p>
    <w:p>
      <w:pPr>
        <w:spacing w:after="0" w:line="16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i w:val="1"/>
          <w:iCs w:val="1"/>
          <w:color w:val="auto"/>
        </w:rPr>
        <w:t>Payment-In-Kind</w:t>
      </w:r>
    </w:p>
    <w:p>
      <w:pPr>
        <w:spacing w:after="0" w:line="150" w:lineRule="exact"/>
        <w:rPr>
          <w:sz w:val="20"/>
          <w:szCs w:val="20"/>
          <w:color w:val="auto"/>
        </w:rPr>
      </w:pPr>
    </w:p>
    <w:p>
      <w:pPr>
        <w:ind w:left="700" w:right="719" w:firstLine="405"/>
        <w:spacing w:after="0" w:line="252" w:lineRule="auto"/>
        <w:rPr>
          <w:sz w:val="20"/>
          <w:szCs w:val="20"/>
          <w:color w:val="auto"/>
        </w:rPr>
      </w:pPr>
      <w:r>
        <w:rPr>
          <w:rFonts w:ascii="Times New Roman" w:cs="Times New Roman" w:eastAsia="Times New Roman" w:hAnsi="Times New Roman"/>
          <w:sz w:val="17"/>
          <w:szCs w:val="17"/>
          <w:color w:val="auto"/>
        </w:rPr>
        <w:t>The Fund has held debt investments in its portfolio which contain a contractual PIK provision. Certain PIK investments offer issuers the option at each payment date of making payments in cash or additional securities. PIK interest is computed at the contractual rate and is recorded as interest income. The PIK amount is added to the principal balance on the capitalization date. Upon capitalization, the PIK component is subject to the fair value estimates associated with the related investments. At the point the Fund believes PIK is not fully expected to be realized, the PIK investment will be placed on non-accrual status. When a PIK investment is placed on non-accrual status, the accrued, uncapitalized interest is reversed from the related receivable through interest income. PIK investments on non-accrual status are restored to accrual status once it becomes probable that PIK will be realized.</w:t>
      </w:r>
    </w:p>
    <w:p>
      <w:pPr>
        <w:spacing w:after="0" w:line="17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i w:val="1"/>
          <w:iCs w:val="1"/>
          <w:color w:val="auto"/>
        </w:rPr>
        <w:t>Other Income</w:t>
      </w:r>
    </w:p>
    <w:p>
      <w:pPr>
        <w:spacing w:after="0" w:line="138" w:lineRule="exact"/>
        <w:rPr>
          <w:sz w:val="20"/>
          <w:szCs w:val="20"/>
          <w:color w:val="auto"/>
        </w:rPr>
      </w:pPr>
    </w:p>
    <w:p>
      <w:pPr>
        <w:ind w:left="700" w:right="799" w:firstLine="405"/>
        <w:spacing w:after="0" w:line="254" w:lineRule="auto"/>
        <w:rPr>
          <w:sz w:val="20"/>
          <w:szCs w:val="20"/>
          <w:color w:val="auto"/>
        </w:rPr>
      </w:pPr>
      <w:r>
        <w:rPr>
          <w:rFonts w:ascii="Times New Roman" w:cs="Times New Roman" w:eastAsia="Times New Roman" w:hAnsi="Times New Roman"/>
          <w:sz w:val="17"/>
          <w:szCs w:val="17"/>
          <w:color w:val="auto"/>
        </w:rPr>
        <w:t>Other income includes distributions from fee letters and success fees associated with portfolio investments. Distributions from fee letters are an enhancement to the return on a CLO equity investments and are based upon a percentage of the collateral manager’s fees above the amortized cost and are recorded as other income when earned. The Fund may also earn success fees associated with its investments in CLO warehouse facilities, which are contingent upon a repayment of the warehouse by a permanent CLO securitization structure; such fees are earned and recognized when the repayment is completed.</w:t>
      </w:r>
    </w:p>
    <w:p>
      <w:pPr>
        <w:spacing w:after="0" w:line="17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U.S. FEDERAL INCOME TAXES</w:t>
      </w:r>
    </w:p>
    <w:p>
      <w:pPr>
        <w:spacing w:after="0" w:line="150" w:lineRule="exact"/>
        <w:rPr>
          <w:sz w:val="20"/>
          <w:szCs w:val="20"/>
          <w:color w:val="auto"/>
        </w:rPr>
      </w:pPr>
    </w:p>
    <w:p>
      <w:pPr>
        <w:jc w:val="both"/>
        <w:ind w:left="700" w:right="899" w:firstLine="405"/>
        <w:spacing w:after="0" w:line="258" w:lineRule="auto"/>
        <w:rPr>
          <w:sz w:val="20"/>
          <w:szCs w:val="20"/>
          <w:color w:val="auto"/>
        </w:rPr>
      </w:pPr>
      <w:r>
        <w:rPr>
          <w:rFonts w:ascii="Times New Roman" w:cs="Times New Roman" w:eastAsia="Times New Roman" w:hAnsi="Times New Roman"/>
          <w:sz w:val="17"/>
          <w:szCs w:val="17"/>
          <w:color w:val="auto"/>
        </w:rPr>
        <w:t>The Fund intends to operate so as to continue to qualify to be taxed as a RIC under Subchapter M of the Code and, as such, to not be subject to U.S. federal income tax on the portion of its taxable income and gains timely distributed to stockholders. To qualify for RIC tax treatment, the Fund is required to distribute at least 90% of its investment company taxable income, as defined by the Code.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15240</wp:posOffset>
            </wp:positionV>
            <wp:extent cx="482473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4824730"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37" w:name="page38"/>
    <w:bookmarkEnd w:id="37"/>
    <w:p>
      <w:pPr>
        <w:ind w:left="7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SEPTEMBER 30, 2022</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 xml:space="preserve">NOTE 3. SUMMARY OF SIGNIFICANT ACCOUNTING POLICIES </w:t>
      </w:r>
      <w:r>
        <w:rPr>
          <w:rFonts w:ascii="Times New Roman" w:cs="Times New Roman" w:eastAsia="Times New Roman" w:hAnsi="Times New Roman"/>
          <w:sz w:val="17"/>
          <w:szCs w:val="17"/>
          <w:color w:val="auto"/>
        </w:rPr>
        <w:t>(cont.)</w:t>
      </w:r>
    </w:p>
    <w:p>
      <w:pPr>
        <w:spacing w:after="0" w:line="176" w:lineRule="exact"/>
        <w:rPr>
          <w:sz w:val="20"/>
          <w:szCs w:val="20"/>
          <w:color w:val="auto"/>
        </w:rPr>
      </w:pPr>
    </w:p>
    <w:p>
      <w:pPr>
        <w:ind w:left="700" w:right="719" w:firstLine="405"/>
        <w:spacing w:after="0" w:line="254" w:lineRule="auto"/>
        <w:rPr>
          <w:sz w:val="20"/>
          <w:szCs w:val="20"/>
          <w:color w:val="auto"/>
        </w:rPr>
      </w:pPr>
      <w:r>
        <w:rPr>
          <w:rFonts w:ascii="Times New Roman" w:cs="Times New Roman" w:eastAsia="Times New Roman" w:hAnsi="Times New Roman"/>
          <w:sz w:val="17"/>
          <w:szCs w:val="17"/>
          <w:color w:val="auto"/>
        </w:rPr>
        <w:t>Because U.S.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financial statements to reflect their tax character. Temporary differences arise when certain items of income, expense, gain or loss are recognized at some time in the future. Differences in classification may also result from the treatment of short-term gains as ordinary income for tax purposes.</w:t>
      </w:r>
    </w:p>
    <w:p>
      <w:pPr>
        <w:spacing w:after="0" w:line="114" w:lineRule="exact"/>
        <w:rPr>
          <w:sz w:val="20"/>
          <w:szCs w:val="20"/>
          <w:color w:val="auto"/>
        </w:rPr>
      </w:pPr>
    </w:p>
    <w:p>
      <w:pPr>
        <w:ind w:left="700" w:right="719" w:firstLine="405"/>
        <w:spacing w:after="0" w:line="253" w:lineRule="auto"/>
        <w:rPr>
          <w:sz w:val="20"/>
          <w:szCs w:val="20"/>
          <w:color w:val="auto"/>
        </w:rPr>
      </w:pPr>
      <w:r>
        <w:rPr>
          <w:rFonts w:ascii="Times New Roman" w:cs="Times New Roman" w:eastAsia="Times New Roman" w:hAnsi="Times New Roman"/>
          <w:sz w:val="17"/>
          <w:szCs w:val="17"/>
          <w:color w:val="auto"/>
        </w:rPr>
        <w:t>The Fund recognizes the tax benefits of uncertain tax positions only when the position is more likely than not to be sustained, assuming examination by tax authorities. Management has analyzed the Fund’s tax positions and concluded that no liability for unrecognized tax benefits should be recorded related to uncertain tax positions expected to be taken in the Fund’s fiscal 2023 tax return. The Fund identifies its major tax jurisdictions as U.S Federal and Connecticut State. The Fund is not aware of any tax position for which it is reasonably possible that the total amounts of unrecognized tax benefits will change materially in the next six months.</w:t>
      </w:r>
    </w:p>
    <w:p>
      <w:pPr>
        <w:spacing w:after="0" w:line="17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i w:val="1"/>
          <w:iCs w:val="1"/>
          <w:color w:val="auto"/>
        </w:rPr>
        <w:t>Distributions</w:t>
      </w:r>
    </w:p>
    <w:p>
      <w:pPr>
        <w:spacing w:after="0" w:line="138" w:lineRule="exact"/>
        <w:rPr>
          <w:sz w:val="20"/>
          <w:szCs w:val="20"/>
          <w:color w:val="auto"/>
        </w:rPr>
      </w:pPr>
    </w:p>
    <w:p>
      <w:pPr>
        <w:ind w:left="700" w:right="779" w:firstLine="405"/>
        <w:spacing w:after="0" w:line="252" w:lineRule="auto"/>
        <w:rPr>
          <w:sz w:val="20"/>
          <w:szCs w:val="20"/>
          <w:color w:val="auto"/>
        </w:rPr>
      </w:pPr>
      <w:r>
        <w:rPr>
          <w:rFonts w:ascii="Times New Roman" w:cs="Times New Roman" w:eastAsia="Times New Roman" w:hAnsi="Times New Roman"/>
          <w:sz w:val="17"/>
          <w:szCs w:val="17"/>
          <w:color w:val="auto"/>
        </w:rPr>
        <w:t>Our distribution policy is based upon our estimate of our taxable net investment income, which includes actual distributions from our CLO equity class investments, with further consideration given to our realized gains or losses on a taxable basis. Distributions from net investment income and capital gain distributions are determined in accordance with U.S. federal income tax regulations, which differ from GAAP. Distributions from net investment income, if any, are expected to be declared quarterly and paid monthly. Net realized capital gains, unless offset by any available capital loss carry-forward, are typically distributed to stockholders annually. Distributions to stockholders are recorded on the ex-dividend date and are automatically reinvested in full and fractional shares of the Fund in accordance with the Fund’s distribution reinvestment plan, unless the stockholder has elected to have them paid in cash.</w:t>
      </w:r>
    </w:p>
    <w:p>
      <w:pPr>
        <w:spacing w:after="0" w:line="116" w:lineRule="exact"/>
        <w:rPr>
          <w:sz w:val="20"/>
          <w:szCs w:val="20"/>
          <w:color w:val="auto"/>
        </w:rPr>
      </w:pPr>
    </w:p>
    <w:p>
      <w:pPr>
        <w:ind w:left="700" w:right="819" w:firstLine="405"/>
        <w:spacing w:after="0" w:line="276" w:lineRule="auto"/>
        <w:rPr>
          <w:sz w:val="20"/>
          <w:szCs w:val="20"/>
          <w:color w:val="auto"/>
        </w:rPr>
      </w:pPr>
      <w:r>
        <w:rPr>
          <w:rFonts w:ascii="Times New Roman" w:cs="Times New Roman" w:eastAsia="Times New Roman" w:hAnsi="Times New Roman"/>
          <w:sz w:val="17"/>
          <w:szCs w:val="17"/>
          <w:color w:val="auto"/>
        </w:rPr>
        <w:t>Amounts required to be distributed reflect estimates made by the Fund. Distributions paid by the Fund in accordance with RIC requirements are subject to re-characterization for tax purposes.</w:t>
      </w:r>
    </w:p>
    <w:p>
      <w:pPr>
        <w:spacing w:after="0" w:line="15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SECURITIES TRANSACTIONS</w:t>
      </w:r>
    </w:p>
    <w:p>
      <w:pPr>
        <w:spacing w:after="0" w:line="150" w:lineRule="exact"/>
        <w:rPr>
          <w:sz w:val="20"/>
          <w:szCs w:val="20"/>
          <w:color w:val="auto"/>
        </w:rPr>
      </w:pPr>
    </w:p>
    <w:p>
      <w:pPr>
        <w:ind w:left="700" w:right="779" w:firstLine="405"/>
        <w:spacing w:after="0" w:line="252" w:lineRule="auto"/>
        <w:rPr>
          <w:sz w:val="20"/>
          <w:szCs w:val="20"/>
          <w:color w:val="auto"/>
        </w:rPr>
      </w:pPr>
      <w:r>
        <w:rPr>
          <w:rFonts w:ascii="Times New Roman" w:cs="Times New Roman" w:eastAsia="Times New Roman" w:hAnsi="Times New Roman"/>
          <w:sz w:val="17"/>
          <w:szCs w:val="17"/>
          <w:color w:val="auto"/>
        </w:rPr>
        <w:t>Securities transactions are recorded on the trade date. Realized gains and losses on investments sold are recorded on the basis of specific identification. An optional redemption (“optionally redeemed”) feature of a CLO allows a majority of the holders of the equity securities issued by the CLO issuer, after the end of a specified non-call period, to cause the redemption of the secured notes issued by the CLO with proceeds paid either through the liquidation of the CLO’s assets or through a refinancing with new debt. The optional redemption is effectively a voluntary prepayment of the secured debt issued by the CLO prior to the stated maturity of such debt. Distributions received on CLO equity investments where the optional redemption feature has been exercised are first applied to the remaining cost basis until it is reduced to zero, after which distributions are recorded as realized gains.</w:t>
      </w:r>
    </w:p>
    <w:p>
      <w:pPr>
        <w:spacing w:after="0" w:line="17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DEFERRED OFFERING COSTS ON COMMON STOCK</w:t>
      </w:r>
    </w:p>
    <w:p>
      <w:pPr>
        <w:spacing w:after="0" w:line="138" w:lineRule="exact"/>
        <w:rPr>
          <w:sz w:val="20"/>
          <w:szCs w:val="20"/>
          <w:color w:val="auto"/>
        </w:rPr>
      </w:pPr>
    </w:p>
    <w:p>
      <w:pPr>
        <w:ind w:left="700" w:right="739" w:firstLine="405"/>
        <w:spacing w:after="0" w:line="255" w:lineRule="auto"/>
        <w:rPr>
          <w:sz w:val="20"/>
          <w:szCs w:val="20"/>
          <w:color w:val="auto"/>
        </w:rPr>
      </w:pPr>
      <w:r>
        <w:rPr>
          <w:rFonts w:ascii="Times New Roman" w:cs="Times New Roman" w:eastAsia="Times New Roman" w:hAnsi="Times New Roman"/>
          <w:sz w:val="17"/>
          <w:szCs w:val="17"/>
          <w:color w:val="auto"/>
        </w:rPr>
        <w:t>Deferred offering costs on common stock consist of fees and expenses incurred in connection with the registration and public offer and sale of the Fund’s common stock, including legal, accounting and printing fees. These costs are deferred at the time of incurrence and are subsequently charged as a reduction to capital when the offering takes place or as shares are issued. Deferred offering costs are periodically reviewed and expensed if the related registration statement is no longer active or if the offering is unsuccessful.</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15240</wp:posOffset>
            </wp:positionV>
            <wp:extent cx="482473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4824730"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38" w:name="page39"/>
    <w:bookmarkEnd w:id="38"/>
    <w:p>
      <w:pPr>
        <w:ind w:left="7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SEPTEMBER 30, 2022</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 xml:space="preserve">NOTE 3. SUMMARY OF SIGNIFICANT ACCOUNTING POLICIES </w:t>
      </w:r>
      <w:r>
        <w:rPr>
          <w:rFonts w:ascii="Times New Roman" w:cs="Times New Roman" w:eastAsia="Times New Roman" w:hAnsi="Times New Roman"/>
          <w:sz w:val="17"/>
          <w:szCs w:val="17"/>
          <w:color w:val="auto"/>
        </w:rPr>
        <w:t>(cont.)</w:t>
      </w:r>
    </w:p>
    <w:p>
      <w:pPr>
        <w:spacing w:after="0" w:line="21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DEFERRED DEBT ISSUANCE COSTS</w:t>
      </w:r>
    </w:p>
    <w:p>
      <w:pPr>
        <w:spacing w:after="0" w:line="138" w:lineRule="exact"/>
        <w:rPr>
          <w:sz w:val="20"/>
          <w:szCs w:val="20"/>
          <w:color w:val="auto"/>
        </w:rPr>
      </w:pPr>
    </w:p>
    <w:p>
      <w:pPr>
        <w:ind w:left="700" w:right="859" w:firstLine="405"/>
        <w:spacing w:after="0" w:line="252" w:lineRule="auto"/>
        <w:rPr>
          <w:sz w:val="20"/>
          <w:szCs w:val="20"/>
          <w:color w:val="auto"/>
        </w:rPr>
      </w:pPr>
      <w:r>
        <w:rPr>
          <w:rFonts w:ascii="Times New Roman" w:cs="Times New Roman" w:eastAsia="Times New Roman" w:hAnsi="Times New Roman"/>
          <w:sz w:val="17"/>
          <w:szCs w:val="17"/>
          <w:color w:val="auto"/>
        </w:rPr>
        <w:t>Deferred debt issuance costs consist of fees and expenses incurred in connection with the closing or amending of debt offerings and mandatorily redeemable preferred stock and are capitalized at the time of payment. These costs are amortized using the straight-line method over the terms of the respective debt securities. The amortized expenses are included in interest expense in the Fund’s financial statements. The unamortized deferred debt issuance costs are included on the Fund’s Statement of Assets and Liabilities as a direct deduction from the related debt and mandatorily redeemable preferred stock liability. Upon early termination of debt, the remaining balance of unamortized fees related to such debt is accelerated into realized loss on redemption of debt on the Fund’s Statement of Operations.</w:t>
      </w:r>
    </w:p>
    <w:p>
      <w:pPr>
        <w:spacing w:after="0" w:line="17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NOTE 4. FAIR VALUE</w:t>
      </w:r>
    </w:p>
    <w:p>
      <w:pPr>
        <w:spacing w:after="0" w:line="15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7"/>
          <w:szCs w:val="17"/>
          <w:color w:val="auto"/>
        </w:rPr>
        <w:t>The Fund’s assets measured at fair value on a recurring basis subject to the disclosure requirements of</w:t>
      </w:r>
    </w:p>
    <w:p>
      <w:pPr>
        <w:spacing w:after="0" w:line="2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ASC 820-10 at September 30, 2022, were as follows:</w:t>
      </w:r>
    </w:p>
    <w:p>
      <w:pPr>
        <w:spacing w:after="0" w:line="194" w:lineRule="exact"/>
        <w:rPr>
          <w:sz w:val="20"/>
          <w:szCs w:val="20"/>
          <w:color w:val="auto"/>
        </w:rPr>
      </w:pPr>
    </w:p>
    <w:tbl>
      <w:tblPr>
        <w:tblLayout w:type="fixed"/>
        <w:tblInd w:w="700" w:type="dxa"/>
        <w:tblCellMar>
          <w:top w:w="0" w:type="dxa"/>
          <w:left w:w="0" w:type="dxa"/>
          <w:bottom w:w="0" w:type="dxa"/>
          <w:right w:w="0" w:type="dxa"/>
        </w:tblCellMar>
      </w:tblPr>
      <w:tr>
        <w:trPr>
          <w:trHeight w:val="201"/>
        </w:trPr>
        <w:tc>
          <w:tcPr>
            <w:tcW w:w="2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60" w:type="dxa"/>
            <w:vAlign w:val="bottom"/>
            <w:gridSpan w:val="9"/>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Fair Value Measurements at Reporting Date Using</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
        </w:trPr>
        <w:tc>
          <w:tcPr>
            <w:tcW w:w="2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Borders>
              <w:bottom w:val="single" w:sz="8" w:color="auto"/>
            </w:tcBorders>
            <w:gridSpan w:val="3"/>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tcPr>
          <w:p>
            <w:pPr>
              <w:ind w:left="20"/>
              <w:spacing w:after="0" w:line="167" w:lineRule="exact"/>
              <w:rPr>
                <w:sz w:val="20"/>
                <w:szCs w:val="20"/>
                <w:color w:val="auto"/>
              </w:rPr>
            </w:pPr>
            <w:r>
              <w:rPr>
                <w:rFonts w:ascii="Times New Roman" w:cs="Times New Roman" w:eastAsia="Times New Roman" w:hAnsi="Times New Roman"/>
                <w:sz w:val="15"/>
                <w:szCs w:val="15"/>
                <w:b w:val="1"/>
                <w:bCs w:val="1"/>
                <w:color w:val="auto"/>
              </w:rPr>
              <w:t>Quoted Prices in</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40"/>
              <w:spacing w:after="0" w:line="167" w:lineRule="exact"/>
              <w:rPr>
                <w:sz w:val="20"/>
                <w:szCs w:val="20"/>
                <w:color w:val="auto"/>
              </w:rPr>
            </w:pPr>
            <w:r>
              <w:rPr>
                <w:rFonts w:ascii="Times New Roman" w:cs="Times New Roman" w:eastAsia="Times New Roman" w:hAnsi="Times New Roman"/>
                <w:sz w:val="15"/>
                <w:szCs w:val="15"/>
                <w:b w:val="1"/>
                <w:bCs w:val="1"/>
                <w:color w:val="auto"/>
              </w:rPr>
              <w:t>Significant</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Active Markets</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9"/>
              </w:rPr>
              <w:t>Other</w:t>
            </w:r>
          </w:p>
        </w:tc>
        <w:tc>
          <w:tcPr>
            <w:tcW w:w="12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Significant</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for Identical</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Observable</w:t>
            </w:r>
          </w:p>
        </w:tc>
        <w:tc>
          <w:tcPr>
            <w:tcW w:w="1160" w:type="dxa"/>
            <w:vAlign w:val="bottom"/>
            <w:gridSpan w:val="3"/>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9"/>
              </w:rPr>
              <w:t>Unobservable</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9"/>
              </w:rPr>
              <w:t>Assets</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Inputs</w:t>
            </w:r>
          </w:p>
        </w:tc>
        <w:tc>
          <w:tcPr>
            <w:tcW w:w="12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Inputs</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7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Assets ($ in millions)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9"/>
              </w:rPr>
              <w:t>(Level 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(Level 2)</w:t>
            </w:r>
          </w:p>
        </w:tc>
        <w:tc>
          <w:tcPr>
            <w:tcW w:w="120" w:type="dxa"/>
            <w:vAlign w:val="bottom"/>
          </w:tcPr>
          <w:p>
            <w:pPr>
              <w:spacing w:after="0"/>
              <w:rPr>
                <w:sz w:val="17"/>
                <w:szCs w:val="17"/>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9"/>
              </w:rPr>
              <w:t>(Level 3)</w:t>
            </w:r>
          </w:p>
        </w:tc>
        <w:tc>
          <w:tcPr>
            <w:tcW w:w="260" w:type="dxa"/>
            <w:vAlign w:val="bottom"/>
          </w:tcPr>
          <w:p>
            <w:pPr>
              <w:spacing w:after="0"/>
              <w:rPr>
                <w:sz w:val="17"/>
                <w:szCs w:val="17"/>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43"/>
        </w:trPr>
        <w:tc>
          <w:tcPr>
            <w:tcW w:w="2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0" w:type="dxa"/>
            <w:vAlign w:val="bottom"/>
            <w:gridSpan w:val="2"/>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26"/>
        </w:trPr>
        <w:tc>
          <w:tcPr>
            <w:tcW w:w="276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CLO debt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760" w:type="dxa"/>
            <w:vAlign w:val="bottom"/>
          </w:tcPr>
          <w:p>
            <w:pPr>
              <w:spacing w:after="0"/>
              <w:rPr>
                <w:sz w:val="20"/>
                <w:szCs w:val="20"/>
                <w:color w:val="auto"/>
              </w:rPr>
            </w:pPr>
            <w:r>
              <w:rPr>
                <w:rFonts w:ascii="Times New Roman" w:cs="Times New Roman" w:eastAsia="Times New Roman" w:hAnsi="Times New Roman"/>
                <w:sz w:val="17"/>
                <w:szCs w:val="17"/>
                <w:color w:val="auto"/>
              </w:rPr>
              <w:t>CLO equity</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1,190.2</w:t>
            </w:r>
          </w:p>
        </w:tc>
        <w:tc>
          <w:tcPr>
            <w:tcW w:w="26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1,190.2</w:t>
            </w:r>
          </w:p>
        </w:tc>
        <w:tc>
          <w:tcPr>
            <w:tcW w:w="0" w:type="dxa"/>
            <w:vAlign w:val="bottom"/>
          </w:tcPr>
          <w:p>
            <w:pPr>
              <w:spacing w:after="0"/>
              <w:rPr>
                <w:sz w:val="1"/>
                <w:szCs w:val="1"/>
                <w:color w:val="auto"/>
              </w:rPr>
            </w:pPr>
          </w:p>
        </w:tc>
      </w:tr>
      <w:tr>
        <w:trPr>
          <w:trHeight w:val="39"/>
        </w:trPr>
        <w:tc>
          <w:tcPr>
            <w:tcW w:w="2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6"/>
        </w:trPr>
        <w:tc>
          <w:tcPr>
            <w:tcW w:w="2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CLO equity related investments</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11.4</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2760" w:type="dxa"/>
            <w:vAlign w:val="bottom"/>
          </w:tcPr>
          <w:p>
            <w:pPr>
              <w:spacing w:after="0"/>
              <w:rPr>
                <w:sz w:val="20"/>
                <w:szCs w:val="20"/>
                <w:color w:val="auto"/>
              </w:rPr>
            </w:pPr>
            <w:r>
              <w:rPr>
                <w:rFonts w:ascii="Times New Roman" w:cs="Times New Roman" w:eastAsia="Times New Roman" w:hAnsi="Times New Roman"/>
                <w:sz w:val="17"/>
                <w:szCs w:val="17"/>
                <w:color w:val="auto"/>
              </w:rPr>
              <w:t>Total investments at fair value</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1,238.5</w:t>
            </w: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2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6"/>
        </w:trPr>
        <w:tc>
          <w:tcPr>
            <w:tcW w:w="2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equivalents</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40.7</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Total assets at fair value</w:t>
            </w: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7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40.7</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1,238.5</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1,279.2</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i w:val="1"/>
          <w:iCs w:val="1"/>
          <w:color w:val="auto"/>
        </w:rPr>
        <w:t>Financial Instruments Disclosed, But Not Carried, At Fair Value</w:t>
      </w:r>
    </w:p>
    <w:p>
      <w:pPr>
        <w:spacing w:after="0" w:line="150" w:lineRule="exact"/>
        <w:rPr>
          <w:sz w:val="20"/>
          <w:szCs w:val="20"/>
          <w:color w:val="auto"/>
        </w:rPr>
      </w:pPr>
    </w:p>
    <w:p>
      <w:pPr>
        <w:ind w:left="700" w:right="799" w:firstLine="405"/>
        <w:spacing w:after="0" w:line="262" w:lineRule="auto"/>
        <w:rPr>
          <w:sz w:val="20"/>
          <w:szCs w:val="20"/>
          <w:color w:val="auto"/>
        </w:rPr>
      </w:pPr>
      <w:r>
        <w:rPr>
          <w:rFonts w:ascii="Times New Roman" w:cs="Times New Roman" w:eastAsia="Times New Roman" w:hAnsi="Times New Roman"/>
          <w:sz w:val="17"/>
          <w:szCs w:val="17"/>
          <w:color w:val="auto"/>
        </w:rPr>
        <w:t>The following table presents the carrying value and fair value of the Fund’s financial liabilities disclosed, but not carried at fair value as of September 30, 2022 and the level of each financial liability within the fair value hierarchy:</w:t>
      </w:r>
    </w:p>
    <w:p>
      <w:pPr>
        <w:spacing w:after="0" w:line="133" w:lineRule="exact"/>
        <w:rPr>
          <w:sz w:val="20"/>
          <w:szCs w:val="20"/>
          <w:color w:val="auto"/>
        </w:rPr>
      </w:pPr>
    </w:p>
    <w:tbl>
      <w:tblPr>
        <w:tblLayout w:type="fixed"/>
        <w:tblInd w:w="700" w:type="dxa"/>
        <w:tblCellMar>
          <w:top w:w="0" w:type="dxa"/>
          <w:left w:w="0" w:type="dxa"/>
          <w:bottom w:w="0" w:type="dxa"/>
          <w:right w:w="0" w:type="dxa"/>
        </w:tblCellMar>
      </w:tblPr>
      <w:tr>
        <w:trPr>
          <w:trHeight w:val="190"/>
        </w:trPr>
        <w:tc>
          <w:tcPr>
            <w:tcW w:w="4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ind w:right="97"/>
              <w:spacing w:after="0"/>
              <w:rPr>
                <w:sz w:val="20"/>
                <w:szCs w:val="20"/>
                <w:color w:val="auto"/>
              </w:rPr>
            </w:pPr>
            <w:r>
              <w:rPr>
                <w:rFonts w:ascii="Times New Roman" w:cs="Times New Roman" w:eastAsia="Times New Roman" w:hAnsi="Times New Roman"/>
                <w:sz w:val="15"/>
                <w:szCs w:val="15"/>
                <w:b w:val="1"/>
                <w:bCs w:val="1"/>
                <w:color w:val="auto"/>
                <w:w w:val="97"/>
              </w:rPr>
              <w:t>Carrying</w:t>
            </w:r>
          </w:p>
        </w:tc>
        <w:tc>
          <w:tcPr>
            <w:tcW w:w="160" w:type="dxa"/>
            <w:vAlign w:val="bottom"/>
          </w:tcPr>
          <w:p>
            <w:pPr>
              <w:spacing w:after="0"/>
              <w:rPr>
                <w:sz w:val="16"/>
                <w:szCs w:val="16"/>
                <w:color w:val="auto"/>
              </w:rPr>
            </w:pPr>
          </w:p>
        </w:tc>
        <w:tc>
          <w:tcPr>
            <w:tcW w:w="720" w:type="dxa"/>
            <w:vAlign w:val="bottom"/>
          </w:tcPr>
          <w:p>
            <w:pPr>
              <w:jc w:val="right"/>
              <w:ind w:right="257"/>
              <w:spacing w:after="0"/>
              <w:rPr>
                <w:sz w:val="20"/>
                <w:szCs w:val="20"/>
                <w:color w:val="auto"/>
              </w:rPr>
            </w:pPr>
            <w:r>
              <w:rPr>
                <w:rFonts w:ascii="Times New Roman" w:cs="Times New Roman" w:eastAsia="Times New Roman" w:hAnsi="Times New Roman"/>
                <w:sz w:val="15"/>
                <w:szCs w:val="15"/>
                <w:b w:val="1"/>
                <w:bCs w:val="1"/>
                <w:color w:val="auto"/>
              </w:rPr>
              <w:t>Fair</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0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 in millions)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217"/>
              <w:spacing w:after="0"/>
              <w:rPr>
                <w:sz w:val="20"/>
                <w:szCs w:val="20"/>
                <w:color w:val="auto"/>
              </w:rPr>
            </w:pPr>
            <w:r>
              <w:rPr>
                <w:rFonts w:ascii="Times New Roman" w:cs="Times New Roman" w:eastAsia="Times New Roman" w:hAnsi="Times New Roman"/>
                <w:sz w:val="15"/>
                <w:szCs w:val="15"/>
                <w:b w:val="1"/>
                <w:bCs w:val="1"/>
                <w:color w:val="auto"/>
              </w:rPr>
              <w:t>Value</w:t>
            </w:r>
          </w:p>
        </w:tc>
        <w:tc>
          <w:tcPr>
            <w:tcW w:w="160" w:type="dxa"/>
            <w:vAlign w:val="bottom"/>
          </w:tcPr>
          <w:p>
            <w:pPr>
              <w:spacing w:after="0"/>
              <w:rPr>
                <w:sz w:val="17"/>
                <w:szCs w:val="17"/>
                <w:color w:val="auto"/>
              </w:rPr>
            </w:pPr>
          </w:p>
        </w:tc>
        <w:tc>
          <w:tcPr>
            <w:tcW w:w="720" w:type="dxa"/>
            <w:vAlign w:val="bottom"/>
          </w:tcPr>
          <w:p>
            <w:pPr>
              <w:jc w:val="right"/>
              <w:ind w:right="217"/>
              <w:spacing w:after="0"/>
              <w:rPr>
                <w:sz w:val="20"/>
                <w:szCs w:val="20"/>
                <w:color w:val="auto"/>
              </w:rPr>
            </w:pPr>
            <w:r>
              <w:rPr>
                <w:rFonts w:ascii="Times New Roman" w:cs="Times New Roman" w:eastAsia="Times New Roman" w:hAnsi="Times New Roman"/>
                <w:sz w:val="15"/>
                <w:szCs w:val="15"/>
                <w:b w:val="1"/>
                <w:bCs w:val="1"/>
                <w:color w:val="auto"/>
              </w:rPr>
              <w:t>Value</w:t>
            </w:r>
          </w:p>
        </w:tc>
        <w:tc>
          <w:tcPr>
            <w:tcW w:w="120" w:type="dxa"/>
            <w:vAlign w:val="bottom"/>
          </w:tcPr>
          <w:p>
            <w:pPr>
              <w:spacing w:after="0"/>
              <w:rPr>
                <w:sz w:val="17"/>
                <w:szCs w:val="17"/>
                <w:color w:val="auto"/>
              </w:rPr>
            </w:pPr>
          </w:p>
        </w:tc>
        <w:tc>
          <w:tcPr>
            <w:tcW w:w="88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Level 1</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b w:val="1"/>
                <w:bCs w:val="1"/>
                <w:color w:val="auto"/>
              </w:rPr>
              <w:t>Level 2</w:t>
            </w:r>
          </w:p>
        </w:tc>
        <w:tc>
          <w:tcPr>
            <w:tcW w:w="140" w:type="dxa"/>
            <w:vAlign w:val="bottom"/>
          </w:tcPr>
          <w:p>
            <w:pPr>
              <w:spacing w:after="0"/>
              <w:rPr>
                <w:sz w:val="17"/>
                <w:szCs w:val="17"/>
                <w:color w:val="auto"/>
              </w:rPr>
            </w:pPr>
          </w:p>
        </w:tc>
        <w:tc>
          <w:tcPr>
            <w:tcW w:w="760" w:type="dxa"/>
            <w:vAlign w:val="bottom"/>
          </w:tcPr>
          <w:p>
            <w:pPr>
              <w:ind w:left="80"/>
              <w:spacing w:after="0"/>
              <w:rPr>
                <w:sz w:val="20"/>
                <w:szCs w:val="20"/>
                <w:color w:val="auto"/>
              </w:rPr>
            </w:pPr>
            <w:r>
              <w:rPr>
                <w:rFonts w:ascii="Times New Roman" w:cs="Times New Roman" w:eastAsia="Times New Roman" w:hAnsi="Times New Roman"/>
                <w:sz w:val="15"/>
                <w:szCs w:val="15"/>
                <w:b w:val="1"/>
                <w:bCs w:val="1"/>
                <w:color w:val="auto"/>
              </w:rPr>
              <w:t>Level 3</w:t>
            </w:r>
          </w:p>
        </w:tc>
        <w:tc>
          <w:tcPr>
            <w:tcW w:w="0" w:type="dxa"/>
            <w:vAlign w:val="bottom"/>
          </w:tcPr>
          <w:p>
            <w:pPr>
              <w:spacing w:after="0"/>
              <w:rPr>
                <w:sz w:val="1"/>
                <w:szCs w:val="1"/>
                <w:color w:val="auto"/>
              </w:rPr>
            </w:pPr>
          </w:p>
        </w:tc>
      </w:tr>
      <w:tr>
        <w:trPr>
          <w:trHeight w:val="43"/>
        </w:trPr>
        <w:tc>
          <w:tcPr>
            <w:tcW w:w="460" w:type="dxa"/>
            <w:vAlign w:val="bottom"/>
            <w:tcBorders>
              <w:bottom w:val="single" w:sz="8" w:color="auto"/>
            </w:tcBorders>
          </w:tcPr>
          <w:p>
            <w:pPr>
              <w:spacing w:after="0"/>
              <w:rPr>
                <w:sz w:val="3"/>
                <w:szCs w:val="3"/>
                <w:color w:val="auto"/>
              </w:rPr>
            </w:pPr>
          </w:p>
        </w:tc>
        <w:tc>
          <w:tcPr>
            <w:tcW w:w="2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6.75%</w:t>
            </w:r>
          </w:p>
        </w:tc>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Series 2024 Term Preferred Shares</w:t>
            </w:r>
            <w:r>
              <w:rPr>
                <w:rFonts w:ascii="Times New Roman" w:cs="Times New Roman" w:eastAsia="Times New Roman" w:hAnsi="Times New Roman"/>
                <w:sz w:val="19"/>
                <w:szCs w:val="19"/>
                <w:color w:val="auto"/>
                <w:vertAlign w:val="superscript"/>
              </w:rPr>
              <w:t>(1)</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right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67.0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w w:val="82"/>
              </w:rPr>
              <w:t>—</w:t>
            </w:r>
          </w:p>
        </w:tc>
        <w:tc>
          <w:tcPr>
            <w:tcW w:w="0" w:type="dxa"/>
            <w:vAlign w:val="bottom"/>
          </w:tcPr>
          <w:p>
            <w:pPr>
              <w:spacing w:after="0"/>
              <w:rPr>
                <w:sz w:val="1"/>
                <w:szCs w:val="1"/>
                <w:color w:val="auto"/>
              </w:rPr>
            </w:pPr>
          </w:p>
        </w:tc>
      </w:tr>
      <w:tr>
        <w:trPr>
          <w:trHeight w:val="266"/>
        </w:trPr>
        <w:tc>
          <w:tcPr>
            <w:tcW w:w="460" w:type="dxa"/>
            <w:vAlign w:val="bottom"/>
          </w:tcPr>
          <w:p>
            <w:pPr>
              <w:spacing w:after="0"/>
              <w:rPr>
                <w:sz w:val="20"/>
                <w:szCs w:val="20"/>
                <w:color w:val="auto"/>
              </w:rPr>
            </w:pPr>
            <w:r>
              <w:rPr>
                <w:rFonts w:ascii="Times New Roman" w:cs="Times New Roman" w:eastAsia="Times New Roman" w:hAnsi="Times New Roman"/>
                <w:sz w:val="17"/>
                <w:szCs w:val="17"/>
                <w:color w:val="auto"/>
              </w:rPr>
              <w:t>6.25%</w:t>
            </w:r>
          </w:p>
        </w:tc>
        <w:tc>
          <w:tcPr>
            <w:tcW w:w="2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Series 2027 Term Preferred Shares</w:t>
            </w:r>
            <w:r>
              <w:rPr>
                <w:rFonts w:ascii="Times New Roman" w:cs="Times New Roman" w:eastAsia="Times New Roman" w:hAnsi="Times New Roman"/>
                <w:sz w:val="19"/>
                <w:szCs w:val="19"/>
                <w:color w:val="auto"/>
                <w:vertAlign w:val="superscript"/>
              </w:rPr>
              <w:t>(1)</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86.2</w:t>
            </w:r>
          </w:p>
        </w:tc>
        <w:tc>
          <w:tcPr>
            <w:tcW w:w="1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81.1</w:t>
            </w:r>
          </w:p>
        </w:tc>
        <w:tc>
          <w:tcPr>
            <w:tcW w:w="120" w:type="dxa"/>
            <w:vAlign w:val="bottom"/>
          </w:tcPr>
          <w:p>
            <w:pPr>
              <w:spacing w:after="0"/>
              <w:rPr>
                <w:sz w:val="23"/>
                <w:szCs w:val="23"/>
                <w:color w:val="auto"/>
              </w:rPr>
            </w:pPr>
          </w:p>
        </w:tc>
        <w:tc>
          <w:tcPr>
            <w:tcW w:w="88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81.1</w:t>
            </w:r>
          </w:p>
        </w:tc>
        <w:tc>
          <w:tcPr>
            <w:tcW w:w="140" w:type="dxa"/>
            <w:vAlign w:val="bottom"/>
          </w:tcPr>
          <w:p>
            <w:pPr>
              <w:spacing w:after="0"/>
              <w:rPr>
                <w:sz w:val="23"/>
                <w:szCs w:val="23"/>
                <w:color w:val="auto"/>
              </w:rPr>
            </w:pPr>
          </w:p>
        </w:tc>
        <w:tc>
          <w:tcPr>
            <w:tcW w:w="760" w:type="dxa"/>
            <w:vAlign w:val="bottom"/>
          </w:tcPr>
          <w:p>
            <w:pPr>
              <w:ind w:left="600"/>
              <w:spacing w:after="0"/>
              <w:rPr>
                <w:sz w:val="20"/>
                <w:szCs w:val="20"/>
                <w:color w:val="auto"/>
              </w:rPr>
            </w:pPr>
            <w:r>
              <w:rPr>
                <w:rFonts w:ascii="Times New Roman" w:cs="Times New Roman" w:eastAsia="Times New Roman" w:hAnsi="Times New Roman"/>
                <w:sz w:val="17"/>
                <w:szCs w:val="17"/>
                <w:color w:val="auto"/>
                <w:w w:val="82"/>
              </w:rPr>
              <w:t>—</w:t>
            </w:r>
          </w:p>
        </w:tc>
        <w:tc>
          <w:tcPr>
            <w:tcW w:w="0" w:type="dxa"/>
            <w:vAlign w:val="bottom"/>
          </w:tcPr>
          <w:p>
            <w:pPr>
              <w:spacing w:after="0"/>
              <w:rPr>
                <w:sz w:val="1"/>
                <w:szCs w:val="1"/>
                <w:color w:val="auto"/>
              </w:rPr>
            </w:pPr>
          </w:p>
        </w:tc>
      </w:tr>
      <w:tr>
        <w:trPr>
          <w:trHeight w:val="266"/>
        </w:trPr>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6.00%</w:t>
            </w:r>
          </w:p>
        </w:tc>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Series 2029 Term Preferred Shares</w:t>
            </w:r>
            <w:r>
              <w:rPr>
                <w:rFonts w:ascii="Times New Roman" w:cs="Times New Roman" w:eastAsia="Times New Roman" w:hAnsi="Times New Roman"/>
                <w:sz w:val="19"/>
                <w:szCs w:val="19"/>
                <w:color w:val="auto"/>
                <w:vertAlign w:val="superscript"/>
              </w:rPr>
              <w:t>(1)</w:t>
            </w: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65.1</w:t>
            </w:r>
          </w:p>
        </w:tc>
        <w:tc>
          <w:tcPr>
            <w:tcW w:w="160" w:type="dxa"/>
            <w:vAlign w:val="bottom"/>
            <w:shd w:val="clear" w:color="auto" w:fill="CCEEFF"/>
          </w:tcPr>
          <w:p>
            <w:pPr>
              <w:spacing w:after="0"/>
              <w:rPr>
                <w:sz w:val="23"/>
                <w:szCs w:val="23"/>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60.8</w:t>
            </w:r>
          </w:p>
        </w:tc>
        <w:tc>
          <w:tcPr>
            <w:tcW w:w="120" w:type="dxa"/>
            <w:vAlign w:val="bottom"/>
            <w:shd w:val="clear" w:color="auto" w:fill="CCEEFF"/>
          </w:tcPr>
          <w:p>
            <w:pPr>
              <w:spacing w:after="0"/>
              <w:rPr>
                <w:sz w:val="23"/>
                <w:szCs w:val="23"/>
                <w:color w:val="auto"/>
              </w:rPr>
            </w:pPr>
          </w:p>
        </w:tc>
        <w:tc>
          <w:tcPr>
            <w:tcW w:w="88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60.8</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w w:val="82"/>
              </w:rPr>
              <w:t>—</w:t>
            </w:r>
          </w:p>
        </w:tc>
        <w:tc>
          <w:tcPr>
            <w:tcW w:w="0" w:type="dxa"/>
            <w:vAlign w:val="bottom"/>
          </w:tcPr>
          <w:p>
            <w:pPr>
              <w:spacing w:after="0"/>
              <w:rPr>
                <w:sz w:val="1"/>
                <w:szCs w:val="1"/>
                <w:color w:val="auto"/>
              </w:rPr>
            </w:pPr>
          </w:p>
        </w:tc>
      </w:tr>
      <w:tr>
        <w:trPr>
          <w:trHeight w:val="266"/>
        </w:trPr>
        <w:tc>
          <w:tcPr>
            <w:tcW w:w="308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8"/>
              </w:rPr>
              <w:t>7.125% Series 2029 Term Preferred Shares</w:t>
            </w:r>
            <w:r>
              <w:rPr>
                <w:rFonts w:ascii="Times New Roman" w:cs="Times New Roman" w:eastAsia="Times New Roman" w:hAnsi="Times New Roman"/>
                <w:sz w:val="19"/>
                <w:szCs w:val="19"/>
                <w:color w:val="auto"/>
                <w:w w:val="98"/>
                <w:vertAlign w:val="superscript"/>
              </w:rPr>
              <w:t>(1)</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61.5</w:t>
            </w:r>
          </w:p>
        </w:tc>
        <w:tc>
          <w:tcPr>
            <w:tcW w:w="1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58.4</w:t>
            </w:r>
          </w:p>
        </w:tc>
        <w:tc>
          <w:tcPr>
            <w:tcW w:w="120" w:type="dxa"/>
            <w:vAlign w:val="bottom"/>
          </w:tcPr>
          <w:p>
            <w:pPr>
              <w:spacing w:after="0"/>
              <w:rPr>
                <w:sz w:val="23"/>
                <w:szCs w:val="23"/>
                <w:color w:val="auto"/>
              </w:rPr>
            </w:pPr>
          </w:p>
        </w:tc>
        <w:tc>
          <w:tcPr>
            <w:tcW w:w="88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58.4</w:t>
            </w:r>
          </w:p>
        </w:tc>
        <w:tc>
          <w:tcPr>
            <w:tcW w:w="140" w:type="dxa"/>
            <w:vAlign w:val="bottom"/>
          </w:tcPr>
          <w:p>
            <w:pPr>
              <w:spacing w:after="0"/>
              <w:rPr>
                <w:sz w:val="23"/>
                <w:szCs w:val="23"/>
                <w:color w:val="auto"/>
              </w:rPr>
            </w:pPr>
          </w:p>
        </w:tc>
        <w:tc>
          <w:tcPr>
            <w:tcW w:w="760" w:type="dxa"/>
            <w:vAlign w:val="bottom"/>
          </w:tcPr>
          <w:p>
            <w:pPr>
              <w:ind w:left="600"/>
              <w:spacing w:after="0"/>
              <w:rPr>
                <w:sz w:val="20"/>
                <w:szCs w:val="20"/>
                <w:color w:val="auto"/>
              </w:rPr>
            </w:pPr>
            <w:r>
              <w:rPr>
                <w:rFonts w:ascii="Times New Roman" w:cs="Times New Roman" w:eastAsia="Times New Roman" w:hAnsi="Times New Roman"/>
                <w:sz w:val="17"/>
                <w:szCs w:val="17"/>
                <w:color w:val="auto"/>
                <w:w w:val="82"/>
              </w:rPr>
              <w:t>—</w:t>
            </w:r>
          </w:p>
        </w:tc>
        <w:tc>
          <w:tcPr>
            <w:tcW w:w="0" w:type="dxa"/>
            <w:vAlign w:val="bottom"/>
          </w:tcPr>
          <w:p>
            <w:pPr>
              <w:spacing w:after="0"/>
              <w:rPr>
                <w:sz w:val="1"/>
                <w:szCs w:val="1"/>
                <w:color w:val="auto"/>
              </w:rPr>
            </w:pPr>
          </w:p>
        </w:tc>
      </w:tr>
      <w:tr>
        <w:trPr>
          <w:trHeight w:val="266"/>
        </w:trPr>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5.00%</w:t>
            </w:r>
          </w:p>
        </w:tc>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Unsecured Notes due 2027</w:t>
            </w:r>
            <w:r>
              <w:rPr>
                <w:rFonts w:ascii="Times New Roman" w:cs="Times New Roman" w:eastAsia="Times New Roman" w:hAnsi="Times New Roman"/>
                <w:sz w:val="19"/>
                <w:szCs w:val="19"/>
                <w:color w:val="auto"/>
                <w:vertAlign w:val="superscript"/>
              </w:rPr>
              <w:t>(2)</w:t>
            </w: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97.1</w:t>
            </w:r>
          </w:p>
        </w:tc>
        <w:tc>
          <w:tcPr>
            <w:tcW w:w="160" w:type="dxa"/>
            <w:vAlign w:val="bottom"/>
            <w:shd w:val="clear" w:color="auto" w:fill="CCEEFF"/>
          </w:tcPr>
          <w:p>
            <w:pPr>
              <w:spacing w:after="0"/>
              <w:rPr>
                <w:sz w:val="23"/>
                <w:szCs w:val="23"/>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92.2</w:t>
            </w:r>
          </w:p>
        </w:tc>
        <w:tc>
          <w:tcPr>
            <w:tcW w:w="120" w:type="dxa"/>
            <w:vAlign w:val="bottom"/>
            <w:shd w:val="clear" w:color="auto" w:fill="CCEEFF"/>
          </w:tcPr>
          <w:p>
            <w:pPr>
              <w:spacing w:after="0"/>
              <w:rPr>
                <w:sz w:val="23"/>
                <w:szCs w:val="23"/>
                <w:color w:val="auto"/>
              </w:rPr>
            </w:pPr>
          </w:p>
        </w:tc>
        <w:tc>
          <w:tcPr>
            <w:tcW w:w="88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92.2</w:t>
            </w: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w w:val="82"/>
              </w:rPr>
              <w:t>—</w:t>
            </w:r>
          </w:p>
        </w:tc>
        <w:tc>
          <w:tcPr>
            <w:tcW w:w="0" w:type="dxa"/>
            <w:vAlign w:val="bottom"/>
          </w:tcPr>
          <w:p>
            <w:pPr>
              <w:spacing w:after="0"/>
              <w:rPr>
                <w:sz w:val="1"/>
                <w:szCs w:val="1"/>
                <w:color w:val="auto"/>
              </w:rPr>
            </w:pPr>
          </w:p>
        </w:tc>
      </w:tr>
      <w:tr>
        <w:trPr>
          <w:trHeight w:val="266"/>
        </w:trPr>
        <w:tc>
          <w:tcPr>
            <w:tcW w:w="460" w:type="dxa"/>
            <w:vAlign w:val="bottom"/>
          </w:tcPr>
          <w:p>
            <w:pPr>
              <w:spacing w:after="0"/>
              <w:rPr>
                <w:sz w:val="20"/>
                <w:szCs w:val="20"/>
                <w:color w:val="auto"/>
              </w:rPr>
            </w:pPr>
            <w:r>
              <w:rPr>
                <w:rFonts w:ascii="Times New Roman" w:cs="Times New Roman" w:eastAsia="Times New Roman" w:hAnsi="Times New Roman"/>
                <w:sz w:val="17"/>
                <w:szCs w:val="17"/>
                <w:color w:val="auto"/>
              </w:rPr>
              <w:t>6.75%</w:t>
            </w:r>
          </w:p>
        </w:tc>
        <w:tc>
          <w:tcPr>
            <w:tcW w:w="2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Unsecured Notes due 2031</w:t>
            </w:r>
            <w:r>
              <w:rPr>
                <w:rFonts w:ascii="Times New Roman" w:cs="Times New Roman" w:eastAsia="Times New Roman" w:hAnsi="Times New Roman"/>
                <w:sz w:val="19"/>
                <w:szCs w:val="19"/>
                <w:color w:val="auto"/>
                <w:vertAlign w:val="superscript"/>
              </w:rPr>
              <w:t>(2)</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97.0</w:t>
            </w:r>
          </w:p>
        </w:tc>
        <w:tc>
          <w:tcPr>
            <w:tcW w:w="1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93.6</w:t>
            </w:r>
          </w:p>
        </w:tc>
        <w:tc>
          <w:tcPr>
            <w:tcW w:w="120" w:type="dxa"/>
            <w:vAlign w:val="bottom"/>
          </w:tcPr>
          <w:p>
            <w:pPr>
              <w:spacing w:after="0"/>
              <w:rPr>
                <w:sz w:val="23"/>
                <w:szCs w:val="23"/>
                <w:color w:val="auto"/>
              </w:rPr>
            </w:pPr>
          </w:p>
        </w:tc>
        <w:tc>
          <w:tcPr>
            <w:tcW w:w="88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93.6</w:t>
            </w:r>
          </w:p>
        </w:tc>
        <w:tc>
          <w:tcPr>
            <w:tcW w:w="140" w:type="dxa"/>
            <w:vAlign w:val="bottom"/>
          </w:tcPr>
          <w:p>
            <w:pPr>
              <w:spacing w:after="0"/>
              <w:rPr>
                <w:sz w:val="23"/>
                <w:szCs w:val="23"/>
                <w:color w:val="auto"/>
              </w:rPr>
            </w:pPr>
          </w:p>
        </w:tc>
        <w:tc>
          <w:tcPr>
            <w:tcW w:w="760" w:type="dxa"/>
            <w:vAlign w:val="bottom"/>
          </w:tcPr>
          <w:p>
            <w:pPr>
              <w:ind w:left="600"/>
              <w:spacing w:after="0"/>
              <w:rPr>
                <w:sz w:val="20"/>
                <w:szCs w:val="20"/>
                <w:color w:val="auto"/>
              </w:rPr>
            </w:pPr>
            <w:r>
              <w:rPr>
                <w:rFonts w:ascii="Times New Roman" w:cs="Times New Roman" w:eastAsia="Times New Roman" w:hAnsi="Times New Roman"/>
                <w:sz w:val="17"/>
                <w:szCs w:val="17"/>
                <w:color w:val="auto"/>
                <w:w w:val="82"/>
              </w:rPr>
              <w:t>—</w:t>
            </w:r>
          </w:p>
        </w:tc>
        <w:tc>
          <w:tcPr>
            <w:tcW w:w="0" w:type="dxa"/>
            <w:vAlign w:val="bottom"/>
          </w:tcPr>
          <w:p>
            <w:pPr>
              <w:spacing w:after="0"/>
              <w:rPr>
                <w:sz w:val="1"/>
                <w:szCs w:val="1"/>
                <w:color w:val="auto"/>
              </w:rPr>
            </w:pPr>
          </w:p>
        </w:tc>
      </w:tr>
      <w:tr>
        <w:trPr>
          <w:trHeight w:val="20"/>
        </w:trPr>
        <w:tc>
          <w:tcPr>
            <w:tcW w:w="4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2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460" w:type="dxa"/>
            <w:vAlign w:val="bottom"/>
            <w:vMerge w:val="continue"/>
            <w:shd w:val="clear" w:color="auto" w:fill="CCEEFF"/>
          </w:tcPr>
          <w:p>
            <w:pPr>
              <w:spacing w:after="0"/>
              <w:rPr>
                <w:sz w:val="19"/>
                <w:szCs w:val="19"/>
                <w:color w:val="auto"/>
              </w:rPr>
            </w:pPr>
          </w:p>
        </w:tc>
        <w:tc>
          <w:tcPr>
            <w:tcW w:w="262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right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453.1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 $</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453.1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w w:val="82"/>
              </w:rPr>
              <w:t>—</w:t>
            </w:r>
          </w:p>
        </w:tc>
        <w:tc>
          <w:tcPr>
            <w:tcW w:w="0" w:type="dxa"/>
            <w:vAlign w:val="bottom"/>
          </w:tcPr>
          <w:p>
            <w:pPr>
              <w:spacing w:after="0"/>
              <w:rPr>
                <w:sz w:val="1"/>
                <w:szCs w:val="1"/>
                <w:color w:val="auto"/>
              </w:rPr>
            </w:pPr>
          </w:p>
        </w:tc>
      </w:tr>
      <w:tr>
        <w:trPr>
          <w:trHeight w:val="20"/>
        </w:trPr>
        <w:tc>
          <w:tcPr>
            <w:tcW w:w="46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5"/>
          <w:szCs w:val="15"/>
          <w:color w:val="auto"/>
        </w:rPr>
        <w:t>____________</w:t>
      </w:r>
    </w:p>
    <w:p>
      <w:pPr>
        <w:spacing w:after="0" w:line="106" w:lineRule="exact"/>
        <w:rPr>
          <w:sz w:val="20"/>
          <w:szCs w:val="20"/>
          <w:color w:val="auto"/>
        </w:rPr>
      </w:pPr>
    </w:p>
    <w:p>
      <w:pPr>
        <w:ind w:left="1120" w:right="1159" w:hanging="415"/>
        <w:spacing w:after="0" w:line="267" w:lineRule="auto"/>
        <w:tabs>
          <w:tab w:leader="none" w:pos="112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Term Preferred Stock, fair value is based upon the closing price on the last day of the period. The Term Preferred Stock are listed on the NASDAQ Global Select Market (trading symbols “OXLCM”, “OXLCP” , “OXLCO” and “OXLCN”).</w:t>
      </w:r>
    </w:p>
    <w:p>
      <w:pPr>
        <w:spacing w:after="0" w:line="1" w:lineRule="exact"/>
        <w:rPr>
          <w:rFonts w:ascii="Times New Roman" w:cs="Times New Roman" w:eastAsia="Times New Roman" w:hAnsi="Times New Roman"/>
          <w:sz w:val="15"/>
          <w:szCs w:val="15"/>
          <w:color w:val="auto"/>
        </w:rPr>
      </w:pPr>
    </w:p>
    <w:p>
      <w:pPr>
        <w:ind w:left="1120" w:hanging="415"/>
        <w:spacing w:after="0"/>
        <w:tabs>
          <w:tab w:leader="none" w:pos="112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5.00% Unsecured Notes and 6.75% Unsecured Notes, fair value is based upon the closing price on the</w:t>
      </w:r>
    </w:p>
    <w:p>
      <w:pPr>
        <w:spacing w:after="0" w:line="17" w:lineRule="exact"/>
        <w:rPr>
          <w:rFonts w:ascii="Times New Roman" w:cs="Times New Roman" w:eastAsia="Times New Roman" w:hAnsi="Times New Roman"/>
          <w:sz w:val="15"/>
          <w:szCs w:val="15"/>
          <w:color w:val="auto"/>
        </w:rPr>
      </w:pPr>
    </w:p>
    <w:p>
      <w:pPr>
        <w:ind w:left="1120" w:right="899"/>
        <w:spacing w:after="0" w:line="288"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last day of the period. The 5.00% Unsecured Notes and 6.75% Unsecured Notes are listed on the NASDAQ Global Select Market (trading symbol “OXLCZ” and “OXLCL”, respectively).</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15240</wp:posOffset>
            </wp:positionV>
            <wp:extent cx="482473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4824730"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39" w:name="page40"/>
    <w:bookmarkEnd w:id="39"/>
    <w:p>
      <w:pPr>
        <w:ind w:left="7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SEPTEMBER 30, 2022</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 xml:space="preserve">NOTE 4. FAIR VALUE </w:t>
      </w:r>
      <w:r>
        <w:rPr>
          <w:rFonts w:ascii="Times New Roman" w:cs="Times New Roman" w:eastAsia="Times New Roman" w:hAnsi="Times New Roman"/>
          <w:sz w:val="17"/>
          <w:szCs w:val="17"/>
          <w:color w:val="auto"/>
        </w:rPr>
        <w:t>(cont.)</w:t>
      </w:r>
    </w:p>
    <w:p>
      <w:pPr>
        <w:spacing w:after="0" w:line="21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i w:val="1"/>
          <w:iCs w:val="1"/>
          <w:color w:val="auto"/>
        </w:rPr>
        <w:t>Significant Unobservable Inputs for Level 3 Investments</w:t>
      </w:r>
    </w:p>
    <w:p>
      <w:pPr>
        <w:spacing w:after="0" w:line="138" w:lineRule="exact"/>
        <w:rPr>
          <w:sz w:val="20"/>
          <w:szCs w:val="20"/>
          <w:color w:val="auto"/>
        </w:rPr>
      </w:pPr>
    </w:p>
    <w:p>
      <w:pPr>
        <w:ind w:left="700" w:right="799" w:firstLine="405"/>
        <w:spacing w:after="0" w:line="252" w:lineRule="auto"/>
        <w:rPr>
          <w:sz w:val="20"/>
          <w:szCs w:val="20"/>
          <w:color w:val="auto"/>
        </w:rPr>
      </w:pPr>
      <w:r>
        <w:rPr>
          <w:rFonts w:ascii="Times New Roman" w:cs="Times New Roman" w:eastAsia="Times New Roman" w:hAnsi="Times New Roman"/>
          <w:sz w:val="17"/>
          <w:szCs w:val="17"/>
          <w:color w:val="auto"/>
        </w:rPr>
        <w:t xml:space="preserve">In accordance with ASC 820-10, the following table provides quantitative information about the Fund’s Level 3 fair value measurements as of September 30, 2022. The Fund’s Valuation Policy, which previously was approved by the Board, establishes parameters for the sources and types of valuation analysis, as well as the methodologies and inputs that the Fund uses in determining fair value. See “Note 3 Summary of Significant Accounting Policies — </w:t>
      </w:r>
      <w:r>
        <w:rPr>
          <w:rFonts w:ascii="Times New Roman" w:cs="Times New Roman" w:eastAsia="Times New Roman" w:hAnsi="Times New Roman"/>
          <w:sz w:val="17"/>
          <w:szCs w:val="17"/>
          <w:i w:val="1"/>
          <w:iCs w:val="1"/>
          <w:color w:val="auto"/>
        </w:rPr>
        <w:t>Good Faith Determinations of Fair Value</w:t>
      </w:r>
      <w:r>
        <w:rPr>
          <w:rFonts w:ascii="Times New Roman" w:cs="Times New Roman" w:eastAsia="Times New Roman" w:hAnsi="Times New Roman"/>
          <w:sz w:val="17"/>
          <w:szCs w:val="17"/>
          <w:color w:val="auto"/>
        </w:rPr>
        <w:t>, Rule 2a-5.” If the Board of Directors or Oxford Lane Management determines that additional techniques, sources or inputs are appropriate or necessary in a given situation, such additional work may be undertaken. The weighted average calculations in the table below are based on the fair value within each respective valuation technique and methodology and asset category.</w:t>
      </w:r>
    </w:p>
    <w:p>
      <w:pPr>
        <w:spacing w:after="0" w:line="234" w:lineRule="exact"/>
        <w:rPr>
          <w:sz w:val="20"/>
          <w:szCs w:val="20"/>
          <w:color w:val="auto"/>
        </w:rPr>
      </w:pPr>
    </w:p>
    <w:tbl>
      <w:tblPr>
        <w:tblLayout w:type="fixed"/>
        <w:tblInd w:w="700" w:type="dxa"/>
        <w:tblCellMar>
          <w:top w:w="0" w:type="dxa"/>
          <w:left w:w="0" w:type="dxa"/>
          <w:bottom w:w="0" w:type="dxa"/>
          <w:right w:w="0" w:type="dxa"/>
        </w:tblCellMar>
      </w:tblPr>
      <w:tr>
        <w:trPr>
          <w:trHeight w:val="178"/>
        </w:trPr>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740" w:type="dxa"/>
            <w:vAlign w:val="bottom"/>
            <w:gridSpan w:val="8"/>
          </w:tcPr>
          <w:p>
            <w:pPr>
              <w:ind w:left="340"/>
              <w:spacing w:after="0"/>
              <w:rPr>
                <w:sz w:val="20"/>
                <w:szCs w:val="20"/>
                <w:color w:val="auto"/>
              </w:rPr>
            </w:pPr>
            <w:r>
              <w:rPr>
                <w:rFonts w:ascii="Times New Roman" w:cs="Times New Roman" w:eastAsia="Times New Roman" w:hAnsi="Times New Roman"/>
                <w:sz w:val="13"/>
                <w:szCs w:val="13"/>
                <w:b w:val="1"/>
                <w:bCs w:val="1"/>
                <w:color w:val="auto"/>
              </w:rPr>
              <w:t>Quantitative Information about Level 3 Fair Value Measurements</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Impact to</w:t>
            </w:r>
          </w:p>
        </w:tc>
        <w:tc>
          <w:tcPr>
            <w:tcW w:w="0" w:type="dxa"/>
            <w:vAlign w:val="bottom"/>
          </w:tcPr>
          <w:p>
            <w:pPr>
              <w:spacing w:after="0"/>
              <w:rPr>
                <w:sz w:val="1"/>
                <w:szCs w:val="1"/>
                <w:color w:val="auto"/>
              </w:rPr>
            </w:pPr>
          </w:p>
        </w:tc>
      </w:tr>
      <w:tr>
        <w:trPr>
          <w:trHeight w:val="23"/>
        </w:trPr>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07"/>
        </w:trPr>
        <w:tc>
          <w:tcPr>
            <w:tcW w:w="1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3"/>
          </w:tcPr>
          <w:p>
            <w:pPr>
              <w:jc w:val="center"/>
              <w:ind w:right="120"/>
              <w:spacing w:after="0" w:line="107" w:lineRule="exact"/>
              <w:rPr>
                <w:sz w:val="20"/>
                <w:szCs w:val="20"/>
                <w:color w:val="auto"/>
              </w:rPr>
            </w:pPr>
            <w:r>
              <w:rPr>
                <w:rFonts w:ascii="Times New Roman" w:cs="Times New Roman" w:eastAsia="Times New Roman" w:hAnsi="Times New Roman"/>
                <w:sz w:val="12"/>
                <w:szCs w:val="12"/>
                <w:b w:val="1"/>
                <w:bCs w:val="1"/>
                <w:color w:val="auto"/>
              </w:rPr>
              <w:t>Fair Value</w:t>
            </w:r>
          </w:p>
        </w:tc>
        <w:tc>
          <w:tcPr>
            <w:tcW w:w="16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Valuation</w:t>
            </w: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center"/>
              <w:ind w:right="320"/>
              <w:spacing w:after="0" w:line="139" w:lineRule="exact"/>
              <w:rPr>
                <w:sz w:val="20"/>
                <w:szCs w:val="20"/>
                <w:color w:val="auto"/>
              </w:rPr>
            </w:pPr>
            <w:r>
              <w:rPr>
                <w:rFonts w:ascii="Times New Roman" w:cs="Times New Roman" w:eastAsia="Times New Roman" w:hAnsi="Times New Roman"/>
                <w:sz w:val="13"/>
                <w:szCs w:val="13"/>
                <w:b w:val="1"/>
                <w:bCs w:val="1"/>
                <w:color w:val="auto"/>
              </w:rPr>
              <w:t>as of</w:t>
            </w:r>
          </w:p>
        </w:tc>
        <w:tc>
          <w:tcPr>
            <w:tcW w:w="1600" w:type="dxa"/>
            <w:vAlign w:val="bottom"/>
            <w:gridSpan w:val="2"/>
            <w:vMerge w:val="continue"/>
          </w:tcPr>
          <w:p>
            <w:pPr>
              <w:spacing w:after="0"/>
              <w:rPr>
                <w:sz w:val="12"/>
                <w:szCs w:val="12"/>
                <w:color w:val="auto"/>
              </w:rPr>
            </w:pPr>
          </w:p>
        </w:tc>
        <w:tc>
          <w:tcPr>
            <w:tcW w:w="8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Unobservable</w:t>
            </w:r>
          </w:p>
        </w:tc>
        <w:tc>
          <w:tcPr>
            <w:tcW w:w="14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Range/Weighted</w:t>
            </w:r>
          </w:p>
        </w:tc>
        <w:tc>
          <w:tcPr>
            <w:tcW w:w="94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Valuation from</w:t>
            </w:r>
          </w:p>
        </w:tc>
        <w:tc>
          <w:tcPr>
            <w:tcW w:w="0" w:type="dxa"/>
            <w:vAlign w:val="bottom"/>
          </w:tcPr>
          <w:p>
            <w:pPr>
              <w:spacing w:after="0"/>
              <w:rPr>
                <w:sz w:val="1"/>
                <w:szCs w:val="1"/>
                <w:color w:val="auto"/>
              </w:rPr>
            </w:pPr>
          </w:p>
        </w:tc>
      </w:tr>
      <w:tr>
        <w:trPr>
          <w:trHeight w:val="140"/>
        </w:trPr>
        <w:tc>
          <w:tcPr>
            <w:tcW w:w="16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00" w:type="dxa"/>
            <w:vAlign w:val="bottom"/>
            <w:vMerge w:val="restart"/>
          </w:tcPr>
          <w:p>
            <w:pPr>
              <w:spacing w:after="0"/>
              <w:rPr>
                <w:sz w:val="12"/>
                <w:szCs w:val="12"/>
                <w:color w:val="auto"/>
              </w:rPr>
            </w:pPr>
          </w:p>
        </w:tc>
        <w:tc>
          <w:tcPr>
            <w:tcW w:w="1040" w:type="dxa"/>
            <w:vAlign w:val="bottom"/>
            <w:gridSpan w:val="3"/>
          </w:tcPr>
          <w:p>
            <w:pPr>
              <w:jc w:val="center"/>
              <w:ind w:right="100"/>
              <w:spacing w:after="0" w:line="141"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600" w:type="dxa"/>
            <w:vAlign w:val="bottom"/>
            <w:gridSpan w:val="2"/>
          </w:tcPr>
          <w:p>
            <w:pPr>
              <w:jc w:val="center"/>
              <w:ind w:right="80"/>
              <w:spacing w:after="0" w:line="141" w:lineRule="exact"/>
              <w:rPr>
                <w:sz w:val="20"/>
                <w:szCs w:val="20"/>
                <w:color w:val="auto"/>
              </w:rPr>
            </w:pPr>
            <w:r>
              <w:rPr>
                <w:rFonts w:ascii="Times New Roman" w:cs="Times New Roman" w:eastAsia="Times New Roman" w:hAnsi="Times New Roman"/>
                <w:sz w:val="13"/>
                <w:szCs w:val="13"/>
                <w:b w:val="1"/>
                <w:bCs w:val="1"/>
                <w:color w:val="auto"/>
              </w:rPr>
              <w:t>Techniques/</w:t>
            </w:r>
          </w:p>
        </w:tc>
        <w:tc>
          <w:tcPr>
            <w:tcW w:w="880" w:type="dxa"/>
            <w:vAlign w:val="bottom"/>
            <w:gridSpan w:val="2"/>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9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b w:val="1"/>
                <w:bCs w:val="1"/>
                <w:color w:val="auto"/>
              </w:rPr>
              <w:t>an Increase in</w:t>
            </w:r>
          </w:p>
        </w:tc>
        <w:tc>
          <w:tcPr>
            <w:tcW w:w="0" w:type="dxa"/>
            <w:vAlign w:val="bottom"/>
          </w:tcPr>
          <w:p>
            <w:pPr>
              <w:spacing w:after="0"/>
              <w:rPr>
                <w:sz w:val="1"/>
                <w:szCs w:val="1"/>
                <w:color w:val="auto"/>
              </w:rPr>
            </w:pPr>
          </w:p>
        </w:tc>
      </w:tr>
      <w:tr>
        <w:trPr>
          <w:trHeight w:val="194"/>
        </w:trPr>
        <w:tc>
          <w:tcPr>
            <w:tcW w:w="16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Methodologies</w:t>
            </w:r>
          </w:p>
        </w:tc>
        <w:tc>
          <w:tcPr>
            <w:tcW w:w="100" w:type="dxa"/>
            <w:vAlign w:val="bottom"/>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Input</w:t>
            </w:r>
          </w:p>
        </w:tc>
        <w:tc>
          <w:tcPr>
            <w:tcW w:w="80" w:type="dxa"/>
            <w:vAlign w:val="bottom"/>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Average</w:t>
            </w:r>
            <w:r>
              <w:rPr>
                <w:rFonts w:ascii="Times New Roman" w:cs="Times New Roman" w:eastAsia="Times New Roman" w:hAnsi="Times New Roman"/>
                <w:sz w:val="13"/>
                <w:szCs w:val="13"/>
                <w:b w:val="1"/>
                <w:bCs w:val="1"/>
                <w:color w:val="auto"/>
                <w:w w:val="95"/>
                <w:vertAlign w:val="superscript"/>
              </w:rPr>
              <w:t>(3)</w:t>
            </w:r>
          </w:p>
        </w:tc>
        <w:tc>
          <w:tcPr>
            <w:tcW w:w="80" w:type="dxa"/>
            <w:vAlign w:val="bottom"/>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Input</w:t>
            </w:r>
            <w:r>
              <w:rPr>
                <w:rFonts w:ascii="Times New Roman" w:cs="Times New Roman" w:eastAsia="Times New Roman" w:hAnsi="Times New Roman"/>
                <w:sz w:val="13"/>
                <w:szCs w:val="13"/>
                <w:b w:val="1"/>
                <w:bCs w:val="1"/>
                <w:color w:val="auto"/>
                <w:w w:val="97"/>
                <w:vertAlign w:val="superscript"/>
              </w:rPr>
              <w:t>(4)</w:t>
            </w:r>
          </w:p>
        </w:tc>
        <w:tc>
          <w:tcPr>
            <w:tcW w:w="0" w:type="dxa"/>
            <w:vAlign w:val="bottom"/>
          </w:tcPr>
          <w:p>
            <w:pPr>
              <w:spacing w:after="0"/>
              <w:rPr>
                <w:sz w:val="1"/>
                <w:szCs w:val="1"/>
                <w:color w:val="auto"/>
              </w:rPr>
            </w:pPr>
          </w:p>
        </w:tc>
      </w:tr>
      <w:tr>
        <w:trPr>
          <w:trHeight w:val="243"/>
        </w:trPr>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6"/>
        </w:trPr>
        <w:tc>
          <w:tcPr>
            <w:tcW w:w="1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CLO debt</w:t>
            </w:r>
          </w:p>
        </w:tc>
        <w:tc>
          <w:tcPr>
            <w:tcW w:w="2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36.9</w:t>
            </w:r>
          </w:p>
        </w:tc>
        <w:tc>
          <w:tcPr>
            <w:tcW w:w="16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rPr>
              <w:t>Market Quotes</w:t>
            </w:r>
          </w:p>
        </w:tc>
        <w:tc>
          <w:tcPr>
            <w:tcW w:w="8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4"/>
              </w:rPr>
              <w:t>NBIB</w:t>
            </w:r>
            <w:r>
              <w:rPr>
                <w:rFonts w:ascii="Times New Roman" w:cs="Times New Roman" w:eastAsia="Times New Roman" w:hAnsi="Times New Roman"/>
                <w:sz w:val="20"/>
                <w:szCs w:val="20"/>
                <w:color w:val="auto"/>
                <w:w w:val="94"/>
                <w:vertAlign w:val="superscript"/>
              </w:rPr>
              <w:t>(1)</w:t>
            </w:r>
          </w:p>
        </w:tc>
        <w:tc>
          <w:tcPr>
            <w:tcW w:w="14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rPr>
              <w:t>45.0% – 88.5%/68.7</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266"/>
        </w:trPr>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CLO equity</w:t>
            </w: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1,142.4</w:t>
            </w:r>
          </w:p>
        </w:tc>
        <w:tc>
          <w:tcPr>
            <w:tcW w:w="100" w:type="dxa"/>
            <w:vAlign w:val="bottom"/>
            <w:shd w:val="clear" w:color="auto" w:fill="CCEEFF"/>
          </w:tcPr>
          <w:p>
            <w:pPr>
              <w:spacing w:after="0"/>
              <w:rPr>
                <w:sz w:val="23"/>
                <w:szCs w:val="23"/>
                <w:color w:val="auto"/>
              </w:rPr>
            </w:pPr>
          </w:p>
        </w:tc>
        <w:tc>
          <w:tcPr>
            <w:tcW w:w="16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rPr>
              <w:t>Market Quotes</w:t>
            </w:r>
          </w:p>
        </w:tc>
        <w:tc>
          <w:tcPr>
            <w:tcW w:w="8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4"/>
              </w:rPr>
              <w:t>NBIB</w:t>
            </w:r>
            <w:r>
              <w:rPr>
                <w:rFonts w:ascii="Times New Roman" w:cs="Times New Roman" w:eastAsia="Times New Roman" w:hAnsi="Times New Roman"/>
                <w:sz w:val="20"/>
                <w:szCs w:val="20"/>
                <w:color w:val="auto"/>
                <w:w w:val="94"/>
                <w:vertAlign w:val="superscript"/>
              </w:rPr>
              <w:t>(1)</w:t>
            </w:r>
          </w:p>
        </w:tc>
        <w:tc>
          <w:tcPr>
            <w:tcW w:w="14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rPr>
              <w:t>0.0% – 100.0%/43.6%</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19"/>
        </w:trPr>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9.8</w:t>
            </w:r>
          </w:p>
        </w:tc>
        <w:tc>
          <w:tcPr>
            <w:tcW w:w="16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color w:val="auto"/>
              </w:rPr>
              <w:t>Yield Analysis</w:t>
            </w:r>
          </w:p>
        </w:tc>
        <w:tc>
          <w:tcPr>
            <w:tcW w:w="880" w:type="dxa"/>
            <w:vAlign w:val="bottom"/>
            <w:gridSpan w:val="2"/>
          </w:tcPr>
          <w:p>
            <w:pPr>
              <w:jc w:val="center"/>
              <w:ind w:right="80"/>
              <w:spacing w:after="0" w:line="119" w:lineRule="exact"/>
              <w:rPr>
                <w:sz w:val="20"/>
                <w:szCs w:val="20"/>
                <w:color w:val="auto"/>
              </w:rPr>
            </w:pPr>
            <w:r>
              <w:rPr>
                <w:rFonts w:ascii="Times New Roman" w:cs="Times New Roman" w:eastAsia="Times New Roman" w:hAnsi="Times New Roman"/>
                <w:sz w:val="13"/>
                <w:szCs w:val="13"/>
                <w:color w:val="auto"/>
              </w:rPr>
              <w:t>Discount</w:t>
            </w:r>
          </w:p>
        </w:tc>
        <w:tc>
          <w:tcPr>
            <w:tcW w:w="14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color w:val="auto"/>
              </w:rPr>
              <w:t>7.4% – 14.1%/9.8%</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Decrease</w:t>
            </w:r>
          </w:p>
        </w:tc>
        <w:tc>
          <w:tcPr>
            <w:tcW w:w="0" w:type="dxa"/>
            <w:vAlign w:val="bottom"/>
          </w:tcPr>
          <w:p>
            <w:pPr>
              <w:spacing w:after="0"/>
              <w:rPr>
                <w:sz w:val="1"/>
                <w:szCs w:val="1"/>
                <w:color w:val="auto"/>
              </w:rPr>
            </w:pPr>
          </w:p>
        </w:tc>
      </w:tr>
      <w:tr>
        <w:trPr>
          <w:trHeight w:val="174"/>
        </w:trPr>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Margin</w:t>
            </w:r>
          </w:p>
        </w:tc>
        <w:tc>
          <w:tcPr>
            <w:tcW w:w="142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6"/>
        </w:trPr>
        <w:tc>
          <w:tcPr>
            <w:tcW w:w="1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28.1</w:t>
            </w:r>
          </w:p>
        </w:tc>
        <w:tc>
          <w:tcPr>
            <w:tcW w:w="16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rPr>
              <w:t>Recent Transaction</w:t>
            </w:r>
          </w:p>
        </w:tc>
        <w:tc>
          <w:tcPr>
            <w:tcW w:w="8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rPr>
              <w:t>Actual trade</w:t>
            </w:r>
            <w:r>
              <w:rPr>
                <w:rFonts w:ascii="Times New Roman" w:cs="Times New Roman" w:eastAsia="Times New Roman" w:hAnsi="Times New Roman"/>
                <w:sz w:val="20"/>
                <w:szCs w:val="20"/>
                <w:color w:val="auto"/>
                <w:vertAlign w:val="superscript"/>
              </w:rPr>
              <w:t>(5)</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3"/>
              </w:rPr>
              <w:t>78.6%</w:t>
            </w:r>
            <w:r>
              <w:rPr>
                <w:rFonts w:ascii="Times New Roman" w:cs="Times New Roman" w:eastAsia="Times New Roman" w:hAnsi="Times New Roman"/>
                <w:sz w:val="20"/>
                <w:szCs w:val="20"/>
                <w:color w:val="auto"/>
                <w:w w:val="93"/>
                <w:vertAlign w:val="superscript"/>
              </w:rPr>
              <w:t>(8)</w:t>
            </w:r>
          </w:p>
        </w:tc>
        <w:tc>
          <w:tcPr>
            <w:tcW w:w="80" w:type="dxa"/>
            <w:vAlign w:val="bottom"/>
            <w:shd w:val="clear" w:color="auto" w:fill="CCEEFF"/>
          </w:tcPr>
          <w:p>
            <w:pPr>
              <w:spacing w:after="0"/>
              <w:rPr>
                <w:sz w:val="23"/>
                <w:szCs w:val="23"/>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266"/>
        </w:trPr>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7.2</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rPr>
              <w:t>Net Present Value</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4"/>
              </w:rPr>
              <w:t>NBIB</w:t>
            </w:r>
            <w:r>
              <w:rPr>
                <w:rFonts w:ascii="Times New Roman" w:cs="Times New Roman" w:eastAsia="Times New Roman" w:hAnsi="Times New Roman"/>
                <w:sz w:val="20"/>
                <w:szCs w:val="20"/>
                <w:color w:val="auto"/>
                <w:w w:val="94"/>
                <w:vertAlign w:val="superscript"/>
              </w:rPr>
              <w:t>(1)</w:t>
            </w: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22.8% – 60.3%/30.9%</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28"/>
        </w:trPr>
        <w:tc>
          <w:tcPr>
            <w:tcW w:w="1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0" w:type="dxa"/>
            <w:vAlign w:val="bottom"/>
            <w:gridSpan w:val="2"/>
            <w:shd w:val="clear" w:color="auto" w:fill="CCEEFF"/>
          </w:tcPr>
          <w:p>
            <w:pPr>
              <w:jc w:val="center"/>
              <w:ind w:right="100"/>
              <w:spacing w:after="0" w:line="128" w:lineRule="exact"/>
              <w:rPr>
                <w:sz w:val="20"/>
                <w:szCs w:val="20"/>
                <w:color w:val="auto"/>
              </w:rPr>
            </w:pPr>
            <w:r>
              <w:rPr>
                <w:rFonts w:ascii="Times New Roman" w:cs="Times New Roman" w:eastAsia="Times New Roman" w:hAnsi="Times New Roman"/>
                <w:sz w:val="13"/>
                <w:szCs w:val="13"/>
                <w:color w:val="auto"/>
              </w:rPr>
              <w:t>Liquidation Net Asset</w:t>
            </w: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7"/>
        </w:trPr>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2.8</w:t>
            </w:r>
          </w:p>
        </w:tc>
        <w:tc>
          <w:tcPr>
            <w:tcW w:w="1600" w:type="dxa"/>
            <w:vAlign w:val="bottom"/>
            <w:gridSpan w:val="2"/>
            <w:shd w:val="clear" w:color="auto" w:fill="CCEEFF"/>
          </w:tcPr>
          <w:p>
            <w:pPr>
              <w:jc w:val="center"/>
              <w:ind w:right="100"/>
              <w:spacing w:after="0" w:line="227" w:lineRule="exact"/>
              <w:rPr>
                <w:sz w:val="20"/>
                <w:szCs w:val="20"/>
                <w:color w:val="auto"/>
              </w:rPr>
            </w:pPr>
            <w:r>
              <w:rPr>
                <w:rFonts w:ascii="Times New Roman" w:cs="Times New Roman" w:eastAsia="Times New Roman" w:hAnsi="Times New Roman"/>
                <w:sz w:val="13"/>
                <w:szCs w:val="13"/>
                <w:color w:val="auto"/>
                <w:w w:val="90"/>
              </w:rPr>
              <w:t>Value</w:t>
            </w:r>
            <w:r>
              <w:rPr>
                <w:rFonts w:ascii="Times New Roman" w:cs="Times New Roman" w:eastAsia="Times New Roman" w:hAnsi="Times New Roman"/>
                <w:sz w:val="20"/>
                <w:szCs w:val="20"/>
                <w:color w:val="auto"/>
                <w:w w:val="90"/>
                <w:vertAlign w:val="superscript"/>
              </w:rPr>
              <w:t>(6)</w:t>
            </w:r>
          </w:p>
        </w:tc>
        <w:tc>
          <w:tcPr>
            <w:tcW w:w="880" w:type="dxa"/>
            <w:vAlign w:val="bottom"/>
            <w:gridSpan w:val="2"/>
            <w:shd w:val="clear" w:color="auto" w:fill="CCEEFF"/>
          </w:tcPr>
          <w:p>
            <w:pPr>
              <w:jc w:val="center"/>
              <w:ind w:right="80"/>
              <w:spacing w:after="0" w:line="227" w:lineRule="exact"/>
              <w:rPr>
                <w:sz w:val="20"/>
                <w:szCs w:val="20"/>
                <w:color w:val="auto"/>
              </w:rPr>
            </w:pPr>
            <w:r>
              <w:rPr>
                <w:rFonts w:ascii="Times New Roman" w:cs="Times New Roman" w:eastAsia="Times New Roman" w:hAnsi="Times New Roman"/>
                <w:sz w:val="13"/>
                <w:szCs w:val="13"/>
                <w:color w:val="auto"/>
                <w:w w:val="94"/>
              </w:rPr>
              <w:t>NBIB</w:t>
            </w:r>
            <w:r>
              <w:rPr>
                <w:rFonts w:ascii="Times New Roman" w:cs="Times New Roman" w:eastAsia="Times New Roman" w:hAnsi="Times New Roman"/>
                <w:sz w:val="20"/>
                <w:szCs w:val="20"/>
                <w:color w:val="auto"/>
                <w:w w:val="94"/>
                <w:vertAlign w:val="superscript"/>
              </w:rPr>
              <w:t>(1)</w:t>
            </w:r>
          </w:p>
        </w:tc>
        <w:tc>
          <w:tcPr>
            <w:tcW w:w="14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rPr>
              <w:t>0.0% – 5.4%/1.3%</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52"/>
        </w:trPr>
        <w:tc>
          <w:tcPr>
            <w:tcW w:w="17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Other CLO equity related</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color w:val="auto"/>
              </w:rPr>
              <w:t>Discounted cash flow</w:t>
            </w:r>
            <w:r>
              <w:rPr>
                <w:rFonts w:ascii="Times New Roman" w:cs="Times New Roman" w:eastAsia="Times New Roman" w:hAnsi="Times New Roman"/>
                <w:sz w:val="20"/>
                <w:szCs w:val="20"/>
                <w:color w:val="auto"/>
                <w:vertAlign w:val="superscript"/>
              </w:rPr>
              <w:t>(2)</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Discount</w:t>
            </w: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72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investments</w:t>
            </w:r>
          </w:p>
        </w:tc>
        <w:tc>
          <w:tcPr>
            <w:tcW w:w="2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11.4</w:t>
            </w:r>
          </w:p>
        </w:tc>
        <w:tc>
          <w:tcPr>
            <w:tcW w:w="1600" w:type="dxa"/>
            <w:vAlign w:val="bottom"/>
            <w:gridSpan w:val="2"/>
            <w:vMerge w:val="continue"/>
          </w:tcPr>
          <w:p>
            <w:pPr>
              <w:spacing w:after="0"/>
              <w:rPr>
                <w:sz w:val="17"/>
                <w:szCs w:val="17"/>
                <w:color w:val="auto"/>
              </w:rPr>
            </w:pPr>
          </w:p>
        </w:tc>
        <w:tc>
          <w:tcPr>
            <w:tcW w:w="880" w:type="dxa"/>
            <w:vAlign w:val="bottom"/>
            <w:gridSpan w:val="2"/>
          </w:tcPr>
          <w:p>
            <w:pPr>
              <w:jc w:val="center"/>
              <w:ind w:right="80"/>
              <w:spacing w:after="0" w:line="203" w:lineRule="exact"/>
              <w:rPr>
                <w:sz w:val="20"/>
                <w:szCs w:val="20"/>
                <w:color w:val="auto"/>
              </w:rPr>
            </w:pPr>
            <w:r>
              <w:rPr>
                <w:rFonts w:ascii="Times New Roman" w:cs="Times New Roman" w:eastAsia="Times New Roman" w:hAnsi="Times New Roman"/>
                <w:sz w:val="13"/>
                <w:szCs w:val="13"/>
                <w:color w:val="auto"/>
                <w:w w:val="91"/>
              </w:rPr>
              <w:t>rate</w:t>
            </w:r>
            <w:r>
              <w:rPr>
                <w:rFonts w:ascii="Times New Roman" w:cs="Times New Roman" w:eastAsia="Times New Roman" w:hAnsi="Times New Roman"/>
                <w:sz w:val="20"/>
                <w:szCs w:val="20"/>
                <w:color w:val="auto"/>
                <w:w w:val="91"/>
                <w:vertAlign w:val="superscript"/>
              </w:rPr>
              <w:t>(2)</w:t>
            </w: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0.0% – 27.4%/18.1%</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Decrease</w:t>
            </w:r>
          </w:p>
        </w:tc>
        <w:tc>
          <w:tcPr>
            <w:tcW w:w="0" w:type="dxa"/>
            <w:vAlign w:val="bottom"/>
          </w:tcPr>
          <w:p>
            <w:pPr>
              <w:spacing w:after="0"/>
              <w:rPr>
                <w:sz w:val="1"/>
                <w:szCs w:val="1"/>
                <w:color w:val="auto"/>
              </w:rPr>
            </w:pPr>
          </w:p>
        </w:tc>
      </w:tr>
      <w:tr>
        <w:trPr>
          <w:trHeight w:val="108"/>
        </w:trPr>
        <w:tc>
          <w:tcPr>
            <w:tcW w:w="1720" w:type="dxa"/>
            <w:vAlign w:val="bottom"/>
            <w:tcBorders>
              <w:top w:val="single" w:sz="8" w:color="CCEEFF"/>
            </w:tcBorders>
            <w:gridSpan w:val="2"/>
            <w:shd w:val="clear" w:color="auto" w:fill="CCEEFF"/>
          </w:tcPr>
          <w:p>
            <w:pPr>
              <w:spacing w:after="0" w:line="108" w:lineRule="exact"/>
              <w:rPr>
                <w:sz w:val="20"/>
                <w:szCs w:val="20"/>
                <w:color w:val="auto"/>
              </w:rPr>
            </w:pPr>
            <w:r>
              <w:rPr>
                <w:rFonts w:ascii="Times New Roman" w:cs="Times New Roman" w:eastAsia="Times New Roman" w:hAnsi="Times New Roman"/>
                <w:sz w:val="12"/>
                <w:szCs w:val="12"/>
                <w:color w:val="auto"/>
              </w:rPr>
              <w:t>Total Fair Value for Level 3</w:t>
            </w:r>
          </w:p>
        </w:tc>
        <w:tc>
          <w:tcPr>
            <w:tcW w:w="20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5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3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9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1720" w:type="dxa"/>
            <w:vAlign w:val="bottom"/>
            <w:tcBorders>
              <w:bottom w:val="single" w:sz="8" w:color="CCEEFF"/>
            </w:tcBorders>
            <w:gridSpan w:val="2"/>
            <w:shd w:val="clear" w:color="auto" w:fill="CCEEFF"/>
          </w:tcPr>
          <w:p>
            <w:pPr>
              <w:ind w:left="180"/>
              <w:spacing w:after="0" w:line="214" w:lineRule="exact"/>
              <w:rPr>
                <w:sz w:val="20"/>
                <w:szCs w:val="20"/>
                <w:color w:val="auto"/>
              </w:rPr>
            </w:pPr>
            <w:r>
              <w:rPr>
                <w:rFonts w:ascii="Times New Roman" w:cs="Times New Roman" w:eastAsia="Times New Roman" w:hAnsi="Times New Roman"/>
                <w:sz w:val="13"/>
                <w:szCs w:val="13"/>
                <w:color w:val="auto"/>
              </w:rPr>
              <w:t>Investments</w:t>
            </w:r>
            <w:r>
              <w:rPr>
                <w:rFonts w:ascii="Times New Roman" w:cs="Times New Roman" w:eastAsia="Times New Roman" w:hAnsi="Times New Roman"/>
                <w:sz w:val="20"/>
                <w:szCs w:val="20"/>
                <w:color w:val="auto"/>
                <w:vertAlign w:val="superscript"/>
              </w:rPr>
              <w:t>(7)</w:t>
            </w:r>
          </w:p>
        </w:tc>
        <w:tc>
          <w:tcPr>
            <w:tcW w:w="20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1,238.5</w:t>
            </w:r>
          </w:p>
        </w:tc>
        <w:tc>
          <w:tcPr>
            <w:tcW w:w="1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5"/>
          <w:szCs w:val="15"/>
          <w:color w:val="auto"/>
        </w:rPr>
        <w:t>____________</w:t>
      </w:r>
    </w:p>
    <w:p>
      <w:pPr>
        <w:spacing w:after="0" w:line="93" w:lineRule="exact"/>
        <w:rPr>
          <w:sz w:val="20"/>
          <w:szCs w:val="20"/>
          <w:color w:val="auto"/>
        </w:rPr>
      </w:pPr>
    </w:p>
    <w:p>
      <w:pPr>
        <w:ind w:left="1120" w:right="759" w:hanging="415"/>
        <w:spacing w:after="0" w:line="266" w:lineRule="auto"/>
        <w:tabs>
          <w:tab w:leader="none" w:pos="112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Fund generally uses non-binding indicative bid prices (“NBIB”) provided by an independent pricing service or broker on or near the valuation date as the primary basis for the fair value determinations for CLO debt and equity investments, which may be adjusted for pending equity distributions as of the valuation date. These prices are non-binding, and may not be determinative of fair value. Each price is evaluated by the Board of Directors in conjunction with additional information compiled by Oxford Lane Management, including performance and covenant compliance information as provided by the independent trustee.</w:t>
      </w:r>
    </w:p>
    <w:p>
      <w:pPr>
        <w:ind w:left="1120" w:right="899" w:hanging="415"/>
        <w:spacing w:after="0" w:line="264" w:lineRule="auto"/>
        <w:tabs>
          <w:tab w:leader="none" w:pos="112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Fund will calculate the fair value of CLO equity side letters based upon the net present value of expected contractual payment streams discounted using estimated market yields for the equity tranche of the respective CLO vehicle.</w:t>
      </w:r>
    </w:p>
    <w:p>
      <w:pPr>
        <w:ind w:left="1120" w:hanging="415"/>
        <w:spacing w:after="0"/>
        <w:tabs>
          <w:tab w:leader="none" w:pos="112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Weighted averages are calculated based on fair value of investments.</w:t>
      </w:r>
    </w:p>
    <w:p>
      <w:pPr>
        <w:spacing w:after="0" w:line="17" w:lineRule="exact"/>
        <w:rPr>
          <w:rFonts w:ascii="Times New Roman" w:cs="Times New Roman" w:eastAsia="Times New Roman" w:hAnsi="Times New Roman"/>
          <w:sz w:val="15"/>
          <w:szCs w:val="15"/>
          <w:color w:val="auto"/>
        </w:rPr>
      </w:pPr>
    </w:p>
    <w:p>
      <w:pPr>
        <w:ind w:left="1120" w:right="879" w:hanging="415"/>
        <w:spacing w:after="0" w:line="264" w:lineRule="auto"/>
        <w:tabs>
          <w:tab w:leader="none" w:pos="112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impact on fair value measurement of an increase in each unobservable input is in isolation. The discount rate is the rate used to discount future cash flows in a discounted cash flow calculation. An increase in discount rate, in isolation, would result in a decrease in a fair value measurement. Significant increases or decreases in any of the unobservable inputs in isolation may result in a significantly lower or higher fair value measurement.</w:t>
      </w:r>
    </w:p>
    <w:p>
      <w:pPr>
        <w:ind w:left="1120" w:right="739" w:hanging="415"/>
        <w:spacing w:after="0" w:line="264" w:lineRule="auto"/>
        <w:tabs>
          <w:tab w:leader="none" w:pos="112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Prices provided by independent pricing services are evaluated in conjunction with actual trades and payoffs and, in certain cases, the value represented by actual trades or payoffs may be more representative of fair value as determined by the Board of Directors.</w:t>
      </w:r>
    </w:p>
    <w:p>
      <w:pPr>
        <w:ind w:left="1120" w:right="779" w:hanging="415"/>
        <w:spacing w:after="0" w:line="264" w:lineRule="auto"/>
        <w:tabs>
          <w:tab w:leader="none" w:pos="112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fair value of those CLO equity and debt positions which have been optionally redeemed are generally valued using a liquidation NAV basis which represents the estimated expected residual value of the CLO as of the end of the period.</w:t>
      </w:r>
    </w:p>
    <w:p>
      <w:pPr>
        <w:ind w:left="1120" w:hanging="415"/>
        <w:spacing w:after="0"/>
        <w:tabs>
          <w:tab w:leader="none" w:pos="112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Totals may not sum due to rounding.</w:t>
      </w:r>
    </w:p>
    <w:p>
      <w:pPr>
        <w:spacing w:after="0" w:line="17" w:lineRule="exact"/>
        <w:rPr>
          <w:rFonts w:ascii="Times New Roman" w:cs="Times New Roman" w:eastAsia="Times New Roman" w:hAnsi="Times New Roman"/>
          <w:sz w:val="15"/>
          <w:szCs w:val="15"/>
          <w:color w:val="auto"/>
        </w:rPr>
      </w:pPr>
    </w:p>
    <w:p>
      <w:pPr>
        <w:ind w:left="1120" w:hanging="415"/>
        <w:spacing w:after="0"/>
        <w:tabs>
          <w:tab w:leader="none" w:pos="112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a single investment, and therefore the range/weighted average is not applicable.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15240</wp:posOffset>
            </wp:positionV>
            <wp:extent cx="482473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4824730"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40" w:name="page41"/>
    <w:bookmarkEnd w:id="40"/>
    <w:p>
      <w:pPr>
        <w:ind w:left="7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SEPTEMBER 30, 2022</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 xml:space="preserve">NOTE 4. FAIR VALUE </w:t>
      </w:r>
      <w:r>
        <w:rPr>
          <w:rFonts w:ascii="Times New Roman" w:cs="Times New Roman" w:eastAsia="Times New Roman" w:hAnsi="Times New Roman"/>
          <w:sz w:val="17"/>
          <w:szCs w:val="17"/>
          <w:color w:val="auto"/>
        </w:rPr>
        <w:t>(cont.)</w:t>
      </w:r>
    </w:p>
    <w:p>
      <w:pPr>
        <w:spacing w:after="0" w:line="176" w:lineRule="exact"/>
        <w:rPr>
          <w:sz w:val="20"/>
          <w:szCs w:val="20"/>
          <w:color w:val="auto"/>
        </w:rPr>
      </w:pPr>
    </w:p>
    <w:p>
      <w:pPr>
        <w:ind w:left="700" w:right="919" w:firstLine="405"/>
        <w:spacing w:after="0" w:line="276" w:lineRule="auto"/>
        <w:rPr>
          <w:sz w:val="20"/>
          <w:szCs w:val="20"/>
          <w:color w:val="auto"/>
        </w:rPr>
      </w:pPr>
      <w:r>
        <w:rPr>
          <w:rFonts w:ascii="Times New Roman" w:cs="Times New Roman" w:eastAsia="Times New Roman" w:hAnsi="Times New Roman"/>
          <w:sz w:val="17"/>
          <w:szCs w:val="17"/>
          <w:color w:val="auto"/>
        </w:rPr>
        <w:t>A reconciliation of the fair value of investments for the six months ended September 30, 2022, utilizing significant unobservable inputs, is as follows:</w:t>
      </w:r>
    </w:p>
    <w:p>
      <w:pPr>
        <w:spacing w:after="0" w:line="102" w:lineRule="exact"/>
        <w:rPr>
          <w:sz w:val="20"/>
          <w:szCs w:val="20"/>
          <w:color w:val="auto"/>
        </w:rPr>
      </w:pPr>
    </w:p>
    <w:tbl>
      <w:tblPr>
        <w:tblLayout w:type="fixed"/>
        <w:tblInd w:w="700" w:type="dxa"/>
        <w:tblCellMar>
          <w:top w:w="0" w:type="dxa"/>
          <w:left w:w="0" w:type="dxa"/>
          <w:bottom w:w="0" w:type="dxa"/>
          <w:right w:w="0" w:type="dxa"/>
        </w:tblCellMar>
      </w:tblPr>
      <w:tr>
        <w:trPr>
          <w:trHeight w:val="149"/>
        </w:trPr>
        <w:tc>
          <w:tcPr>
            <w:tcW w:w="2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Collateralized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Collateralized</w:t>
            </w:r>
          </w:p>
        </w:tc>
        <w:tc>
          <w:tcPr>
            <w:tcW w:w="80" w:type="dxa"/>
            <w:vAlign w:val="bottom"/>
          </w:tcPr>
          <w:p>
            <w:pPr>
              <w:spacing w:after="0"/>
              <w:rPr>
                <w:sz w:val="12"/>
                <w:szCs w:val="12"/>
                <w:color w:val="auto"/>
              </w:rPr>
            </w:pPr>
          </w:p>
        </w:tc>
        <w:tc>
          <w:tcPr>
            <w:tcW w:w="106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Other CLO</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8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 in millions)</w:t>
            </w:r>
          </w:p>
        </w:tc>
        <w:tc>
          <w:tcPr>
            <w:tcW w:w="100" w:type="dxa"/>
            <w:vAlign w:val="bottom"/>
          </w:tcPr>
          <w:p>
            <w:pPr>
              <w:spacing w:after="0"/>
              <w:rPr>
                <w:sz w:val="12"/>
                <w:szCs w:val="12"/>
                <w:color w:val="auto"/>
              </w:rPr>
            </w:pPr>
          </w:p>
        </w:tc>
        <w:tc>
          <w:tcPr>
            <w:tcW w:w="1060" w:type="dxa"/>
            <w:vAlign w:val="bottom"/>
            <w:gridSpan w:val="3"/>
          </w:tcPr>
          <w:p>
            <w:pPr>
              <w:jc w:val="center"/>
              <w:ind w:right="20"/>
              <w:spacing w:after="0" w:line="139" w:lineRule="exact"/>
              <w:rPr>
                <w:sz w:val="20"/>
                <w:szCs w:val="20"/>
                <w:color w:val="auto"/>
              </w:rPr>
            </w:pPr>
            <w:r>
              <w:rPr>
                <w:rFonts w:ascii="Times New Roman" w:cs="Times New Roman" w:eastAsia="Times New Roman" w:hAnsi="Times New Roman"/>
                <w:sz w:val="13"/>
                <w:szCs w:val="13"/>
                <w:b w:val="1"/>
                <w:bCs w:val="1"/>
                <w:color w:val="auto"/>
              </w:rPr>
              <w:t>Loan Obligation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3"/>
          </w:tcPr>
          <w:p>
            <w:pPr>
              <w:jc w:val="center"/>
              <w:ind w:right="180"/>
              <w:spacing w:after="0" w:line="139" w:lineRule="exact"/>
              <w:rPr>
                <w:sz w:val="20"/>
                <w:szCs w:val="20"/>
                <w:color w:val="auto"/>
              </w:rPr>
            </w:pPr>
            <w:r>
              <w:rPr>
                <w:rFonts w:ascii="Times New Roman" w:cs="Times New Roman" w:eastAsia="Times New Roman" w:hAnsi="Times New Roman"/>
                <w:sz w:val="13"/>
                <w:szCs w:val="13"/>
                <w:b w:val="1"/>
                <w:bCs w:val="1"/>
                <w:color w:val="auto"/>
              </w:rPr>
              <w:t>Loan Obligation</w:t>
            </w:r>
          </w:p>
        </w:tc>
        <w:tc>
          <w:tcPr>
            <w:tcW w:w="80" w:type="dxa"/>
            <w:vAlign w:val="bottom"/>
          </w:tcPr>
          <w:p>
            <w:pPr>
              <w:spacing w:after="0"/>
              <w:rPr>
                <w:sz w:val="12"/>
                <w:szCs w:val="12"/>
                <w:color w:val="auto"/>
              </w:rPr>
            </w:pPr>
          </w:p>
        </w:tc>
        <w:tc>
          <w:tcPr>
            <w:tcW w:w="1060" w:type="dxa"/>
            <w:vAlign w:val="bottom"/>
            <w:gridSpan w:val="3"/>
          </w:tcPr>
          <w:p>
            <w:pPr>
              <w:jc w:val="center"/>
              <w:ind w:right="160"/>
              <w:spacing w:after="0" w:line="139" w:lineRule="exact"/>
              <w:rPr>
                <w:sz w:val="20"/>
                <w:szCs w:val="20"/>
                <w:color w:val="auto"/>
              </w:rPr>
            </w:pPr>
            <w:r>
              <w:rPr>
                <w:rFonts w:ascii="Times New Roman" w:cs="Times New Roman" w:eastAsia="Times New Roman" w:hAnsi="Times New Roman"/>
                <w:sz w:val="13"/>
                <w:szCs w:val="13"/>
                <w:b w:val="1"/>
                <w:bCs w:val="1"/>
                <w:color w:val="auto"/>
              </w:rPr>
              <w:t>Equity Related</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Total</w:t>
            </w:r>
            <w:r>
              <w:rPr>
                <w:rFonts w:ascii="Times New Roman" w:cs="Times New Roman" w:eastAsia="Times New Roman" w:hAnsi="Times New Roman"/>
                <w:sz w:val="13"/>
                <w:szCs w:val="13"/>
                <w:b w:val="1"/>
                <w:bCs w:val="1"/>
                <w:color w:val="auto"/>
                <w:vertAlign w:val="superscript"/>
              </w:rPr>
              <w:t>(2)</w:t>
            </w:r>
          </w:p>
        </w:tc>
        <w:tc>
          <w:tcPr>
            <w:tcW w:w="0" w:type="dxa"/>
            <w:vAlign w:val="bottom"/>
          </w:tcPr>
          <w:p>
            <w:pPr>
              <w:spacing w:after="0"/>
              <w:rPr>
                <w:sz w:val="1"/>
                <w:szCs w:val="1"/>
                <w:color w:val="auto"/>
              </w:rPr>
            </w:pPr>
          </w:p>
        </w:tc>
      </w:tr>
      <w:tr>
        <w:trPr>
          <w:trHeight w:val="193"/>
        </w:trPr>
        <w:tc>
          <w:tcPr>
            <w:tcW w:w="2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3"/>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Debt Investments</w:t>
            </w:r>
          </w:p>
        </w:tc>
        <w:tc>
          <w:tcPr>
            <w:tcW w:w="80" w:type="dxa"/>
            <w:vAlign w:val="bottom"/>
          </w:tcPr>
          <w:p>
            <w:pPr>
              <w:spacing w:after="0"/>
              <w:rPr>
                <w:sz w:val="16"/>
                <w:szCs w:val="16"/>
                <w:color w:val="auto"/>
              </w:rPr>
            </w:pPr>
          </w:p>
        </w:tc>
        <w:tc>
          <w:tcPr>
            <w:tcW w:w="120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Equity Investments</w:t>
            </w:r>
          </w:p>
        </w:tc>
        <w:tc>
          <w:tcPr>
            <w:tcW w:w="80" w:type="dxa"/>
            <w:vAlign w:val="bottom"/>
          </w:tcPr>
          <w:p>
            <w:pPr>
              <w:spacing w:after="0"/>
              <w:rPr>
                <w:sz w:val="16"/>
                <w:szCs w:val="16"/>
                <w:color w:val="auto"/>
              </w:rPr>
            </w:pPr>
          </w:p>
        </w:tc>
        <w:tc>
          <w:tcPr>
            <w:tcW w:w="106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at March 31, 2022</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28.0</w:t>
            </w:r>
          </w:p>
        </w:tc>
        <w:tc>
          <w:tcPr>
            <w:tcW w:w="16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1,307.0</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12.0</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1,346.9</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840" w:type="dxa"/>
            <w:vAlign w:val="bottom"/>
          </w:tcPr>
          <w:p>
            <w:pPr>
              <w:spacing w:after="0"/>
              <w:rPr>
                <w:sz w:val="20"/>
                <w:szCs w:val="20"/>
                <w:color w:val="auto"/>
              </w:rPr>
            </w:pPr>
            <w:r>
              <w:rPr>
                <w:rFonts w:ascii="Times New Roman" w:cs="Times New Roman" w:eastAsia="Times New Roman" w:hAnsi="Times New Roman"/>
                <w:sz w:val="13"/>
                <w:szCs w:val="13"/>
                <w:color w:val="auto"/>
              </w:rPr>
              <w:t>Realized gains included in earnings</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(13.5)</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(0.6)</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(14.0)</w:t>
            </w:r>
          </w:p>
        </w:tc>
        <w:tc>
          <w:tcPr>
            <w:tcW w:w="0" w:type="dxa"/>
            <w:vAlign w:val="bottom"/>
          </w:tcPr>
          <w:p>
            <w:pPr>
              <w:spacing w:after="0"/>
              <w:rPr>
                <w:sz w:val="1"/>
                <w:szCs w:val="1"/>
                <w:color w:val="auto"/>
              </w:rPr>
            </w:pPr>
          </w:p>
        </w:tc>
      </w:tr>
      <w:tr>
        <w:trPr>
          <w:trHeight w:val="23"/>
        </w:trPr>
        <w:tc>
          <w:tcPr>
            <w:tcW w:w="2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2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Unrealized depreciation included in earnings</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(6.8)</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(237.5)</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(246.1)</w:t>
            </w:r>
          </w:p>
        </w:tc>
        <w:tc>
          <w:tcPr>
            <w:tcW w:w="0" w:type="dxa"/>
            <w:vAlign w:val="bottom"/>
          </w:tcPr>
          <w:p>
            <w:pPr>
              <w:spacing w:after="0"/>
              <w:rPr>
                <w:sz w:val="1"/>
                <w:szCs w:val="1"/>
                <w:color w:val="auto"/>
              </w:rPr>
            </w:pPr>
          </w:p>
        </w:tc>
      </w:tr>
      <w:tr>
        <w:trPr>
          <w:trHeight w:val="243"/>
        </w:trPr>
        <w:tc>
          <w:tcPr>
            <w:tcW w:w="2840" w:type="dxa"/>
            <w:vAlign w:val="bottom"/>
          </w:tcPr>
          <w:p>
            <w:pPr>
              <w:spacing w:after="0"/>
              <w:rPr>
                <w:sz w:val="20"/>
                <w:szCs w:val="20"/>
                <w:color w:val="auto"/>
              </w:rPr>
            </w:pPr>
            <w:r>
              <w:rPr>
                <w:rFonts w:ascii="Times New Roman" w:cs="Times New Roman" w:eastAsia="Times New Roman" w:hAnsi="Times New Roman"/>
                <w:sz w:val="13"/>
                <w:szCs w:val="13"/>
                <w:color w:val="auto"/>
              </w:rPr>
              <w:t>Accretion of discounts</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0.5</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1"/>
                <w:szCs w:val="21"/>
                <w:color w:val="auto"/>
              </w:rPr>
            </w:pPr>
          </w:p>
        </w:tc>
        <w:tc>
          <w:tcPr>
            <w:tcW w:w="106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0.5</w:t>
            </w:r>
          </w:p>
        </w:tc>
        <w:tc>
          <w:tcPr>
            <w:tcW w:w="0" w:type="dxa"/>
            <w:vAlign w:val="bottom"/>
          </w:tcPr>
          <w:p>
            <w:pPr>
              <w:spacing w:after="0"/>
              <w:rPr>
                <w:sz w:val="1"/>
                <w:szCs w:val="1"/>
                <w:color w:val="auto"/>
              </w:rPr>
            </w:pPr>
          </w:p>
        </w:tc>
      </w:tr>
      <w:tr>
        <w:trPr>
          <w:trHeight w:val="23"/>
        </w:trPr>
        <w:tc>
          <w:tcPr>
            <w:tcW w:w="2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2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Purchases</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16.5</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337.4</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3.2</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357.2</w:t>
            </w:r>
          </w:p>
        </w:tc>
        <w:tc>
          <w:tcPr>
            <w:tcW w:w="0" w:type="dxa"/>
            <w:vAlign w:val="bottom"/>
          </w:tcPr>
          <w:p>
            <w:pPr>
              <w:spacing w:after="0"/>
              <w:rPr>
                <w:sz w:val="1"/>
                <w:szCs w:val="1"/>
                <w:color w:val="auto"/>
              </w:rPr>
            </w:pPr>
          </w:p>
        </w:tc>
      </w:tr>
      <w:tr>
        <w:trPr>
          <w:trHeight w:val="243"/>
        </w:trPr>
        <w:tc>
          <w:tcPr>
            <w:tcW w:w="2840" w:type="dxa"/>
            <w:vAlign w:val="bottom"/>
          </w:tcPr>
          <w:p>
            <w:pPr>
              <w:spacing w:after="0"/>
              <w:rPr>
                <w:sz w:val="20"/>
                <w:szCs w:val="20"/>
                <w:color w:val="auto"/>
              </w:rPr>
            </w:pPr>
            <w:r>
              <w:rPr>
                <w:rFonts w:ascii="Times New Roman" w:cs="Times New Roman" w:eastAsia="Times New Roman" w:hAnsi="Times New Roman"/>
                <w:sz w:val="13"/>
                <w:szCs w:val="13"/>
                <w:color w:val="auto"/>
              </w:rPr>
              <w:t>Sales and repayments</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(130.1)</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(131.4)</w:t>
            </w:r>
          </w:p>
        </w:tc>
        <w:tc>
          <w:tcPr>
            <w:tcW w:w="0" w:type="dxa"/>
            <w:vAlign w:val="bottom"/>
          </w:tcPr>
          <w:p>
            <w:pPr>
              <w:spacing w:after="0"/>
              <w:rPr>
                <w:sz w:val="1"/>
                <w:szCs w:val="1"/>
                <w:color w:val="auto"/>
              </w:rPr>
            </w:pPr>
          </w:p>
        </w:tc>
      </w:tr>
      <w:tr>
        <w:trPr>
          <w:trHeight w:val="23"/>
        </w:trPr>
        <w:tc>
          <w:tcPr>
            <w:tcW w:w="2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6"/>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Reductions to CLO equity cost value</w:t>
            </w:r>
            <w:r>
              <w:rPr>
                <w:rFonts w:ascii="Times New Roman" w:cs="Times New Roman" w:eastAsia="Times New Roman" w:hAnsi="Times New Roman"/>
                <w:sz w:val="20"/>
                <w:szCs w:val="20"/>
                <w:color w:val="auto"/>
                <w:vertAlign w:val="superscript"/>
              </w:rPr>
              <w:t>(1)</w:t>
            </w: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(73.2)</w:t>
            </w: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(74.6)</w:t>
            </w:r>
          </w:p>
        </w:tc>
        <w:tc>
          <w:tcPr>
            <w:tcW w:w="0" w:type="dxa"/>
            <w:vAlign w:val="bottom"/>
          </w:tcPr>
          <w:p>
            <w:pPr>
              <w:spacing w:after="0"/>
              <w:rPr>
                <w:sz w:val="1"/>
                <w:szCs w:val="1"/>
                <w:color w:val="auto"/>
              </w:rPr>
            </w:pPr>
          </w:p>
        </w:tc>
      </w:tr>
      <w:tr>
        <w:trPr>
          <w:trHeight w:val="243"/>
        </w:trPr>
        <w:tc>
          <w:tcPr>
            <w:tcW w:w="2840" w:type="dxa"/>
            <w:vAlign w:val="bottom"/>
          </w:tcPr>
          <w:p>
            <w:pPr>
              <w:spacing w:after="0"/>
              <w:rPr>
                <w:sz w:val="20"/>
                <w:szCs w:val="20"/>
                <w:color w:val="auto"/>
              </w:rPr>
            </w:pPr>
            <w:r>
              <w:rPr>
                <w:rFonts w:ascii="Times New Roman" w:cs="Times New Roman" w:eastAsia="Times New Roman" w:hAnsi="Times New Roman"/>
                <w:sz w:val="13"/>
                <w:szCs w:val="13"/>
                <w:color w:val="auto"/>
              </w:rPr>
              <w:t>Payment in Kind income</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1"/>
                <w:szCs w:val="21"/>
                <w:color w:val="auto"/>
              </w:rPr>
            </w:pPr>
          </w:p>
        </w:tc>
        <w:tc>
          <w:tcPr>
            <w:tcW w:w="106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3"/>
        </w:trPr>
        <w:tc>
          <w:tcPr>
            <w:tcW w:w="2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6"/>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Transfers in and/or out of level 3</w:t>
            </w: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23"/>
                <w:szCs w:val="23"/>
                <w:color w:val="auto"/>
              </w:rPr>
            </w:pPr>
          </w:p>
        </w:tc>
        <w:tc>
          <w:tcPr>
            <w:tcW w:w="10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28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Balance at September 30, 2022</w:t>
            </w:r>
            <w:r>
              <w:rPr>
                <w:rFonts w:ascii="Times New Roman" w:cs="Times New Roman" w:eastAsia="Times New Roman" w:hAnsi="Times New Roman"/>
                <w:sz w:val="20"/>
                <w:szCs w:val="20"/>
                <w:color w:val="auto"/>
                <w:vertAlign w:val="superscript"/>
              </w:rPr>
              <w:t>(2)</w:t>
            </w: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2840" w:type="dxa"/>
            <w:vAlign w:val="bottom"/>
            <w:vMerge w:val="continue"/>
          </w:tcPr>
          <w:p>
            <w:pPr>
              <w:spacing w:after="0"/>
              <w:rPr>
                <w:sz w:val="23"/>
                <w:szCs w:val="23"/>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36.9</w:t>
            </w: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1,190.2</w:t>
            </w:r>
          </w:p>
        </w:tc>
        <w:tc>
          <w:tcPr>
            <w:tcW w:w="10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11.4</w:t>
            </w:r>
          </w:p>
        </w:tc>
        <w:tc>
          <w:tcPr>
            <w:tcW w:w="80" w:type="dxa"/>
            <w:vAlign w:val="bottom"/>
          </w:tcPr>
          <w:p>
            <w:pPr>
              <w:spacing w:after="0"/>
              <w:rPr>
                <w:sz w:val="23"/>
                <w:szCs w:val="23"/>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1,238.5</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2"/>
        </w:trPr>
        <w:tc>
          <w:tcPr>
            <w:tcW w:w="2840" w:type="dxa"/>
            <w:vAlign w:val="bottom"/>
            <w:tcBorders>
              <w:top w:val="single" w:sz="8" w:color="CCEEFF"/>
            </w:tcBorders>
            <w:shd w:val="clear" w:color="auto" w:fill="CCEEFF"/>
          </w:tcPr>
          <w:p>
            <w:pPr>
              <w:spacing w:after="0" w:line="72" w:lineRule="exact"/>
              <w:rPr>
                <w:sz w:val="20"/>
                <w:szCs w:val="20"/>
                <w:color w:val="auto"/>
              </w:rPr>
            </w:pPr>
            <w:r>
              <w:rPr>
                <w:rFonts w:ascii="Times New Roman" w:cs="Times New Roman" w:eastAsia="Times New Roman" w:hAnsi="Times New Roman"/>
                <w:sz w:val="8"/>
                <w:szCs w:val="8"/>
                <w:color w:val="auto"/>
              </w:rPr>
              <w:t>The amount of total gains for the period included in</w:t>
            </w: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840" w:type="dxa"/>
            <w:vAlign w:val="bottom"/>
            <w:tcBorders>
              <w:top w:val="single" w:sz="8" w:color="auto"/>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900" w:type="dxa"/>
            <w:vAlign w:val="bottom"/>
            <w:tcBorders>
              <w:top w:val="single" w:sz="8" w:color="auto"/>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860" w:type="dxa"/>
            <w:vAlign w:val="bottom"/>
            <w:tcBorders>
              <w:top w:val="single" w:sz="8" w:color="auto"/>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160" w:type="dxa"/>
            <w:vAlign w:val="bottom"/>
            <w:tcBorders>
              <w:top w:val="single" w:sz="8" w:color="auto"/>
            </w:tcBorders>
            <w:shd w:val="clear" w:color="auto" w:fill="CCEEFF"/>
          </w:tcPr>
          <w:p>
            <w:pPr>
              <w:spacing w:after="0"/>
              <w:rPr>
                <w:sz w:val="6"/>
                <w:szCs w:val="6"/>
                <w:color w:val="auto"/>
              </w:rPr>
            </w:pPr>
          </w:p>
        </w:tc>
        <w:tc>
          <w:tcPr>
            <w:tcW w:w="800" w:type="dxa"/>
            <w:vAlign w:val="bottom"/>
            <w:tcBorders>
              <w:top w:val="single" w:sz="8" w:color="auto"/>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2840" w:type="dxa"/>
            <w:vAlign w:val="bottom"/>
            <w:shd w:val="clear" w:color="auto" w:fill="CCEEFF"/>
          </w:tcPr>
          <w:p>
            <w:pPr>
              <w:ind w:left="180"/>
              <w:spacing w:after="0" w:line="139" w:lineRule="exact"/>
              <w:rPr>
                <w:sz w:val="20"/>
                <w:szCs w:val="20"/>
                <w:color w:val="auto"/>
              </w:rPr>
            </w:pPr>
            <w:r>
              <w:rPr>
                <w:rFonts w:ascii="Times New Roman" w:cs="Times New Roman" w:eastAsia="Times New Roman" w:hAnsi="Times New Roman"/>
                <w:sz w:val="13"/>
                <w:szCs w:val="13"/>
                <w:color w:val="auto"/>
              </w:rPr>
              <w:t>earnings attributable to the change in unrealized</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840" w:type="dxa"/>
            <w:vAlign w:val="bottom"/>
            <w:shd w:val="clear" w:color="auto" w:fill="CCEEFF"/>
          </w:tcPr>
          <w:p>
            <w:pPr>
              <w:ind w:left="180"/>
              <w:spacing w:after="0" w:line="139" w:lineRule="exact"/>
              <w:rPr>
                <w:sz w:val="20"/>
                <w:szCs w:val="20"/>
                <w:color w:val="auto"/>
              </w:rPr>
            </w:pPr>
            <w:r>
              <w:rPr>
                <w:rFonts w:ascii="Times New Roman" w:cs="Times New Roman" w:eastAsia="Times New Roman" w:hAnsi="Times New Roman"/>
                <w:sz w:val="13"/>
                <w:szCs w:val="13"/>
                <w:color w:val="auto"/>
              </w:rPr>
              <w:t>gains or losses related to our Level 3 assets still</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840" w:type="dxa"/>
            <w:vAlign w:val="bottom"/>
            <w:shd w:val="clear" w:color="auto" w:fill="CCEEFF"/>
          </w:tcPr>
          <w:p>
            <w:pPr>
              <w:ind w:left="180"/>
              <w:spacing w:after="0" w:line="139" w:lineRule="exact"/>
              <w:rPr>
                <w:sz w:val="20"/>
                <w:szCs w:val="20"/>
                <w:color w:val="auto"/>
              </w:rPr>
            </w:pPr>
            <w:r>
              <w:rPr>
                <w:rFonts w:ascii="Times New Roman" w:cs="Times New Roman" w:eastAsia="Times New Roman" w:hAnsi="Times New Roman"/>
                <w:sz w:val="13"/>
                <w:szCs w:val="13"/>
                <w:color w:val="auto"/>
              </w:rPr>
              <w:t>held at the reporting date and reported within the</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840" w:type="dxa"/>
            <w:vAlign w:val="bottom"/>
            <w:shd w:val="clear" w:color="auto" w:fill="CCEEFF"/>
          </w:tcPr>
          <w:p>
            <w:pPr>
              <w:ind w:left="180"/>
              <w:spacing w:after="0" w:line="139" w:lineRule="exact"/>
              <w:rPr>
                <w:sz w:val="20"/>
                <w:szCs w:val="20"/>
                <w:color w:val="auto"/>
              </w:rPr>
            </w:pPr>
            <w:r>
              <w:rPr>
                <w:rFonts w:ascii="Times New Roman" w:cs="Times New Roman" w:eastAsia="Times New Roman" w:hAnsi="Times New Roman"/>
                <w:sz w:val="13"/>
                <w:szCs w:val="13"/>
                <w:color w:val="auto"/>
              </w:rPr>
              <w:t>net change in unrealized gains or losses on</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840" w:type="dxa"/>
            <w:vAlign w:val="bottom"/>
            <w:tcBorders>
              <w:bottom w:val="single" w:sz="8" w:color="CCEEFF"/>
            </w:tcBorders>
            <w:shd w:val="clear" w:color="auto" w:fill="CCEEFF"/>
          </w:tcPr>
          <w:p>
            <w:pPr>
              <w:ind w:left="180"/>
              <w:spacing w:after="0" w:line="127" w:lineRule="exact"/>
              <w:rPr>
                <w:sz w:val="20"/>
                <w:szCs w:val="20"/>
                <w:color w:val="auto"/>
              </w:rPr>
            </w:pPr>
            <w:r>
              <w:rPr>
                <w:rFonts w:ascii="Times New Roman" w:cs="Times New Roman" w:eastAsia="Times New Roman" w:hAnsi="Times New Roman"/>
                <w:sz w:val="13"/>
                <w:szCs w:val="13"/>
                <w:color w:val="auto"/>
              </w:rPr>
              <w:t>investments in our Statement of Operations</w:t>
            </w:r>
          </w:p>
        </w:tc>
        <w:tc>
          <w:tcPr>
            <w:tcW w:w="180" w:type="dxa"/>
            <w:vAlign w:val="bottom"/>
            <w:tcBorders>
              <w:bottom w:val="single" w:sz="8" w:color="CCEEFF"/>
            </w:tcBorders>
            <w:gridSpan w:val="2"/>
            <w:shd w:val="clear" w:color="auto" w:fill="CCEEFF"/>
          </w:tcPr>
          <w:p>
            <w:pPr>
              <w:jc w:val="right"/>
              <w:spacing w:after="0" w:line="127"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CCEEFF"/>
            </w:tcBorders>
            <w:gridSpan w:val="2"/>
            <w:shd w:val="clear" w:color="auto" w:fill="CCEEFF"/>
          </w:tcPr>
          <w:p>
            <w:pPr>
              <w:jc w:val="right"/>
              <w:ind w:right="80"/>
              <w:spacing w:after="0" w:line="127" w:lineRule="exact"/>
              <w:rPr>
                <w:sz w:val="20"/>
                <w:szCs w:val="20"/>
                <w:color w:val="auto"/>
              </w:rPr>
            </w:pPr>
            <w:r>
              <w:rPr>
                <w:rFonts w:ascii="Times New Roman" w:cs="Times New Roman" w:eastAsia="Times New Roman" w:hAnsi="Times New Roman"/>
                <w:sz w:val="13"/>
                <w:szCs w:val="13"/>
                <w:color w:val="auto"/>
              </w:rPr>
              <w:t>(6.8)</w:t>
            </w:r>
          </w:p>
        </w:tc>
        <w:tc>
          <w:tcPr>
            <w:tcW w:w="160" w:type="dxa"/>
            <w:vAlign w:val="bottom"/>
            <w:tcBorders>
              <w:bottom w:val="single" w:sz="8" w:color="CCEEFF"/>
            </w:tcBorders>
            <w:gridSpan w:val="2"/>
            <w:shd w:val="clear" w:color="auto" w:fill="CCEEFF"/>
          </w:tcPr>
          <w:p>
            <w:pPr>
              <w:ind w:left="80"/>
              <w:spacing w:after="0" w:line="127" w:lineRule="exact"/>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CCEEFF"/>
            </w:tcBorders>
            <w:gridSpan w:val="2"/>
            <w:shd w:val="clear" w:color="auto" w:fill="CCEEFF"/>
          </w:tcPr>
          <w:p>
            <w:pPr>
              <w:jc w:val="right"/>
              <w:ind w:right="80"/>
              <w:spacing w:after="0" w:line="127" w:lineRule="exact"/>
              <w:rPr>
                <w:sz w:val="20"/>
                <w:szCs w:val="20"/>
                <w:color w:val="auto"/>
              </w:rPr>
            </w:pPr>
            <w:r>
              <w:rPr>
                <w:rFonts w:ascii="Times New Roman" w:cs="Times New Roman" w:eastAsia="Times New Roman" w:hAnsi="Times New Roman"/>
                <w:sz w:val="13"/>
                <w:szCs w:val="13"/>
                <w:color w:val="auto"/>
              </w:rPr>
              <w:t>(252.0)</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CCEEFF"/>
            </w:tcBorders>
            <w:gridSpan w:val="2"/>
            <w:shd w:val="clear" w:color="auto" w:fill="CCEEFF"/>
          </w:tcPr>
          <w:p>
            <w:pPr>
              <w:jc w:val="right"/>
              <w:ind w:right="80"/>
              <w:spacing w:after="0" w:line="127" w:lineRule="exact"/>
              <w:rPr>
                <w:sz w:val="20"/>
                <w:szCs w:val="20"/>
                <w:color w:val="auto"/>
              </w:rPr>
            </w:pPr>
            <w:r>
              <w:rPr>
                <w:rFonts w:ascii="Times New Roman" w:cs="Times New Roman" w:eastAsia="Times New Roman" w:hAnsi="Times New Roman"/>
                <w:sz w:val="13"/>
                <w:szCs w:val="13"/>
                <w:color w:val="auto"/>
              </w:rPr>
              <w:t>(1.8)</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vMerge w:val="continue"/>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gridSpan w:val="2"/>
            <w:shd w:val="clear" w:color="auto" w:fill="CCEEFF"/>
          </w:tcPr>
          <w:p>
            <w:pPr>
              <w:jc w:val="right"/>
              <w:ind w:right="100"/>
              <w:spacing w:after="0" w:line="127" w:lineRule="exact"/>
              <w:rPr>
                <w:sz w:val="20"/>
                <w:szCs w:val="20"/>
                <w:color w:val="auto"/>
              </w:rPr>
            </w:pPr>
            <w:r>
              <w:rPr>
                <w:rFonts w:ascii="Times New Roman" w:cs="Times New Roman" w:eastAsia="Times New Roman" w:hAnsi="Times New Roman"/>
                <w:sz w:val="13"/>
                <w:szCs w:val="13"/>
                <w:color w:val="auto"/>
              </w:rPr>
              <w:t>(260.6)</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5"/>
          <w:szCs w:val="15"/>
          <w:color w:val="auto"/>
        </w:rPr>
        <w:t>____________</w:t>
      </w:r>
    </w:p>
    <w:p>
      <w:pPr>
        <w:spacing w:after="0" w:line="106" w:lineRule="exact"/>
        <w:rPr>
          <w:sz w:val="20"/>
          <w:szCs w:val="20"/>
          <w:color w:val="auto"/>
        </w:rPr>
      </w:pPr>
    </w:p>
    <w:p>
      <w:pPr>
        <w:ind w:left="1120" w:right="919" w:hanging="415"/>
        <w:spacing w:after="0" w:line="266" w:lineRule="auto"/>
        <w:tabs>
          <w:tab w:leader="none" w:pos="112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Reduction to cost value on the Fund’s CLO equity investments represents the difference between distributions received, or entitled to be received, for the six months ended September 30, 2022, of approximately $195.9 million and the effective yield interest income recognized on the Fund’s CLO equity subordinated notes of approximately $122.7 million, plus the amortization of cost of the Fund’s CLO equity fee notes of approximately $1.4 million. A reduction to cost value is not made for CLO warehouse investments.</w:t>
      </w:r>
    </w:p>
    <w:p>
      <w:pPr>
        <w:spacing w:after="0" w:line="1" w:lineRule="exact"/>
        <w:rPr>
          <w:rFonts w:ascii="Times New Roman" w:cs="Times New Roman" w:eastAsia="Times New Roman" w:hAnsi="Times New Roman"/>
          <w:sz w:val="15"/>
          <w:szCs w:val="15"/>
          <w:color w:val="auto"/>
        </w:rPr>
      </w:pPr>
    </w:p>
    <w:p>
      <w:pPr>
        <w:ind w:left="1120" w:hanging="415"/>
        <w:spacing w:after="0"/>
        <w:tabs>
          <w:tab w:leader="none" w:pos="112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Totals may not sum due to rounding.</w:t>
      </w:r>
    </w:p>
    <w:p>
      <w:pPr>
        <w:spacing w:after="0" w:line="144" w:lineRule="exact"/>
        <w:rPr>
          <w:rFonts w:ascii="Times New Roman" w:cs="Times New Roman" w:eastAsia="Times New Roman" w:hAnsi="Times New Roman"/>
          <w:sz w:val="15"/>
          <w:szCs w:val="15"/>
          <w:color w:val="auto"/>
        </w:rPr>
      </w:pPr>
    </w:p>
    <w:p>
      <w:pPr>
        <w:ind w:left="112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There were no transfers in or out of Level 3 during the six months ended September 30, 2022.</w:t>
      </w:r>
    </w:p>
    <w:p>
      <w:pPr>
        <w:spacing w:after="0" w:line="20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NOTE 5. RELATED PARTY TRANSACTIONS</w:t>
      </w:r>
    </w:p>
    <w:p>
      <w:pPr>
        <w:spacing w:after="0" w:line="138" w:lineRule="exact"/>
        <w:rPr>
          <w:sz w:val="20"/>
          <w:szCs w:val="20"/>
          <w:color w:val="auto"/>
        </w:rPr>
      </w:pPr>
    </w:p>
    <w:p>
      <w:pPr>
        <w:jc w:val="both"/>
        <w:ind w:left="700" w:right="1079" w:firstLine="405"/>
        <w:spacing w:after="0" w:line="262" w:lineRule="auto"/>
        <w:rPr>
          <w:sz w:val="20"/>
          <w:szCs w:val="20"/>
          <w:color w:val="auto"/>
        </w:rPr>
      </w:pPr>
      <w:r>
        <w:rPr>
          <w:rFonts w:ascii="Times New Roman" w:cs="Times New Roman" w:eastAsia="Times New Roman" w:hAnsi="Times New Roman"/>
          <w:sz w:val="17"/>
          <w:szCs w:val="17"/>
          <w:color w:val="auto"/>
        </w:rPr>
        <w:t>Effective September 9, 2010, the Fund entered into the Investment Advisory Agreement with Oxford Lane Management, a registered investment adviser under the Advisers Act. Oxford Funds is the managing member of Oxford Lane Management and serves as the administrator of the Fund.</w:t>
      </w:r>
    </w:p>
    <w:p>
      <w:pPr>
        <w:spacing w:after="0" w:line="107" w:lineRule="exact"/>
        <w:rPr>
          <w:sz w:val="20"/>
          <w:szCs w:val="20"/>
          <w:color w:val="auto"/>
        </w:rPr>
      </w:pPr>
    </w:p>
    <w:p>
      <w:pPr>
        <w:ind w:left="700" w:right="899" w:firstLine="405"/>
        <w:spacing w:after="0" w:line="255" w:lineRule="auto"/>
        <w:rPr>
          <w:sz w:val="20"/>
          <w:szCs w:val="20"/>
          <w:color w:val="auto"/>
        </w:rPr>
      </w:pPr>
      <w:r>
        <w:rPr>
          <w:rFonts w:ascii="Times New Roman" w:cs="Times New Roman" w:eastAsia="Times New Roman" w:hAnsi="Times New Roman"/>
          <w:sz w:val="17"/>
          <w:szCs w:val="17"/>
          <w:color w:val="auto"/>
        </w:rPr>
        <w:t>Effective September 9, 2010, the Fund entered into an administration agreement (the “Administration Agreement”) with Oxford Funds to serve as its administrator. Under the Administration Agreement, Oxford Funds performs, or oversees the performance of, the Fund’s required administrative services, which include, among other things, being responsible for the financial records which the Fund is required to maintain and for preparation of the reports to the Fund’s stockholders.</w:t>
      </w:r>
    </w:p>
    <w:p>
      <w:pPr>
        <w:spacing w:after="0" w:line="114" w:lineRule="exact"/>
        <w:rPr>
          <w:sz w:val="20"/>
          <w:szCs w:val="20"/>
          <w:color w:val="auto"/>
        </w:rPr>
      </w:pPr>
    </w:p>
    <w:p>
      <w:pPr>
        <w:ind w:left="700" w:right="799" w:firstLine="405"/>
        <w:spacing w:after="0" w:line="262" w:lineRule="auto"/>
        <w:rPr>
          <w:sz w:val="20"/>
          <w:szCs w:val="20"/>
          <w:color w:val="auto"/>
        </w:rPr>
      </w:pPr>
      <w:r>
        <w:rPr>
          <w:rFonts w:ascii="Times New Roman" w:cs="Times New Roman" w:eastAsia="Times New Roman" w:hAnsi="Times New Roman"/>
          <w:sz w:val="17"/>
          <w:szCs w:val="17"/>
          <w:color w:val="auto"/>
        </w:rPr>
        <w:t>Pursuant to the Investment Advisory Agreement, the Fund has agreed to pay Oxford Lane Management a fee for advisory and management services consisting of two components — a base management fee and an incentive fee.</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15240</wp:posOffset>
            </wp:positionV>
            <wp:extent cx="482473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4824730"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41" w:name="page42"/>
    <w:bookmarkEnd w:id="41"/>
    <w:p>
      <w:pPr>
        <w:ind w:left="7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SEPTEMBER 30, 2022</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 xml:space="preserve">NOTE 5. RELATED PARTY TRANSACTIONS </w:t>
      </w:r>
      <w:r>
        <w:rPr>
          <w:rFonts w:ascii="Times New Roman" w:cs="Times New Roman" w:eastAsia="Times New Roman" w:hAnsi="Times New Roman"/>
          <w:sz w:val="17"/>
          <w:szCs w:val="17"/>
          <w:color w:val="auto"/>
        </w:rPr>
        <w:t>(cont.)</w:t>
      </w:r>
    </w:p>
    <w:p>
      <w:pPr>
        <w:spacing w:after="0" w:line="176" w:lineRule="exact"/>
        <w:rPr>
          <w:sz w:val="20"/>
          <w:szCs w:val="20"/>
          <w:color w:val="auto"/>
        </w:rPr>
      </w:pPr>
    </w:p>
    <w:p>
      <w:pPr>
        <w:ind w:left="700" w:right="779" w:firstLine="405"/>
        <w:spacing w:after="0" w:line="252" w:lineRule="auto"/>
        <w:rPr>
          <w:sz w:val="20"/>
          <w:szCs w:val="20"/>
          <w:color w:val="auto"/>
        </w:rPr>
      </w:pPr>
      <w:r>
        <w:rPr>
          <w:rFonts w:ascii="Times New Roman" w:cs="Times New Roman" w:eastAsia="Times New Roman" w:hAnsi="Times New Roman"/>
          <w:sz w:val="17"/>
          <w:szCs w:val="17"/>
          <w:color w:val="auto"/>
        </w:rPr>
        <w:t>The base management fee is calculated at an annual rate of 2.00% of the Fund’s gross assets. For services rendered under the Investment Advisory Agreement, the base management fee is payable quarterly in arrears. The base management fee is calculated based on the average value of the Fund’s gross assets, at the end of the two most recently completed calendar quarters, and appropriately adjusted for any share issuances or repurchases during the current calendar quarter. Base management fees for any partial month or quarter will be appropriately pro-rated. For the six months ended September 30, 2022, the Fund recognized an expense of approximately $13.0 million. At September 30, 2022, the Fund had a base management fee payable of approximately $6.3 million.</w:t>
      </w:r>
    </w:p>
    <w:p>
      <w:pPr>
        <w:spacing w:after="0" w:line="118" w:lineRule="exact"/>
        <w:rPr>
          <w:sz w:val="20"/>
          <w:szCs w:val="20"/>
          <w:color w:val="auto"/>
        </w:rPr>
      </w:pPr>
    </w:p>
    <w:p>
      <w:pPr>
        <w:ind w:left="700" w:right="739" w:firstLine="405"/>
        <w:spacing w:after="0" w:line="250" w:lineRule="auto"/>
        <w:rPr>
          <w:sz w:val="20"/>
          <w:szCs w:val="20"/>
          <w:color w:val="auto"/>
        </w:rPr>
      </w:pPr>
      <w:r>
        <w:rPr>
          <w:rFonts w:ascii="Times New Roman" w:cs="Times New Roman" w:eastAsia="Times New Roman" w:hAnsi="Times New Roman"/>
          <w:sz w:val="17"/>
          <w:szCs w:val="17"/>
          <w:color w:val="auto"/>
        </w:rPr>
        <w:t>The incentive fee is calculated and payable quarterly in arrears based on the pre-incentive fee net investment income for the immediately preceding calendar quarter. For this purpose, pre-incentive fee net investment income means income from securitization vehicles and investments, interest income from debt investments and any other income (including any other fees, such as commitment, origination, structuring, diligence and consulting fees or other fees that are received from an investment) accrued during the calendar quarter, minus the Fund’s operating expenses for the quarter (including the base management fee, expenses payable under the Administration Agreement to Oxford Funds, and any interest expense and dividends paid on any issued and outstanding preferred stock, but excluding the incentive fee). Pre-incentive fee net investment income includes accrued income that the Fund has not yet received in cash, such as the amount of any market discount it may accrete on debt instruments purchased below par value. Pre-incentive fee net investment income does not include any realized or unrealized capital gains or losses, and the Fund could incur incentive fees in periods when there is a net decrease in net assets from operations. Pre-incentive fee net investment income, expressed as a rate of return on the value of the Fund’s net assets at the end of the immediately preceding calendar quarter, is compared to a hurdle of 1.75% per quarter (7.00% annualized). For such purposes, the Fund’s quarterly rate of return is determined by dividing its pre-incentive net investment income by its reported net assets as of the prior period end. The Fund’s pre-incentive fee net investment income used to calculate the incentive fee is also included in the amount of its gross assets used to calculate the 2.00% base management fee. The Fund pays Oxford Lane Management an incentive fee with respect to the Fund’s pre-incentive fee net investment income in each calendar quarter as follows:</w:t>
      </w:r>
    </w:p>
    <w:p>
      <w:pPr>
        <w:spacing w:after="0" w:line="107" w:lineRule="exact"/>
        <w:rPr>
          <w:sz w:val="20"/>
          <w:szCs w:val="20"/>
          <w:color w:val="auto"/>
        </w:rPr>
      </w:pPr>
    </w:p>
    <w:p>
      <w:pPr>
        <w:ind w:left="1520" w:right="1219" w:hanging="410"/>
        <w:spacing w:after="0" w:line="276" w:lineRule="auto"/>
        <w:tabs>
          <w:tab w:leader="none" w:pos="151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incentive fee in any calendar quarter in which the Fund’s pre-incentive fee net investment income does not exceed the hurdle of 1.75%;</w:t>
      </w:r>
    </w:p>
    <w:p>
      <w:pPr>
        <w:spacing w:after="0" w:line="94" w:lineRule="exact"/>
        <w:rPr>
          <w:rFonts w:ascii="Times New Roman" w:cs="Times New Roman" w:eastAsia="Times New Roman" w:hAnsi="Times New Roman"/>
          <w:sz w:val="17"/>
          <w:szCs w:val="17"/>
          <w:color w:val="auto"/>
        </w:rPr>
      </w:pPr>
    </w:p>
    <w:p>
      <w:pPr>
        <w:ind w:left="1520" w:right="859" w:hanging="410"/>
        <w:spacing w:after="0" w:line="253" w:lineRule="auto"/>
        <w:tabs>
          <w:tab w:leader="none" w:pos="151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 of pre-incentive fee net investment income with respect to that portion of such pre-incentive fee net investment income, if any, that exceeds the hurdle but is less than 2.1875% in any calendar quarter (8.75% annualized). The Fund refers to this portion of the pre-incentive fee net investment income (which exceeds the hurdle but is less than 2.1875%) as the “catch-up”. The “catch-up” is meant to provide Oxford Lane Management with 20% of the pre-incentive fee net investment income as if a hurdle did not apply if the net investment income exceeds 2.1875% in any calendar quarter; and</w:t>
      </w:r>
    </w:p>
    <w:p>
      <w:pPr>
        <w:spacing w:after="0" w:line="115" w:lineRule="exact"/>
        <w:rPr>
          <w:rFonts w:ascii="Times New Roman" w:cs="Times New Roman" w:eastAsia="Times New Roman" w:hAnsi="Times New Roman"/>
          <w:sz w:val="17"/>
          <w:szCs w:val="17"/>
          <w:color w:val="auto"/>
        </w:rPr>
      </w:pPr>
    </w:p>
    <w:p>
      <w:pPr>
        <w:ind w:left="1520" w:right="799" w:hanging="410"/>
        <w:spacing w:after="0" w:line="258" w:lineRule="auto"/>
        <w:tabs>
          <w:tab w:leader="none" w:pos="151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 of the amount of pre-incentive fee net investment income, if any, that exceeds 2.1875% in any calendar quarter (8.75% annualized) is payable to Oxford Lane Management (once the hurdle is reached and the “catch-up” is achieved, 20% of all pre-incentive fee net investment income thereafter is allocated to Oxford Lane Management).</w:t>
      </w:r>
    </w:p>
    <w:p>
      <w:pPr>
        <w:spacing w:after="0" w:line="97" w:lineRule="exact"/>
        <w:rPr>
          <w:sz w:val="20"/>
          <w:szCs w:val="20"/>
          <w:color w:val="auto"/>
        </w:rPr>
      </w:pPr>
    </w:p>
    <w:p>
      <w:pPr>
        <w:ind w:left="700" w:right="919" w:firstLine="405"/>
        <w:spacing w:after="0" w:line="262" w:lineRule="auto"/>
        <w:rPr>
          <w:sz w:val="20"/>
          <w:szCs w:val="20"/>
          <w:color w:val="auto"/>
        </w:rPr>
      </w:pPr>
      <w:r>
        <w:rPr>
          <w:rFonts w:ascii="Times New Roman" w:cs="Times New Roman" w:eastAsia="Times New Roman" w:hAnsi="Times New Roman"/>
          <w:sz w:val="17"/>
          <w:szCs w:val="17"/>
          <w:color w:val="auto"/>
        </w:rPr>
        <w:t>There is no offset in subsequent quarters for any quarter in which an incentive fee is not earned. For the six months ended September 30, 2022, the Fund recognized incentive fee expense of approximately $18.7 million. At September 30, 2022, the Fund had an incentive fee payable of approximately $9.0 million.</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15240</wp:posOffset>
            </wp:positionV>
            <wp:extent cx="482473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4824730"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42" w:name="page43"/>
    <w:bookmarkEnd w:id="42"/>
    <w:p>
      <w:pPr>
        <w:ind w:left="7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SEPTEMBER 30, 2022</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 xml:space="preserve">NOTE 5. RELATED PARTY TRANSACTIONS </w:t>
      </w:r>
      <w:r>
        <w:rPr>
          <w:rFonts w:ascii="Times New Roman" w:cs="Times New Roman" w:eastAsia="Times New Roman" w:hAnsi="Times New Roman"/>
          <w:sz w:val="17"/>
          <w:szCs w:val="17"/>
          <w:color w:val="auto"/>
        </w:rPr>
        <w:t>(cont.)</w:t>
      </w:r>
    </w:p>
    <w:p>
      <w:pPr>
        <w:spacing w:after="0" w:line="176" w:lineRule="exact"/>
        <w:rPr>
          <w:sz w:val="20"/>
          <w:szCs w:val="20"/>
          <w:color w:val="auto"/>
        </w:rPr>
      </w:pPr>
    </w:p>
    <w:p>
      <w:pPr>
        <w:ind w:left="700" w:right="759" w:firstLine="405"/>
        <w:spacing w:after="0" w:line="251" w:lineRule="auto"/>
        <w:rPr>
          <w:sz w:val="20"/>
          <w:szCs w:val="20"/>
          <w:color w:val="auto"/>
        </w:rPr>
      </w:pPr>
      <w:r>
        <w:rPr>
          <w:rFonts w:ascii="Times New Roman" w:cs="Times New Roman" w:eastAsia="Times New Roman" w:hAnsi="Times New Roman"/>
          <w:sz w:val="17"/>
          <w:szCs w:val="17"/>
          <w:color w:val="auto"/>
        </w:rPr>
        <w:t>Oxford Funds assists the Fund in determining and publishing the Fund’s NAV, overseeing the preparation and filing of the Fund’s tax returns and the printing and dissemination of reports to the Fund’s stockholders, and generally overseeing the payment of the Fund’s expenses and the performance of administrative and professional services rendered to the Fund by others. Payments under the Administration Agreement are equal to an amount based upon the Fund’s allocable portion of Oxford Funds’ overhead in performing its obligations under the Administration Agreement, including rent, and the Fund’s allocable portion of the compensation of the Fund’s chief financial officer and any administrative support staff, including accounting personnel. Other expenses that are paid by the Fund include legal, compliance, audit and tax services, market data services, excise taxes, if any, and miscellaneous office expenses. The Administration Agreement may be terminated by either party without penalty upon 60 days’ written notice to the other party. The costs associated with the functions performed by the Fund’s chief compliance officer are paid indirectly by the Fund pursuant to the terms of an agreement between the Fund and Foreside Consulting Services, LLC.</w:t>
      </w:r>
    </w:p>
    <w:p>
      <w:pPr>
        <w:spacing w:after="0" w:line="117" w:lineRule="exact"/>
        <w:rPr>
          <w:sz w:val="20"/>
          <w:szCs w:val="20"/>
          <w:color w:val="auto"/>
        </w:rPr>
      </w:pPr>
    </w:p>
    <w:p>
      <w:pPr>
        <w:ind w:left="700" w:right="779" w:firstLine="405"/>
        <w:spacing w:after="0" w:line="252" w:lineRule="auto"/>
        <w:rPr>
          <w:sz w:val="20"/>
          <w:szCs w:val="20"/>
          <w:color w:val="auto"/>
        </w:rPr>
      </w:pPr>
      <w:r>
        <w:rPr>
          <w:rFonts w:ascii="Times New Roman" w:cs="Times New Roman" w:eastAsia="Times New Roman" w:hAnsi="Times New Roman"/>
          <w:sz w:val="17"/>
          <w:szCs w:val="17"/>
          <w:color w:val="auto"/>
        </w:rPr>
        <w:t>Independent directors receive an annual fee of $90,000. In addition, the independent directors receive $2,000 plus reimbursement of reasonable out-of-pocket expenses incurred in connection with attending each Board of Directors meeting, and relevant committee members receive $1,500 plus reimbursement of reasonable out-of-pocket expenses incurred in connection with attending each Valuation Committee meeting and $1,000 plus reimbursement of reasonable out-of-pocket expenses incurred in connection with attending each Audit Committee meeting. The Chairman of the Audit Committee also receives an additional annual fee of $10,000. No compensation is paid to directors who are interested persons of the Fund as defined in Section 2(a)(19) of the 1940 Act.</w:t>
      </w:r>
    </w:p>
    <w:p>
      <w:pPr>
        <w:spacing w:after="0" w:line="106" w:lineRule="exact"/>
        <w:rPr>
          <w:sz w:val="20"/>
          <w:szCs w:val="20"/>
          <w:color w:val="auto"/>
        </w:rPr>
      </w:pPr>
    </w:p>
    <w:p>
      <w:pPr>
        <w:ind w:left="700" w:right="999" w:firstLine="405"/>
        <w:spacing w:after="0" w:line="309" w:lineRule="auto"/>
        <w:rPr>
          <w:sz w:val="20"/>
          <w:szCs w:val="20"/>
          <w:color w:val="auto"/>
        </w:rPr>
      </w:pPr>
      <w:r>
        <w:rPr>
          <w:rFonts w:ascii="Times New Roman" w:cs="Times New Roman" w:eastAsia="Times New Roman" w:hAnsi="Times New Roman"/>
          <w:sz w:val="16"/>
          <w:szCs w:val="16"/>
          <w:color w:val="auto"/>
        </w:rPr>
        <w:t>Certain directors, officers and other related parties, including members of Oxford Lane Management, owned, directly or indirectly, an approximate 0.5% of the common stock of the Fund at September 30, 2022.</w:t>
      </w:r>
    </w:p>
    <w:p>
      <w:pPr>
        <w:spacing w:after="0" w:line="13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i w:val="1"/>
          <w:iCs w:val="1"/>
          <w:color w:val="auto"/>
        </w:rPr>
        <w:t>Co-Investment Exemptive Relief</w:t>
      </w:r>
    </w:p>
    <w:p>
      <w:pPr>
        <w:spacing w:after="0" w:line="150" w:lineRule="exact"/>
        <w:rPr>
          <w:sz w:val="20"/>
          <w:szCs w:val="20"/>
          <w:color w:val="auto"/>
        </w:rPr>
      </w:pPr>
    </w:p>
    <w:p>
      <w:pPr>
        <w:ind w:left="700" w:right="759" w:firstLine="405"/>
        <w:spacing w:after="0" w:line="252" w:lineRule="auto"/>
        <w:rPr>
          <w:sz w:val="20"/>
          <w:szCs w:val="20"/>
          <w:color w:val="auto"/>
        </w:rPr>
      </w:pPr>
      <w:r>
        <w:rPr>
          <w:rFonts w:ascii="Times New Roman" w:cs="Times New Roman" w:eastAsia="Times New Roman" w:hAnsi="Times New Roman"/>
          <w:sz w:val="17"/>
          <w:szCs w:val="17"/>
          <w:color w:val="auto"/>
        </w:rPr>
        <w:t>On June 14, 2017, the SEC issued an Order permitting the Fund and certain of its affiliates to complete negotiated co-investment transactions in portfolio companies, subject to certain conditions. Subject to satisfaction of certain conditions to the Order, the Fund and certain of its affiliates are now permitted, together with any future business development companies, registered closed-end funds and certain private funds, each of whose investment adviser is Oxford Lane Management or an investment adviser controlling, controlled by, or under common control with Oxford Lane Management, to co-invest in negotiated investment opportunities where doing so would otherwise be prohibited under the 1940 Act, providing the Fund’s stockholders with access to a broader array of investment opportunities.</w:t>
      </w:r>
    </w:p>
    <w:p>
      <w:pPr>
        <w:spacing w:after="0" w:line="118" w:lineRule="exact"/>
        <w:rPr>
          <w:sz w:val="20"/>
          <w:szCs w:val="20"/>
          <w:color w:val="auto"/>
        </w:rPr>
      </w:pPr>
    </w:p>
    <w:p>
      <w:pPr>
        <w:ind w:left="700" w:right="739" w:firstLine="405"/>
        <w:spacing w:after="0" w:line="271" w:lineRule="auto"/>
        <w:rPr>
          <w:sz w:val="20"/>
          <w:szCs w:val="20"/>
          <w:color w:val="auto"/>
        </w:rPr>
      </w:pPr>
      <w:r>
        <w:rPr>
          <w:rFonts w:ascii="Times New Roman" w:cs="Times New Roman" w:eastAsia="Times New Roman" w:hAnsi="Times New Roman"/>
          <w:sz w:val="16"/>
          <w:szCs w:val="16"/>
          <w:color w:val="auto"/>
        </w:rPr>
        <w:t>Pursuant to the Order, the Fund is permitted to co-invest in such investment opportunities with its affiliates if a “required majority” (as defined in Section 57(o) of the 1940 Act) of its independent directors make certain conclusions in connection with a co-investment transaction, including, but not limited to, that (1) the terms of the potential co-investment transaction, including the consideration to be paid, are reasonable and fair to the Fund and its stockholders and do not involve overreaching in respect of the Fund or its stockholders on the part of any person concerned, and (2) the potential co-investment transaction is consistent with the interests of the Fund’s stockholders and is consistent with the Fund’s then-current investment objective and strategies.</w:t>
      </w:r>
    </w:p>
    <w:p>
      <w:pPr>
        <w:spacing w:after="0" w:line="1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NOTE 6. CONCENTRATION OF CREDIT RISK</w:t>
      </w:r>
    </w:p>
    <w:p>
      <w:pPr>
        <w:spacing w:after="0" w:line="138" w:lineRule="exact"/>
        <w:rPr>
          <w:sz w:val="20"/>
          <w:szCs w:val="20"/>
          <w:color w:val="auto"/>
        </w:rPr>
      </w:pPr>
    </w:p>
    <w:p>
      <w:pPr>
        <w:ind w:left="700" w:right="779" w:firstLine="405"/>
        <w:spacing w:after="0" w:line="258" w:lineRule="auto"/>
        <w:rPr>
          <w:sz w:val="20"/>
          <w:szCs w:val="20"/>
          <w:color w:val="auto"/>
        </w:rPr>
      </w:pPr>
      <w:r>
        <w:rPr>
          <w:rFonts w:ascii="Times New Roman" w:cs="Times New Roman" w:eastAsia="Times New Roman" w:hAnsi="Times New Roman"/>
          <w:sz w:val="17"/>
          <w:szCs w:val="17"/>
          <w:color w:val="auto"/>
        </w:rPr>
        <w:t>The Fund places its cash in a money market fund and, at times, cash and cash equivalents may exceed the Federal Deposit Insurance Corporation insured limit. In addition, the Fund’s portfolio may be concentrated in a limited number of investments, which will subject the Fund to a risk of significant loss if any of these investments defaults on its obligations if those sectors experience a market downturn.</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15240</wp:posOffset>
            </wp:positionV>
            <wp:extent cx="482473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4824730"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43" w:name="page44"/>
    <w:bookmarkEnd w:id="43"/>
    <w:p>
      <w:pPr>
        <w:ind w:left="7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SEPTEMBER 30, 2022</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NOTE 7. DISTRIBUTIONS</w:t>
      </w:r>
    </w:p>
    <w:p>
      <w:pPr>
        <w:spacing w:after="0" w:line="13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7"/>
          <w:szCs w:val="17"/>
          <w:color w:val="auto"/>
        </w:rPr>
        <w:t>For the six months ended September 30, 2022, the Fund declared and paid distributions on its common</w:t>
      </w:r>
    </w:p>
    <w:p>
      <w:pPr>
        <w:spacing w:after="0" w:line="2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stock of $0.450 per share, or $68,119,032. The Fund declared and paid distributions on its common stock of</w:t>
      </w:r>
    </w:p>
    <w:p>
      <w:pPr>
        <w:spacing w:after="0" w:line="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$0.83 per share, or $98,698,871 for the year ended March 31, 2022. The tax character of distributions paid for</w:t>
      </w:r>
    </w:p>
    <w:p>
      <w:pPr>
        <w:spacing w:after="0" w:line="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the six months ended September 30, 2022 represented, on an estimated basis, $68,119,032 million from</w:t>
      </w:r>
    </w:p>
    <w:p>
      <w:pPr>
        <w:spacing w:after="0" w:line="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ordinary income. For the year ended March 31, 2022 and the six months ended September 30, 2022, the</w:t>
      </w:r>
    </w:p>
    <w:p>
      <w:pPr>
        <w:spacing w:after="0" w:line="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amounts and sources of distributions reported are only estimates. The tax character of distributions paid for the</w:t>
      </w:r>
    </w:p>
    <w:p>
      <w:pPr>
        <w:spacing w:after="0" w:line="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year ended March 31, 2022 represented, on an estimated basis, $98,698,871 from ordinary income. The ultimate</w:t>
      </w:r>
    </w:p>
    <w:p>
      <w:pPr>
        <w:spacing w:after="0" w:line="1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tax character of distributions is unknown until our tax return is filed. For the six months ended September 30,</w:t>
      </w:r>
    </w:p>
    <w:p>
      <w:pPr>
        <w:spacing w:after="0" w:line="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2022 and for the year ended March 31, 2022, the Fund also declared and paid dividends on preferred stock of</w:t>
      </w:r>
    </w:p>
    <w:p>
      <w:pPr>
        <w:spacing w:after="0" w:line="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$8,367,731 and $12,791,293, respectively. The tax character of distributions paid on preferred stock represented</w:t>
      </w:r>
    </w:p>
    <w:p>
      <w:pPr>
        <w:spacing w:after="0" w:line="1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ordinary income.</w:t>
      </w:r>
    </w:p>
    <w:p>
      <w:pPr>
        <w:spacing w:after="0" w:line="131" w:lineRule="exact"/>
        <w:rPr>
          <w:sz w:val="20"/>
          <w:szCs w:val="20"/>
          <w:color w:val="auto"/>
        </w:rPr>
      </w:pPr>
    </w:p>
    <w:p>
      <w:pPr>
        <w:ind w:left="700" w:right="759" w:firstLine="405"/>
        <w:spacing w:after="0" w:line="254" w:lineRule="auto"/>
        <w:rPr>
          <w:sz w:val="20"/>
          <w:szCs w:val="20"/>
          <w:color w:val="auto"/>
        </w:rPr>
      </w:pPr>
      <w:r>
        <w:rPr>
          <w:rFonts w:ascii="Times New Roman" w:cs="Times New Roman" w:eastAsia="Times New Roman" w:hAnsi="Times New Roman"/>
          <w:sz w:val="17"/>
          <w:szCs w:val="17"/>
          <w:color w:val="auto"/>
        </w:rPr>
        <w:t>For the fiscal year ended March 31, 2022, the Fund had available $79,553,682 of long-term capital losses, which can be used to offset future capital gains. For the fiscal year ended March 31, 2022, the Fund utilized $19,462,367 of its capital loss carryforward. Under the current law, capital losses related to securities realized after October 31 of a taxable year and prior to the Fund’s fiscal year end (“post-October”) may be deferred as occurring the first day of the following fiscal year. For the fiscal year ended March 31, 2022, the Fund had no post-October losses to defer.</w:t>
      </w:r>
    </w:p>
    <w:p>
      <w:pPr>
        <w:spacing w:after="0" w:line="114" w:lineRule="exact"/>
        <w:rPr>
          <w:sz w:val="20"/>
          <w:szCs w:val="20"/>
          <w:color w:val="auto"/>
        </w:rPr>
      </w:pPr>
    </w:p>
    <w:p>
      <w:pPr>
        <w:ind w:left="700" w:right="879" w:firstLine="405"/>
        <w:spacing w:after="0" w:line="276" w:lineRule="auto"/>
        <w:rPr>
          <w:sz w:val="20"/>
          <w:szCs w:val="20"/>
          <w:color w:val="auto"/>
        </w:rPr>
      </w:pPr>
      <w:r>
        <w:rPr>
          <w:rFonts w:ascii="Times New Roman" w:cs="Times New Roman" w:eastAsia="Times New Roman" w:hAnsi="Times New Roman"/>
          <w:sz w:val="17"/>
          <w:szCs w:val="17"/>
          <w:color w:val="auto"/>
        </w:rPr>
        <w:t>As of March 31, 2022, the estimated components of distributable earnings (accumulated losses) on a tax basis were as follows:</w:t>
      </w:r>
    </w:p>
    <w:p>
      <w:pPr>
        <w:spacing w:after="0" w:line="137" w:lineRule="exact"/>
        <w:rPr>
          <w:sz w:val="20"/>
          <w:szCs w:val="20"/>
          <w:color w:val="auto"/>
        </w:rPr>
      </w:pPr>
    </w:p>
    <w:tbl>
      <w:tblPr>
        <w:tblLayout w:type="fixed"/>
        <w:tblInd w:w="700" w:type="dxa"/>
        <w:tblCellMar>
          <w:top w:w="0" w:type="dxa"/>
          <w:left w:w="0" w:type="dxa"/>
          <w:bottom w:w="0" w:type="dxa"/>
          <w:right w:w="0" w:type="dxa"/>
        </w:tblCellMar>
      </w:tblPr>
      <w:tr>
        <w:trPr>
          <w:trHeight w:val="246"/>
        </w:trPr>
        <w:tc>
          <w:tcPr>
            <w:tcW w:w="5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Distributable ordinary income</w:t>
            </w:r>
          </w:p>
        </w:tc>
        <w:tc>
          <w:tcPr>
            <w:tcW w:w="22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  90,374,043</w:t>
            </w:r>
          </w:p>
        </w:tc>
      </w:tr>
      <w:tr>
        <w:trPr>
          <w:trHeight w:val="227"/>
        </w:trPr>
        <w:tc>
          <w:tcPr>
            <w:tcW w:w="5400" w:type="dxa"/>
            <w:vAlign w:val="bottom"/>
          </w:tcPr>
          <w:p>
            <w:pPr>
              <w:spacing w:after="0"/>
              <w:rPr>
                <w:sz w:val="20"/>
                <w:szCs w:val="20"/>
                <w:color w:val="auto"/>
              </w:rPr>
            </w:pPr>
            <w:r>
              <w:rPr>
                <w:rFonts w:ascii="Times New Roman" w:cs="Times New Roman" w:eastAsia="Times New Roman" w:hAnsi="Times New Roman"/>
                <w:sz w:val="17"/>
                <w:szCs w:val="17"/>
                <w:color w:val="auto"/>
              </w:rPr>
              <w:t>Distributable long-term capital gains (capital loss carry forward)</w:t>
            </w:r>
          </w:p>
        </w:tc>
        <w:tc>
          <w:tcPr>
            <w:tcW w:w="2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(79,553,682)</w:t>
            </w:r>
          </w:p>
        </w:tc>
      </w:tr>
      <w:tr>
        <w:trPr>
          <w:trHeight w:val="39"/>
        </w:trPr>
        <w:tc>
          <w:tcPr>
            <w:tcW w:w="5400" w:type="dxa"/>
            <w:vAlign w:val="bottom"/>
          </w:tcPr>
          <w:p>
            <w:pPr>
              <w:spacing w:after="0"/>
              <w:rPr>
                <w:sz w:val="3"/>
                <w:szCs w:val="3"/>
                <w:color w:val="auto"/>
              </w:rPr>
            </w:pPr>
          </w:p>
        </w:tc>
        <w:tc>
          <w:tcPr>
            <w:tcW w:w="2200" w:type="dxa"/>
            <w:vAlign w:val="bottom"/>
          </w:tcPr>
          <w:p>
            <w:pPr>
              <w:spacing w:after="0"/>
              <w:rPr>
                <w:sz w:val="3"/>
                <w:szCs w:val="3"/>
                <w:color w:val="auto"/>
              </w:rPr>
            </w:pPr>
          </w:p>
        </w:tc>
      </w:tr>
      <w:tr>
        <w:trPr>
          <w:trHeight w:val="246"/>
        </w:trPr>
        <w:tc>
          <w:tcPr>
            <w:tcW w:w="5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Unrealized depreciation on investments*</w:t>
            </w:r>
          </w:p>
        </w:tc>
        <w:tc>
          <w:tcPr>
            <w:tcW w:w="2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(121,844,899)</w:t>
            </w:r>
          </w:p>
        </w:tc>
      </w:tr>
      <w:tr>
        <w:trPr>
          <w:trHeight w:val="227"/>
        </w:trPr>
        <w:tc>
          <w:tcPr>
            <w:tcW w:w="5400" w:type="dxa"/>
            <w:vAlign w:val="bottom"/>
          </w:tcPr>
          <w:p>
            <w:pPr>
              <w:spacing w:after="0"/>
              <w:rPr>
                <w:sz w:val="20"/>
                <w:szCs w:val="20"/>
                <w:color w:val="auto"/>
              </w:rPr>
            </w:pPr>
            <w:r>
              <w:rPr>
                <w:rFonts w:ascii="Times New Roman" w:cs="Times New Roman" w:eastAsia="Times New Roman" w:hAnsi="Times New Roman"/>
                <w:sz w:val="17"/>
                <w:szCs w:val="17"/>
                <w:color w:val="auto"/>
              </w:rPr>
              <w:t>Other timing differences</w:t>
            </w:r>
          </w:p>
        </w:tc>
        <w:tc>
          <w:tcPr>
            <w:tcW w:w="2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(3,748)</w:t>
            </w:r>
          </w:p>
        </w:tc>
      </w:tr>
    </w:tbl>
    <w:p>
      <w:pPr>
        <w:spacing w:after="0" w:line="7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5"/>
          <w:szCs w:val="15"/>
          <w:color w:val="auto"/>
        </w:rPr>
        <w:t>____________</w:t>
      </w:r>
    </w:p>
    <w:p>
      <w:pPr>
        <w:spacing w:after="0" w:line="106" w:lineRule="exact"/>
        <w:rPr>
          <w:sz w:val="20"/>
          <w:szCs w:val="20"/>
          <w:color w:val="auto"/>
        </w:rPr>
      </w:pPr>
    </w:p>
    <w:p>
      <w:pPr>
        <w:ind w:left="1120" w:right="1219" w:hanging="415"/>
        <w:spacing w:after="0" w:line="298" w:lineRule="auto"/>
        <w:tabs>
          <w:tab w:leader="none" w:pos="1095"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difference between book basis and tax basis unrealized gains/(losses) is due to the Fund’s CLO equity and partnership investments.</w:t>
      </w:r>
    </w:p>
    <w:p>
      <w:pPr>
        <w:spacing w:after="0" w:line="74" w:lineRule="exact"/>
        <w:rPr>
          <w:sz w:val="20"/>
          <w:szCs w:val="20"/>
          <w:color w:val="auto"/>
        </w:rPr>
      </w:pPr>
    </w:p>
    <w:p>
      <w:pPr>
        <w:ind w:left="700" w:right="1159" w:firstLine="405"/>
        <w:spacing w:after="0" w:line="276" w:lineRule="auto"/>
        <w:rPr>
          <w:sz w:val="20"/>
          <w:szCs w:val="20"/>
          <w:color w:val="auto"/>
        </w:rPr>
      </w:pPr>
      <w:r>
        <w:rPr>
          <w:rFonts w:ascii="Times New Roman" w:cs="Times New Roman" w:eastAsia="Times New Roman" w:hAnsi="Times New Roman"/>
          <w:sz w:val="17"/>
          <w:szCs w:val="17"/>
          <w:color w:val="auto"/>
        </w:rPr>
        <w:t>As of March 31, 2022, the effect of permanent “book/tax” reclassifications resulted in the following increase/(decrease) to the components of net assets:</w:t>
      </w:r>
    </w:p>
    <w:p>
      <w:pPr>
        <w:spacing w:after="0" w:line="149" w:lineRule="exact"/>
        <w:rPr>
          <w:sz w:val="20"/>
          <w:szCs w:val="20"/>
          <w:color w:val="auto"/>
        </w:rPr>
      </w:pPr>
    </w:p>
    <w:tbl>
      <w:tblPr>
        <w:tblLayout w:type="fixed"/>
        <w:tblInd w:w="700" w:type="dxa"/>
        <w:tblCellMar>
          <w:top w:w="0" w:type="dxa"/>
          <w:left w:w="0" w:type="dxa"/>
          <w:bottom w:w="0" w:type="dxa"/>
          <w:right w:w="0" w:type="dxa"/>
        </w:tblCellMar>
      </w:tblPr>
      <w:tr>
        <w:trPr>
          <w:trHeight w:val="246"/>
        </w:trPr>
        <w:tc>
          <w:tcPr>
            <w:tcW w:w="4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Accumulated Net Investment Income</w:t>
            </w:r>
          </w:p>
        </w:tc>
        <w:tc>
          <w:tcPr>
            <w:tcW w:w="31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  31,386,618</w:t>
            </w:r>
          </w:p>
        </w:tc>
      </w:tr>
      <w:tr>
        <w:trPr>
          <w:trHeight w:val="227"/>
        </w:trPr>
        <w:tc>
          <w:tcPr>
            <w:tcW w:w="4480" w:type="dxa"/>
            <w:vAlign w:val="bottom"/>
          </w:tcPr>
          <w:p>
            <w:pPr>
              <w:spacing w:after="0"/>
              <w:rPr>
                <w:sz w:val="20"/>
                <w:szCs w:val="20"/>
                <w:color w:val="auto"/>
              </w:rPr>
            </w:pPr>
            <w:r>
              <w:rPr>
                <w:rFonts w:ascii="Times New Roman" w:cs="Times New Roman" w:eastAsia="Times New Roman" w:hAnsi="Times New Roman"/>
                <w:sz w:val="17"/>
                <w:szCs w:val="17"/>
                <w:color w:val="auto"/>
              </w:rPr>
              <w:t>Accumulated Capital Gains</w:t>
            </w:r>
          </w:p>
        </w:tc>
        <w:tc>
          <w:tcPr>
            <w:tcW w:w="312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18,041,452</w:t>
            </w:r>
          </w:p>
        </w:tc>
      </w:tr>
      <w:tr>
        <w:trPr>
          <w:trHeight w:val="39"/>
        </w:trPr>
        <w:tc>
          <w:tcPr>
            <w:tcW w:w="4480" w:type="dxa"/>
            <w:vAlign w:val="bottom"/>
          </w:tcPr>
          <w:p>
            <w:pPr>
              <w:spacing w:after="0"/>
              <w:rPr>
                <w:sz w:val="3"/>
                <w:szCs w:val="3"/>
                <w:color w:val="auto"/>
              </w:rPr>
            </w:pPr>
          </w:p>
        </w:tc>
        <w:tc>
          <w:tcPr>
            <w:tcW w:w="3120" w:type="dxa"/>
            <w:vAlign w:val="bottom"/>
          </w:tcPr>
          <w:p>
            <w:pPr>
              <w:spacing w:after="0"/>
              <w:rPr>
                <w:sz w:val="3"/>
                <w:szCs w:val="3"/>
                <w:color w:val="auto"/>
              </w:rPr>
            </w:pPr>
          </w:p>
        </w:tc>
      </w:tr>
      <w:tr>
        <w:trPr>
          <w:trHeight w:val="227"/>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Paid-In-Capital</w:t>
            </w:r>
          </w:p>
        </w:tc>
        <w:tc>
          <w:tcPr>
            <w:tcW w:w="3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(49,428,070)</w:t>
            </w:r>
          </w:p>
        </w:tc>
      </w:tr>
      <w:tr>
        <w:trPr>
          <w:trHeight w:val="39"/>
        </w:trPr>
        <w:tc>
          <w:tcPr>
            <w:tcW w:w="4480" w:type="dxa"/>
            <w:vAlign w:val="bottom"/>
            <w:shd w:val="clear" w:color="auto" w:fill="CCEEFF"/>
          </w:tcPr>
          <w:p>
            <w:pPr>
              <w:spacing w:after="0"/>
              <w:rPr>
                <w:sz w:val="3"/>
                <w:szCs w:val="3"/>
                <w:color w:val="auto"/>
              </w:rPr>
            </w:pPr>
          </w:p>
        </w:tc>
        <w:tc>
          <w:tcPr>
            <w:tcW w:w="3120" w:type="dxa"/>
            <w:vAlign w:val="bottom"/>
            <w:shd w:val="clear" w:color="auto" w:fill="CCEEFF"/>
          </w:tcPr>
          <w:p>
            <w:pPr>
              <w:spacing w:after="0"/>
              <w:rPr>
                <w:sz w:val="3"/>
                <w:szCs w:val="3"/>
                <w:color w:val="auto"/>
              </w:rPr>
            </w:pPr>
          </w:p>
        </w:tc>
      </w:tr>
    </w:tbl>
    <w:p>
      <w:pPr>
        <w:spacing w:after="0" w:line="148" w:lineRule="exact"/>
        <w:rPr>
          <w:sz w:val="20"/>
          <w:szCs w:val="20"/>
          <w:color w:val="auto"/>
        </w:rPr>
      </w:pPr>
    </w:p>
    <w:p>
      <w:pPr>
        <w:ind w:left="700" w:right="1179" w:firstLine="405"/>
        <w:spacing w:after="0" w:line="276" w:lineRule="auto"/>
        <w:rPr>
          <w:sz w:val="20"/>
          <w:szCs w:val="20"/>
          <w:color w:val="auto"/>
        </w:rPr>
      </w:pPr>
      <w:r>
        <w:rPr>
          <w:rFonts w:ascii="Times New Roman" w:cs="Times New Roman" w:eastAsia="Times New Roman" w:hAnsi="Times New Roman"/>
          <w:sz w:val="17"/>
          <w:szCs w:val="17"/>
          <w:color w:val="auto"/>
        </w:rPr>
        <w:t>These differences are primarily due to the CLO equity investments and acceleration of unamortized deferred issuance costs on mandatorily redeemable preferred stock.</w:t>
      </w:r>
    </w:p>
    <w:p>
      <w:pPr>
        <w:spacing w:after="0" w:line="95" w:lineRule="exact"/>
        <w:rPr>
          <w:sz w:val="20"/>
          <w:szCs w:val="20"/>
          <w:color w:val="auto"/>
        </w:rPr>
      </w:pPr>
    </w:p>
    <w:p>
      <w:pPr>
        <w:jc w:val="both"/>
        <w:ind w:left="700" w:right="819" w:firstLine="405"/>
        <w:spacing w:after="0" w:line="262" w:lineRule="auto"/>
        <w:rPr>
          <w:sz w:val="20"/>
          <w:szCs w:val="20"/>
          <w:color w:val="auto"/>
        </w:rPr>
      </w:pPr>
      <w:r>
        <w:rPr>
          <w:rFonts w:ascii="Times New Roman" w:cs="Times New Roman" w:eastAsia="Times New Roman" w:hAnsi="Times New Roman"/>
          <w:sz w:val="17"/>
          <w:szCs w:val="17"/>
          <w:color w:val="auto"/>
        </w:rPr>
        <w:t>As of September 30, 2022, the aggregate gross unrealized appreciation for tax purposes was $9,180,363, and aggregate gross unrealized depreciation was $451,953,108. For tax purposes, the cost basis of the portfolio investments at September 30, 2022 was $1,681,267,218.</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15240</wp:posOffset>
            </wp:positionV>
            <wp:extent cx="482473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4824730"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44" w:name="page45"/>
    <w:bookmarkEnd w:id="44"/>
    <w:p>
      <w:pPr>
        <w:ind w:left="7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SEPTEMBER 30, 2022</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NOTE 8. MANDATORILY REDEEMABLE PREFERRED STOCK</w:t>
      </w:r>
    </w:p>
    <w:p>
      <w:pPr>
        <w:spacing w:after="0" w:line="138" w:lineRule="exact"/>
        <w:rPr>
          <w:sz w:val="20"/>
          <w:szCs w:val="20"/>
          <w:color w:val="auto"/>
        </w:rPr>
      </w:pPr>
    </w:p>
    <w:p>
      <w:pPr>
        <w:ind w:left="700" w:right="939" w:firstLine="405"/>
        <w:spacing w:after="0" w:line="258" w:lineRule="auto"/>
        <w:rPr>
          <w:sz w:val="20"/>
          <w:szCs w:val="20"/>
          <w:color w:val="auto"/>
        </w:rPr>
      </w:pPr>
      <w:r>
        <w:rPr>
          <w:rFonts w:ascii="Times New Roman" w:cs="Times New Roman" w:eastAsia="Times New Roman" w:hAnsi="Times New Roman"/>
          <w:sz w:val="17"/>
          <w:szCs w:val="17"/>
          <w:color w:val="auto"/>
        </w:rPr>
        <w:t>The Fund has authorized 50 million shares of mandatorily redeemable preferred stock, at a par value of $0.01 per share, and had 11,486,721 shares issued and outstanding at September 30, 2022. During the</w:t>
      </w:r>
    </w:p>
    <w:p>
      <w:pPr>
        <w:spacing w:after="0" w:line="1" w:lineRule="exact"/>
        <w:rPr>
          <w:sz w:val="20"/>
          <w:szCs w:val="20"/>
          <w:color w:val="auto"/>
        </w:rPr>
      </w:pPr>
    </w:p>
    <w:p>
      <w:pPr>
        <w:ind w:left="700" w:right="779"/>
        <w:spacing w:after="0" w:line="248" w:lineRule="auto"/>
        <w:rPr>
          <w:sz w:val="20"/>
          <w:szCs w:val="20"/>
          <w:color w:val="auto"/>
        </w:rPr>
      </w:pPr>
      <w:r>
        <w:rPr>
          <w:rFonts w:ascii="Times New Roman" w:cs="Times New Roman" w:eastAsia="Times New Roman" w:hAnsi="Times New Roman"/>
          <w:sz w:val="17"/>
          <w:szCs w:val="17"/>
          <w:color w:val="auto"/>
        </w:rPr>
        <w:t>six months ended September 30, 2022, the Fund had the following series of preferred stock outstanding: public offerings of its 6.75% Series 2024 Term Preferred Shares (the “6.75% Series 2024 Shares”); 6.25% Series 2027 Term Preferred Shares (the “6.25% Series 2027 Shares”); 6.00% Series 2029 Term Preferred Shares (the “6.00% Series 2029 Shares”); and its 7.125% Series 2029 Term Preferred Shares (the</w:t>
      </w:r>
    </w:p>
    <w:p>
      <w:pPr>
        <w:spacing w:after="0" w:line="2" w:lineRule="exact"/>
        <w:rPr>
          <w:sz w:val="20"/>
          <w:szCs w:val="20"/>
          <w:color w:val="auto"/>
        </w:rPr>
      </w:pPr>
    </w:p>
    <w:p>
      <w:pPr>
        <w:ind w:left="700" w:right="739"/>
        <w:spacing w:after="0" w:line="266" w:lineRule="auto"/>
        <w:rPr>
          <w:sz w:val="20"/>
          <w:szCs w:val="20"/>
          <w:color w:val="auto"/>
        </w:rPr>
      </w:pPr>
      <w:r>
        <w:rPr>
          <w:rFonts w:ascii="Times New Roman" w:cs="Times New Roman" w:eastAsia="Times New Roman" w:hAnsi="Times New Roman"/>
          <w:sz w:val="16"/>
          <w:szCs w:val="16"/>
          <w:color w:val="auto"/>
        </w:rPr>
        <w:t>“7.125% Series 2029 Shares”), collectively the “Term Preferred Shares”, each issued in an underwritten public offering. The Fund is required to redeem all of the outstanding Term Preferred Shares on their respective redemption dates, at a redemption price equal to $25 per share plus an amount equal to accumulated but unpaid dividends, if any, to the date of the redemption. The Fund cannot effect any amendment, alteration, or repeal of the Fund’s obligation to redeem all of the Term Preferred Shares without the prior unanimous vote or consent of the holders of such Term Preferred Shares. At any time on or after the optional redemption date, at the Fund’s sole option, the Fund may redeem the Term Preferred Shares at a redemption price per share equal to the sum of the $25 liquidation preference per share plus an amount equal to accumulated but unpaid dividends, if any, on such Term Preferred Shares. The Fund, with the authorization by the Board of Directors, may repurchase any of the Term Preferred Shares from time to time in the open market and effectively extinguish the debt. As of September 30, 2022, there were no accumulated but unpaid dividends on the Fund’s Term Preferred Shares.</w:t>
      </w:r>
    </w:p>
    <w:p>
      <w:pPr>
        <w:spacing w:after="0" w:line="109" w:lineRule="exact"/>
        <w:rPr>
          <w:sz w:val="20"/>
          <w:szCs w:val="20"/>
          <w:color w:val="auto"/>
        </w:rPr>
      </w:pPr>
    </w:p>
    <w:p>
      <w:pPr>
        <w:ind w:left="700" w:right="739" w:firstLine="405"/>
        <w:spacing w:after="0" w:line="253" w:lineRule="auto"/>
        <w:rPr>
          <w:sz w:val="20"/>
          <w:szCs w:val="20"/>
          <w:color w:val="auto"/>
        </w:rPr>
      </w:pPr>
      <w:r>
        <w:rPr>
          <w:rFonts w:ascii="Times New Roman" w:cs="Times New Roman" w:eastAsia="Times New Roman" w:hAnsi="Times New Roman"/>
          <w:sz w:val="17"/>
          <w:szCs w:val="17"/>
          <w:color w:val="auto"/>
        </w:rPr>
        <w:t>On April 15, 2021 (the “Series 2023 Redemption Date”), the Fund redeemed all of the outstanding Series 2023 Term Preferred Stock at a redemption price of $25 per share of Series 2023 Term Preferred Stock, plus an amount equal to all accrued and unpaid dividends and distributions on each share accumulated to (but excluding) the Series 2023 Redemption Date. Upon the redemption of the Series 2023 Term Preferred Stock, the Fund accelerated unamortized debt issuance costs of approximately $0.5 million, and unamortized discount of approximately $0.5 million into net realized loss on redemption of mandatorily redeemable preferred stock in the Statement of Operations.</w:t>
      </w:r>
    </w:p>
    <w:p>
      <w:pPr>
        <w:spacing w:after="0" w:line="115" w:lineRule="exact"/>
        <w:rPr>
          <w:sz w:val="20"/>
          <w:szCs w:val="20"/>
          <w:color w:val="auto"/>
        </w:rPr>
      </w:pPr>
    </w:p>
    <w:p>
      <w:pPr>
        <w:ind w:left="700" w:right="979" w:firstLine="405"/>
        <w:spacing w:after="0" w:line="253" w:lineRule="auto"/>
        <w:rPr>
          <w:sz w:val="20"/>
          <w:szCs w:val="20"/>
          <w:color w:val="auto"/>
        </w:rPr>
      </w:pPr>
      <w:r>
        <w:rPr>
          <w:rFonts w:ascii="Times New Roman" w:cs="Times New Roman" w:eastAsia="Times New Roman" w:hAnsi="Times New Roman"/>
          <w:sz w:val="17"/>
          <w:szCs w:val="17"/>
          <w:color w:val="auto"/>
        </w:rPr>
        <w:t>On June 6, 2022, the Fund completed an underwritten public offering of 2,400,000 shares of its newly designated 7.125% Series 2029 Shares at a public offering price of $25 per share, raising approximately $60.0 million in gross proceeds. The Fund also granted the underwriters a 30-day over-allotment option to purchase additional shares of its 7.125% Series 2029 Shares on the same terms and conditions to cover over-allotments, if any. On July 7, 2022, under this 30-day over-allotment option, the Fund issued 150,000 shares, raising approximately $3.8 million in gross proceeds. The 7.125% Series 2029 Shares are listed on the NASDAQ Global Select Market and trade under the symbol “OXLCN”.</w:t>
      </w:r>
    </w:p>
    <w:p>
      <w:pPr>
        <w:spacing w:after="0" w:line="10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7"/>
          <w:szCs w:val="17"/>
          <w:color w:val="auto"/>
        </w:rPr>
        <w:t>The Fund’s Term Preferred Share activity for the six months ended September 30, 2022, was as follows:</w:t>
      </w:r>
    </w:p>
    <w:p>
      <w:pPr>
        <w:spacing w:after="0" w:line="185" w:lineRule="exact"/>
        <w:rPr>
          <w:sz w:val="20"/>
          <w:szCs w:val="20"/>
          <w:color w:val="auto"/>
        </w:rPr>
      </w:pPr>
    </w:p>
    <w:tbl>
      <w:tblPr>
        <w:tblLayout w:type="fixed"/>
        <w:tblInd w:w="70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6.75%</w:t>
            </w:r>
          </w:p>
        </w:tc>
        <w:tc>
          <w:tcPr>
            <w:tcW w:w="10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6.25%</w:t>
            </w:r>
          </w:p>
        </w:tc>
        <w:tc>
          <w:tcPr>
            <w:tcW w:w="8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6.00%</w:t>
            </w:r>
          </w:p>
        </w:tc>
        <w:tc>
          <w:tcPr>
            <w:tcW w:w="8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7.125%</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Series 2024</w:t>
            </w: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Series 2027</w:t>
            </w: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9"/>
              </w:rPr>
              <w:t>Series 2029</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Series 2029</w:t>
            </w:r>
          </w:p>
        </w:tc>
        <w:tc>
          <w:tcPr>
            <w:tcW w:w="1120" w:type="dxa"/>
            <w:vAlign w:val="bottom"/>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4"/>
              </w:rPr>
              <w:t>Term</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4"/>
              </w:rPr>
              <w:t>Term</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Term</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Term</w:t>
            </w:r>
          </w:p>
        </w:tc>
        <w:tc>
          <w:tcPr>
            <w:tcW w:w="1120" w:type="dxa"/>
            <w:vAlign w:val="bottom"/>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9"/>
              </w:rPr>
              <w:t>Preferred</w:t>
            </w: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9"/>
              </w:rPr>
              <w:t>Preferred</w:t>
            </w: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Preferred</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9"/>
              </w:rPr>
              <w:t>Preferred</w:t>
            </w:r>
          </w:p>
        </w:tc>
        <w:tc>
          <w:tcPr>
            <w:tcW w:w="1120" w:type="dxa"/>
            <w:vAlign w:val="bottom"/>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6"/>
              </w:rPr>
              <w:t>Shares</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120" w:type="dxa"/>
            <w:vAlign w:val="bottom"/>
          </w:tcPr>
          <w:p>
            <w:pPr>
              <w:jc w:val="right"/>
              <w:ind w:right="317"/>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43"/>
        </w:trPr>
        <w:tc>
          <w:tcPr>
            <w:tcW w:w="20" w:type="dxa"/>
            <w:vAlign w:val="bottom"/>
          </w:tcPr>
          <w:p>
            <w:pPr>
              <w:spacing w:after="0"/>
              <w:rPr>
                <w:sz w:val="3"/>
                <w:szCs w:val="3"/>
                <w:color w:val="auto"/>
              </w:rPr>
            </w:pPr>
          </w:p>
        </w:tc>
        <w:tc>
          <w:tcPr>
            <w:tcW w:w="200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66"/>
        </w:trPr>
        <w:tc>
          <w:tcPr>
            <w:tcW w:w="20" w:type="dxa"/>
            <w:vAlign w:val="bottom"/>
          </w:tcPr>
          <w:p>
            <w:pPr>
              <w:spacing w:after="0"/>
              <w:rPr>
                <w:sz w:val="14"/>
                <w:szCs w:val="14"/>
                <w:color w:val="auto"/>
              </w:rPr>
            </w:pPr>
          </w:p>
        </w:tc>
        <w:tc>
          <w:tcPr>
            <w:tcW w:w="200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7"/>
                <w:szCs w:val="17"/>
                <w:color w:val="auto"/>
              </w:rPr>
              <w:t>Shares outstanding at</w:t>
            </w: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237"/>
        </w:trPr>
        <w:tc>
          <w:tcPr>
            <w:tcW w:w="20" w:type="dxa"/>
            <w:vAlign w:val="bottom"/>
          </w:tcPr>
          <w:p>
            <w:pPr>
              <w:spacing w:after="0"/>
              <w:rPr>
                <w:sz w:val="20"/>
                <w:szCs w:val="20"/>
                <w:color w:val="auto"/>
              </w:rPr>
            </w:pPr>
          </w:p>
        </w:tc>
        <w:tc>
          <w:tcPr>
            <w:tcW w:w="20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March 31, 2022</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2,725,015</w:t>
            </w: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3,524,806</w:t>
            </w:r>
          </w:p>
        </w:tc>
        <w:tc>
          <w:tcPr>
            <w:tcW w:w="11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2,686,900</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8,936,721</w:t>
            </w:r>
          </w:p>
        </w:tc>
      </w:tr>
      <w:tr>
        <w:trPr>
          <w:trHeight w:val="227"/>
        </w:trPr>
        <w:tc>
          <w:tcPr>
            <w:tcW w:w="2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Shares issued</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2,550,000</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2,550,000</w:t>
            </w:r>
          </w:p>
        </w:tc>
      </w:tr>
      <w:tr>
        <w:trPr>
          <w:trHeight w:val="39"/>
        </w:trPr>
        <w:tc>
          <w:tcPr>
            <w:tcW w:w="2020" w:type="dxa"/>
            <w:vAlign w:val="bottom"/>
            <w:gridSpan w:val="2"/>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66"/>
        </w:trPr>
        <w:tc>
          <w:tcPr>
            <w:tcW w:w="20" w:type="dxa"/>
            <w:vAlign w:val="bottom"/>
          </w:tcPr>
          <w:p>
            <w:pPr>
              <w:spacing w:after="0"/>
              <w:rPr>
                <w:sz w:val="23"/>
                <w:szCs w:val="23"/>
                <w:color w:val="auto"/>
              </w:rPr>
            </w:pPr>
          </w:p>
        </w:tc>
        <w:tc>
          <w:tcPr>
            <w:tcW w:w="2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Shares redeemed</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66"/>
        </w:trPr>
        <w:tc>
          <w:tcPr>
            <w:tcW w:w="20" w:type="dxa"/>
            <w:vAlign w:val="bottom"/>
          </w:tcPr>
          <w:p>
            <w:pPr>
              <w:spacing w:after="0"/>
              <w:rPr>
                <w:sz w:val="14"/>
                <w:szCs w:val="14"/>
                <w:color w:val="auto"/>
              </w:rPr>
            </w:pPr>
          </w:p>
        </w:tc>
        <w:tc>
          <w:tcPr>
            <w:tcW w:w="2000" w:type="dxa"/>
            <w:vAlign w:val="bottom"/>
          </w:tcPr>
          <w:p>
            <w:pPr>
              <w:spacing w:after="0" w:line="167" w:lineRule="exact"/>
              <w:rPr>
                <w:sz w:val="20"/>
                <w:szCs w:val="20"/>
                <w:color w:val="auto"/>
              </w:rPr>
            </w:pPr>
            <w:r>
              <w:rPr>
                <w:rFonts w:ascii="Times New Roman" w:cs="Times New Roman" w:eastAsia="Times New Roman" w:hAnsi="Times New Roman"/>
                <w:sz w:val="17"/>
                <w:szCs w:val="17"/>
                <w:color w:val="auto"/>
              </w:rPr>
              <w:t>Shares outstanding at</w:t>
            </w: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r>
      <w:tr>
        <w:trPr>
          <w:trHeight w:val="238"/>
        </w:trPr>
        <w:tc>
          <w:tcPr>
            <w:tcW w:w="20" w:type="dxa"/>
            <w:vAlign w:val="bottom"/>
          </w:tcPr>
          <w:p>
            <w:pPr>
              <w:spacing w:after="0"/>
              <w:rPr>
                <w:sz w:val="20"/>
                <w:szCs w:val="20"/>
                <w:color w:val="auto"/>
              </w:rPr>
            </w:pPr>
          </w:p>
        </w:tc>
        <w:tc>
          <w:tcPr>
            <w:tcW w:w="20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September 30, 2022</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2,725,015</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3,524,806</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2,686,900</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2,550,000</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11,486,721</w:t>
            </w: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352"/>
        </w:trPr>
        <w:tc>
          <w:tcPr>
            <w:tcW w:w="20" w:type="dxa"/>
            <w:vAlign w:val="bottom"/>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7"/>
                <w:szCs w:val="17"/>
                <w:color w:val="auto"/>
              </w:rPr>
              <w:t>42</w:t>
            </w: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2" w:right="1440" w:bottom="1440" w:gutter="0" w:footer="0" w:header="0"/>
        </w:sectPr>
      </w:pPr>
    </w:p>
    <w:bookmarkStart w:id="45" w:name="page46"/>
    <w:bookmarkEnd w:id="45"/>
    <w:p>
      <w:pPr>
        <w:ind w:left="7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SEPTEMBER 30, 2022</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 xml:space="preserve">NOTE 8. MANDATORILY REDEEMABLE PREFERRED STOCK </w:t>
      </w:r>
      <w:r>
        <w:rPr>
          <w:rFonts w:ascii="Times New Roman" w:cs="Times New Roman" w:eastAsia="Times New Roman" w:hAnsi="Times New Roman"/>
          <w:sz w:val="17"/>
          <w:szCs w:val="17"/>
          <w:color w:val="auto"/>
        </w:rPr>
        <w:t>(cont.)</w:t>
      </w:r>
    </w:p>
    <w:p>
      <w:pPr>
        <w:spacing w:after="0" w:line="17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7"/>
          <w:szCs w:val="17"/>
          <w:color w:val="auto"/>
        </w:rPr>
        <w:t>The Fund’s Term Preferred Share balances as of September 30, 2022, were as follows:</w:t>
      </w:r>
    </w:p>
    <w:p>
      <w:pPr>
        <w:spacing w:after="0" w:line="172" w:lineRule="exact"/>
        <w:rPr>
          <w:sz w:val="20"/>
          <w:szCs w:val="20"/>
          <w:color w:val="auto"/>
        </w:rPr>
      </w:pPr>
    </w:p>
    <w:tbl>
      <w:tblPr>
        <w:tblLayout w:type="fixed"/>
        <w:tblInd w:w="700" w:type="dxa"/>
        <w:tblCellMar>
          <w:top w:w="0" w:type="dxa"/>
          <w:left w:w="0" w:type="dxa"/>
          <w:bottom w:w="0" w:type="dxa"/>
          <w:right w:w="0" w:type="dxa"/>
        </w:tblCellMar>
      </w:tblPr>
      <w:tr>
        <w:trPr>
          <w:trHeight w:val="190"/>
        </w:trPr>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6.75%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6.25%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6.00%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7.125%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3"/>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Series 2024</w:t>
            </w:r>
          </w:p>
        </w:tc>
        <w:tc>
          <w:tcPr>
            <w:tcW w:w="100" w:type="dxa"/>
            <w:vAlign w:val="bottom"/>
          </w:tcPr>
          <w:p>
            <w:pPr>
              <w:spacing w:after="0"/>
              <w:rPr>
                <w:sz w:val="16"/>
                <w:szCs w:val="16"/>
                <w:color w:val="auto"/>
              </w:rPr>
            </w:pPr>
          </w:p>
        </w:tc>
        <w:tc>
          <w:tcPr>
            <w:tcW w:w="1020" w:type="dxa"/>
            <w:vAlign w:val="bottom"/>
            <w:gridSpan w:val="3"/>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Series 2027</w:t>
            </w:r>
          </w:p>
        </w:tc>
        <w:tc>
          <w:tcPr>
            <w:tcW w:w="100" w:type="dxa"/>
            <w:vAlign w:val="bottom"/>
          </w:tcPr>
          <w:p>
            <w:pPr>
              <w:spacing w:after="0"/>
              <w:rPr>
                <w:sz w:val="16"/>
                <w:szCs w:val="16"/>
                <w:color w:val="auto"/>
              </w:rPr>
            </w:pPr>
          </w:p>
        </w:tc>
        <w:tc>
          <w:tcPr>
            <w:tcW w:w="1000" w:type="dxa"/>
            <w:vAlign w:val="bottom"/>
            <w:gridSpan w:val="3"/>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Series 2029</w:t>
            </w:r>
          </w:p>
        </w:tc>
        <w:tc>
          <w:tcPr>
            <w:tcW w:w="120" w:type="dxa"/>
            <w:vAlign w:val="bottom"/>
          </w:tcPr>
          <w:p>
            <w:pPr>
              <w:spacing w:after="0"/>
              <w:rPr>
                <w:sz w:val="16"/>
                <w:szCs w:val="16"/>
                <w:color w:val="auto"/>
              </w:rPr>
            </w:pPr>
          </w:p>
        </w:tc>
        <w:tc>
          <w:tcPr>
            <w:tcW w:w="1000" w:type="dxa"/>
            <w:vAlign w:val="bottom"/>
            <w:gridSpan w:val="3"/>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9"/>
              </w:rPr>
              <w:t>Series 2029</w:t>
            </w: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3"/>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4"/>
              </w:rPr>
              <w:t>Term</w:t>
            </w:r>
          </w:p>
        </w:tc>
        <w:tc>
          <w:tcPr>
            <w:tcW w:w="100" w:type="dxa"/>
            <w:vAlign w:val="bottom"/>
          </w:tcPr>
          <w:p>
            <w:pPr>
              <w:spacing w:after="0"/>
              <w:rPr>
                <w:sz w:val="16"/>
                <w:szCs w:val="16"/>
                <w:color w:val="auto"/>
              </w:rPr>
            </w:pPr>
          </w:p>
        </w:tc>
        <w:tc>
          <w:tcPr>
            <w:tcW w:w="1020" w:type="dxa"/>
            <w:vAlign w:val="bottom"/>
            <w:gridSpan w:val="3"/>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4"/>
              </w:rPr>
              <w:t>Term</w:t>
            </w:r>
          </w:p>
        </w:tc>
        <w:tc>
          <w:tcPr>
            <w:tcW w:w="100" w:type="dxa"/>
            <w:vAlign w:val="bottom"/>
          </w:tcPr>
          <w:p>
            <w:pPr>
              <w:spacing w:after="0"/>
              <w:rPr>
                <w:sz w:val="16"/>
                <w:szCs w:val="16"/>
                <w:color w:val="auto"/>
              </w:rPr>
            </w:pPr>
          </w:p>
        </w:tc>
        <w:tc>
          <w:tcPr>
            <w:tcW w:w="1000" w:type="dxa"/>
            <w:vAlign w:val="bottom"/>
            <w:gridSpan w:val="3"/>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4"/>
              </w:rPr>
              <w:t>Term</w:t>
            </w:r>
          </w:p>
        </w:tc>
        <w:tc>
          <w:tcPr>
            <w:tcW w:w="120" w:type="dxa"/>
            <w:vAlign w:val="bottom"/>
          </w:tcPr>
          <w:p>
            <w:pPr>
              <w:spacing w:after="0"/>
              <w:rPr>
                <w:sz w:val="16"/>
                <w:szCs w:val="16"/>
                <w:color w:val="auto"/>
              </w:rPr>
            </w:pPr>
          </w:p>
        </w:tc>
        <w:tc>
          <w:tcPr>
            <w:tcW w:w="1000" w:type="dxa"/>
            <w:vAlign w:val="bottom"/>
            <w:gridSpan w:val="3"/>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Term</w:t>
            </w: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3"/>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9"/>
              </w:rPr>
              <w:t>Preferred</w:t>
            </w:r>
          </w:p>
        </w:tc>
        <w:tc>
          <w:tcPr>
            <w:tcW w:w="100" w:type="dxa"/>
            <w:vAlign w:val="bottom"/>
          </w:tcPr>
          <w:p>
            <w:pPr>
              <w:spacing w:after="0"/>
              <w:rPr>
                <w:sz w:val="16"/>
                <w:szCs w:val="16"/>
                <w:color w:val="auto"/>
              </w:rPr>
            </w:pPr>
          </w:p>
        </w:tc>
        <w:tc>
          <w:tcPr>
            <w:tcW w:w="1020" w:type="dxa"/>
            <w:vAlign w:val="bottom"/>
            <w:gridSpan w:val="3"/>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9"/>
              </w:rPr>
              <w:t>Preferred</w:t>
            </w:r>
          </w:p>
        </w:tc>
        <w:tc>
          <w:tcPr>
            <w:tcW w:w="100" w:type="dxa"/>
            <w:vAlign w:val="bottom"/>
          </w:tcPr>
          <w:p>
            <w:pPr>
              <w:spacing w:after="0"/>
              <w:rPr>
                <w:sz w:val="16"/>
                <w:szCs w:val="16"/>
                <w:color w:val="auto"/>
              </w:rPr>
            </w:pPr>
          </w:p>
        </w:tc>
        <w:tc>
          <w:tcPr>
            <w:tcW w:w="1000" w:type="dxa"/>
            <w:vAlign w:val="bottom"/>
            <w:gridSpan w:val="3"/>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9"/>
              </w:rPr>
              <w:t>Preferred</w:t>
            </w:r>
          </w:p>
        </w:tc>
        <w:tc>
          <w:tcPr>
            <w:tcW w:w="120" w:type="dxa"/>
            <w:vAlign w:val="bottom"/>
          </w:tcPr>
          <w:p>
            <w:pPr>
              <w:spacing w:after="0"/>
              <w:rPr>
                <w:sz w:val="16"/>
                <w:szCs w:val="16"/>
                <w:color w:val="auto"/>
              </w:rPr>
            </w:pPr>
          </w:p>
        </w:tc>
        <w:tc>
          <w:tcPr>
            <w:tcW w:w="1000" w:type="dxa"/>
            <w:vAlign w:val="bottom"/>
            <w:gridSpan w:val="3"/>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Preferred</w:t>
            </w: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00" w:type="dxa"/>
            <w:vAlign w:val="bottom"/>
          </w:tcPr>
          <w:p>
            <w:pPr>
              <w:spacing w:after="0"/>
              <w:rPr>
                <w:sz w:val="17"/>
                <w:szCs w:val="17"/>
                <w:color w:val="auto"/>
              </w:rPr>
            </w:pPr>
          </w:p>
        </w:tc>
        <w:tc>
          <w:tcPr>
            <w:tcW w:w="1020" w:type="dxa"/>
            <w:vAlign w:val="bottom"/>
            <w:gridSpan w:val="3"/>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00" w:type="dxa"/>
            <w:vAlign w:val="bottom"/>
          </w:tcPr>
          <w:p>
            <w:pPr>
              <w:spacing w:after="0"/>
              <w:rPr>
                <w:sz w:val="17"/>
                <w:szCs w:val="17"/>
                <w:color w:val="auto"/>
              </w:rPr>
            </w:pPr>
          </w:p>
        </w:tc>
        <w:tc>
          <w:tcPr>
            <w:tcW w:w="1000" w:type="dxa"/>
            <w:vAlign w:val="bottom"/>
            <w:gridSpan w:val="3"/>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20" w:type="dxa"/>
            <w:vAlign w:val="bottom"/>
          </w:tcPr>
          <w:p>
            <w:pPr>
              <w:spacing w:after="0"/>
              <w:rPr>
                <w:sz w:val="17"/>
                <w:szCs w:val="17"/>
                <w:color w:val="auto"/>
              </w:rPr>
            </w:pPr>
          </w:p>
        </w:tc>
        <w:tc>
          <w:tcPr>
            <w:tcW w:w="1000" w:type="dxa"/>
            <w:vAlign w:val="bottom"/>
            <w:gridSpan w:val="3"/>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43"/>
        </w:trPr>
        <w:tc>
          <w:tcPr>
            <w:tcW w:w="19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6"/>
        </w:trPr>
        <w:tc>
          <w:tcPr>
            <w:tcW w:w="1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Principal value</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w w:val="99"/>
              </w:rPr>
              <w:t>68,125,375</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88,120,150</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67,172,500</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w w:val="99"/>
              </w:rPr>
              <w:t>63,750,000</w:t>
            </w:r>
          </w:p>
        </w:tc>
        <w:tc>
          <w:tcPr>
            <w:tcW w:w="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$ 287,168,025</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1920" w:type="dxa"/>
            <w:vAlign w:val="bottom"/>
          </w:tcPr>
          <w:p>
            <w:pPr>
              <w:spacing w:after="0"/>
              <w:rPr>
                <w:sz w:val="20"/>
                <w:szCs w:val="20"/>
                <w:color w:val="auto"/>
              </w:rPr>
            </w:pPr>
            <w:r>
              <w:rPr>
                <w:rFonts w:ascii="Times New Roman" w:cs="Times New Roman" w:eastAsia="Times New Roman" w:hAnsi="Times New Roman"/>
                <w:sz w:val="17"/>
                <w:szCs w:val="17"/>
                <w:color w:val="auto"/>
              </w:rPr>
              <w:t>Deferred issuance cost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(583,116)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(1,903,143)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(2,046,735)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(2,259,835)</w:t>
            </w:r>
          </w:p>
        </w:tc>
        <w:tc>
          <w:tcPr>
            <w:tcW w:w="8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(6,792,829)</w:t>
            </w:r>
          </w:p>
        </w:tc>
        <w:tc>
          <w:tcPr>
            <w:tcW w:w="0" w:type="dxa"/>
            <w:vAlign w:val="bottom"/>
          </w:tcPr>
          <w:p>
            <w:pPr>
              <w:spacing w:after="0"/>
              <w:rPr>
                <w:sz w:val="1"/>
                <w:szCs w:val="1"/>
                <w:color w:val="auto"/>
              </w:rPr>
            </w:pPr>
          </w:p>
        </w:tc>
      </w:tr>
      <w:tr>
        <w:trPr>
          <w:trHeight w:val="26"/>
        </w:trPr>
        <w:tc>
          <w:tcPr>
            <w:tcW w:w="1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Carrying value</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w w:val="99"/>
              </w:rPr>
              <w:t>67,542,259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86,217,007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65,125,765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w w:val="99"/>
              </w:rPr>
              <w:t>61,490,165</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$ 280,375,196</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Fair value</w:t>
            </w:r>
            <w:r>
              <w:rPr>
                <w:rFonts w:ascii="Times New Roman" w:cs="Times New Roman" w:eastAsia="Times New Roman" w:hAnsi="Times New Roman"/>
                <w:sz w:val="19"/>
                <w:szCs w:val="19"/>
                <w:color w:val="auto"/>
                <w:vertAlign w:val="superscript"/>
              </w:rPr>
              <w:t>(1)</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92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67,035,369</w:t>
            </w:r>
          </w:p>
        </w:tc>
        <w:tc>
          <w:tcPr>
            <w:tcW w:w="14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81,105,786</w:t>
            </w:r>
          </w:p>
        </w:tc>
        <w:tc>
          <w:tcPr>
            <w:tcW w:w="12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60,777,678</w:t>
            </w:r>
          </w:p>
        </w:tc>
        <w:tc>
          <w:tcPr>
            <w:tcW w:w="12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58,395,000</w:t>
            </w:r>
          </w:p>
        </w:tc>
        <w:tc>
          <w:tcPr>
            <w:tcW w:w="14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$ 267,313,833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 price per share</w:t>
            </w:r>
            <w:r>
              <w:rPr>
                <w:rFonts w:ascii="Times New Roman" w:cs="Times New Roman" w:eastAsia="Times New Roman" w:hAnsi="Times New Roman"/>
                <w:sz w:val="19"/>
                <w:szCs w:val="19"/>
                <w:color w:val="auto"/>
                <w:vertAlign w:val="superscript"/>
              </w:rPr>
              <w:t>(1)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24.60</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23.01</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22.62</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22.90</w:t>
            </w: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5"/>
          <w:szCs w:val="15"/>
          <w:color w:val="auto"/>
        </w:rPr>
        <w:t>____________</w:t>
      </w:r>
    </w:p>
    <w:p>
      <w:pPr>
        <w:spacing w:after="0" w:line="106" w:lineRule="exact"/>
        <w:rPr>
          <w:sz w:val="20"/>
          <w:szCs w:val="20"/>
          <w:color w:val="auto"/>
        </w:rPr>
      </w:pPr>
    </w:p>
    <w:p>
      <w:pPr>
        <w:ind w:left="1120" w:right="799" w:hanging="415"/>
        <w:spacing w:after="0" w:line="298" w:lineRule="auto"/>
        <w:tabs>
          <w:tab w:leader="none" w:pos="112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the September 30, 2022 closing market price per share of each respective series of Term Preferred Shares on the NASDAQ Global Select Market.</w:t>
      </w:r>
    </w:p>
    <w:p>
      <w:pPr>
        <w:spacing w:after="0" w:line="48" w:lineRule="exact"/>
        <w:rPr>
          <w:rFonts w:ascii="Times New Roman" w:cs="Times New Roman" w:eastAsia="Times New Roman" w:hAnsi="Times New Roman"/>
          <w:sz w:val="15"/>
          <w:szCs w:val="15"/>
          <w:color w:val="auto"/>
        </w:rPr>
      </w:pPr>
    </w:p>
    <w:p>
      <w:pPr>
        <w:ind w:left="112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The terms of the Fund’s Term Preferred Share offerings are as set forth in the table below:</w:t>
      </w:r>
    </w:p>
    <w:p>
      <w:pPr>
        <w:spacing w:after="0" w:line="172" w:lineRule="exact"/>
        <w:rPr>
          <w:sz w:val="20"/>
          <w:szCs w:val="20"/>
          <w:color w:val="auto"/>
        </w:rPr>
      </w:pPr>
    </w:p>
    <w:tbl>
      <w:tblPr>
        <w:tblLayout w:type="fixed"/>
        <w:tblInd w:w="700" w:type="dxa"/>
        <w:tblCellMar>
          <w:top w:w="0" w:type="dxa"/>
          <w:left w:w="0" w:type="dxa"/>
          <w:bottom w:w="0" w:type="dxa"/>
          <w:right w:w="0" w:type="dxa"/>
        </w:tblCellMar>
      </w:tblPr>
      <w:tr>
        <w:trPr>
          <w:trHeight w:val="190"/>
        </w:trPr>
        <w:tc>
          <w:tcPr>
            <w:tcW w:w="244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6.75%</w:t>
            </w:r>
          </w:p>
        </w:tc>
        <w:tc>
          <w:tcPr>
            <w:tcW w:w="80" w:type="dxa"/>
            <w:vAlign w:val="bottom"/>
          </w:tcPr>
          <w:p>
            <w:pPr>
              <w:spacing w:after="0"/>
              <w:rPr>
                <w:sz w:val="16"/>
                <w:szCs w:val="16"/>
                <w:color w:val="auto"/>
              </w:rPr>
            </w:pPr>
          </w:p>
        </w:tc>
        <w:tc>
          <w:tcPr>
            <w:tcW w:w="1360" w:type="dxa"/>
            <w:vAlign w:val="bottom"/>
          </w:tcPr>
          <w:p>
            <w:pPr>
              <w:ind w:left="460"/>
              <w:spacing w:after="0"/>
              <w:rPr>
                <w:sz w:val="20"/>
                <w:szCs w:val="20"/>
                <w:color w:val="auto"/>
              </w:rPr>
            </w:pPr>
            <w:r>
              <w:rPr>
                <w:rFonts w:ascii="Times New Roman" w:cs="Times New Roman" w:eastAsia="Times New Roman" w:hAnsi="Times New Roman"/>
                <w:sz w:val="15"/>
                <w:szCs w:val="15"/>
                <w:b w:val="1"/>
                <w:bCs w:val="1"/>
                <w:color w:val="auto"/>
              </w:rPr>
              <w:t>6.25%</w:t>
            </w:r>
          </w:p>
        </w:tc>
        <w:tc>
          <w:tcPr>
            <w:tcW w:w="80" w:type="dxa"/>
            <w:vAlign w:val="bottom"/>
          </w:tcPr>
          <w:p>
            <w:pPr>
              <w:spacing w:after="0"/>
              <w:rPr>
                <w:sz w:val="16"/>
                <w:szCs w:val="16"/>
                <w:color w:val="auto"/>
              </w:rPr>
            </w:pPr>
          </w:p>
        </w:tc>
        <w:tc>
          <w:tcPr>
            <w:tcW w:w="1300" w:type="dxa"/>
            <w:vAlign w:val="bottom"/>
          </w:tcPr>
          <w:p>
            <w:pPr>
              <w:ind w:left="420"/>
              <w:spacing w:after="0"/>
              <w:rPr>
                <w:sz w:val="20"/>
                <w:szCs w:val="20"/>
                <w:color w:val="auto"/>
              </w:rPr>
            </w:pPr>
            <w:r>
              <w:rPr>
                <w:rFonts w:ascii="Times New Roman" w:cs="Times New Roman" w:eastAsia="Times New Roman" w:hAnsi="Times New Roman"/>
                <w:sz w:val="15"/>
                <w:szCs w:val="15"/>
                <w:b w:val="1"/>
                <w:bCs w:val="1"/>
                <w:color w:val="auto"/>
              </w:rPr>
              <w:t>6.00%</w:t>
            </w:r>
          </w:p>
        </w:tc>
        <w:tc>
          <w:tcPr>
            <w:tcW w:w="80" w:type="dxa"/>
            <w:vAlign w:val="bottom"/>
          </w:tcPr>
          <w:p>
            <w:pPr>
              <w:spacing w:after="0"/>
              <w:rPr>
                <w:sz w:val="16"/>
                <w:szCs w:val="16"/>
                <w:color w:val="auto"/>
              </w:rPr>
            </w:pPr>
          </w:p>
        </w:tc>
        <w:tc>
          <w:tcPr>
            <w:tcW w:w="1180" w:type="dxa"/>
            <w:vAlign w:val="bottom"/>
          </w:tcPr>
          <w:p>
            <w:pPr>
              <w:jc w:val="right"/>
              <w:ind w:right="280"/>
              <w:spacing w:after="0"/>
              <w:rPr>
                <w:sz w:val="20"/>
                <w:szCs w:val="20"/>
                <w:color w:val="auto"/>
              </w:rPr>
            </w:pPr>
            <w:r>
              <w:rPr>
                <w:rFonts w:ascii="Times New Roman" w:cs="Times New Roman" w:eastAsia="Times New Roman" w:hAnsi="Times New Roman"/>
                <w:sz w:val="15"/>
                <w:szCs w:val="15"/>
                <w:b w:val="1"/>
                <w:bCs w:val="1"/>
                <w:color w:val="auto"/>
              </w:rPr>
              <w:t>7.125%</w:t>
            </w:r>
          </w:p>
        </w:tc>
      </w:tr>
      <w:tr>
        <w:trPr>
          <w:trHeight w:val="190"/>
        </w:trPr>
        <w:tc>
          <w:tcPr>
            <w:tcW w:w="2440" w:type="dxa"/>
            <w:vAlign w:val="bottom"/>
          </w:tcPr>
          <w:p>
            <w:pPr>
              <w:spacing w:after="0"/>
              <w:rPr>
                <w:sz w:val="16"/>
                <w:szCs w:val="16"/>
                <w:color w:val="auto"/>
              </w:rPr>
            </w:pP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9"/>
              </w:rPr>
              <w:t>Series 2024</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9"/>
              </w:rPr>
              <w:t>Series 2027</w:t>
            </w: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Series 2029</w:t>
            </w:r>
          </w:p>
        </w:tc>
        <w:tc>
          <w:tcPr>
            <w:tcW w:w="11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Series 2029</w:t>
            </w:r>
          </w:p>
        </w:tc>
      </w:tr>
      <w:tr>
        <w:trPr>
          <w:trHeight w:val="190"/>
        </w:trPr>
        <w:tc>
          <w:tcPr>
            <w:tcW w:w="2440" w:type="dxa"/>
            <w:vAlign w:val="bottom"/>
          </w:tcPr>
          <w:p>
            <w:pPr>
              <w:spacing w:after="0"/>
              <w:rPr>
                <w:sz w:val="16"/>
                <w:szCs w:val="16"/>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Term</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Term</w:t>
            </w: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4"/>
              </w:rPr>
              <w:t>Term</w:t>
            </w:r>
          </w:p>
        </w:tc>
        <w:tc>
          <w:tcPr>
            <w:tcW w:w="11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4"/>
              </w:rPr>
              <w:t>Term</w:t>
            </w:r>
          </w:p>
        </w:tc>
      </w:tr>
      <w:tr>
        <w:trPr>
          <w:trHeight w:val="190"/>
        </w:trPr>
        <w:tc>
          <w:tcPr>
            <w:tcW w:w="2440" w:type="dxa"/>
            <w:vAlign w:val="bottom"/>
          </w:tcPr>
          <w:p>
            <w:pPr>
              <w:spacing w:after="0"/>
              <w:rPr>
                <w:sz w:val="16"/>
                <w:szCs w:val="16"/>
                <w:color w:val="auto"/>
              </w:rPr>
            </w:pP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Preferred</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Preferred</w:t>
            </w: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9"/>
              </w:rPr>
              <w:t>Preferred</w:t>
            </w:r>
          </w:p>
        </w:tc>
        <w:tc>
          <w:tcPr>
            <w:tcW w:w="11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Preferred</w:t>
            </w:r>
          </w:p>
        </w:tc>
      </w:tr>
      <w:tr>
        <w:trPr>
          <w:trHeight w:val="201"/>
        </w:trPr>
        <w:tc>
          <w:tcPr>
            <w:tcW w:w="2440" w:type="dxa"/>
            <w:vAlign w:val="bottom"/>
          </w:tcPr>
          <w:p>
            <w:pPr>
              <w:spacing w:after="0"/>
              <w:rPr>
                <w:sz w:val="17"/>
                <w:szCs w:val="17"/>
                <w:color w:val="auto"/>
              </w:rPr>
            </w:pP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6"/>
              </w:rPr>
              <w:t>Shares</w:t>
            </w:r>
          </w:p>
        </w:tc>
        <w:tc>
          <w:tcPr>
            <w:tcW w:w="11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Shares</w:t>
            </w:r>
          </w:p>
        </w:tc>
      </w:tr>
      <w:tr>
        <w:trPr>
          <w:trHeight w:val="43"/>
        </w:trPr>
        <w:tc>
          <w:tcPr>
            <w:tcW w:w="244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26"/>
        </w:trPr>
        <w:tc>
          <w:tcPr>
            <w:tcW w:w="2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Offering price per share</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$25.00</w:t>
            </w:r>
          </w:p>
        </w:tc>
        <w:tc>
          <w:tcPr>
            <w:tcW w:w="8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$25.00</w:t>
            </w:r>
          </w:p>
        </w:tc>
        <w:tc>
          <w:tcPr>
            <w:tcW w:w="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$25.00</w:t>
            </w:r>
          </w:p>
        </w:tc>
        <w:tc>
          <w:tcPr>
            <w:tcW w:w="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$25.00</w:t>
            </w:r>
          </w:p>
        </w:tc>
      </w:tr>
      <w:tr>
        <w:trPr>
          <w:trHeight w:val="227"/>
        </w:trPr>
        <w:tc>
          <w:tcPr>
            <w:tcW w:w="2440" w:type="dxa"/>
            <w:vAlign w:val="bottom"/>
          </w:tcPr>
          <w:p>
            <w:pPr>
              <w:spacing w:after="0"/>
              <w:rPr>
                <w:sz w:val="20"/>
                <w:szCs w:val="20"/>
                <w:color w:val="auto"/>
              </w:rPr>
            </w:pPr>
            <w:r>
              <w:rPr>
                <w:rFonts w:ascii="Times New Roman" w:cs="Times New Roman" w:eastAsia="Times New Roman" w:hAnsi="Times New Roman"/>
                <w:sz w:val="17"/>
                <w:szCs w:val="17"/>
                <w:color w:val="auto"/>
              </w:rPr>
              <w:t>Term redemption date</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June 30, 2024</w:t>
            </w: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9"/>
              </w:rPr>
              <w:t>February 28, 2027</w:t>
            </w:r>
          </w:p>
        </w:tc>
        <w:tc>
          <w:tcPr>
            <w:tcW w:w="138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color w:val="auto"/>
                <w:w w:val="99"/>
              </w:rPr>
              <w:t>August 31, 2029</w:t>
            </w: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June 30, 2029</w:t>
            </w:r>
          </w:p>
        </w:tc>
      </w:tr>
      <w:tr>
        <w:trPr>
          <w:trHeight w:val="39"/>
        </w:trPr>
        <w:tc>
          <w:tcPr>
            <w:tcW w:w="24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46"/>
        </w:trPr>
        <w:tc>
          <w:tcPr>
            <w:tcW w:w="2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Term redemption price per share</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$25.00</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$25.00</w:t>
            </w:r>
          </w:p>
        </w:tc>
        <w:tc>
          <w:tcPr>
            <w:tcW w:w="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$25.00</w:t>
            </w:r>
          </w:p>
        </w:tc>
        <w:tc>
          <w:tcPr>
            <w:tcW w:w="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$25.00</w:t>
            </w:r>
          </w:p>
        </w:tc>
      </w:tr>
      <w:tr>
        <w:trPr>
          <w:trHeight w:val="227"/>
        </w:trPr>
        <w:tc>
          <w:tcPr>
            <w:tcW w:w="2440" w:type="dxa"/>
            <w:vAlign w:val="bottom"/>
          </w:tcPr>
          <w:p>
            <w:pPr>
              <w:spacing w:after="0"/>
              <w:rPr>
                <w:sz w:val="20"/>
                <w:szCs w:val="20"/>
                <w:color w:val="auto"/>
              </w:rPr>
            </w:pPr>
            <w:r>
              <w:rPr>
                <w:rFonts w:ascii="Times New Roman" w:cs="Times New Roman" w:eastAsia="Times New Roman" w:hAnsi="Times New Roman"/>
                <w:sz w:val="17"/>
                <w:szCs w:val="17"/>
                <w:color w:val="auto"/>
              </w:rPr>
              <w:t>Optional redemption date</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June 30, 2020</w:t>
            </w: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9"/>
              </w:rPr>
              <w:t>February 28, 2023</w:t>
            </w:r>
          </w:p>
        </w:tc>
        <w:tc>
          <w:tcPr>
            <w:tcW w:w="138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color w:val="auto"/>
                <w:w w:val="99"/>
              </w:rPr>
              <w:t>August 31, 2024</w:t>
            </w: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June 30, 2024</w:t>
            </w:r>
          </w:p>
        </w:tc>
      </w:tr>
      <w:tr>
        <w:trPr>
          <w:trHeight w:val="39"/>
        </w:trPr>
        <w:tc>
          <w:tcPr>
            <w:tcW w:w="24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27"/>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Stated interest rate</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6.75%</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6.25%</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5"/>
              </w:rPr>
              <w:t>6.00%</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7.125%</w:t>
            </w:r>
          </w:p>
        </w:tc>
      </w:tr>
      <w:tr>
        <w:trPr>
          <w:trHeight w:val="39"/>
        </w:trPr>
        <w:tc>
          <w:tcPr>
            <w:tcW w:w="244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3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r>
    </w:tbl>
    <w:p>
      <w:pPr>
        <w:spacing w:after="0" w:line="85" w:lineRule="exact"/>
        <w:rPr>
          <w:sz w:val="20"/>
          <w:szCs w:val="20"/>
          <w:color w:val="auto"/>
        </w:rPr>
      </w:pPr>
    </w:p>
    <w:p>
      <w:pPr>
        <w:ind w:left="700" w:right="859" w:firstLine="405"/>
        <w:spacing w:after="0" w:line="258" w:lineRule="auto"/>
        <w:rPr>
          <w:sz w:val="20"/>
          <w:szCs w:val="20"/>
          <w:color w:val="auto"/>
        </w:rPr>
      </w:pPr>
      <w:r>
        <w:rPr>
          <w:rFonts w:ascii="Times New Roman" w:cs="Times New Roman" w:eastAsia="Times New Roman" w:hAnsi="Times New Roman"/>
          <w:sz w:val="17"/>
          <w:szCs w:val="17"/>
          <w:color w:val="auto"/>
        </w:rPr>
        <w:t>The Fund’s Term Preferred Shares had no accrued interest payable at September 30, 2022. Deferred issuance costs represent underwriting fees and other direct costs incurred that are related to the Fund’s Term Preferred Shares. As of September 30, 2022, the Fund had an unamortized deferred debt issuance cost balance of approximately $6.8 million related to the issuance of the Term Preferred Shares.</w:t>
      </w:r>
    </w:p>
    <w:p>
      <w:pPr>
        <w:spacing w:after="0" w:line="71" w:lineRule="exact"/>
        <w:rPr>
          <w:sz w:val="20"/>
          <w:szCs w:val="20"/>
          <w:color w:val="auto"/>
        </w:rPr>
      </w:pPr>
    </w:p>
    <w:p>
      <w:pPr>
        <w:ind w:left="700" w:right="819" w:firstLine="405"/>
        <w:spacing w:after="0" w:line="276" w:lineRule="auto"/>
        <w:rPr>
          <w:sz w:val="20"/>
          <w:szCs w:val="20"/>
          <w:color w:val="auto"/>
        </w:rPr>
      </w:pPr>
      <w:r>
        <w:rPr>
          <w:rFonts w:ascii="Times New Roman" w:cs="Times New Roman" w:eastAsia="Times New Roman" w:hAnsi="Times New Roman"/>
          <w:sz w:val="17"/>
          <w:szCs w:val="17"/>
          <w:color w:val="auto"/>
        </w:rPr>
        <w:t>The table below summarizes the components of interest expense, effective interest rates and cash paid on the Term Preferred Shares for the six months ended September 30, 2022:</w:t>
      </w:r>
    </w:p>
    <w:p>
      <w:pPr>
        <w:spacing w:after="0" w:line="133" w:lineRule="exact"/>
        <w:rPr>
          <w:sz w:val="20"/>
          <w:szCs w:val="20"/>
          <w:color w:val="auto"/>
        </w:rPr>
      </w:pPr>
    </w:p>
    <w:tbl>
      <w:tblPr>
        <w:tblLayout w:type="fixed"/>
        <w:tblInd w:w="700" w:type="dxa"/>
        <w:tblCellMar>
          <w:top w:w="0" w:type="dxa"/>
          <w:left w:w="0" w:type="dxa"/>
          <w:bottom w:w="0" w:type="dxa"/>
          <w:right w:w="0" w:type="dxa"/>
        </w:tblCellMar>
      </w:tblPr>
      <w:tr>
        <w:trPr>
          <w:trHeight w:val="190"/>
        </w:trPr>
        <w:tc>
          <w:tcPr>
            <w:tcW w:w="1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6.75%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6.25%</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6.00%</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7.125%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Series 2024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3"/>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Series 2027</w:t>
            </w:r>
          </w:p>
        </w:tc>
        <w:tc>
          <w:tcPr>
            <w:tcW w:w="120" w:type="dxa"/>
            <w:vAlign w:val="bottom"/>
          </w:tcPr>
          <w:p>
            <w:pPr>
              <w:spacing w:after="0"/>
              <w:rPr>
                <w:sz w:val="16"/>
                <w:szCs w:val="16"/>
                <w:color w:val="auto"/>
              </w:rPr>
            </w:pPr>
          </w:p>
        </w:tc>
        <w:tc>
          <w:tcPr>
            <w:tcW w:w="1000" w:type="dxa"/>
            <w:vAlign w:val="bottom"/>
            <w:gridSpan w:val="3"/>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9"/>
              </w:rPr>
              <w:t>Series 2029</w:t>
            </w:r>
          </w:p>
        </w:tc>
        <w:tc>
          <w:tcPr>
            <w:tcW w:w="120" w:type="dxa"/>
            <w:vAlign w:val="bottom"/>
          </w:tcPr>
          <w:p>
            <w:pPr>
              <w:spacing w:after="0"/>
              <w:rPr>
                <w:sz w:val="16"/>
                <w:szCs w:val="16"/>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Series 2029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4"/>
              </w:rPr>
              <w:t>Term</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3"/>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4"/>
              </w:rPr>
              <w:t>Term</w:t>
            </w:r>
          </w:p>
        </w:tc>
        <w:tc>
          <w:tcPr>
            <w:tcW w:w="120" w:type="dxa"/>
            <w:vAlign w:val="bottom"/>
          </w:tcPr>
          <w:p>
            <w:pPr>
              <w:spacing w:after="0"/>
              <w:rPr>
                <w:sz w:val="16"/>
                <w:szCs w:val="16"/>
                <w:color w:val="auto"/>
              </w:rPr>
            </w:pPr>
          </w:p>
        </w:tc>
        <w:tc>
          <w:tcPr>
            <w:tcW w:w="1000" w:type="dxa"/>
            <w:vAlign w:val="bottom"/>
            <w:gridSpan w:val="3"/>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Term</w:t>
            </w:r>
          </w:p>
        </w:tc>
        <w:tc>
          <w:tcPr>
            <w:tcW w:w="120" w:type="dxa"/>
            <w:vAlign w:val="bottom"/>
          </w:tcPr>
          <w:p>
            <w:pPr>
              <w:spacing w:after="0"/>
              <w:rPr>
                <w:sz w:val="16"/>
                <w:szCs w:val="16"/>
                <w:color w:val="auto"/>
              </w:rPr>
            </w:pP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4"/>
              </w:rPr>
              <w:t>Term</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9"/>
              </w:rPr>
              <w:t>Preferred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3"/>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9"/>
              </w:rPr>
              <w:t>Preferred</w:t>
            </w:r>
          </w:p>
        </w:tc>
        <w:tc>
          <w:tcPr>
            <w:tcW w:w="120" w:type="dxa"/>
            <w:vAlign w:val="bottom"/>
          </w:tcPr>
          <w:p>
            <w:pPr>
              <w:spacing w:after="0"/>
              <w:rPr>
                <w:sz w:val="16"/>
                <w:szCs w:val="16"/>
                <w:color w:val="auto"/>
              </w:rPr>
            </w:pPr>
          </w:p>
        </w:tc>
        <w:tc>
          <w:tcPr>
            <w:tcW w:w="1000" w:type="dxa"/>
            <w:vAlign w:val="bottom"/>
            <w:gridSpan w:val="3"/>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Preferred</w:t>
            </w:r>
          </w:p>
        </w:tc>
        <w:tc>
          <w:tcPr>
            <w:tcW w:w="120" w:type="dxa"/>
            <w:vAlign w:val="bottom"/>
          </w:tcPr>
          <w:p>
            <w:pPr>
              <w:spacing w:after="0"/>
              <w:rPr>
                <w:sz w:val="16"/>
                <w:szCs w:val="16"/>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9"/>
              </w:rPr>
              <w:t>Preferred</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3"/>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20" w:type="dxa"/>
            <w:vAlign w:val="bottom"/>
          </w:tcPr>
          <w:p>
            <w:pPr>
              <w:spacing w:after="0"/>
              <w:rPr>
                <w:sz w:val="17"/>
                <w:szCs w:val="17"/>
                <w:color w:val="auto"/>
              </w:rPr>
            </w:pPr>
          </w:p>
        </w:tc>
        <w:tc>
          <w:tcPr>
            <w:tcW w:w="1000" w:type="dxa"/>
            <w:vAlign w:val="bottom"/>
            <w:gridSpan w:val="3"/>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20" w:type="dxa"/>
            <w:vAlign w:val="bottom"/>
          </w:tcPr>
          <w:p>
            <w:pPr>
              <w:spacing w:after="0"/>
              <w:rPr>
                <w:sz w:val="17"/>
                <w:szCs w:val="17"/>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6"/>
              </w:rPr>
              <w:t>Shares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43"/>
        </w:trPr>
        <w:tc>
          <w:tcPr>
            <w:tcW w:w="196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Stated interest expense</w:t>
            </w:r>
            <w:r>
              <w:rPr>
                <w:rFonts w:ascii="Times New Roman" w:cs="Times New Roman" w:eastAsia="Times New Roman" w:hAnsi="Times New Roman"/>
                <w:sz w:val="19"/>
                <w:szCs w:val="19"/>
                <w:color w:val="auto"/>
                <w:vertAlign w:val="superscript"/>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2,299,231</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2,753,755</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2,015,175</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1,299,570</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8,367,731</w:t>
            </w:r>
          </w:p>
        </w:tc>
        <w:tc>
          <w:tcPr>
            <w:tcW w:w="0" w:type="dxa"/>
            <w:vAlign w:val="bottom"/>
          </w:tcPr>
          <w:p>
            <w:pPr>
              <w:spacing w:after="0"/>
              <w:rPr>
                <w:sz w:val="1"/>
                <w:szCs w:val="1"/>
                <w:color w:val="auto"/>
              </w:rPr>
            </w:pPr>
          </w:p>
        </w:tc>
      </w:tr>
      <w:tr>
        <w:trPr>
          <w:trHeight w:val="186"/>
        </w:trPr>
        <w:tc>
          <w:tcPr>
            <w:tcW w:w="1960" w:type="dxa"/>
            <w:vAlign w:val="bottom"/>
          </w:tcPr>
          <w:p>
            <w:pPr>
              <w:spacing w:after="0" w:line="186" w:lineRule="exact"/>
              <w:rPr>
                <w:sz w:val="20"/>
                <w:szCs w:val="20"/>
                <w:color w:val="auto"/>
              </w:rPr>
            </w:pPr>
            <w:r>
              <w:rPr>
                <w:rFonts w:ascii="Times New Roman" w:cs="Times New Roman" w:eastAsia="Times New Roman" w:hAnsi="Times New Roman"/>
                <w:sz w:val="17"/>
                <w:szCs w:val="17"/>
                <w:color w:val="auto"/>
              </w:rPr>
              <w:t>Amortization of deferred</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19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issuance costs</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166,996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216,052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148,220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94,739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626,007</w:t>
            </w:r>
          </w:p>
        </w:tc>
        <w:tc>
          <w:tcPr>
            <w:tcW w:w="0" w:type="dxa"/>
            <w:vAlign w:val="bottom"/>
          </w:tcPr>
          <w:p>
            <w:pPr>
              <w:spacing w:after="0"/>
              <w:rPr>
                <w:sz w:val="1"/>
                <w:szCs w:val="1"/>
                <w:color w:val="auto"/>
              </w:rPr>
            </w:pPr>
          </w:p>
        </w:tc>
      </w:tr>
      <w:tr>
        <w:trPr>
          <w:trHeight w:val="26"/>
        </w:trPr>
        <w:tc>
          <w:tcPr>
            <w:tcW w:w="19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interest expense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2,466,227</w:t>
            </w:r>
          </w:p>
        </w:tc>
        <w:tc>
          <w:tcPr>
            <w:tcW w:w="14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2,969,807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2,163,395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1,394,309</w:t>
            </w:r>
          </w:p>
        </w:tc>
        <w:tc>
          <w:tcPr>
            <w:tcW w:w="14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8,993,738</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Effective interest rate</w:t>
            </w:r>
            <w:r>
              <w:rPr>
                <w:rFonts w:ascii="Times New Roman" w:cs="Times New Roman" w:eastAsia="Times New Roman" w:hAnsi="Times New Roman"/>
                <w:sz w:val="19"/>
                <w:szCs w:val="19"/>
                <w:color w:val="auto"/>
                <w:vertAlign w:val="superscript"/>
              </w:rPr>
              <w:t>(2)</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9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6.72%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6.42%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6.19%</w:t>
            </w:r>
          </w:p>
        </w:tc>
        <w:tc>
          <w:tcPr>
            <w:tcW w:w="0" w:type="dxa"/>
            <w:vAlign w:val="bottom"/>
          </w:tcPr>
          <w:p>
            <w:pPr>
              <w:spacing w:after="0"/>
              <w:rPr>
                <w:sz w:val="1"/>
                <w:szCs w:val="1"/>
                <w:color w:val="auto"/>
              </w:rPr>
            </w:pPr>
          </w:p>
        </w:tc>
      </w:tr>
      <w:tr>
        <w:trPr>
          <w:trHeight w:val="227"/>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paid for interest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2,299,231</w:t>
            </w:r>
          </w:p>
        </w:tc>
        <w:tc>
          <w:tcPr>
            <w:tcW w:w="14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2,753,755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2,015,175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1,299,570</w:t>
            </w:r>
          </w:p>
        </w:tc>
        <w:tc>
          <w:tcPr>
            <w:tcW w:w="14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8,367,731</w:t>
            </w:r>
          </w:p>
        </w:tc>
        <w:tc>
          <w:tcPr>
            <w:tcW w:w="0" w:type="dxa"/>
            <w:vAlign w:val="bottom"/>
          </w:tcPr>
          <w:p>
            <w:pPr>
              <w:spacing w:after="0"/>
              <w:rPr>
                <w:sz w:val="1"/>
                <w:szCs w:val="1"/>
                <w:color w:val="auto"/>
              </w:rPr>
            </w:pPr>
          </w:p>
        </w:tc>
      </w:tr>
      <w:tr>
        <w:trPr>
          <w:trHeight w:val="39"/>
        </w:trPr>
        <w:tc>
          <w:tcPr>
            <w:tcW w:w="19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3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5"/>
          <w:szCs w:val="15"/>
          <w:color w:val="auto"/>
        </w:rPr>
        <w:t>____________</w:t>
      </w:r>
    </w:p>
    <w:p>
      <w:pPr>
        <w:spacing w:after="0" w:line="93" w:lineRule="exact"/>
        <w:rPr>
          <w:sz w:val="20"/>
          <w:szCs w:val="20"/>
          <w:color w:val="auto"/>
        </w:rPr>
      </w:pPr>
    </w:p>
    <w:p>
      <w:pPr>
        <w:ind w:left="1120" w:right="779" w:hanging="415"/>
        <w:spacing w:after="0" w:line="269" w:lineRule="auto"/>
        <w:tabs>
          <w:tab w:leader="none" w:pos="112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Stated interest is composed of distributions declared and paid of approximately $8.4 million for the six months ended September 30, 2022.</w:t>
      </w:r>
    </w:p>
    <w:p>
      <w:pPr>
        <w:ind w:left="1120" w:hanging="415"/>
        <w:spacing w:after="0"/>
        <w:tabs>
          <w:tab w:leader="none" w:pos="112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the weighted average effective rate for each respective series of Term Preferred Shares.</w:t>
      </w:r>
    </w:p>
    <w:p>
      <w:pPr>
        <w:sectPr>
          <w:pgSz w:w="11900" w:h="16838" w:orient="portrait"/>
          <w:cols w:equalWidth="0" w:num="1">
            <w:col w:w="9019"/>
          </w:cols>
          <w:pgMar w:left="1440" w:top="262" w:right="1440" w:bottom="1440"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22225</wp:posOffset>
            </wp:positionV>
            <wp:extent cx="482473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4824730"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type w:val="continuous"/>
        </w:sectPr>
      </w:pPr>
    </w:p>
    <w:bookmarkStart w:id="46" w:name="page47"/>
    <w:bookmarkEnd w:id="46"/>
    <w:p>
      <w:pPr>
        <w:ind w:left="7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SEPTEMBER 30, 2022</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NOTE 9. BORROWINGS</w:t>
      </w:r>
    </w:p>
    <w:p>
      <w:pPr>
        <w:spacing w:after="0" w:line="21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NOTES PAYABLE — 6.75% UNSECURED NOTES DUE 2031</w:t>
      </w:r>
    </w:p>
    <w:p>
      <w:pPr>
        <w:spacing w:after="0" w:line="138" w:lineRule="exact"/>
        <w:rPr>
          <w:sz w:val="20"/>
          <w:szCs w:val="20"/>
          <w:color w:val="auto"/>
        </w:rPr>
      </w:pPr>
    </w:p>
    <w:p>
      <w:pPr>
        <w:ind w:left="700" w:right="739" w:firstLine="405"/>
        <w:spacing w:after="0" w:line="254" w:lineRule="auto"/>
        <w:rPr>
          <w:sz w:val="20"/>
          <w:szCs w:val="20"/>
          <w:color w:val="auto"/>
        </w:rPr>
      </w:pPr>
      <w:r>
        <w:rPr>
          <w:rFonts w:ascii="Times New Roman" w:cs="Times New Roman" w:eastAsia="Times New Roman" w:hAnsi="Times New Roman"/>
          <w:sz w:val="17"/>
          <w:szCs w:val="17"/>
          <w:color w:val="auto"/>
        </w:rPr>
        <w:t>On March 16, 2021, the Fund completed an underwritten public offering, including the full exercise of the underwriters’ 30-day overallotment option, of approximately $100.0 million in aggregate principal amount of 6.75% Unsecured Notes (the “6.75% Notes”). The 6.75% Notes will mature on March 31, 2031 and may be redeemed in whole or in part at any time or from time to time at the Fund’s option on or after March 16, 2024. The 6.75% Notes bear interest at a rate of 6.75% per year payable quarterly on March 31, June 30, September 30, and December 31, of each year, commencing June 30, 2021.</w:t>
      </w:r>
    </w:p>
    <w:p>
      <w:pPr>
        <w:spacing w:after="0" w:line="114" w:lineRule="exact"/>
        <w:rPr>
          <w:sz w:val="20"/>
          <w:szCs w:val="20"/>
          <w:color w:val="auto"/>
        </w:rPr>
      </w:pPr>
    </w:p>
    <w:p>
      <w:pPr>
        <w:ind w:left="700" w:right="759" w:firstLine="405"/>
        <w:spacing w:after="0" w:line="255" w:lineRule="auto"/>
        <w:rPr>
          <w:sz w:val="20"/>
          <w:szCs w:val="20"/>
          <w:color w:val="auto"/>
        </w:rPr>
      </w:pPr>
      <w:r>
        <w:rPr>
          <w:rFonts w:ascii="Times New Roman" w:cs="Times New Roman" w:eastAsia="Times New Roman" w:hAnsi="Times New Roman"/>
          <w:sz w:val="17"/>
          <w:szCs w:val="17"/>
          <w:color w:val="auto"/>
        </w:rPr>
        <w:t>The aggregate accrued interest payable on the 6.75% Notes as of September 30, 2022 was approximately $19,000. As of September 30, 2022, the Fund had unamortized deferred debt issuance costs of approximately $3.0 million, relating to the 6.75% Notes. The deferred debt issuance costs are being amortized over the term of the Notes and are included in interest expense in the statement of operations. The effective annualized interest rate for the six months ended September 30, 2022 was approximately 7.09%.</w:t>
      </w:r>
    </w:p>
    <w:p>
      <w:pPr>
        <w:spacing w:after="0" w:line="17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NOTES PAYABLE — 5.00% UNSECURED NOTES DUE 2027</w:t>
      </w:r>
    </w:p>
    <w:p>
      <w:pPr>
        <w:spacing w:after="0" w:line="150" w:lineRule="exact"/>
        <w:rPr>
          <w:sz w:val="20"/>
          <w:szCs w:val="20"/>
          <w:color w:val="auto"/>
        </w:rPr>
      </w:pPr>
    </w:p>
    <w:p>
      <w:pPr>
        <w:ind w:left="700" w:right="719" w:firstLine="405"/>
        <w:spacing w:after="0" w:line="253" w:lineRule="auto"/>
        <w:rPr>
          <w:sz w:val="20"/>
          <w:szCs w:val="20"/>
          <w:color w:val="auto"/>
        </w:rPr>
      </w:pPr>
      <w:r>
        <w:rPr>
          <w:rFonts w:ascii="Times New Roman" w:cs="Times New Roman" w:eastAsia="Times New Roman" w:hAnsi="Times New Roman"/>
          <w:sz w:val="17"/>
          <w:szCs w:val="17"/>
          <w:color w:val="auto"/>
        </w:rPr>
        <w:t>On January 13, 2022, the Fund completed an underwritten public offering, including the full exercise of the underwriters’ 30-day overallotment option, of approximately $100.0 million in aggregate principal amount of 5.00% Unsecured Notes (the “5.00% Notes” and together with the 6.75% Notes, the “Notes”). The 5.00% Notes will mature on January 31, 2027 and may be redeemed in whole or in part at any time or from time to time at the Fund’s option on or after January 31, 2024. The 5.00% Notes bear interest at a rate of 5.00% per year payable quarterly on March 31, June 30, September 30, and December 31, of each year, commencing March 31, 2022.</w:t>
      </w:r>
    </w:p>
    <w:p>
      <w:pPr>
        <w:spacing w:after="0" w:line="102" w:lineRule="exact"/>
        <w:rPr>
          <w:sz w:val="20"/>
          <w:szCs w:val="20"/>
          <w:color w:val="auto"/>
        </w:rPr>
      </w:pPr>
    </w:p>
    <w:p>
      <w:pPr>
        <w:ind w:left="700" w:right="759" w:firstLine="405"/>
        <w:spacing w:after="0" w:line="255" w:lineRule="auto"/>
        <w:rPr>
          <w:sz w:val="20"/>
          <w:szCs w:val="20"/>
          <w:color w:val="auto"/>
        </w:rPr>
      </w:pPr>
      <w:r>
        <w:rPr>
          <w:rFonts w:ascii="Times New Roman" w:cs="Times New Roman" w:eastAsia="Times New Roman" w:hAnsi="Times New Roman"/>
          <w:sz w:val="17"/>
          <w:szCs w:val="17"/>
          <w:color w:val="auto"/>
        </w:rPr>
        <w:t>The aggregate accrued interest payable on the 5.00% Notes as of September 30, 2022, was approximately $14,000. As of September 30, 2022, the Fund had unamortized deferred debt issuance costs of approximately $2.9 million, relating to the 5.00% Notes. The deferred debt issuance costs are being amortized over the term of the 5.00% Notes and are included in interest expense in the statement of operations. The effective annualized interest rate for the six months ended September 30, 2022 was approximately 5.66%.</w:t>
      </w:r>
    </w:p>
    <w:p>
      <w:pPr>
        <w:spacing w:after="0" w:line="17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NOTE 10. PURCHASES, SALES AND REPAYMENTS OF SECURITIES</w:t>
      </w:r>
    </w:p>
    <w:p>
      <w:pPr>
        <w:spacing w:after="0" w:line="150" w:lineRule="exact"/>
        <w:rPr>
          <w:sz w:val="20"/>
          <w:szCs w:val="20"/>
          <w:color w:val="auto"/>
        </w:rPr>
      </w:pPr>
    </w:p>
    <w:p>
      <w:pPr>
        <w:ind w:left="700" w:right="819" w:firstLine="405"/>
        <w:spacing w:after="0" w:line="255" w:lineRule="auto"/>
        <w:rPr>
          <w:sz w:val="20"/>
          <w:szCs w:val="20"/>
          <w:color w:val="auto"/>
        </w:rPr>
      </w:pPr>
      <w:r>
        <w:rPr>
          <w:rFonts w:ascii="Times New Roman" w:cs="Times New Roman" w:eastAsia="Times New Roman" w:hAnsi="Times New Roman"/>
          <w:sz w:val="17"/>
          <w:szCs w:val="17"/>
          <w:color w:val="auto"/>
        </w:rPr>
        <w:t>During the six months ended September 30, 2022, purchases of securities totaled approximately $357.2 million including approximately $29.4 million of unsettled purchases. In addition, during the six months ended September 30, 2022, the Fund’s sales of securities totaled approximately $34.9 million. The Fund had approximately $96.5 million in repayments, excluding short-term investments, during the six months ended September 30, 2022.</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15240</wp:posOffset>
            </wp:positionV>
            <wp:extent cx="482473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4824730"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47" w:name="page48"/>
    <w:bookmarkEnd w:id="47"/>
    <w:p>
      <w:pPr>
        <w:ind w:left="7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SEPTEMBER 30, 2022</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NOTE 11. COMMITMENTS AND CONTINGENCIES</w:t>
      </w:r>
    </w:p>
    <w:p>
      <w:pPr>
        <w:spacing w:after="0" w:line="150" w:lineRule="exact"/>
        <w:rPr>
          <w:sz w:val="20"/>
          <w:szCs w:val="20"/>
          <w:color w:val="auto"/>
        </w:rPr>
      </w:pPr>
    </w:p>
    <w:p>
      <w:pPr>
        <w:ind w:left="700" w:right="739" w:firstLine="405"/>
        <w:spacing w:after="0" w:line="279" w:lineRule="auto"/>
        <w:rPr>
          <w:sz w:val="20"/>
          <w:szCs w:val="20"/>
          <w:color w:val="auto"/>
        </w:rPr>
      </w:pPr>
      <w:r>
        <w:rPr>
          <w:rFonts w:ascii="Times New Roman" w:cs="Times New Roman" w:eastAsia="Times New Roman" w:hAnsi="Times New Roman"/>
          <w:sz w:val="16"/>
          <w:szCs w:val="16"/>
          <w:color w:val="auto"/>
        </w:rPr>
        <w:t>As of September 30, 2022, the Fund had five commitments related to Bighorn VI, Ltd. Preferred shares of approximately $0.5 million, CIFC Fenway Warehouse II Ltd. preferred shares of approximately $2.9 million, Dryden 106 CLO, Ltd. preferred shares of approximately $0.3 million, Arcadia Warehouse 2022, Ltd. preferred shares of approximately $0.9 million, and Regatta Charlie preferred shares of approximately $9.0 million.</w:t>
      </w:r>
    </w:p>
    <w:p>
      <w:pPr>
        <w:spacing w:after="0" w:line="94" w:lineRule="exact"/>
        <w:rPr>
          <w:sz w:val="20"/>
          <w:szCs w:val="20"/>
          <w:color w:val="auto"/>
        </w:rPr>
      </w:pPr>
    </w:p>
    <w:p>
      <w:pPr>
        <w:ind w:left="700" w:right="719" w:firstLine="405"/>
        <w:spacing w:after="0" w:line="255" w:lineRule="auto"/>
        <w:rPr>
          <w:sz w:val="20"/>
          <w:szCs w:val="20"/>
          <w:color w:val="auto"/>
        </w:rPr>
      </w:pPr>
      <w:r>
        <w:rPr>
          <w:rFonts w:ascii="Times New Roman" w:cs="Times New Roman" w:eastAsia="Times New Roman" w:hAnsi="Times New Roman"/>
          <w:sz w:val="17"/>
          <w:szCs w:val="17"/>
          <w:color w:val="auto"/>
        </w:rPr>
        <w:t>The Fund is not currently subject to any material legal proceedings. From time to time, the Fund may be a party to certain legal proceedings in the ordinary course of business, including proceedings relating to the enforcement of the Fund’s rights under contracts with its portfolio companies. While the outcomes of these legal proceedings, if any, cannot be predicted with certainty, the Fund does not expect that these proceedings will have a material effect upon its financial condition or results of operations.</w:t>
      </w:r>
    </w:p>
    <w:p>
      <w:pPr>
        <w:spacing w:after="0" w:line="17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NOTE 12. INDEMNIFICATION</w:t>
      </w:r>
    </w:p>
    <w:p>
      <w:pPr>
        <w:spacing w:after="0" w:line="138" w:lineRule="exact"/>
        <w:rPr>
          <w:sz w:val="20"/>
          <w:szCs w:val="20"/>
          <w:color w:val="auto"/>
        </w:rPr>
      </w:pPr>
    </w:p>
    <w:p>
      <w:pPr>
        <w:ind w:left="700" w:right="719" w:firstLine="405"/>
        <w:spacing w:after="0" w:line="255" w:lineRule="auto"/>
        <w:rPr>
          <w:sz w:val="20"/>
          <w:szCs w:val="20"/>
          <w:color w:val="auto"/>
        </w:rPr>
      </w:pPr>
      <w:r>
        <w:rPr>
          <w:rFonts w:ascii="Times New Roman" w:cs="Times New Roman" w:eastAsia="Times New Roman" w:hAnsi="Times New Roman"/>
          <w:sz w:val="17"/>
          <w:szCs w:val="17"/>
          <w:color w:val="auto"/>
        </w:rPr>
        <w:t>Under the Fund’s organizational documents, its officers and directors are indemnified against certain liabilities arising out of the performance of their duties to the Fund. In addition, in the normal course of business the Fund enters into contracts that contain a variety of representations which provide general indemnifications. The Fund’s maximum exposure under these agreements cannot be known, however, the Fund expects any risk of loss to be remote.</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15240</wp:posOffset>
            </wp:positionV>
            <wp:extent cx="482473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4824730"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48" w:name="page49"/>
    <w:bookmarkEnd w:id="48"/>
    <w:p>
      <w:pPr>
        <w:ind w:left="7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6"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27"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7"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7"/>
          <w:szCs w:val="17"/>
          <w:b w:val="1"/>
          <w:bCs w:val="1"/>
          <w:color w:val="auto"/>
        </w:rPr>
        <w:t>SEPTEMBER 30, 2022</w:t>
      </w:r>
    </w:p>
    <w:p>
      <w:pPr>
        <w:spacing w:after="0" w:line="7"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NOTE 13. FINANCIAL HIGHLIGHTS</w:t>
      </w:r>
    </w:p>
    <w:p>
      <w:pPr>
        <w:spacing w:after="0" w:line="138" w:lineRule="exact"/>
        <w:rPr>
          <w:sz w:val="20"/>
          <w:szCs w:val="20"/>
          <w:color w:val="auto"/>
        </w:rPr>
      </w:pPr>
    </w:p>
    <w:p>
      <w:pPr>
        <w:ind w:left="700" w:right="1940" w:firstLine="405"/>
        <w:spacing w:after="0" w:line="276" w:lineRule="auto"/>
        <w:rPr>
          <w:sz w:val="20"/>
          <w:szCs w:val="20"/>
          <w:color w:val="auto"/>
        </w:rPr>
      </w:pPr>
      <w:r>
        <w:rPr>
          <w:rFonts w:ascii="Times New Roman" w:cs="Times New Roman" w:eastAsia="Times New Roman" w:hAnsi="Times New Roman"/>
          <w:sz w:val="17"/>
          <w:szCs w:val="17"/>
          <w:color w:val="auto"/>
        </w:rPr>
        <w:t>Financial highlights for the six months ended September 30, 2022 and years ended March 31, 2022, 2021, 2020, 2019, 2018, 2017, 2016, 2015, 2014, and 2013 are as follows:</w:t>
      </w:r>
    </w:p>
    <w:p>
      <w:pPr>
        <w:spacing w:after="0" w:line="120" w:lineRule="exact"/>
        <w:rPr>
          <w:sz w:val="20"/>
          <w:szCs w:val="20"/>
          <w:color w:val="auto"/>
        </w:rPr>
      </w:pPr>
    </w:p>
    <w:tbl>
      <w:tblPr>
        <w:tblLayout w:type="fixed"/>
        <w:tblInd w:w="7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Six Months</w:t>
            </w:r>
          </w:p>
        </w:tc>
        <w:tc>
          <w:tcPr>
            <w:tcW w:w="60" w:type="dxa"/>
            <w:vAlign w:val="bottom"/>
          </w:tcPr>
          <w:p>
            <w:pPr>
              <w:spacing w:after="0"/>
              <w:rPr>
                <w:sz w:val="12"/>
                <w:szCs w:val="12"/>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86"/>
              </w:rPr>
              <w:t>Year</w:t>
            </w:r>
          </w:p>
        </w:tc>
        <w:tc>
          <w:tcPr>
            <w:tcW w:w="60" w:type="dxa"/>
            <w:vAlign w:val="bottom"/>
          </w:tcPr>
          <w:p>
            <w:pPr>
              <w:spacing w:after="0"/>
              <w:rPr>
                <w:sz w:val="12"/>
                <w:szCs w:val="12"/>
                <w:color w:val="auto"/>
              </w:rPr>
            </w:pP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4"/>
              </w:rPr>
              <w:t>Year</w:t>
            </w:r>
          </w:p>
        </w:tc>
        <w:tc>
          <w:tcPr>
            <w:tcW w:w="60" w:type="dxa"/>
            <w:vAlign w:val="bottom"/>
          </w:tcPr>
          <w:p>
            <w:pPr>
              <w:spacing w:after="0"/>
              <w:rPr>
                <w:sz w:val="12"/>
                <w:szCs w:val="12"/>
                <w:color w:val="auto"/>
              </w:rPr>
            </w:pP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4"/>
              </w:rPr>
              <w:t>Year</w:t>
            </w:r>
          </w:p>
        </w:tc>
        <w:tc>
          <w:tcPr>
            <w:tcW w:w="60" w:type="dxa"/>
            <w:vAlign w:val="bottom"/>
          </w:tcPr>
          <w:p>
            <w:pPr>
              <w:spacing w:after="0"/>
              <w:rPr>
                <w:sz w:val="12"/>
                <w:szCs w:val="12"/>
                <w:color w:val="auto"/>
              </w:rPr>
            </w:pPr>
          </w:p>
        </w:tc>
        <w:tc>
          <w:tcPr>
            <w:tcW w:w="72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4"/>
              </w:rPr>
              <w:t>Year</w:t>
            </w:r>
          </w:p>
        </w:tc>
        <w:tc>
          <w:tcPr>
            <w:tcW w:w="60" w:type="dxa"/>
            <w:vAlign w:val="bottom"/>
          </w:tcPr>
          <w:p>
            <w:pPr>
              <w:spacing w:after="0"/>
              <w:rPr>
                <w:sz w:val="12"/>
                <w:szCs w:val="12"/>
                <w:color w:val="auto"/>
              </w:rPr>
            </w:pPr>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86"/>
              </w:rPr>
              <w:t>Year</w:t>
            </w:r>
          </w:p>
        </w:tc>
        <w:tc>
          <w:tcPr>
            <w:tcW w:w="60" w:type="dxa"/>
            <w:vAlign w:val="bottom"/>
          </w:tcPr>
          <w:p>
            <w:pPr>
              <w:spacing w:after="0"/>
              <w:rPr>
                <w:sz w:val="12"/>
                <w:szCs w:val="12"/>
                <w:color w:val="auto"/>
              </w:rPr>
            </w:pPr>
          </w:p>
        </w:tc>
        <w:tc>
          <w:tcPr>
            <w:tcW w:w="70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4"/>
              </w:rPr>
              <w:t>Year</w:t>
            </w:r>
          </w:p>
        </w:tc>
        <w:tc>
          <w:tcPr>
            <w:tcW w:w="60" w:type="dxa"/>
            <w:vAlign w:val="bottom"/>
          </w:tcPr>
          <w:p>
            <w:pPr>
              <w:spacing w:after="0"/>
              <w:rPr>
                <w:sz w:val="12"/>
                <w:szCs w:val="12"/>
                <w:color w:val="auto"/>
              </w:rPr>
            </w:pPr>
          </w:p>
        </w:tc>
        <w:tc>
          <w:tcPr>
            <w:tcW w:w="72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4"/>
              </w:rPr>
              <w:t>Year</w:t>
            </w:r>
          </w:p>
        </w:tc>
        <w:tc>
          <w:tcPr>
            <w:tcW w:w="60" w:type="dxa"/>
            <w:vAlign w:val="bottom"/>
          </w:tcPr>
          <w:p>
            <w:pPr>
              <w:spacing w:after="0"/>
              <w:rPr>
                <w:sz w:val="12"/>
                <w:szCs w:val="12"/>
                <w:color w:val="auto"/>
              </w:rPr>
            </w:pPr>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86"/>
              </w:rPr>
              <w:t>Year</w:t>
            </w:r>
          </w:p>
        </w:tc>
        <w:tc>
          <w:tcPr>
            <w:tcW w:w="60" w:type="dxa"/>
            <w:vAlign w:val="bottom"/>
          </w:tcPr>
          <w:p>
            <w:pPr>
              <w:spacing w:after="0"/>
              <w:rPr>
                <w:sz w:val="12"/>
                <w:szCs w:val="12"/>
                <w:color w:val="auto"/>
              </w:rPr>
            </w:pPr>
          </w:p>
        </w:tc>
        <w:tc>
          <w:tcPr>
            <w:tcW w:w="70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4"/>
              </w:rPr>
              <w:t>Year</w:t>
            </w:r>
          </w:p>
        </w:tc>
        <w:tc>
          <w:tcPr>
            <w:tcW w:w="8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Ye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140"/>
              <w:spacing w:after="0" w:line="127" w:lineRule="exact"/>
              <w:rPr>
                <w:sz w:val="20"/>
                <w:szCs w:val="20"/>
                <w:color w:val="auto"/>
              </w:rPr>
            </w:pPr>
            <w:r>
              <w:rPr>
                <w:rFonts w:ascii="Times New Roman" w:cs="Times New Roman" w:eastAsia="Times New Roman" w:hAnsi="Times New Roman"/>
                <w:sz w:val="12"/>
                <w:szCs w:val="12"/>
                <w:b w:val="1"/>
                <w:bCs w:val="1"/>
                <w:color w:val="auto"/>
                <w:w w:val="95"/>
              </w:rPr>
              <w:t>Ended</w:t>
            </w:r>
          </w:p>
        </w:tc>
        <w:tc>
          <w:tcPr>
            <w:tcW w:w="60" w:type="dxa"/>
            <w:vAlign w:val="bottom"/>
          </w:tcPr>
          <w:p>
            <w:pPr>
              <w:spacing w:after="0"/>
              <w:rPr>
                <w:sz w:val="11"/>
                <w:szCs w:val="11"/>
                <w:color w:val="auto"/>
              </w:rPr>
            </w:pPr>
          </w:p>
        </w:tc>
        <w:tc>
          <w:tcPr>
            <w:tcW w:w="760" w:type="dxa"/>
            <w:vAlign w:val="bottom"/>
            <w:gridSpan w:val="2"/>
          </w:tcPr>
          <w:p>
            <w:pPr>
              <w:jc w:val="center"/>
              <w:ind w:right="140"/>
              <w:spacing w:after="0" w:line="127" w:lineRule="exact"/>
              <w:rPr>
                <w:sz w:val="20"/>
                <w:szCs w:val="20"/>
                <w:color w:val="auto"/>
              </w:rPr>
            </w:pPr>
            <w:r>
              <w:rPr>
                <w:rFonts w:ascii="Times New Roman" w:cs="Times New Roman" w:eastAsia="Times New Roman" w:hAnsi="Times New Roman"/>
                <w:sz w:val="12"/>
                <w:szCs w:val="12"/>
                <w:b w:val="1"/>
                <w:bCs w:val="1"/>
                <w:color w:val="auto"/>
              </w:rPr>
              <w:t>Ended</w:t>
            </w:r>
          </w:p>
        </w:tc>
        <w:tc>
          <w:tcPr>
            <w:tcW w:w="60" w:type="dxa"/>
            <w:vAlign w:val="bottom"/>
          </w:tcPr>
          <w:p>
            <w:pPr>
              <w:spacing w:after="0"/>
              <w:rPr>
                <w:sz w:val="11"/>
                <w:szCs w:val="11"/>
                <w:color w:val="auto"/>
              </w:rPr>
            </w:pPr>
          </w:p>
        </w:tc>
        <w:tc>
          <w:tcPr>
            <w:tcW w:w="740" w:type="dxa"/>
            <w:vAlign w:val="bottom"/>
            <w:gridSpan w:val="2"/>
          </w:tcPr>
          <w:p>
            <w:pPr>
              <w:jc w:val="center"/>
              <w:ind w:right="140"/>
              <w:spacing w:after="0" w:line="127" w:lineRule="exact"/>
              <w:rPr>
                <w:sz w:val="20"/>
                <w:szCs w:val="20"/>
                <w:color w:val="auto"/>
              </w:rPr>
            </w:pPr>
            <w:r>
              <w:rPr>
                <w:rFonts w:ascii="Times New Roman" w:cs="Times New Roman" w:eastAsia="Times New Roman" w:hAnsi="Times New Roman"/>
                <w:sz w:val="12"/>
                <w:szCs w:val="12"/>
                <w:b w:val="1"/>
                <w:bCs w:val="1"/>
                <w:color w:val="auto"/>
                <w:w w:val="95"/>
              </w:rPr>
              <w:t>Ended</w:t>
            </w:r>
          </w:p>
        </w:tc>
        <w:tc>
          <w:tcPr>
            <w:tcW w:w="60" w:type="dxa"/>
            <w:vAlign w:val="bottom"/>
          </w:tcPr>
          <w:p>
            <w:pPr>
              <w:spacing w:after="0"/>
              <w:rPr>
                <w:sz w:val="11"/>
                <w:szCs w:val="11"/>
                <w:color w:val="auto"/>
              </w:rPr>
            </w:pPr>
          </w:p>
        </w:tc>
        <w:tc>
          <w:tcPr>
            <w:tcW w:w="740" w:type="dxa"/>
            <w:vAlign w:val="bottom"/>
            <w:gridSpan w:val="2"/>
          </w:tcPr>
          <w:p>
            <w:pPr>
              <w:jc w:val="center"/>
              <w:ind w:right="140"/>
              <w:spacing w:after="0" w:line="127" w:lineRule="exact"/>
              <w:rPr>
                <w:sz w:val="20"/>
                <w:szCs w:val="20"/>
                <w:color w:val="auto"/>
              </w:rPr>
            </w:pPr>
            <w:r>
              <w:rPr>
                <w:rFonts w:ascii="Times New Roman" w:cs="Times New Roman" w:eastAsia="Times New Roman" w:hAnsi="Times New Roman"/>
                <w:sz w:val="12"/>
                <w:szCs w:val="12"/>
                <w:b w:val="1"/>
                <w:bCs w:val="1"/>
                <w:color w:val="auto"/>
                <w:w w:val="95"/>
              </w:rPr>
              <w:t>Ended</w:t>
            </w:r>
          </w:p>
        </w:tc>
        <w:tc>
          <w:tcPr>
            <w:tcW w:w="60" w:type="dxa"/>
            <w:vAlign w:val="bottom"/>
          </w:tcPr>
          <w:p>
            <w:pPr>
              <w:spacing w:after="0"/>
              <w:rPr>
                <w:sz w:val="11"/>
                <w:szCs w:val="11"/>
                <w:color w:val="auto"/>
              </w:rPr>
            </w:pPr>
          </w:p>
        </w:tc>
        <w:tc>
          <w:tcPr>
            <w:tcW w:w="720" w:type="dxa"/>
            <w:vAlign w:val="bottom"/>
            <w:gridSpan w:val="2"/>
          </w:tcPr>
          <w:p>
            <w:pPr>
              <w:jc w:val="center"/>
              <w:ind w:right="160"/>
              <w:spacing w:after="0" w:line="127" w:lineRule="exact"/>
              <w:rPr>
                <w:sz w:val="20"/>
                <w:szCs w:val="20"/>
                <w:color w:val="auto"/>
              </w:rPr>
            </w:pPr>
            <w:r>
              <w:rPr>
                <w:rFonts w:ascii="Times New Roman" w:cs="Times New Roman" w:eastAsia="Times New Roman" w:hAnsi="Times New Roman"/>
                <w:sz w:val="12"/>
                <w:szCs w:val="12"/>
                <w:b w:val="1"/>
                <w:bCs w:val="1"/>
                <w:color w:val="auto"/>
                <w:w w:val="95"/>
              </w:rPr>
              <w:t>Ended</w:t>
            </w:r>
          </w:p>
        </w:tc>
        <w:tc>
          <w:tcPr>
            <w:tcW w:w="60" w:type="dxa"/>
            <w:vAlign w:val="bottom"/>
          </w:tcPr>
          <w:p>
            <w:pPr>
              <w:spacing w:after="0"/>
              <w:rPr>
                <w:sz w:val="11"/>
                <w:szCs w:val="11"/>
                <w:color w:val="auto"/>
              </w:rPr>
            </w:pPr>
          </w:p>
        </w:tc>
        <w:tc>
          <w:tcPr>
            <w:tcW w:w="680" w:type="dxa"/>
            <w:vAlign w:val="bottom"/>
            <w:gridSpan w:val="2"/>
          </w:tcPr>
          <w:p>
            <w:pPr>
              <w:jc w:val="center"/>
              <w:ind w:right="140"/>
              <w:spacing w:after="0" w:line="127" w:lineRule="exact"/>
              <w:rPr>
                <w:sz w:val="20"/>
                <w:szCs w:val="20"/>
                <w:color w:val="auto"/>
              </w:rPr>
            </w:pPr>
            <w:r>
              <w:rPr>
                <w:rFonts w:ascii="Times New Roman" w:cs="Times New Roman" w:eastAsia="Times New Roman" w:hAnsi="Times New Roman"/>
                <w:sz w:val="12"/>
                <w:szCs w:val="12"/>
                <w:b w:val="1"/>
                <w:bCs w:val="1"/>
                <w:color w:val="auto"/>
              </w:rPr>
              <w:t>Ended</w:t>
            </w:r>
          </w:p>
        </w:tc>
        <w:tc>
          <w:tcPr>
            <w:tcW w:w="60" w:type="dxa"/>
            <w:vAlign w:val="bottom"/>
          </w:tcPr>
          <w:p>
            <w:pPr>
              <w:spacing w:after="0"/>
              <w:rPr>
                <w:sz w:val="11"/>
                <w:szCs w:val="11"/>
                <w:color w:val="auto"/>
              </w:rPr>
            </w:pPr>
          </w:p>
        </w:tc>
        <w:tc>
          <w:tcPr>
            <w:tcW w:w="700" w:type="dxa"/>
            <w:vAlign w:val="bottom"/>
            <w:gridSpan w:val="2"/>
          </w:tcPr>
          <w:p>
            <w:pPr>
              <w:jc w:val="center"/>
              <w:ind w:right="140"/>
              <w:spacing w:after="0" w:line="127" w:lineRule="exact"/>
              <w:rPr>
                <w:sz w:val="20"/>
                <w:szCs w:val="20"/>
                <w:color w:val="auto"/>
              </w:rPr>
            </w:pPr>
            <w:r>
              <w:rPr>
                <w:rFonts w:ascii="Times New Roman" w:cs="Times New Roman" w:eastAsia="Times New Roman" w:hAnsi="Times New Roman"/>
                <w:sz w:val="12"/>
                <w:szCs w:val="12"/>
                <w:b w:val="1"/>
                <w:bCs w:val="1"/>
                <w:color w:val="auto"/>
                <w:w w:val="95"/>
              </w:rPr>
              <w:t>Ended</w:t>
            </w:r>
          </w:p>
        </w:tc>
        <w:tc>
          <w:tcPr>
            <w:tcW w:w="60" w:type="dxa"/>
            <w:vAlign w:val="bottom"/>
          </w:tcPr>
          <w:p>
            <w:pPr>
              <w:spacing w:after="0"/>
              <w:rPr>
                <w:sz w:val="11"/>
                <w:szCs w:val="11"/>
                <w:color w:val="auto"/>
              </w:rPr>
            </w:pPr>
          </w:p>
        </w:tc>
        <w:tc>
          <w:tcPr>
            <w:tcW w:w="720" w:type="dxa"/>
            <w:vAlign w:val="bottom"/>
            <w:gridSpan w:val="2"/>
          </w:tcPr>
          <w:p>
            <w:pPr>
              <w:jc w:val="center"/>
              <w:ind w:right="160"/>
              <w:spacing w:after="0" w:line="127" w:lineRule="exact"/>
              <w:rPr>
                <w:sz w:val="20"/>
                <w:szCs w:val="20"/>
                <w:color w:val="auto"/>
              </w:rPr>
            </w:pPr>
            <w:r>
              <w:rPr>
                <w:rFonts w:ascii="Times New Roman" w:cs="Times New Roman" w:eastAsia="Times New Roman" w:hAnsi="Times New Roman"/>
                <w:sz w:val="12"/>
                <w:szCs w:val="12"/>
                <w:b w:val="1"/>
                <w:bCs w:val="1"/>
                <w:color w:val="auto"/>
                <w:w w:val="95"/>
              </w:rPr>
              <w:t>Ended</w:t>
            </w:r>
          </w:p>
        </w:tc>
        <w:tc>
          <w:tcPr>
            <w:tcW w:w="60" w:type="dxa"/>
            <w:vAlign w:val="bottom"/>
          </w:tcPr>
          <w:p>
            <w:pPr>
              <w:spacing w:after="0"/>
              <w:rPr>
                <w:sz w:val="11"/>
                <w:szCs w:val="11"/>
                <w:color w:val="auto"/>
              </w:rPr>
            </w:pPr>
          </w:p>
        </w:tc>
        <w:tc>
          <w:tcPr>
            <w:tcW w:w="680" w:type="dxa"/>
            <w:vAlign w:val="bottom"/>
            <w:gridSpan w:val="2"/>
          </w:tcPr>
          <w:p>
            <w:pPr>
              <w:jc w:val="center"/>
              <w:ind w:right="140"/>
              <w:spacing w:after="0" w:line="127" w:lineRule="exact"/>
              <w:rPr>
                <w:sz w:val="20"/>
                <w:szCs w:val="20"/>
                <w:color w:val="auto"/>
              </w:rPr>
            </w:pPr>
            <w:r>
              <w:rPr>
                <w:rFonts w:ascii="Times New Roman" w:cs="Times New Roman" w:eastAsia="Times New Roman" w:hAnsi="Times New Roman"/>
                <w:sz w:val="12"/>
                <w:szCs w:val="12"/>
                <w:b w:val="1"/>
                <w:bCs w:val="1"/>
                <w:color w:val="auto"/>
              </w:rPr>
              <w:t>Ended</w:t>
            </w:r>
          </w:p>
        </w:tc>
        <w:tc>
          <w:tcPr>
            <w:tcW w:w="60" w:type="dxa"/>
            <w:vAlign w:val="bottom"/>
          </w:tcPr>
          <w:p>
            <w:pPr>
              <w:spacing w:after="0"/>
              <w:rPr>
                <w:sz w:val="11"/>
                <w:szCs w:val="11"/>
                <w:color w:val="auto"/>
              </w:rPr>
            </w:pPr>
          </w:p>
        </w:tc>
        <w:tc>
          <w:tcPr>
            <w:tcW w:w="700" w:type="dxa"/>
            <w:vAlign w:val="bottom"/>
            <w:gridSpan w:val="2"/>
          </w:tcPr>
          <w:p>
            <w:pPr>
              <w:jc w:val="center"/>
              <w:ind w:right="140"/>
              <w:spacing w:after="0" w:line="127" w:lineRule="exact"/>
              <w:rPr>
                <w:sz w:val="20"/>
                <w:szCs w:val="20"/>
                <w:color w:val="auto"/>
              </w:rPr>
            </w:pPr>
            <w:r>
              <w:rPr>
                <w:rFonts w:ascii="Times New Roman" w:cs="Times New Roman" w:eastAsia="Times New Roman" w:hAnsi="Times New Roman"/>
                <w:sz w:val="12"/>
                <w:szCs w:val="12"/>
                <w:b w:val="1"/>
                <w:bCs w:val="1"/>
                <w:color w:val="auto"/>
                <w:w w:val="95"/>
              </w:rPr>
              <w:t>Ended</w:t>
            </w:r>
          </w:p>
        </w:tc>
        <w:tc>
          <w:tcPr>
            <w:tcW w:w="80" w:type="dxa"/>
            <w:vAlign w:val="bottom"/>
          </w:tcPr>
          <w:p>
            <w:pPr>
              <w:spacing w:after="0"/>
              <w:rPr>
                <w:sz w:val="11"/>
                <w:szCs w:val="11"/>
                <w:color w:val="auto"/>
              </w:rPr>
            </w:pPr>
          </w:p>
        </w:tc>
        <w:tc>
          <w:tcPr>
            <w:tcW w:w="220" w:type="dxa"/>
            <w:vAlign w:val="bottom"/>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rPr>
              <w:t>En</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gridSpan w:val="3"/>
          </w:tcPr>
          <w:p>
            <w:pPr>
              <w:jc w:val="center"/>
              <w:ind w:right="60"/>
              <w:spacing w:after="0" w:line="127" w:lineRule="exact"/>
              <w:rPr>
                <w:sz w:val="20"/>
                <w:szCs w:val="20"/>
                <w:color w:val="auto"/>
              </w:rPr>
            </w:pPr>
            <w:r>
              <w:rPr>
                <w:rFonts w:ascii="Times New Roman" w:cs="Times New Roman" w:eastAsia="Times New Roman" w:hAnsi="Times New Roman"/>
                <w:sz w:val="12"/>
                <w:szCs w:val="12"/>
                <w:b w:val="1"/>
                <w:bCs w:val="1"/>
                <w:color w:val="auto"/>
                <w:w w:val="98"/>
              </w:rPr>
              <w:t>September 30,</w:t>
            </w:r>
          </w:p>
        </w:tc>
        <w:tc>
          <w:tcPr>
            <w:tcW w:w="60" w:type="dxa"/>
            <w:vAlign w:val="bottom"/>
          </w:tcPr>
          <w:p>
            <w:pPr>
              <w:spacing w:after="0"/>
              <w:rPr>
                <w:sz w:val="11"/>
                <w:szCs w:val="11"/>
                <w:color w:val="auto"/>
              </w:rPr>
            </w:pPr>
          </w:p>
        </w:tc>
        <w:tc>
          <w:tcPr>
            <w:tcW w:w="760" w:type="dxa"/>
            <w:vAlign w:val="bottom"/>
            <w:gridSpan w:val="2"/>
          </w:tcPr>
          <w:p>
            <w:pPr>
              <w:jc w:val="center"/>
              <w:ind w:right="140"/>
              <w:spacing w:after="0" w:line="127" w:lineRule="exact"/>
              <w:rPr>
                <w:sz w:val="20"/>
                <w:szCs w:val="20"/>
                <w:color w:val="auto"/>
              </w:rPr>
            </w:pPr>
            <w:r>
              <w:rPr>
                <w:rFonts w:ascii="Times New Roman" w:cs="Times New Roman" w:eastAsia="Times New Roman" w:hAnsi="Times New Roman"/>
                <w:sz w:val="12"/>
                <w:szCs w:val="12"/>
                <w:b w:val="1"/>
                <w:bCs w:val="1"/>
                <w:color w:val="auto"/>
                <w:w w:val="94"/>
              </w:rPr>
              <w:t>March 31,</w:t>
            </w:r>
          </w:p>
        </w:tc>
        <w:tc>
          <w:tcPr>
            <w:tcW w:w="60" w:type="dxa"/>
            <w:vAlign w:val="bottom"/>
          </w:tcPr>
          <w:p>
            <w:pPr>
              <w:spacing w:after="0"/>
              <w:rPr>
                <w:sz w:val="11"/>
                <w:szCs w:val="11"/>
                <w:color w:val="auto"/>
              </w:rPr>
            </w:pPr>
          </w:p>
        </w:tc>
        <w:tc>
          <w:tcPr>
            <w:tcW w:w="740" w:type="dxa"/>
            <w:vAlign w:val="bottom"/>
            <w:gridSpan w:val="2"/>
          </w:tcPr>
          <w:p>
            <w:pPr>
              <w:jc w:val="center"/>
              <w:ind w:right="140"/>
              <w:spacing w:after="0" w:line="127" w:lineRule="exact"/>
              <w:rPr>
                <w:sz w:val="20"/>
                <w:szCs w:val="20"/>
                <w:color w:val="auto"/>
              </w:rPr>
            </w:pPr>
            <w:r>
              <w:rPr>
                <w:rFonts w:ascii="Times New Roman" w:cs="Times New Roman" w:eastAsia="Times New Roman" w:hAnsi="Times New Roman"/>
                <w:sz w:val="12"/>
                <w:szCs w:val="12"/>
                <w:b w:val="1"/>
                <w:bCs w:val="1"/>
                <w:color w:val="auto"/>
                <w:w w:val="98"/>
              </w:rPr>
              <w:t>March 31,</w:t>
            </w:r>
          </w:p>
        </w:tc>
        <w:tc>
          <w:tcPr>
            <w:tcW w:w="60" w:type="dxa"/>
            <w:vAlign w:val="bottom"/>
          </w:tcPr>
          <w:p>
            <w:pPr>
              <w:spacing w:after="0"/>
              <w:rPr>
                <w:sz w:val="11"/>
                <w:szCs w:val="11"/>
                <w:color w:val="auto"/>
              </w:rPr>
            </w:pPr>
          </w:p>
        </w:tc>
        <w:tc>
          <w:tcPr>
            <w:tcW w:w="740" w:type="dxa"/>
            <w:vAlign w:val="bottom"/>
            <w:gridSpan w:val="2"/>
          </w:tcPr>
          <w:p>
            <w:pPr>
              <w:jc w:val="center"/>
              <w:ind w:right="140"/>
              <w:spacing w:after="0" w:line="127" w:lineRule="exact"/>
              <w:rPr>
                <w:sz w:val="20"/>
                <w:szCs w:val="20"/>
                <w:color w:val="auto"/>
              </w:rPr>
            </w:pPr>
            <w:r>
              <w:rPr>
                <w:rFonts w:ascii="Times New Roman" w:cs="Times New Roman" w:eastAsia="Times New Roman" w:hAnsi="Times New Roman"/>
                <w:sz w:val="12"/>
                <w:szCs w:val="12"/>
                <w:b w:val="1"/>
                <w:bCs w:val="1"/>
                <w:color w:val="auto"/>
                <w:w w:val="98"/>
              </w:rPr>
              <w:t>March 31,</w:t>
            </w:r>
          </w:p>
        </w:tc>
        <w:tc>
          <w:tcPr>
            <w:tcW w:w="60" w:type="dxa"/>
            <w:vAlign w:val="bottom"/>
          </w:tcPr>
          <w:p>
            <w:pPr>
              <w:spacing w:after="0"/>
              <w:rPr>
                <w:sz w:val="11"/>
                <w:szCs w:val="11"/>
                <w:color w:val="auto"/>
              </w:rPr>
            </w:pPr>
          </w:p>
        </w:tc>
        <w:tc>
          <w:tcPr>
            <w:tcW w:w="720" w:type="dxa"/>
            <w:vAlign w:val="bottom"/>
            <w:gridSpan w:val="2"/>
          </w:tcPr>
          <w:p>
            <w:pPr>
              <w:jc w:val="center"/>
              <w:ind w:right="160"/>
              <w:spacing w:after="0" w:line="127" w:lineRule="exact"/>
              <w:rPr>
                <w:sz w:val="20"/>
                <w:szCs w:val="20"/>
                <w:color w:val="auto"/>
              </w:rPr>
            </w:pPr>
            <w:r>
              <w:rPr>
                <w:rFonts w:ascii="Times New Roman" w:cs="Times New Roman" w:eastAsia="Times New Roman" w:hAnsi="Times New Roman"/>
                <w:sz w:val="12"/>
                <w:szCs w:val="12"/>
                <w:b w:val="1"/>
                <w:bCs w:val="1"/>
                <w:color w:val="auto"/>
                <w:w w:val="98"/>
              </w:rPr>
              <w:t>March 31,</w:t>
            </w:r>
          </w:p>
        </w:tc>
        <w:tc>
          <w:tcPr>
            <w:tcW w:w="60" w:type="dxa"/>
            <w:vAlign w:val="bottom"/>
          </w:tcPr>
          <w:p>
            <w:pPr>
              <w:spacing w:after="0"/>
              <w:rPr>
                <w:sz w:val="11"/>
                <w:szCs w:val="11"/>
                <w:color w:val="auto"/>
              </w:rPr>
            </w:pPr>
          </w:p>
        </w:tc>
        <w:tc>
          <w:tcPr>
            <w:tcW w:w="680" w:type="dxa"/>
            <w:vAlign w:val="bottom"/>
            <w:gridSpan w:val="2"/>
          </w:tcPr>
          <w:p>
            <w:pPr>
              <w:jc w:val="center"/>
              <w:ind w:right="140"/>
              <w:spacing w:after="0" w:line="127" w:lineRule="exact"/>
              <w:rPr>
                <w:sz w:val="20"/>
                <w:szCs w:val="20"/>
                <w:color w:val="auto"/>
              </w:rPr>
            </w:pPr>
            <w:r>
              <w:rPr>
                <w:rFonts w:ascii="Times New Roman" w:cs="Times New Roman" w:eastAsia="Times New Roman" w:hAnsi="Times New Roman"/>
                <w:sz w:val="12"/>
                <w:szCs w:val="12"/>
                <w:b w:val="1"/>
                <w:bCs w:val="1"/>
                <w:color w:val="auto"/>
                <w:w w:val="94"/>
              </w:rPr>
              <w:t>March 31,</w:t>
            </w:r>
          </w:p>
        </w:tc>
        <w:tc>
          <w:tcPr>
            <w:tcW w:w="60" w:type="dxa"/>
            <w:vAlign w:val="bottom"/>
          </w:tcPr>
          <w:p>
            <w:pPr>
              <w:spacing w:after="0"/>
              <w:rPr>
                <w:sz w:val="11"/>
                <w:szCs w:val="11"/>
                <w:color w:val="auto"/>
              </w:rPr>
            </w:pPr>
          </w:p>
        </w:tc>
        <w:tc>
          <w:tcPr>
            <w:tcW w:w="700" w:type="dxa"/>
            <w:vAlign w:val="bottom"/>
            <w:gridSpan w:val="2"/>
          </w:tcPr>
          <w:p>
            <w:pPr>
              <w:jc w:val="center"/>
              <w:ind w:right="140"/>
              <w:spacing w:after="0" w:line="127" w:lineRule="exact"/>
              <w:rPr>
                <w:sz w:val="20"/>
                <w:szCs w:val="20"/>
                <w:color w:val="auto"/>
              </w:rPr>
            </w:pPr>
            <w:r>
              <w:rPr>
                <w:rFonts w:ascii="Times New Roman" w:cs="Times New Roman" w:eastAsia="Times New Roman" w:hAnsi="Times New Roman"/>
                <w:sz w:val="12"/>
                <w:szCs w:val="12"/>
                <w:b w:val="1"/>
                <w:bCs w:val="1"/>
                <w:color w:val="auto"/>
                <w:w w:val="98"/>
              </w:rPr>
              <w:t>March 31,</w:t>
            </w:r>
          </w:p>
        </w:tc>
        <w:tc>
          <w:tcPr>
            <w:tcW w:w="60" w:type="dxa"/>
            <w:vAlign w:val="bottom"/>
          </w:tcPr>
          <w:p>
            <w:pPr>
              <w:spacing w:after="0"/>
              <w:rPr>
                <w:sz w:val="11"/>
                <w:szCs w:val="11"/>
                <w:color w:val="auto"/>
              </w:rPr>
            </w:pPr>
          </w:p>
        </w:tc>
        <w:tc>
          <w:tcPr>
            <w:tcW w:w="720" w:type="dxa"/>
            <w:vAlign w:val="bottom"/>
            <w:gridSpan w:val="2"/>
          </w:tcPr>
          <w:p>
            <w:pPr>
              <w:jc w:val="center"/>
              <w:ind w:right="160"/>
              <w:spacing w:after="0" w:line="127" w:lineRule="exact"/>
              <w:rPr>
                <w:sz w:val="20"/>
                <w:szCs w:val="20"/>
                <w:color w:val="auto"/>
              </w:rPr>
            </w:pPr>
            <w:r>
              <w:rPr>
                <w:rFonts w:ascii="Times New Roman" w:cs="Times New Roman" w:eastAsia="Times New Roman" w:hAnsi="Times New Roman"/>
                <w:sz w:val="12"/>
                <w:szCs w:val="12"/>
                <w:b w:val="1"/>
                <w:bCs w:val="1"/>
                <w:color w:val="auto"/>
                <w:w w:val="98"/>
              </w:rPr>
              <w:t>March 31,</w:t>
            </w:r>
          </w:p>
        </w:tc>
        <w:tc>
          <w:tcPr>
            <w:tcW w:w="60" w:type="dxa"/>
            <w:vAlign w:val="bottom"/>
          </w:tcPr>
          <w:p>
            <w:pPr>
              <w:spacing w:after="0"/>
              <w:rPr>
                <w:sz w:val="11"/>
                <w:szCs w:val="11"/>
                <w:color w:val="auto"/>
              </w:rPr>
            </w:pPr>
          </w:p>
        </w:tc>
        <w:tc>
          <w:tcPr>
            <w:tcW w:w="680" w:type="dxa"/>
            <w:vAlign w:val="bottom"/>
            <w:gridSpan w:val="2"/>
          </w:tcPr>
          <w:p>
            <w:pPr>
              <w:jc w:val="center"/>
              <w:ind w:right="140"/>
              <w:spacing w:after="0" w:line="127" w:lineRule="exact"/>
              <w:rPr>
                <w:sz w:val="20"/>
                <w:szCs w:val="20"/>
                <w:color w:val="auto"/>
              </w:rPr>
            </w:pPr>
            <w:r>
              <w:rPr>
                <w:rFonts w:ascii="Times New Roman" w:cs="Times New Roman" w:eastAsia="Times New Roman" w:hAnsi="Times New Roman"/>
                <w:sz w:val="12"/>
                <w:szCs w:val="12"/>
                <w:b w:val="1"/>
                <w:bCs w:val="1"/>
                <w:color w:val="auto"/>
                <w:w w:val="94"/>
              </w:rPr>
              <w:t>March 31,</w:t>
            </w:r>
          </w:p>
        </w:tc>
        <w:tc>
          <w:tcPr>
            <w:tcW w:w="60" w:type="dxa"/>
            <w:vAlign w:val="bottom"/>
          </w:tcPr>
          <w:p>
            <w:pPr>
              <w:spacing w:after="0"/>
              <w:rPr>
                <w:sz w:val="11"/>
                <w:szCs w:val="11"/>
                <w:color w:val="auto"/>
              </w:rPr>
            </w:pPr>
          </w:p>
        </w:tc>
        <w:tc>
          <w:tcPr>
            <w:tcW w:w="700" w:type="dxa"/>
            <w:vAlign w:val="bottom"/>
            <w:gridSpan w:val="2"/>
          </w:tcPr>
          <w:p>
            <w:pPr>
              <w:jc w:val="center"/>
              <w:ind w:right="140"/>
              <w:spacing w:after="0" w:line="127" w:lineRule="exact"/>
              <w:rPr>
                <w:sz w:val="20"/>
                <w:szCs w:val="20"/>
                <w:color w:val="auto"/>
              </w:rPr>
            </w:pPr>
            <w:r>
              <w:rPr>
                <w:rFonts w:ascii="Times New Roman" w:cs="Times New Roman" w:eastAsia="Times New Roman" w:hAnsi="Times New Roman"/>
                <w:sz w:val="12"/>
                <w:szCs w:val="12"/>
                <w:b w:val="1"/>
                <w:bCs w:val="1"/>
                <w:color w:val="auto"/>
                <w:w w:val="98"/>
              </w:rPr>
              <w:t>March 31,</w:t>
            </w:r>
          </w:p>
        </w:tc>
        <w:tc>
          <w:tcPr>
            <w:tcW w:w="300" w:type="dxa"/>
            <w:vAlign w:val="bottom"/>
            <w:gridSpan w:val="2"/>
          </w:tcPr>
          <w:p>
            <w:pPr>
              <w:jc w:val="right"/>
              <w:spacing w:after="0" w:line="127" w:lineRule="exact"/>
              <w:rPr>
                <w:sz w:val="20"/>
                <w:szCs w:val="20"/>
                <w:color w:val="auto"/>
              </w:rPr>
            </w:pPr>
            <w:r>
              <w:rPr>
                <w:rFonts w:ascii="Times New Roman" w:cs="Times New Roman" w:eastAsia="Times New Roman" w:hAnsi="Times New Roman"/>
                <w:sz w:val="12"/>
                <w:szCs w:val="12"/>
                <w:b w:val="1"/>
                <w:bCs w:val="1"/>
                <w:color w:val="auto"/>
              </w:rPr>
              <w:t>Mar</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center"/>
              <w:ind w:left="21"/>
              <w:spacing w:after="0"/>
              <w:rPr>
                <w:sz w:val="20"/>
                <w:szCs w:val="20"/>
                <w:color w:val="auto"/>
              </w:rPr>
            </w:pPr>
            <w:r>
              <w:rPr>
                <w:rFonts w:ascii="Times New Roman" w:cs="Times New Roman" w:eastAsia="Times New Roman" w:hAnsi="Times New Roman"/>
                <w:sz w:val="12"/>
                <w:szCs w:val="12"/>
                <w:b w:val="1"/>
                <w:bCs w:val="1"/>
                <w:color w:val="auto"/>
                <w:w w:val="99"/>
              </w:rPr>
              <w:t>2022</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2022</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2021</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jc w:val="center"/>
              <w:ind w:left="41"/>
              <w:spacing w:after="0"/>
              <w:rPr>
                <w:sz w:val="20"/>
                <w:szCs w:val="20"/>
                <w:color w:val="auto"/>
              </w:rPr>
            </w:pPr>
            <w:r>
              <w:rPr>
                <w:rFonts w:ascii="Times New Roman" w:cs="Times New Roman" w:eastAsia="Times New Roman" w:hAnsi="Times New Roman"/>
                <w:sz w:val="12"/>
                <w:szCs w:val="12"/>
                <w:b w:val="1"/>
                <w:bCs w:val="1"/>
                <w:color w:val="auto"/>
                <w:w w:val="99"/>
              </w:rPr>
              <w:t>2020</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jc w:val="center"/>
              <w:ind w:left="21"/>
              <w:spacing w:after="0"/>
              <w:rPr>
                <w:sz w:val="20"/>
                <w:szCs w:val="20"/>
                <w:color w:val="auto"/>
              </w:rPr>
            </w:pPr>
            <w:r>
              <w:rPr>
                <w:rFonts w:ascii="Times New Roman" w:cs="Times New Roman" w:eastAsia="Times New Roman" w:hAnsi="Times New Roman"/>
                <w:sz w:val="12"/>
                <w:szCs w:val="12"/>
                <w:b w:val="1"/>
                <w:bCs w:val="1"/>
                <w:color w:val="auto"/>
                <w:w w:val="99"/>
              </w:rPr>
              <w:t>2019</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2018</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jc w:val="center"/>
              <w:ind w:left="1"/>
              <w:spacing w:after="0"/>
              <w:rPr>
                <w:sz w:val="20"/>
                <w:szCs w:val="20"/>
                <w:color w:val="auto"/>
              </w:rPr>
            </w:pPr>
            <w:r>
              <w:rPr>
                <w:rFonts w:ascii="Times New Roman" w:cs="Times New Roman" w:eastAsia="Times New Roman" w:hAnsi="Times New Roman"/>
                <w:sz w:val="12"/>
                <w:szCs w:val="12"/>
                <w:b w:val="1"/>
                <w:bCs w:val="1"/>
                <w:color w:val="auto"/>
                <w:w w:val="99"/>
              </w:rPr>
              <w:t>2017</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jc w:val="center"/>
              <w:ind w:left="21"/>
              <w:spacing w:after="0"/>
              <w:rPr>
                <w:sz w:val="20"/>
                <w:szCs w:val="20"/>
                <w:color w:val="auto"/>
              </w:rPr>
            </w:pPr>
            <w:r>
              <w:rPr>
                <w:rFonts w:ascii="Times New Roman" w:cs="Times New Roman" w:eastAsia="Times New Roman" w:hAnsi="Times New Roman"/>
                <w:sz w:val="12"/>
                <w:szCs w:val="12"/>
                <w:b w:val="1"/>
                <w:bCs w:val="1"/>
                <w:color w:val="auto"/>
                <w:w w:val="99"/>
              </w:rPr>
              <w:t>2016</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2015</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jc w:val="center"/>
              <w:ind w:left="1"/>
              <w:spacing w:after="0"/>
              <w:rPr>
                <w:sz w:val="20"/>
                <w:szCs w:val="20"/>
                <w:color w:val="auto"/>
              </w:rPr>
            </w:pPr>
            <w:r>
              <w:rPr>
                <w:rFonts w:ascii="Times New Roman" w:cs="Times New Roman" w:eastAsia="Times New Roman" w:hAnsi="Times New Roman"/>
                <w:sz w:val="12"/>
                <w:szCs w:val="12"/>
                <w:b w:val="1"/>
                <w:bCs w:val="1"/>
                <w:color w:val="auto"/>
                <w:w w:val="99"/>
              </w:rPr>
              <w:t>2014</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w:t>
            </w:r>
          </w:p>
        </w:tc>
        <w:tc>
          <w:tcPr>
            <w:tcW w:w="0" w:type="dxa"/>
            <w:vAlign w:val="bottom"/>
          </w:tcPr>
          <w:p>
            <w:pPr>
              <w:spacing w:after="0"/>
              <w:rPr>
                <w:sz w:val="1"/>
                <w:szCs w:val="1"/>
                <w:color w:val="auto"/>
              </w:rPr>
            </w:pPr>
          </w:p>
        </w:tc>
      </w:tr>
      <w:tr>
        <w:trPr>
          <w:trHeight w:val="27"/>
        </w:trPr>
        <w:tc>
          <w:tcPr>
            <w:tcW w:w="1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60" w:type="dxa"/>
            <w:vAlign w:val="bottom"/>
            <w:tcBorders>
              <w:top w:val="single" w:sz="8" w:color="CCEEFF"/>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w w:val="94"/>
              </w:rPr>
              <w:t>Per Share Data</w:t>
            </w:r>
          </w:p>
        </w:tc>
        <w:tc>
          <w:tcPr>
            <w:tcW w:w="56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spacing w:after="0"/>
              <w:rPr>
                <w:sz w:val="20"/>
                <w:szCs w:val="20"/>
                <w:color w:val="auto"/>
              </w:rPr>
            </w:pPr>
          </w:p>
        </w:tc>
        <w:tc>
          <w:tcPr>
            <w:tcW w:w="600" w:type="dxa"/>
            <w:vAlign w:val="bottom"/>
            <w:tcBorders>
              <w:top w:val="single" w:sz="8" w:color="auto"/>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right w:val="single" w:sz="8" w:color="CCEEFF"/>
            </w:tcBorders>
            <w:shd w:val="clear" w:color="auto" w:fill="CCEEFF"/>
          </w:tcPr>
          <w:p>
            <w:pPr>
              <w:spacing w:after="0"/>
              <w:rPr>
                <w:sz w:val="20"/>
                <w:szCs w:val="20"/>
                <w:color w:val="auto"/>
              </w:rPr>
            </w:pPr>
          </w:p>
        </w:tc>
        <w:tc>
          <w:tcPr>
            <w:tcW w:w="60" w:type="dxa"/>
            <w:vAlign w:val="bottom"/>
            <w:tcBorders>
              <w:top w:val="single" w:sz="8" w:color="auto"/>
              <w:bottom w:val="single" w:sz="8" w:color="CCEEFF"/>
            </w:tcBorders>
            <w:shd w:val="clear" w:color="auto" w:fill="CCEEFF"/>
          </w:tcPr>
          <w:p>
            <w:pPr>
              <w:spacing w:after="0"/>
              <w:rPr>
                <w:sz w:val="20"/>
                <w:szCs w:val="20"/>
                <w:color w:val="auto"/>
              </w:rPr>
            </w:pPr>
          </w:p>
        </w:tc>
        <w:tc>
          <w:tcPr>
            <w:tcW w:w="600" w:type="dxa"/>
            <w:vAlign w:val="bottom"/>
            <w:tcBorders>
              <w:top w:val="single" w:sz="8" w:color="auto"/>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right w:val="single" w:sz="8" w:color="CCEEFF"/>
            </w:tcBorders>
            <w:shd w:val="clear" w:color="auto" w:fill="CCEEFF"/>
          </w:tcPr>
          <w:p>
            <w:pPr>
              <w:spacing w:after="0"/>
              <w:rPr>
                <w:sz w:val="20"/>
                <w:szCs w:val="20"/>
                <w:color w:val="auto"/>
              </w:rPr>
            </w:pPr>
          </w:p>
        </w:tc>
        <w:tc>
          <w:tcPr>
            <w:tcW w:w="60" w:type="dxa"/>
            <w:vAlign w:val="bottom"/>
            <w:tcBorders>
              <w:top w:val="single" w:sz="8" w:color="auto"/>
              <w:bottom w:val="single" w:sz="8" w:color="CCEEFF"/>
            </w:tcBorders>
            <w:shd w:val="clear" w:color="auto" w:fill="CCEEFF"/>
          </w:tcPr>
          <w:p>
            <w:pPr>
              <w:spacing w:after="0"/>
              <w:rPr>
                <w:sz w:val="20"/>
                <w:szCs w:val="20"/>
                <w:color w:val="auto"/>
              </w:rPr>
            </w:pPr>
          </w:p>
        </w:tc>
        <w:tc>
          <w:tcPr>
            <w:tcW w:w="600" w:type="dxa"/>
            <w:vAlign w:val="bottom"/>
            <w:tcBorders>
              <w:top w:val="single" w:sz="8" w:color="auto"/>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right w:val="single" w:sz="8" w:color="CCEEFF"/>
            </w:tcBorders>
            <w:shd w:val="clear" w:color="auto" w:fill="CCEEFF"/>
          </w:tcPr>
          <w:p>
            <w:pPr>
              <w:spacing w:after="0"/>
              <w:rPr>
                <w:sz w:val="20"/>
                <w:szCs w:val="20"/>
                <w:color w:val="auto"/>
              </w:rPr>
            </w:pPr>
          </w:p>
        </w:tc>
        <w:tc>
          <w:tcPr>
            <w:tcW w:w="60" w:type="dxa"/>
            <w:vAlign w:val="bottom"/>
            <w:tcBorders>
              <w:top w:val="single" w:sz="8" w:color="auto"/>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right w:val="single" w:sz="8" w:color="CCEEFF"/>
            </w:tcBorders>
            <w:shd w:val="clear" w:color="auto" w:fill="CCEEFF"/>
          </w:tcPr>
          <w:p>
            <w:pPr>
              <w:spacing w:after="0"/>
              <w:rPr>
                <w:sz w:val="20"/>
                <w:szCs w:val="20"/>
                <w:color w:val="auto"/>
              </w:rPr>
            </w:pPr>
          </w:p>
        </w:tc>
        <w:tc>
          <w:tcPr>
            <w:tcW w:w="60" w:type="dxa"/>
            <w:vAlign w:val="bottom"/>
            <w:tcBorders>
              <w:top w:val="single" w:sz="8" w:color="auto"/>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right w:val="single" w:sz="8" w:color="CCEEFF"/>
            </w:tcBorders>
            <w:shd w:val="clear" w:color="auto" w:fill="CCEEFF"/>
          </w:tcPr>
          <w:p>
            <w:pPr>
              <w:spacing w:after="0"/>
              <w:rPr>
                <w:sz w:val="20"/>
                <w:szCs w:val="20"/>
                <w:color w:val="auto"/>
              </w:rPr>
            </w:pPr>
          </w:p>
        </w:tc>
        <w:tc>
          <w:tcPr>
            <w:tcW w:w="60" w:type="dxa"/>
            <w:vAlign w:val="bottom"/>
            <w:tcBorders>
              <w:top w:val="single" w:sz="8" w:color="auto"/>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right w:val="single" w:sz="8" w:color="CCEEFF"/>
            </w:tcBorders>
            <w:shd w:val="clear" w:color="auto" w:fill="CCEEFF"/>
          </w:tcPr>
          <w:p>
            <w:pPr>
              <w:spacing w:after="0"/>
              <w:rPr>
                <w:sz w:val="20"/>
                <w:szCs w:val="20"/>
                <w:color w:val="auto"/>
              </w:rPr>
            </w:pPr>
          </w:p>
        </w:tc>
        <w:tc>
          <w:tcPr>
            <w:tcW w:w="60" w:type="dxa"/>
            <w:vAlign w:val="bottom"/>
            <w:tcBorders>
              <w:top w:val="single" w:sz="8" w:color="auto"/>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right w:val="single" w:sz="8" w:color="CCEEFF"/>
            </w:tcBorders>
            <w:shd w:val="clear" w:color="auto" w:fill="CCEEFF"/>
          </w:tcPr>
          <w:p>
            <w:pPr>
              <w:spacing w:after="0"/>
              <w:rPr>
                <w:sz w:val="20"/>
                <w:szCs w:val="20"/>
                <w:color w:val="auto"/>
              </w:rPr>
            </w:pPr>
          </w:p>
        </w:tc>
        <w:tc>
          <w:tcPr>
            <w:tcW w:w="60" w:type="dxa"/>
            <w:vAlign w:val="bottom"/>
            <w:tcBorders>
              <w:top w:val="single" w:sz="8" w:color="auto"/>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right w:val="single" w:sz="8" w:color="CCEEFF"/>
            </w:tcBorders>
            <w:shd w:val="clear" w:color="auto" w:fill="CCEEFF"/>
          </w:tcPr>
          <w:p>
            <w:pPr>
              <w:spacing w:after="0"/>
              <w:rPr>
                <w:sz w:val="20"/>
                <w:szCs w:val="20"/>
                <w:color w:val="auto"/>
              </w:rPr>
            </w:pPr>
          </w:p>
        </w:tc>
        <w:tc>
          <w:tcPr>
            <w:tcW w:w="60" w:type="dxa"/>
            <w:vAlign w:val="bottom"/>
            <w:tcBorders>
              <w:top w:val="single" w:sz="8" w:color="auto"/>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right w:val="single" w:sz="8" w:color="CCEEFF"/>
            </w:tcBorders>
            <w:shd w:val="clear" w:color="auto" w:fill="CCEEFF"/>
          </w:tcPr>
          <w:p>
            <w:pPr>
              <w:spacing w:after="0"/>
              <w:rPr>
                <w:sz w:val="20"/>
                <w:szCs w:val="20"/>
                <w:color w:val="auto"/>
              </w:rPr>
            </w:pPr>
          </w:p>
        </w:tc>
        <w:tc>
          <w:tcPr>
            <w:tcW w:w="60" w:type="dxa"/>
            <w:vAlign w:val="bottom"/>
            <w:tcBorders>
              <w:top w:val="single" w:sz="8" w:color="auto"/>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right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20" w:type="dxa"/>
            <w:vAlign w:val="bottom"/>
            <w:gridSpan w:val="5"/>
          </w:tcPr>
          <w:p>
            <w:pPr>
              <w:spacing w:after="0" w:line="111" w:lineRule="exact"/>
              <w:rPr>
                <w:sz w:val="20"/>
                <w:szCs w:val="20"/>
                <w:color w:val="auto"/>
              </w:rPr>
            </w:pPr>
            <w:r>
              <w:rPr>
                <w:rFonts w:ascii="Times New Roman" w:cs="Times New Roman" w:eastAsia="Times New Roman" w:hAnsi="Times New Roman"/>
                <w:sz w:val="12"/>
                <w:szCs w:val="12"/>
                <w:color w:val="auto"/>
              </w:rPr>
              <w:t>Net asset value at</w:t>
            </w: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320" w:type="dxa"/>
            <w:vAlign w:val="bottom"/>
            <w:gridSpan w:val="5"/>
          </w:tcPr>
          <w:p>
            <w:pPr>
              <w:ind w:left="160"/>
              <w:spacing w:after="0" w:line="127" w:lineRule="exact"/>
              <w:rPr>
                <w:sz w:val="20"/>
                <w:szCs w:val="20"/>
                <w:color w:val="auto"/>
              </w:rPr>
            </w:pPr>
            <w:r>
              <w:rPr>
                <w:rFonts w:ascii="Times New Roman" w:cs="Times New Roman" w:eastAsia="Times New Roman" w:hAnsi="Times New Roman"/>
                <w:sz w:val="12"/>
                <w:szCs w:val="12"/>
                <w:color w:val="auto"/>
              </w:rPr>
              <w:t>beginning 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320" w:type="dxa"/>
            <w:vAlign w:val="bottom"/>
            <w:gridSpan w:val="5"/>
          </w:tcPr>
          <w:p>
            <w:pPr>
              <w:ind w:left="160"/>
              <w:spacing w:after="0"/>
              <w:rPr>
                <w:sz w:val="20"/>
                <w:szCs w:val="20"/>
                <w:color w:val="auto"/>
              </w:rPr>
            </w:pPr>
            <w:r>
              <w:rPr>
                <w:rFonts w:ascii="Times New Roman" w:cs="Times New Roman" w:eastAsia="Times New Roman" w:hAnsi="Times New Roman"/>
                <w:sz w:val="12"/>
                <w:szCs w:val="12"/>
                <w:color w:val="auto"/>
              </w:rPr>
              <w:t>year/period</w:t>
            </w: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6.56</w:t>
            </w:r>
          </w:p>
        </w:tc>
        <w:tc>
          <w:tcPr>
            <w:tcW w:w="220" w:type="dxa"/>
            <w:vAlign w:val="bottom"/>
          </w:tcPr>
          <w:p>
            <w:pPr>
              <w:spacing w:after="0"/>
              <w:rPr>
                <w:sz w:val="15"/>
                <w:szCs w:val="15"/>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5.94</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3.58</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8.32</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10.08</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10.20</w:t>
            </w:r>
          </w:p>
        </w:tc>
        <w:tc>
          <w:tcPr>
            <w:tcW w:w="140" w:type="dxa"/>
            <w:vAlign w:val="bottom"/>
          </w:tcPr>
          <w:p>
            <w:pPr>
              <w:spacing w:after="0"/>
              <w:rPr>
                <w:sz w:val="15"/>
                <w:szCs w:val="15"/>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7.04</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14.08</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16.26</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16.20</w:t>
            </w: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gridSpan w:val="5"/>
            <w:vMerge w:val="restart"/>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investment income</w:t>
            </w:r>
            <w:r>
              <w:rPr>
                <w:rFonts w:ascii="Times New Roman" w:cs="Times New Roman" w:eastAsia="Times New Roman" w:hAnsi="Times New Roman"/>
                <w:sz w:val="13"/>
                <w:szCs w:val="13"/>
                <w:color w:val="auto"/>
                <w:vertAlign w:val="superscript"/>
              </w:rPr>
              <w:t>(1)</w:t>
            </w: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2"/>
                <w:szCs w:val="22"/>
                <w:color w:val="auto"/>
              </w:rPr>
            </w:pPr>
          </w:p>
        </w:tc>
        <w:tc>
          <w:tcPr>
            <w:tcW w:w="1320" w:type="dxa"/>
            <w:vAlign w:val="bottom"/>
            <w:gridSpan w:val="5"/>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0.49</w:t>
            </w:r>
          </w:p>
        </w:tc>
        <w:tc>
          <w:tcPr>
            <w:tcW w:w="220" w:type="dxa"/>
            <w:vAlign w:val="bottom"/>
            <w:tcBorders>
              <w:right w:val="single" w:sz="8" w:color="CCEEFF"/>
            </w:tcBorders>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1.01</w:t>
            </w:r>
          </w:p>
        </w:tc>
        <w:tc>
          <w:tcPr>
            <w:tcW w:w="60" w:type="dxa"/>
            <w:vAlign w:val="bottom"/>
            <w:shd w:val="clear" w:color="auto" w:fill="CCEEFF"/>
          </w:tcPr>
          <w:p>
            <w:pPr>
              <w:spacing w:after="0"/>
              <w:rPr>
                <w:sz w:val="22"/>
                <w:szCs w:val="22"/>
                <w:color w:val="auto"/>
              </w:rPr>
            </w:pP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0.88</w:t>
            </w:r>
          </w:p>
        </w:tc>
        <w:tc>
          <w:tcPr>
            <w:tcW w:w="60" w:type="dxa"/>
            <w:vAlign w:val="bottom"/>
            <w:shd w:val="clear" w:color="auto" w:fill="CCEEFF"/>
          </w:tcPr>
          <w:p>
            <w:pPr>
              <w:spacing w:after="0"/>
              <w:rPr>
                <w:sz w:val="22"/>
                <w:szCs w:val="22"/>
                <w:color w:val="auto"/>
              </w:rPr>
            </w:pPr>
          </w:p>
        </w:tc>
        <w:tc>
          <w:tcPr>
            <w:tcW w:w="7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1.25</w:t>
            </w:r>
          </w:p>
        </w:tc>
        <w:tc>
          <w:tcPr>
            <w:tcW w:w="60" w:type="dxa"/>
            <w:vAlign w:val="bottom"/>
            <w:shd w:val="clear" w:color="auto" w:fill="CCEEFF"/>
          </w:tcPr>
          <w:p>
            <w:pPr>
              <w:spacing w:after="0"/>
              <w:rPr>
                <w:sz w:val="22"/>
                <w:szCs w:val="22"/>
                <w:color w:val="auto"/>
              </w:rPr>
            </w:pPr>
          </w:p>
        </w:tc>
        <w:tc>
          <w:tcPr>
            <w:tcW w:w="7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1.41</w:t>
            </w:r>
          </w:p>
        </w:tc>
        <w:tc>
          <w:tcPr>
            <w:tcW w:w="60" w:type="dxa"/>
            <w:vAlign w:val="bottom"/>
            <w:shd w:val="clear" w:color="auto" w:fill="CCEEFF"/>
          </w:tcPr>
          <w:p>
            <w:pPr>
              <w:spacing w:after="0"/>
              <w:rPr>
                <w:sz w:val="22"/>
                <w:szCs w:val="22"/>
                <w:color w:val="auto"/>
              </w:rPr>
            </w:pPr>
          </w:p>
        </w:tc>
        <w:tc>
          <w:tcPr>
            <w:tcW w:w="6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1.61</w:t>
            </w:r>
          </w:p>
        </w:tc>
        <w:tc>
          <w:tcPr>
            <w:tcW w:w="60" w:type="dxa"/>
            <w:vAlign w:val="bottom"/>
            <w:shd w:val="clear" w:color="auto" w:fill="CCEEFF"/>
          </w:tcPr>
          <w:p>
            <w:pPr>
              <w:spacing w:after="0"/>
              <w:rPr>
                <w:sz w:val="22"/>
                <w:szCs w:val="22"/>
                <w:color w:val="auto"/>
              </w:rPr>
            </w:pPr>
          </w:p>
        </w:tc>
        <w:tc>
          <w:tcPr>
            <w:tcW w:w="7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1.54</w:t>
            </w:r>
          </w:p>
        </w:tc>
        <w:tc>
          <w:tcPr>
            <w:tcW w:w="60" w:type="dxa"/>
            <w:vAlign w:val="bottom"/>
            <w:shd w:val="clear" w:color="auto" w:fill="CCEEFF"/>
          </w:tcPr>
          <w:p>
            <w:pPr>
              <w:spacing w:after="0"/>
              <w:rPr>
                <w:sz w:val="22"/>
                <w:szCs w:val="22"/>
                <w:color w:val="auto"/>
              </w:rPr>
            </w:pPr>
          </w:p>
        </w:tc>
        <w:tc>
          <w:tcPr>
            <w:tcW w:w="7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1.64</w:t>
            </w:r>
          </w:p>
        </w:tc>
        <w:tc>
          <w:tcPr>
            <w:tcW w:w="60" w:type="dxa"/>
            <w:vAlign w:val="bottom"/>
            <w:shd w:val="clear" w:color="auto" w:fill="CCEEFF"/>
          </w:tcPr>
          <w:p>
            <w:pPr>
              <w:spacing w:after="0"/>
              <w:rPr>
                <w:sz w:val="22"/>
                <w:szCs w:val="22"/>
                <w:color w:val="auto"/>
              </w:rPr>
            </w:pPr>
          </w:p>
        </w:tc>
        <w:tc>
          <w:tcPr>
            <w:tcW w:w="6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1.37</w:t>
            </w:r>
          </w:p>
        </w:tc>
        <w:tc>
          <w:tcPr>
            <w:tcW w:w="60" w:type="dxa"/>
            <w:vAlign w:val="bottom"/>
            <w:shd w:val="clear" w:color="auto" w:fill="CCEEFF"/>
          </w:tcPr>
          <w:p>
            <w:pPr>
              <w:spacing w:after="0"/>
              <w:rPr>
                <w:sz w:val="22"/>
                <w:szCs w:val="22"/>
                <w:color w:val="auto"/>
              </w:rPr>
            </w:pPr>
          </w:p>
        </w:tc>
        <w:tc>
          <w:tcPr>
            <w:tcW w:w="7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1.24</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20" w:type="dxa"/>
            <w:vAlign w:val="bottom"/>
            <w:gridSpan w:val="5"/>
          </w:tcPr>
          <w:p>
            <w:pPr>
              <w:spacing w:after="0" w:line="111" w:lineRule="exact"/>
              <w:rPr>
                <w:sz w:val="20"/>
                <w:szCs w:val="20"/>
                <w:color w:val="auto"/>
              </w:rPr>
            </w:pPr>
            <w:r>
              <w:rPr>
                <w:rFonts w:ascii="Times New Roman" w:cs="Times New Roman" w:eastAsia="Times New Roman" w:hAnsi="Times New Roman"/>
                <w:sz w:val="12"/>
                <w:szCs w:val="12"/>
                <w:color w:val="auto"/>
              </w:rPr>
              <w:t>Net realized and</w:t>
            </w: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320" w:type="dxa"/>
            <w:vAlign w:val="bottom"/>
            <w:gridSpan w:val="5"/>
          </w:tcPr>
          <w:p>
            <w:pPr>
              <w:ind w:left="160"/>
              <w:spacing w:after="0"/>
              <w:rPr>
                <w:sz w:val="20"/>
                <w:szCs w:val="20"/>
                <w:color w:val="auto"/>
              </w:rPr>
            </w:pPr>
            <w:r>
              <w:rPr>
                <w:rFonts w:ascii="Times New Roman" w:cs="Times New Roman" w:eastAsia="Times New Roman" w:hAnsi="Times New Roman"/>
                <w:sz w:val="12"/>
                <w:szCs w:val="12"/>
                <w:color w:val="auto"/>
              </w:rPr>
              <w:t>unrealized (losses)</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320" w:type="dxa"/>
            <w:vAlign w:val="bottom"/>
            <w:gridSpan w:val="5"/>
          </w:tcPr>
          <w:p>
            <w:pPr>
              <w:ind w:left="160"/>
              <w:spacing w:after="0"/>
              <w:rPr>
                <w:sz w:val="20"/>
                <w:szCs w:val="20"/>
                <w:color w:val="auto"/>
              </w:rPr>
            </w:pPr>
            <w:r>
              <w:rPr>
                <w:rFonts w:ascii="Times New Roman" w:cs="Times New Roman" w:eastAsia="Times New Roman" w:hAnsi="Times New Roman"/>
                <w:sz w:val="12"/>
                <w:szCs w:val="12"/>
                <w:color w:val="auto"/>
              </w:rPr>
              <w:t>gains</w:t>
            </w:r>
            <w:r>
              <w:rPr>
                <w:rFonts w:ascii="Times New Roman" w:cs="Times New Roman" w:eastAsia="Times New Roman" w:hAnsi="Times New Roman"/>
                <w:sz w:val="13"/>
                <w:szCs w:val="13"/>
                <w:color w:val="auto"/>
                <w:vertAlign w:val="superscript"/>
              </w:rPr>
              <w:t>(2)</w:t>
            </w:r>
          </w:p>
        </w:tc>
        <w:tc>
          <w:tcPr>
            <w:tcW w:w="8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(1.72)</w:t>
            </w:r>
          </w:p>
        </w:tc>
        <w:tc>
          <w:tcPr>
            <w:tcW w:w="6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0.19</w:t>
            </w:r>
          </w:p>
        </w:tc>
        <w:tc>
          <w:tcPr>
            <w:tcW w:w="6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2.26</w:t>
            </w:r>
          </w:p>
        </w:tc>
        <w:tc>
          <w:tcPr>
            <w:tcW w:w="6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(5.39)</w:t>
            </w:r>
          </w:p>
        </w:tc>
        <w:tc>
          <w:tcPr>
            <w:tcW w:w="6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(1.92)</w:t>
            </w:r>
          </w:p>
        </w:tc>
        <w:tc>
          <w:tcPr>
            <w:tcW w:w="6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(0.12)</w:t>
            </w:r>
          </w:p>
        </w:tc>
        <w:tc>
          <w:tcPr>
            <w:tcW w:w="6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3.87</w:t>
            </w:r>
          </w:p>
        </w:tc>
        <w:tc>
          <w:tcPr>
            <w:tcW w:w="6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(6.28)</w:t>
            </w:r>
          </w:p>
        </w:tc>
        <w:tc>
          <w:tcPr>
            <w:tcW w:w="6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(1.14)</w:t>
            </w:r>
          </w:p>
        </w:tc>
        <w:tc>
          <w:tcPr>
            <w:tcW w:w="6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1.85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320" w:type="dxa"/>
            <w:vAlign w:val="bottom"/>
            <w:tcBorders>
              <w:top w:val="single" w:sz="8" w:color="CCEEFF"/>
            </w:tcBorders>
            <w:gridSpan w:val="5"/>
            <w:shd w:val="clear" w:color="auto" w:fill="CCEEFF"/>
          </w:tcPr>
          <w:p>
            <w:pPr>
              <w:spacing w:after="0" w:line="98" w:lineRule="exact"/>
              <w:rPr>
                <w:sz w:val="20"/>
                <w:szCs w:val="20"/>
                <w:color w:val="auto"/>
              </w:rPr>
            </w:pPr>
            <w:r>
              <w:rPr>
                <w:rFonts w:ascii="Times New Roman" w:cs="Times New Roman" w:eastAsia="Times New Roman" w:hAnsi="Times New Roman"/>
                <w:sz w:val="11"/>
                <w:szCs w:val="11"/>
                <w:color w:val="auto"/>
              </w:rPr>
              <w:t>Total from investment</w:t>
            </w:r>
          </w:p>
        </w:tc>
        <w:tc>
          <w:tcPr>
            <w:tcW w:w="8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right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right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right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right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right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right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right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right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right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right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32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operations</w:t>
            </w:r>
          </w:p>
        </w:tc>
        <w:tc>
          <w:tcPr>
            <w:tcW w:w="80" w:type="dxa"/>
            <w:vAlign w:val="bottom"/>
            <w:shd w:val="clear" w:color="auto" w:fill="CCEEFF"/>
          </w:tcPr>
          <w:p>
            <w:pPr>
              <w:spacing w:after="0"/>
              <w:rPr>
                <w:sz w:val="15"/>
                <w:szCs w:val="15"/>
                <w:color w:val="auto"/>
              </w:rPr>
            </w:pPr>
          </w:p>
        </w:tc>
        <w:tc>
          <w:tcPr>
            <w:tcW w:w="8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(1.23)</w:t>
            </w:r>
          </w:p>
        </w:tc>
        <w:tc>
          <w:tcPr>
            <w:tcW w:w="60" w:type="dxa"/>
            <w:vAlign w:val="bottom"/>
            <w:shd w:val="clear" w:color="auto" w:fill="CCEEFF"/>
          </w:tcPr>
          <w:p>
            <w:pPr>
              <w:spacing w:after="0"/>
              <w:rPr>
                <w:sz w:val="15"/>
                <w:szCs w:val="15"/>
                <w:color w:val="auto"/>
              </w:rPr>
            </w:pPr>
          </w:p>
        </w:tc>
        <w:tc>
          <w:tcPr>
            <w:tcW w:w="7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1.20</w:t>
            </w:r>
          </w:p>
        </w:tc>
        <w:tc>
          <w:tcPr>
            <w:tcW w:w="60" w:type="dxa"/>
            <w:vAlign w:val="bottom"/>
            <w:shd w:val="clear" w:color="auto" w:fill="CCEEFF"/>
          </w:tcPr>
          <w:p>
            <w:pPr>
              <w:spacing w:after="0"/>
              <w:rPr>
                <w:sz w:val="15"/>
                <w:szCs w:val="15"/>
                <w:color w:val="auto"/>
              </w:rPr>
            </w:pP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3.14</w:t>
            </w:r>
          </w:p>
        </w:tc>
        <w:tc>
          <w:tcPr>
            <w:tcW w:w="60" w:type="dxa"/>
            <w:vAlign w:val="bottom"/>
            <w:shd w:val="clear" w:color="auto" w:fill="CCEEFF"/>
          </w:tcPr>
          <w:p>
            <w:pPr>
              <w:spacing w:after="0"/>
              <w:rPr>
                <w:sz w:val="15"/>
                <w:szCs w:val="15"/>
                <w:color w:val="auto"/>
              </w:rPr>
            </w:pPr>
          </w:p>
        </w:tc>
        <w:tc>
          <w:tcPr>
            <w:tcW w:w="7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(4.14)</w:t>
            </w:r>
          </w:p>
        </w:tc>
        <w:tc>
          <w:tcPr>
            <w:tcW w:w="60" w:type="dxa"/>
            <w:vAlign w:val="bottom"/>
            <w:shd w:val="clear" w:color="auto" w:fill="CCEEFF"/>
          </w:tcPr>
          <w:p>
            <w:pPr>
              <w:spacing w:after="0"/>
              <w:rPr>
                <w:sz w:val="15"/>
                <w:szCs w:val="15"/>
                <w:color w:val="auto"/>
              </w:rPr>
            </w:pPr>
          </w:p>
        </w:tc>
        <w:tc>
          <w:tcPr>
            <w:tcW w:w="7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(0.51)</w:t>
            </w:r>
          </w:p>
        </w:tc>
        <w:tc>
          <w:tcPr>
            <w:tcW w:w="60" w:type="dxa"/>
            <w:vAlign w:val="bottom"/>
            <w:shd w:val="clear" w:color="auto" w:fill="CCEEFF"/>
          </w:tcPr>
          <w:p>
            <w:pPr>
              <w:spacing w:after="0"/>
              <w:rPr>
                <w:sz w:val="15"/>
                <w:szCs w:val="15"/>
                <w:color w:val="auto"/>
              </w:rPr>
            </w:pPr>
          </w:p>
        </w:tc>
        <w:tc>
          <w:tcPr>
            <w:tcW w:w="6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1.49</w:t>
            </w:r>
          </w:p>
        </w:tc>
        <w:tc>
          <w:tcPr>
            <w:tcW w:w="60" w:type="dxa"/>
            <w:vAlign w:val="bottom"/>
            <w:shd w:val="clear" w:color="auto" w:fill="CCEEFF"/>
          </w:tcPr>
          <w:p>
            <w:pPr>
              <w:spacing w:after="0"/>
              <w:rPr>
                <w:sz w:val="15"/>
                <w:szCs w:val="15"/>
                <w:color w:val="auto"/>
              </w:rPr>
            </w:pPr>
          </w:p>
        </w:tc>
        <w:tc>
          <w:tcPr>
            <w:tcW w:w="7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5.41</w:t>
            </w:r>
          </w:p>
        </w:tc>
        <w:tc>
          <w:tcPr>
            <w:tcW w:w="60" w:type="dxa"/>
            <w:vAlign w:val="bottom"/>
            <w:shd w:val="clear" w:color="auto" w:fill="CCEEFF"/>
          </w:tcPr>
          <w:p>
            <w:pPr>
              <w:spacing w:after="0"/>
              <w:rPr>
                <w:sz w:val="15"/>
                <w:szCs w:val="15"/>
                <w:color w:val="auto"/>
              </w:rPr>
            </w:pPr>
          </w:p>
        </w:tc>
        <w:tc>
          <w:tcPr>
            <w:tcW w:w="7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(4.64)</w:t>
            </w:r>
          </w:p>
        </w:tc>
        <w:tc>
          <w:tcPr>
            <w:tcW w:w="60" w:type="dxa"/>
            <w:vAlign w:val="bottom"/>
            <w:shd w:val="clear" w:color="auto" w:fill="CCEEFF"/>
          </w:tcPr>
          <w:p>
            <w:pPr>
              <w:spacing w:after="0"/>
              <w:rPr>
                <w:sz w:val="15"/>
                <w:szCs w:val="15"/>
                <w:color w:val="auto"/>
              </w:rPr>
            </w:pPr>
          </w:p>
        </w:tc>
        <w:tc>
          <w:tcPr>
            <w:tcW w:w="6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0.23</w:t>
            </w:r>
          </w:p>
        </w:tc>
        <w:tc>
          <w:tcPr>
            <w:tcW w:w="60" w:type="dxa"/>
            <w:vAlign w:val="bottom"/>
            <w:shd w:val="clear" w:color="auto" w:fill="CCEEFF"/>
          </w:tcPr>
          <w:p>
            <w:pPr>
              <w:spacing w:after="0"/>
              <w:rPr>
                <w:sz w:val="15"/>
                <w:szCs w:val="15"/>
                <w:color w:val="auto"/>
              </w:rPr>
            </w:pPr>
          </w:p>
        </w:tc>
        <w:tc>
          <w:tcPr>
            <w:tcW w:w="7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3.09</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320" w:type="dxa"/>
            <w:vAlign w:val="bottom"/>
            <w:gridSpan w:val="5"/>
          </w:tcPr>
          <w:p>
            <w:pPr>
              <w:spacing w:after="0" w:line="91" w:lineRule="exact"/>
              <w:rPr>
                <w:sz w:val="20"/>
                <w:szCs w:val="20"/>
                <w:color w:val="auto"/>
              </w:rPr>
            </w:pPr>
            <w:r>
              <w:rPr>
                <w:rFonts w:ascii="Times New Roman" w:cs="Times New Roman" w:eastAsia="Times New Roman" w:hAnsi="Times New Roman"/>
                <w:sz w:val="9"/>
                <w:szCs w:val="9"/>
                <w:color w:val="auto"/>
              </w:rPr>
              <w:t>Distributions per share of</w:t>
            </w:r>
          </w:p>
        </w:tc>
        <w:tc>
          <w:tcPr>
            <w:tcW w:w="8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320" w:type="dxa"/>
            <w:vAlign w:val="bottom"/>
            <w:gridSpan w:val="5"/>
          </w:tcPr>
          <w:p>
            <w:pPr>
              <w:ind w:left="160"/>
              <w:spacing w:after="0"/>
              <w:rPr>
                <w:sz w:val="20"/>
                <w:szCs w:val="20"/>
                <w:color w:val="auto"/>
              </w:rPr>
            </w:pPr>
            <w:r>
              <w:rPr>
                <w:rFonts w:ascii="Times New Roman" w:cs="Times New Roman" w:eastAsia="Times New Roman" w:hAnsi="Times New Roman"/>
                <w:sz w:val="12"/>
                <w:szCs w:val="12"/>
                <w:color w:val="auto"/>
              </w:rPr>
              <w:t>net investment</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20" w:type="dxa"/>
            <w:vAlign w:val="bottom"/>
            <w:gridSpan w:val="5"/>
          </w:tcPr>
          <w:p>
            <w:pPr>
              <w:ind w:left="160"/>
              <w:spacing w:after="0"/>
              <w:rPr>
                <w:sz w:val="20"/>
                <w:szCs w:val="20"/>
                <w:color w:val="auto"/>
              </w:rPr>
            </w:pPr>
            <w:r>
              <w:rPr>
                <w:rFonts w:ascii="Times New Roman" w:cs="Times New Roman" w:eastAsia="Times New Roman" w:hAnsi="Times New Roman"/>
                <w:sz w:val="12"/>
                <w:szCs w:val="12"/>
                <w:color w:val="auto"/>
              </w:rPr>
              <w:t>income</w:t>
            </w:r>
            <w:r>
              <w:rPr>
                <w:rFonts w:ascii="Times New Roman" w:cs="Times New Roman" w:eastAsia="Times New Roman" w:hAnsi="Times New Roman"/>
                <w:sz w:val="13"/>
                <w:szCs w:val="13"/>
                <w:color w:val="auto"/>
                <w:vertAlign w:val="superscript"/>
              </w:rPr>
              <w:t>(3)</w:t>
            </w:r>
          </w:p>
        </w:tc>
        <w:tc>
          <w:tcPr>
            <w:tcW w:w="8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(0.45)</w:t>
            </w:r>
          </w:p>
        </w:tc>
        <w:tc>
          <w:tcPr>
            <w:tcW w:w="6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(0.83)</w:t>
            </w:r>
          </w:p>
        </w:tc>
        <w:tc>
          <w:tcPr>
            <w:tcW w:w="60" w:type="dxa"/>
            <w:vAlign w:val="bottom"/>
          </w:tcPr>
          <w:p>
            <w:pPr>
              <w:spacing w:after="0"/>
              <w:rPr>
                <w:sz w:val="15"/>
                <w:szCs w:val="15"/>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(0.59)</w:t>
            </w:r>
          </w:p>
        </w:tc>
        <w:tc>
          <w:tcPr>
            <w:tcW w:w="6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(0.99)</w:t>
            </w:r>
          </w:p>
        </w:tc>
        <w:tc>
          <w:tcPr>
            <w:tcW w:w="6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(1.34)</w:t>
            </w:r>
          </w:p>
        </w:tc>
        <w:tc>
          <w:tcPr>
            <w:tcW w:w="60" w:type="dxa"/>
            <w:vAlign w:val="bottom"/>
          </w:tcPr>
          <w:p>
            <w:pPr>
              <w:spacing w:after="0"/>
              <w:rPr>
                <w:sz w:val="15"/>
                <w:szCs w:val="15"/>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(1.36)</w:t>
            </w:r>
          </w:p>
        </w:tc>
        <w:tc>
          <w:tcPr>
            <w:tcW w:w="6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(2.40)</w:t>
            </w:r>
          </w:p>
        </w:tc>
        <w:tc>
          <w:tcPr>
            <w:tcW w:w="6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(2.44)</w:t>
            </w:r>
          </w:p>
        </w:tc>
        <w:tc>
          <w:tcPr>
            <w:tcW w:w="60" w:type="dxa"/>
            <w:vAlign w:val="bottom"/>
          </w:tcPr>
          <w:p>
            <w:pPr>
              <w:spacing w:after="0"/>
              <w:rPr>
                <w:sz w:val="15"/>
                <w:szCs w:val="15"/>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(2.26)</w:t>
            </w:r>
          </w:p>
        </w:tc>
        <w:tc>
          <w:tcPr>
            <w:tcW w:w="6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(1.97)</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320" w:type="dxa"/>
            <w:vAlign w:val="bottom"/>
            <w:gridSpan w:val="5"/>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Distributions per share</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32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from realized gain on</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32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investments</w:t>
            </w:r>
            <w:r>
              <w:rPr>
                <w:rFonts w:ascii="Times New Roman" w:cs="Times New Roman" w:eastAsia="Times New Roman" w:hAnsi="Times New Roman"/>
                <w:sz w:val="13"/>
                <w:szCs w:val="13"/>
                <w:color w:val="auto"/>
                <w:vertAlign w:val="superscript"/>
              </w:rPr>
              <w:t>(3)</w:t>
            </w:r>
          </w:p>
        </w:tc>
        <w:tc>
          <w:tcPr>
            <w:tcW w:w="80" w:type="dxa"/>
            <w:vAlign w:val="bottom"/>
            <w:shd w:val="clear" w:color="auto" w:fill="CCEEFF"/>
          </w:tcPr>
          <w:p>
            <w:pPr>
              <w:spacing w:after="0"/>
              <w:rPr>
                <w:sz w:val="16"/>
                <w:szCs w:val="16"/>
                <w:color w:val="auto"/>
              </w:rPr>
            </w:pPr>
          </w:p>
        </w:tc>
        <w:tc>
          <w:tcPr>
            <w:tcW w:w="8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7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7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7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6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7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7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6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(0.14)</w:t>
            </w:r>
          </w:p>
        </w:tc>
        <w:tc>
          <w:tcPr>
            <w:tcW w:w="60" w:type="dxa"/>
            <w:vAlign w:val="bottom"/>
            <w:shd w:val="clear" w:color="auto" w:fill="CCEEFF"/>
          </w:tcPr>
          <w:p>
            <w:pPr>
              <w:spacing w:after="0"/>
              <w:rPr>
                <w:sz w:val="16"/>
                <w:szCs w:val="16"/>
                <w:color w:val="auto"/>
              </w:rPr>
            </w:pP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(0.38)</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320" w:type="dxa"/>
            <w:vAlign w:val="bottom"/>
            <w:gridSpan w:val="5"/>
          </w:tcPr>
          <w:p>
            <w:pPr>
              <w:spacing w:after="0" w:line="124" w:lineRule="exact"/>
              <w:rPr>
                <w:sz w:val="20"/>
                <w:szCs w:val="20"/>
                <w:color w:val="auto"/>
              </w:rPr>
            </w:pPr>
            <w:r>
              <w:rPr>
                <w:rFonts w:ascii="Times New Roman" w:cs="Times New Roman" w:eastAsia="Times New Roman" w:hAnsi="Times New Roman"/>
                <w:sz w:val="12"/>
                <w:szCs w:val="12"/>
                <w:color w:val="auto"/>
              </w:rPr>
              <w:t>Distributions of return of</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20" w:type="dxa"/>
            <w:vAlign w:val="bottom"/>
            <w:gridSpan w:val="5"/>
          </w:tcPr>
          <w:p>
            <w:pPr>
              <w:ind w:left="160"/>
              <w:spacing w:after="0"/>
              <w:rPr>
                <w:sz w:val="20"/>
                <w:szCs w:val="20"/>
                <w:color w:val="auto"/>
              </w:rPr>
            </w:pPr>
            <w:r>
              <w:rPr>
                <w:rFonts w:ascii="Times New Roman" w:cs="Times New Roman" w:eastAsia="Times New Roman" w:hAnsi="Times New Roman"/>
                <w:sz w:val="12"/>
                <w:szCs w:val="12"/>
                <w:color w:val="auto"/>
              </w:rPr>
              <w:t>capital</w:t>
            </w:r>
            <w:r>
              <w:rPr>
                <w:rFonts w:ascii="Times New Roman" w:cs="Times New Roman" w:eastAsia="Times New Roman" w:hAnsi="Times New Roman"/>
                <w:sz w:val="13"/>
                <w:szCs w:val="13"/>
                <w:color w:val="auto"/>
                <w:vertAlign w:val="superscript"/>
              </w:rPr>
              <w:t>(3)</w:t>
            </w:r>
          </w:p>
        </w:tc>
        <w:tc>
          <w:tcPr>
            <w:tcW w:w="8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(0.42)</w:t>
            </w:r>
          </w:p>
        </w:tc>
        <w:tc>
          <w:tcPr>
            <w:tcW w:w="6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(0.63)</w:t>
            </w:r>
          </w:p>
        </w:tc>
        <w:tc>
          <w:tcPr>
            <w:tcW w:w="6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(0.28)</w:t>
            </w:r>
          </w:p>
        </w:tc>
        <w:tc>
          <w:tcPr>
            <w:tcW w:w="60" w:type="dxa"/>
            <w:vAlign w:val="bottom"/>
          </w:tcPr>
          <w:p>
            <w:pPr>
              <w:spacing w:after="0"/>
              <w:rPr>
                <w:sz w:val="15"/>
                <w:szCs w:val="15"/>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(0.25)</w:t>
            </w:r>
          </w:p>
        </w:tc>
        <w:tc>
          <w:tcPr>
            <w:tcW w:w="6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320" w:type="dxa"/>
            <w:vAlign w:val="bottom"/>
            <w:gridSpan w:val="5"/>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Distributions per share</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320" w:type="dxa"/>
            <w:vAlign w:val="bottom"/>
            <w:gridSpan w:val="5"/>
            <w:shd w:val="clear" w:color="auto" w:fill="CCEEFF"/>
          </w:tcPr>
          <w:p>
            <w:pPr>
              <w:ind w:left="160"/>
              <w:spacing w:after="0" w:line="127" w:lineRule="exact"/>
              <w:rPr>
                <w:sz w:val="20"/>
                <w:szCs w:val="20"/>
                <w:color w:val="auto"/>
              </w:rPr>
            </w:pPr>
            <w:r>
              <w:rPr>
                <w:rFonts w:ascii="Times New Roman" w:cs="Times New Roman" w:eastAsia="Times New Roman" w:hAnsi="Times New Roman"/>
                <w:sz w:val="12"/>
                <w:szCs w:val="12"/>
                <w:color w:val="auto"/>
              </w:rPr>
              <w:t>based on weighted</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32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average share</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32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impact</w:t>
            </w:r>
            <w:r>
              <w:rPr>
                <w:rFonts w:ascii="Times New Roman" w:cs="Times New Roman" w:eastAsia="Times New Roman" w:hAnsi="Times New Roman"/>
                <w:sz w:val="13"/>
                <w:szCs w:val="13"/>
                <w:color w:val="auto"/>
                <w:vertAlign w:val="superscript"/>
              </w:rPr>
              <w:t>(3)</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6"/>
                <w:szCs w:val="16"/>
                <w:color w:val="auto"/>
              </w:rPr>
            </w:pP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0.02</w:t>
            </w:r>
          </w:p>
        </w:tc>
        <w:tc>
          <w:tcPr>
            <w:tcW w:w="60" w:type="dxa"/>
            <w:vAlign w:val="bottom"/>
            <w:shd w:val="clear" w:color="auto" w:fill="CCEEFF"/>
          </w:tcPr>
          <w:p>
            <w:pPr>
              <w:spacing w:after="0"/>
              <w:rPr>
                <w:sz w:val="16"/>
                <w:szCs w:val="16"/>
                <w:color w:val="auto"/>
              </w:rPr>
            </w:pPr>
          </w:p>
        </w:tc>
        <w:tc>
          <w:tcPr>
            <w:tcW w:w="7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(0.02)</w:t>
            </w:r>
          </w:p>
        </w:tc>
        <w:tc>
          <w:tcPr>
            <w:tcW w:w="60" w:type="dxa"/>
            <w:vAlign w:val="bottom"/>
            <w:shd w:val="clear" w:color="auto" w:fill="CCEEFF"/>
          </w:tcPr>
          <w:p>
            <w:pPr>
              <w:spacing w:after="0"/>
              <w:rPr>
                <w:sz w:val="16"/>
                <w:szCs w:val="16"/>
                <w:color w:val="auto"/>
              </w:rPr>
            </w:pPr>
          </w:p>
        </w:tc>
        <w:tc>
          <w:tcPr>
            <w:tcW w:w="7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(0.02)</w:t>
            </w:r>
          </w:p>
        </w:tc>
        <w:tc>
          <w:tcPr>
            <w:tcW w:w="60" w:type="dxa"/>
            <w:vAlign w:val="bottom"/>
            <w:shd w:val="clear" w:color="auto" w:fill="CCEEFF"/>
          </w:tcPr>
          <w:p>
            <w:pPr>
              <w:spacing w:after="0"/>
              <w:rPr>
                <w:sz w:val="16"/>
                <w:szCs w:val="16"/>
                <w:color w:val="auto"/>
              </w:rPr>
            </w:pPr>
          </w:p>
        </w:tc>
        <w:tc>
          <w:tcPr>
            <w:tcW w:w="6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(0.05)</w:t>
            </w:r>
          </w:p>
        </w:tc>
        <w:tc>
          <w:tcPr>
            <w:tcW w:w="60" w:type="dxa"/>
            <w:vAlign w:val="bottom"/>
            <w:shd w:val="clear" w:color="auto" w:fill="CCEEFF"/>
          </w:tcPr>
          <w:p>
            <w:pPr>
              <w:spacing w:after="0"/>
              <w:rPr>
                <w:sz w:val="16"/>
                <w:szCs w:val="16"/>
                <w:color w:val="auto"/>
              </w:rPr>
            </w:pP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(0.09)</w:t>
            </w:r>
          </w:p>
        </w:tc>
        <w:tc>
          <w:tcPr>
            <w:tcW w:w="60" w:type="dxa"/>
            <w:vAlign w:val="bottom"/>
            <w:shd w:val="clear" w:color="auto" w:fill="CCEEFF"/>
          </w:tcPr>
          <w:p>
            <w:pPr>
              <w:spacing w:after="0"/>
              <w:rPr>
                <w:sz w:val="16"/>
                <w:szCs w:val="16"/>
                <w:color w:val="auto"/>
              </w:rPr>
            </w:pPr>
          </w:p>
        </w:tc>
        <w:tc>
          <w:tcPr>
            <w:tcW w:w="7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(0.06)</w:t>
            </w:r>
          </w:p>
        </w:tc>
        <w:tc>
          <w:tcPr>
            <w:tcW w:w="60" w:type="dxa"/>
            <w:vAlign w:val="bottom"/>
            <w:shd w:val="clear" w:color="auto" w:fill="CCEEFF"/>
          </w:tcPr>
          <w:p>
            <w:pPr>
              <w:spacing w:after="0"/>
              <w:rPr>
                <w:sz w:val="16"/>
                <w:szCs w:val="16"/>
                <w:color w:val="auto"/>
              </w:rPr>
            </w:pPr>
          </w:p>
        </w:tc>
        <w:tc>
          <w:tcPr>
            <w:tcW w:w="6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(0.02)</w:t>
            </w:r>
          </w:p>
        </w:tc>
        <w:tc>
          <w:tcPr>
            <w:tcW w:w="60" w:type="dxa"/>
            <w:vAlign w:val="bottom"/>
            <w:shd w:val="clear" w:color="auto" w:fill="CCEEFF"/>
          </w:tcPr>
          <w:p>
            <w:pPr>
              <w:spacing w:after="0"/>
              <w:rPr>
                <w:sz w:val="16"/>
                <w:szCs w:val="16"/>
                <w:color w:val="auto"/>
              </w:rPr>
            </w:pP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(0.51)</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40" w:type="dxa"/>
            <w:vAlign w:val="bottom"/>
            <w:gridSpan w:val="6"/>
            <w:vMerge w:val="restart"/>
          </w:tcPr>
          <w:p>
            <w:pPr>
              <w:spacing w:after="0"/>
              <w:rPr>
                <w:sz w:val="20"/>
                <w:szCs w:val="20"/>
                <w:color w:val="auto"/>
              </w:rPr>
            </w:pPr>
            <w:r>
              <w:rPr>
                <w:rFonts w:ascii="Times New Roman" w:cs="Times New Roman" w:eastAsia="Times New Roman" w:hAnsi="Times New Roman"/>
                <w:sz w:val="12"/>
                <w:szCs w:val="12"/>
                <w:color w:val="auto"/>
              </w:rPr>
              <w:t>Total distributions</w:t>
            </w:r>
            <w:r>
              <w:rPr>
                <w:rFonts w:ascii="Times New Roman" w:cs="Times New Roman" w:eastAsia="Times New Roman" w:hAnsi="Times New Roman"/>
                <w:sz w:val="13"/>
                <w:szCs w:val="13"/>
                <w:color w:val="auto"/>
                <w:vertAlign w:val="superscript"/>
              </w:rPr>
              <w:t>(3)</w:t>
            </w: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1340" w:type="dxa"/>
            <w:vAlign w:val="bottom"/>
            <w:gridSpan w:val="6"/>
            <w:vMerge w:val="continue"/>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(0.45)</w:t>
            </w:r>
          </w:p>
        </w:tc>
        <w:tc>
          <w:tcPr>
            <w:tcW w:w="6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(0.83)</w:t>
            </w:r>
          </w:p>
        </w:tc>
        <w:tc>
          <w:tcPr>
            <w:tcW w:w="6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(0.99)</w:t>
            </w:r>
          </w:p>
        </w:tc>
        <w:tc>
          <w:tcPr>
            <w:tcW w:w="6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(1.64)</w:t>
            </w:r>
          </w:p>
        </w:tc>
        <w:tc>
          <w:tcPr>
            <w:tcW w:w="6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(1.64)</w:t>
            </w:r>
          </w:p>
        </w:tc>
        <w:tc>
          <w:tcPr>
            <w:tcW w:w="6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(1.66)</w:t>
            </w:r>
          </w:p>
        </w:tc>
        <w:tc>
          <w:tcPr>
            <w:tcW w:w="6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(2.49)</w:t>
            </w:r>
          </w:p>
        </w:tc>
        <w:tc>
          <w:tcPr>
            <w:tcW w:w="6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(2.50)</w:t>
            </w:r>
          </w:p>
        </w:tc>
        <w:tc>
          <w:tcPr>
            <w:tcW w:w="6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(2.42)</w:t>
            </w:r>
          </w:p>
        </w:tc>
        <w:tc>
          <w:tcPr>
            <w:tcW w:w="6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(2.86)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320" w:type="dxa"/>
            <w:vAlign w:val="bottom"/>
            <w:tcBorders>
              <w:top w:val="single" w:sz="8" w:color="CCEEFF"/>
            </w:tcBorders>
            <w:gridSpan w:val="5"/>
            <w:shd w:val="clear" w:color="auto" w:fill="CCEEFF"/>
          </w:tcPr>
          <w:p>
            <w:pPr>
              <w:spacing w:after="0" w:line="98" w:lineRule="exact"/>
              <w:rPr>
                <w:sz w:val="20"/>
                <w:szCs w:val="20"/>
                <w:color w:val="auto"/>
              </w:rPr>
            </w:pPr>
            <w:r>
              <w:rPr>
                <w:rFonts w:ascii="Times New Roman" w:cs="Times New Roman" w:eastAsia="Times New Roman" w:hAnsi="Times New Roman"/>
                <w:sz w:val="11"/>
                <w:szCs w:val="11"/>
                <w:color w:val="auto"/>
              </w:rPr>
              <w:t>Effect of shares</w:t>
            </w:r>
          </w:p>
        </w:tc>
        <w:tc>
          <w:tcPr>
            <w:tcW w:w="8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right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right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right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right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right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right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right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right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right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right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320" w:type="dxa"/>
            <w:vAlign w:val="bottom"/>
            <w:gridSpan w:val="5"/>
            <w:shd w:val="clear" w:color="auto" w:fill="CCEEFF"/>
          </w:tcPr>
          <w:p>
            <w:pPr>
              <w:ind w:left="160"/>
              <w:spacing w:after="0" w:line="127" w:lineRule="exact"/>
              <w:rPr>
                <w:sz w:val="20"/>
                <w:szCs w:val="20"/>
                <w:color w:val="auto"/>
              </w:rPr>
            </w:pPr>
            <w:r>
              <w:rPr>
                <w:rFonts w:ascii="Times New Roman" w:cs="Times New Roman" w:eastAsia="Times New Roman" w:hAnsi="Times New Roman"/>
                <w:sz w:val="12"/>
                <w:szCs w:val="12"/>
                <w:color w:val="auto"/>
              </w:rPr>
              <w:t>issued/repurchased,</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320" w:type="dxa"/>
            <w:vAlign w:val="bottom"/>
            <w:gridSpan w:val="5"/>
            <w:shd w:val="clear" w:color="auto" w:fill="CCEEFF"/>
          </w:tcPr>
          <w:p>
            <w:pPr>
              <w:ind w:left="160"/>
              <w:spacing w:after="0" w:line="127" w:lineRule="exact"/>
              <w:rPr>
                <w:sz w:val="20"/>
                <w:szCs w:val="20"/>
                <w:color w:val="auto"/>
              </w:rPr>
            </w:pPr>
            <w:r>
              <w:rPr>
                <w:rFonts w:ascii="Times New Roman" w:cs="Times New Roman" w:eastAsia="Times New Roman" w:hAnsi="Times New Roman"/>
                <w:sz w:val="12"/>
                <w:szCs w:val="12"/>
                <w:color w:val="auto"/>
              </w:rPr>
              <w:t>net of underwriting</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320" w:type="dxa"/>
            <w:vAlign w:val="bottom"/>
            <w:tcBorders>
              <w:bottom w:val="single" w:sz="8" w:color="CCEEFF"/>
            </w:tcBorders>
            <w:gridSpan w:val="5"/>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expense</w:t>
            </w:r>
          </w:p>
        </w:tc>
        <w:tc>
          <w:tcPr>
            <w:tcW w:w="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0.05</w:t>
            </w:r>
          </w:p>
        </w:tc>
        <w:tc>
          <w:tcPr>
            <w:tcW w:w="6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0.25</w:t>
            </w:r>
          </w:p>
        </w:tc>
        <w:tc>
          <w:tcPr>
            <w:tcW w:w="6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0.21</w:t>
            </w:r>
          </w:p>
        </w:tc>
        <w:tc>
          <w:tcPr>
            <w:tcW w:w="6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1.05</w:t>
            </w:r>
          </w:p>
        </w:tc>
        <w:tc>
          <w:tcPr>
            <w:tcW w:w="6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0.40</w:t>
            </w:r>
          </w:p>
        </w:tc>
        <w:tc>
          <w:tcPr>
            <w:tcW w:w="6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0.06</w:t>
            </w:r>
          </w:p>
        </w:tc>
        <w:tc>
          <w:tcPr>
            <w:tcW w:w="6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0.25</w:t>
            </w:r>
          </w:p>
        </w:tc>
        <w:tc>
          <w:tcPr>
            <w:tcW w:w="6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0.11</w:t>
            </w:r>
          </w:p>
        </w:tc>
        <w:tc>
          <w:tcPr>
            <w:tcW w:w="6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0.02</w:t>
            </w:r>
          </w:p>
        </w:tc>
        <w:tc>
          <w:tcPr>
            <w:tcW w:w="6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(0.13)</w:t>
            </w: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20" w:type="dxa"/>
            <w:vAlign w:val="bottom"/>
            <w:gridSpan w:val="5"/>
          </w:tcPr>
          <w:p>
            <w:pPr>
              <w:spacing w:after="0" w:line="111" w:lineRule="exact"/>
              <w:rPr>
                <w:sz w:val="20"/>
                <w:szCs w:val="20"/>
                <w:color w:val="auto"/>
              </w:rPr>
            </w:pPr>
            <w:r>
              <w:rPr>
                <w:rFonts w:ascii="Times New Roman" w:cs="Times New Roman" w:eastAsia="Times New Roman" w:hAnsi="Times New Roman"/>
                <w:sz w:val="12"/>
                <w:szCs w:val="12"/>
                <w:color w:val="auto"/>
              </w:rPr>
              <w:t>Effect of offering</w:t>
            </w: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320" w:type="dxa"/>
            <w:vAlign w:val="bottom"/>
            <w:gridSpan w:val="5"/>
          </w:tcPr>
          <w:p>
            <w:pPr>
              <w:ind w:left="160"/>
              <w:spacing w:after="0"/>
              <w:rPr>
                <w:sz w:val="20"/>
                <w:szCs w:val="20"/>
                <w:color w:val="auto"/>
              </w:rPr>
            </w:pPr>
            <w:r>
              <w:rPr>
                <w:rFonts w:ascii="Times New Roman" w:cs="Times New Roman" w:eastAsia="Times New Roman" w:hAnsi="Times New Roman"/>
                <w:sz w:val="12"/>
                <w:szCs w:val="12"/>
                <w:color w:val="auto"/>
              </w:rPr>
              <w:t>costs</w:t>
            </w:r>
          </w:p>
        </w:tc>
        <w:tc>
          <w:tcPr>
            <w:tcW w:w="8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(0.01)</w:t>
            </w:r>
          </w:p>
        </w:tc>
        <w:tc>
          <w:tcPr>
            <w:tcW w:w="6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(0.01)</w:t>
            </w:r>
          </w:p>
        </w:tc>
        <w:tc>
          <w:tcPr>
            <w:tcW w:w="60" w:type="dxa"/>
            <w:vAlign w:val="bottom"/>
          </w:tcPr>
          <w:p>
            <w:pPr>
              <w:spacing w:after="0"/>
              <w:rPr>
                <w:sz w:val="15"/>
                <w:szCs w:val="15"/>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(0.01)</w:t>
            </w:r>
          </w:p>
        </w:tc>
        <w:tc>
          <w:tcPr>
            <w:tcW w:w="6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(0.01)</w:t>
            </w:r>
          </w:p>
        </w:tc>
        <w:tc>
          <w:tcPr>
            <w:tcW w:w="6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(0.01)</w:t>
            </w:r>
          </w:p>
        </w:tc>
        <w:tc>
          <w:tcPr>
            <w:tcW w:w="60" w:type="dxa"/>
            <w:vAlign w:val="bottom"/>
          </w:tcPr>
          <w:p>
            <w:pPr>
              <w:spacing w:after="0"/>
              <w:rPr>
                <w:sz w:val="15"/>
                <w:szCs w:val="15"/>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(0.01)</w:t>
            </w:r>
          </w:p>
        </w:tc>
        <w:tc>
          <w:tcPr>
            <w:tcW w:w="6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(0.04)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320" w:type="dxa"/>
            <w:vAlign w:val="bottom"/>
            <w:tcBorders>
              <w:top w:val="single" w:sz="8" w:color="CCEEFF"/>
            </w:tcBorders>
            <w:gridSpan w:val="5"/>
            <w:shd w:val="clear" w:color="auto" w:fill="CCEEFF"/>
          </w:tcPr>
          <w:p>
            <w:pPr>
              <w:spacing w:after="0" w:line="98" w:lineRule="exact"/>
              <w:rPr>
                <w:sz w:val="20"/>
                <w:szCs w:val="20"/>
                <w:color w:val="auto"/>
              </w:rPr>
            </w:pPr>
            <w:r>
              <w:rPr>
                <w:rFonts w:ascii="Times New Roman" w:cs="Times New Roman" w:eastAsia="Times New Roman" w:hAnsi="Times New Roman"/>
                <w:sz w:val="11"/>
                <w:szCs w:val="11"/>
                <w:color w:val="auto"/>
              </w:rPr>
              <w:t>Effect of shares</w:t>
            </w:r>
          </w:p>
        </w:tc>
        <w:tc>
          <w:tcPr>
            <w:tcW w:w="8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right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right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right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right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right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right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right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right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right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right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320" w:type="dxa"/>
            <w:vAlign w:val="bottom"/>
            <w:gridSpan w:val="5"/>
            <w:shd w:val="clear" w:color="auto" w:fill="CCEEFF"/>
          </w:tcPr>
          <w:p>
            <w:pPr>
              <w:ind w:left="160"/>
              <w:spacing w:after="0" w:line="127" w:lineRule="exact"/>
              <w:rPr>
                <w:sz w:val="20"/>
                <w:szCs w:val="20"/>
                <w:color w:val="auto"/>
              </w:rPr>
            </w:pPr>
            <w:r>
              <w:rPr>
                <w:rFonts w:ascii="Times New Roman" w:cs="Times New Roman" w:eastAsia="Times New Roman" w:hAnsi="Times New Roman"/>
                <w:sz w:val="12"/>
                <w:szCs w:val="12"/>
                <w:color w:val="auto"/>
              </w:rPr>
              <w:t>issued/repurchased,</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32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net</w:t>
            </w:r>
          </w:p>
        </w:tc>
        <w:tc>
          <w:tcPr>
            <w:tcW w:w="80" w:type="dxa"/>
            <w:vAlign w:val="bottom"/>
            <w:shd w:val="clear" w:color="auto" w:fill="CCEEFF"/>
          </w:tcPr>
          <w:p>
            <w:pPr>
              <w:spacing w:after="0"/>
              <w:rPr>
                <w:sz w:val="15"/>
                <w:szCs w:val="15"/>
                <w:color w:val="auto"/>
              </w:rPr>
            </w:pPr>
          </w:p>
        </w:tc>
        <w:tc>
          <w:tcPr>
            <w:tcW w:w="8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0.05</w:t>
            </w:r>
          </w:p>
        </w:tc>
        <w:tc>
          <w:tcPr>
            <w:tcW w:w="60" w:type="dxa"/>
            <w:vAlign w:val="bottom"/>
            <w:shd w:val="clear" w:color="auto" w:fill="CCEEFF"/>
          </w:tcPr>
          <w:p>
            <w:pPr>
              <w:spacing w:after="0"/>
              <w:rPr>
                <w:sz w:val="15"/>
                <w:szCs w:val="15"/>
                <w:color w:val="auto"/>
              </w:rPr>
            </w:pPr>
          </w:p>
        </w:tc>
        <w:tc>
          <w:tcPr>
            <w:tcW w:w="7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0.25</w:t>
            </w:r>
          </w:p>
        </w:tc>
        <w:tc>
          <w:tcPr>
            <w:tcW w:w="60" w:type="dxa"/>
            <w:vAlign w:val="bottom"/>
            <w:shd w:val="clear" w:color="auto" w:fill="CCEEFF"/>
          </w:tcPr>
          <w:p>
            <w:pPr>
              <w:spacing w:after="0"/>
              <w:rPr>
                <w:sz w:val="15"/>
                <w:szCs w:val="15"/>
                <w:color w:val="auto"/>
              </w:rPr>
            </w:pP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0.21</w:t>
            </w:r>
          </w:p>
        </w:tc>
        <w:tc>
          <w:tcPr>
            <w:tcW w:w="60" w:type="dxa"/>
            <w:vAlign w:val="bottom"/>
            <w:shd w:val="clear" w:color="auto" w:fill="CCEEFF"/>
          </w:tcPr>
          <w:p>
            <w:pPr>
              <w:spacing w:after="0"/>
              <w:rPr>
                <w:sz w:val="15"/>
                <w:szCs w:val="15"/>
                <w:color w:val="auto"/>
              </w:rPr>
            </w:pPr>
          </w:p>
        </w:tc>
        <w:tc>
          <w:tcPr>
            <w:tcW w:w="7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1.04</w:t>
            </w:r>
          </w:p>
        </w:tc>
        <w:tc>
          <w:tcPr>
            <w:tcW w:w="60" w:type="dxa"/>
            <w:vAlign w:val="bottom"/>
            <w:shd w:val="clear" w:color="auto" w:fill="CCEEFF"/>
          </w:tcPr>
          <w:p>
            <w:pPr>
              <w:spacing w:after="0"/>
              <w:rPr>
                <w:sz w:val="15"/>
                <w:szCs w:val="15"/>
                <w:color w:val="auto"/>
              </w:rPr>
            </w:pPr>
          </w:p>
        </w:tc>
        <w:tc>
          <w:tcPr>
            <w:tcW w:w="7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0.39</w:t>
            </w:r>
          </w:p>
        </w:tc>
        <w:tc>
          <w:tcPr>
            <w:tcW w:w="60" w:type="dxa"/>
            <w:vAlign w:val="bottom"/>
            <w:shd w:val="clear" w:color="auto" w:fill="CCEEFF"/>
          </w:tcPr>
          <w:p>
            <w:pPr>
              <w:spacing w:after="0"/>
              <w:rPr>
                <w:sz w:val="15"/>
                <w:szCs w:val="15"/>
                <w:color w:val="auto"/>
              </w:rPr>
            </w:pPr>
          </w:p>
        </w:tc>
        <w:tc>
          <w:tcPr>
            <w:tcW w:w="6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0.05</w:t>
            </w:r>
          </w:p>
        </w:tc>
        <w:tc>
          <w:tcPr>
            <w:tcW w:w="60" w:type="dxa"/>
            <w:vAlign w:val="bottom"/>
            <w:shd w:val="clear" w:color="auto" w:fill="CCEEFF"/>
          </w:tcPr>
          <w:p>
            <w:pPr>
              <w:spacing w:after="0"/>
              <w:rPr>
                <w:sz w:val="15"/>
                <w:szCs w:val="15"/>
                <w:color w:val="auto"/>
              </w:rPr>
            </w:pPr>
          </w:p>
        </w:tc>
        <w:tc>
          <w:tcPr>
            <w:tcW w:w="7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0.24</w:t>
            </w:r>
          </w:p>
        </w:tc>
        <w:tc>
          <w:tcPr>
            <w:tcW w:w="60" w:type="dxa"/>
            <w:vAlign w:val="bottom"/>
            <w:shd w:val="clear" w:color="auto" w:fill="CCEEFF"/>
          </w:tcPr>
          <w:p>
            <w:pPr>
              <w:spacing w:after="0"/>
              <w:rPr>
                <w:sz w:val="15"/>
                <w:szCs w:val="15"/>
                <w:color w:val="auto"/>
              </w:rPr>
            </w:pPr>
          </w:p>
        </w:tc>
        <w:tc>
          <w:tcPr>
            <w:tcW w:w="7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0.10</w:t>
            </w:r>
          </w:p>
        </w:tc>
        <w:tc>
          <w:tcPr>
            <w:tcW w:w="60" w:type="dxa"/>
            <w:vAlign w:val="bottom"/>
            <w:shd w:val="clear" w:color="auto" w:fill="CCEEFF"/>
          </w:tcPr>
          <w:p>
            <w:pPr>
              <w:spacing w:after="0"/>
              <w:rPr>
                <w:sz w:val="15"/>
                <w:szCs w:val="15"/>
                <w:color w:val="auto"/>
              </w:rPr>
            </w:pPr>
          </w:p>
        </w:tc>
        <w:tc>
          <w:tcPr>
            <w:tcW w:w="6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0.01</w:t>
            </w:r>
          </w:p>
        </w:tc>
        <w:tc>
          <w:tcPr>
            <w:tcW w:w="60" w:type="dxa"/>
            <w:vAlign w:val="bottom"/>
            <w:shd w:val="clear" w:color="auto" w:fill="CCEEFF"/>
          </w:tcPr>
          <w:p>
            <w:pPr>
              <w:spacing w:after="0"/>
              <w:rPr>
                <w:sz w:val="15"/>
                <w:szCs w:val="15"/>
                <w:color w:val="auto"/>
              </w:rPr>
            </w:pPr>
          </w:p>
        </w:tc>
        <w:tc>
          <w:tcPr>
            <w:tcW w:w="7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(0.17)</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320" w:type="dxa"/>
            <w:vAlign w:val="bottom"/>
            <w:gridSpan w:val="5"/>
          </w:tcPr>
          <w:p>
            <w:pPr>
              <w:spacing w:after="0" w:line="91" w:lineRule="exact"/>
              <w:rPr>
                <w:sz w:val="20"/>
                <w:szCs w:val="20"/>
                <w:color w:val="auto"/>
              </w:rPr>
            </w:pPr>
            <w:r>
              <w:rPr>
                <w:rFonts w:ascii="Times New Roman" w:cs="Times New Roman" w:eastAsia="Times New Roman" w:hAnsi="Times New Roman"/>
                <w:sz w:val="9"/>
                <w:szCs w:val="9"/>
                <w:color w:val="auto"/>
              </w:rPr>
              <w:t>Net asset value at end of</w:t>
            </w:r>
          </w:p>
        </w:tc>
        <w:tc>
          <w:tcPr>
            <w:tcW w:w="8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320" w:type="dxa"/>
            <w:vAlign w:val="bottom"/>
            <w:gridSpan w:val="5"/>
          </w:tcPr>
          <w:p>
            <w:pPr>
              <w:ind w:left="160"/>
              <w:spacing w:after="0"/>
              <w:rPr>
                <w:sz w:val="20"/>
                <w:szCs w:val="20"/>
                <w:color w:val="auto"/>
              </w:rPr>
            </w:pPr>
            <w:r>
              <w:rPr>
                <w:rFonts w:ascii="Times New Roman" w:cs="Times New Roman" w:eastAsia="Times New Roman" w:hAnsi="Times New Roman"/>
                <w:sz w:val="12"/>
                <w:szCs w:val="12"/>
                <w:color w:val="auto"/>
              </w:rPr>
              <w:t>year/period</w:t>
            </w: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4.93</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6.56</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5.94</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3.58</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8.32</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10.08</w:t>
            </w:r>
          </w:p>
        </w:tc>
        <w:tc>
          <w:tcPr>
            <w:tcW w:w="14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10.20</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7.04</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14.08</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16.26</w:t>
            </w: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320" w:type="dxa"/>
            <w:vAlign w:val="bottom"/>
            <w:tcBorders>
              <w:top w:val="single" w:sz="8" w:color="CCEEFF"/>
            </w:tcBorders>
            <w:gridSpan w:val="5"/>
            <w:shd w:val="clear" w:color="auto" w:fill="CCEEFF"/>
          </w:tcPr>
          <w:p>
            <w:pPr>
              <w:spacing w:after="0" w:line="65" w:lineRule="exact"/>
              <w:rPr>
                <w:sz w:val="20"/>
                <w:szCs w:val="20"/>
                <w:color w:val="auto"/>
              </w:rPr>
            </w:pPr>
            <w:r>
              <w:rPr>
                <w:rFonts w:ascii="Times New Roman" w:cs="Times New Roman" w:eastAsia="Times New Roman" w:hAnsi="Times New Roman"/>
                <w:sz w:val="7"/>
                <w:szCs w:val="7"/>
                <w:color w:val="auto"/>
              </w:rPr>
              <w:t>Per share market value at</w:t>
            </w:r>
          </w:p>
        </w:tc>
        <w:tc>
          <w:tcPr>
            <w:tcW w:w="80" w:type="dxa"/>
            <w:vAlign w:val="bottom"/>
            <w:tcBorders>
              <w:top w:val="single" w:sz="8" w:color="auto"/>
            </w:tcBorders>
            <w:shd w:val="clear" w:color="auto" w:fill="CCEEFF"/>
          </w:tcPr>
          <w:p>
            <w:pPr>
              <w:spacing w:after="0"/>
              <w:rPr>
                <w:sz w:val="5"/>
                <w:szCs w:val="5"/>
                <w:color w:val="auto"/>
              </w:rPr>
            </w:pPr>
          </w:p>
        </w:tc>
        <w:tc>
          <w:tcPr>
            <w:tcW w:w="60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right w:val="single" w:sz="8" w:color="CCEEFF"/>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60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right w:val="single" w:sz="8" w:color="CCEEFF"/>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600" w:type="dxa"/>
            <w:vAlign w:val="bottom"/>
            <w:tcBorders>
              <w:top w:val="single" w:sz="8" w:color="auto"/>
            </w:tcBorders>
            <w:shd w:val="clear" w:color="auto" w:fill="CCEEFF"/>
          </w:tcPr>
          <w:p>
            <w:pPr>
              <w:spacing w:after="0"/>
              <w:rPr>
                <w:sz w:val="5"/>
                <w:szCs w:val="5"/>
                <w:color w:val="auto"/>
              </w:rPr>
            </w:pPr>
          </w:p>
        </w:tc>
        <w:tc>
          <w:tcPr>
            <w:tcW w:w="140" w:type="dxa"/>
            <w:vAlign w:val="bottom"/>
            <w:tcBorders>
              <w:top w:val="single" w:sz="8" w:color="CCEEFF"/>
              <w:right w:val="single" w:sz="8" w:color="CCEEFF"/>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right w:val="single" w:sz="8" w:color="CCEEFF"/>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right w:val="single" w:sz="8" w:color="CCEEFF"/>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140" w:type="dxa"/>
            <w:vAlign w:val="bottom"/>
            <w:tcBorders>
              <w:top w:val="single" w:sz="8" w:color="CCEEFF"/>
              <w:right w:val="single" w:sz="8" w:color="CCEEFF"/>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right w:val="single" w:sz="8" w:color="CCEEFF"/>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right w:val="single" w:sz="8" w:color="CCEEFF"/>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140" w:type="dxa"/>
            <w:vAlign w:val="bottom"/>
            <w:tcBorders>
              <w:top w:val="single" w:sz="8" w:color="CCEEFF"/>
              <w:right w:val="single" w:sz="8" w:color="CCEEFF"/>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right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320" w:type="dxa"/>
            <w:vAlign w:val="bottom"/>
            <w:gridSpan w:val="5"/>
            <w:shd w:val="clear" w:color="auto" w:fill="CCEEFF"/>
          </w:tcPr>
          <w:p>
            <w:pPr>
              <w:ind w:left="160"/>
              <w:spacing w:after="0" w:line="127" w:lineRule="exact"/>
              <w:rPr>
                <w:sz w:val="20"/>
                <w:szCs w:val="20"/>
                <w:color w:val="auto"/>
              </w:rPr>
            </w:pPr>
            <w:r>
              <w:rPr>
                <w:rFonts w:ascii="Times New Roman" w:cs="Times New Roman" w:eastAsia="Times New Roman" w:hAnsi="Times New Roman"/>
                <w:sz w:val="12"/>
                <w:szCs w:val="12"/>
                <w:color w:val="auto"/>
              </w:rPr>
              <w:t>beginning of</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320" w:type="dxa"/>
            <w:vAlign w:val="bottom"/>
            <w:tcBorders>
              <w:bottom w:val="single" w:sz="8" w:color="CCEEFF"/>
            </w:tcBorders>
            <w:gridSpan w:val="5"/>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year/period</w:t>
            </w:r>
          </w:p>
        </w:tc>
        <w:tc>
          <w:tcPr>
            <w:tcW w:w="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CCEEFF"/>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7.24</w:t>
            </w: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CCEEFF"/>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6.30</w:t>
            </w: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CCEEFF"/>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4.17</w:t>
            </w: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CCEEFF"/>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9.84</w:t>
            </w: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CCEEFF"/>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10.13</w:t>
            </w: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11.13</w:t>
            </w:r>
          </w:p>
        </w:tc>
        <w:tc>
          <w:tcPr>
            <w:tcW w:w="140" w:type="dxa"/>
            <w:vAlign w:val="bottom"/>
            <w:tcBorders>
              <w:bottom w:val="single" w:sz="8" w:color="CCEEFF"/>
              <w:right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CCEEFF"/>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8.45</w:t>
            </w: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CCEEFF"/>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14.82</w:t>
            </w: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CCEEFF"/>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16.70</w:t>
            </w: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CCEEFF"/>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15.98</w:t>
            </w:r>
          </w:p>
        </w:tc>
        <w:tc>
          <w:tcPr>
            <w:tcW w:w="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20" w:type="dxa"/>
            <w:vAlign w:val="bottom"/>
            <w:gridSpan w:val="5"/>
          </w:tcPr>
          <w:p>
            <w:pPr>
              <w:spacing w:after="0" w:line="111" w:lineRule="exact"/>
              <w:rPr>
                <w:sz w:val="20"/>
                <w:szCs w:val="20"/>
                <w:color w:val="auto"/>
              </w:rPr>
            </w:pPr>
            <w:r>
              <w:rPr>
                <w:rFonts w:ascii="Times New Roman" w:cs="Times New Roman" w:eastAsia="Times New Roman" w:hAnsi="Times New Roman"/>
                <w:sz w:val="12"/>
                <w:szCs w:val="12"/>
                <w:color w:val="auto"/>
              </w:rPr>
              <w:t>Per share market value at</w:t>
            </w: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320" w:type="dxa"/>
            <w:vAlign w:val="bottom"/>
            <w:gridSpan w:val="5"/>
          </w:tcPr>
          <w:p>
            <w:pPr>
              <w:ind w:left="160"/>
              <w:spacing w:after="0"/>
              <w:rPr>
                <w:sz w:val="20"/>
                <w:szCs w:val="20"/>
                <w:color w:val="auto"/>
              </w:rPr>
            </w:pPr>
            <w:r>
              <w:rPr>
                <w:rFonts w:ascii="Times New Roman" w:cs="Times New Roman" w:eastAsia="Times New Roman" w:hAnsi="Times New Roman"/>
                <w:sz w:val="12"/>
                <w:szCs w:val="12"/>
                <w:color w:val="auto"/>
              </w:rPr>
              <w:t>end of year/period</w:t>
            </w: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5.17</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7.24</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6.30</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4.17</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9.84</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10.13</w:t>
            </w:r>
          </w:p>
        </w:tc>
        <w:tc>
          <w:tcPr>
            <w:tcW w:w="14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11.13</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8.45</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14.82</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16.70</w:t>
            </w: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vMerge w:val="continue"/>
          </w:tcPr>
          <w:p>
            <w:pPr>
              <w:spacing w:after="0"/>
              <w:rPr>
                <w:sz w:val="10"/>
                <w:szCs w:val="10"/>
                <w:color w:val="auto"/>
              </w:rPr>
            </w:pPr>
          </w:p>
        </w:tc>
        <w:tc>
          <w:tcPr>
            <w:tcW w:w="1320" w:type="dxa"/>
            <w:vAlign w:val="bottom"/>
            <w:gridSpan w:val="5"/>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Total return based on</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32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market value</w:t>
            </w:r>
            <w:r>
              <w:rPr>
                <w:rFonts w:ascii="Times New Roman" w:cs="Times New Roman" w:eastAsia="Times New Roman" w:hAnsi="Times New Roman"/>
                <w:sz w:val="13"/>
                <w:szCs w:val="13"/>
                <w:color w:val="auto"/>
                <w:vertAlign w:val="superscript"/>
              </w:rPr>
              <w:t>(4)</w:t>
            </w:r>
          </w:p>
        </w:tc>
        <w:tc>
          <w:tcPr>
            <w:tcW w:w="80" w:type="dxa"/>
            <w:vAlign w:val="bottom"/>
            <w:shd w:val="clear" w:color="auto" w:fill="CCEEFF"/>
          </w:tcPr>
          <w:p>
            <w:pPr>
              <w:spacing w:after="0"/>
              <w:rPr>
                <w:sz w:val="16"/>
                <w:szCs w:val="16"/>
                <w:color w:val="auto"/>
              </w:rPr>
            </w:pPr>
          </w:p>
        </w:tc>
        <w:tc>
          <w:tcPr>
            <w:tcW w:w="82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(23.18)%</w:t>
            </w:r>
          </w:p>
        </w:tc>
        <w:tc>
          <w:tcPr>
            <w:tcW w:w="60" w:type="dxa"/>
            <w:vAlign w:val="bottom"/>
            <w:shd w:val="clear" w:color="auto" w:fill="CCEEFF"/>
          </w:tcPr>
          <w:p>
            <w:pPr>
              <w:spacing w:after="0"/>
              <w:rPr>
                <w:sz w:val="16"/>
                <w:szCs w:val="16"/>
                <w:color w:val="auto"/>
              </w:rPr>
            </w:pPr>
          </w:p>
        </w:tc>
        <w:tc>
          <w:tcPr>
            <w:tcW w:w="76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28.56%</w:t>
            </w:r>
          </w:p>
        </w:tc>
        <w:tc>
          <w:tcPr>
            <w:tcW w:w="60" w:type="dxa"/>
            <w:vAlign w:val="bottom"/>
            <w:shd w:val="clear" w:color="auto" w:fill="CCEEFF"/>
          </w:tcPr>
          <w:p>
            <w:pPr>
              <w:spacing w:after="0"/>
              <w:rPr>
                <w:sz w:val="16"/>
                <w:szCs w:val="16"/>
                <w:color w:val="auto"/>
              </w:rPr>
            </w:pPr>
          </w:p>
        </w:tc>
        <w:tc>
          <w:tcPr>
            <w:tcW w:w="74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87.87%</w:t>
            </w:r>
          </w:p>
        </w:tc>
        <w:tc>
          <w:tcPr>
            <w:tcW w:w="60" w:type="dxa"/>
            <w:vAlign w:val="bottom"/>
            <w:shd w:val="clear" w:color="auto" w:fill="CCEEFF"/>
          </w:tcPr>
          <w:p>
            <w:pPr>
              <w:spacing w:after="0"/>
              <w:rPr>
                <w:sz w:val="16"/>
                <w:szCs w:val="16"/>
                <w:color w:val="auto"/>
              </w:rPr>
            </w:pPr>
          </w:p>
        </w:tc>
        <w:tc>
          <w:tcPr>
            <w:tcW w:w="74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(48.71)%</w:t>
            </w:r>
          </w:p>
        </w:tc>
        <w:tc>
          <w:tcPr>
            <w:tcW w:w="60" w:type="dxa"/>
            <w:vAlign w:val="bottom"/>
            <w:shd w:val="clear" w:color="auto" w:fill="CCEEFF"/>
          </w:tcPr>
          <w:p>
            <w:pPr>
              <w:spacing w:after="0"/>
              <w:rPr>
                <w:sz w:val="16"/>
                <w:szCs w:val="16"/>
                <w:color w:val="auto"/>
              </w:rPr>
            </w:pPr>
          </w:p>
        </w:tc>
        <w:tc>
          <w:tcPr>
            <w:tcW w:w="7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13.47%</w:t>
            </w:r>
          </w:p>
        </w:tc>
        <w:tc>
          <w:tcPr>
            <w:tcW w:w="60" w:type="dxa"/>
            <w:vAlign w:val="bottom"/>
            <w:shd w:val="clear" w:color="auto" w:fill="CCEEFF"/>
          </w:tcPr>
          <w:p>
            <w:pPr>
              <w:spacing w:after="0"/>
              <w:rPr>
                <w:sz w:val="16"/>
                <w:szCs w:val="16"/>
                <w:color w:val="auto"/>
              </w:rPr>
            </w:pPr>
          </w:p>
        </w:tc>
        <w:tc>
          <w:tcPr>
            <w:tcW w:w="68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6.41%</w:t>
            </w:r>
          </w:p>
        </w:tc>
        <w:tc>
          <w:tcPr>
            <w:tcW w:w="60" w:type="dxa"/>
            <w:vAlign w:val="bottom"/>
            <w:shd w:val="clear" w:color="auto" w:fill="CCEEFF"/>
          </w:tcPr>
          <w:p>
            <w:pPr>
              <w:spacing w:after="0"/>
              <w:rPr>
                <w:sz w:val="16"/>
                <w:szCs w:val="16"/>
                <w:color w:val="auto"/>
              </w:rPr>
            </w:pPr>
          </w:p>
        </w:tc>
        <w:tc>
          <w:tcPr>
            <w:tcW w:w="70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66.38%</w:t>
            </w:r>
          </w:p>
        </w:tc>
        <w:tc>
          <w:tcPr>
            <w:tcW w:w="60" w:type="dxa"/>
            <w:vAlign w:val="bottom"/>
            <w:shd w:val="clear" w:color="auto" w:fill="CCEEFF"/>
          </w:tcPr>
          <w:p>
            <w:pPr>
              <w:spacing w:after="0"/>
              <w:rPr>
                <w:sz w:val="16"/>
                <w:szCs w:val="16"/>
                <w:color w:val="auto"/>
              </w:rPr>
            </w:pPr>
          </w:p>
        </w:tc>
        <w:tc>
          <w:tcPr>
            <w:tcW w:w="72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(28.97)%</w:t>
            </w:r>
          </w:p>
        </w:tc>
        <w:tc>
          <w:tcPr>
            <w:tcW w:w="60" w:type="dxa"/>
            <w:vAlign w:val="bottom"/>
            <w:shd w:val="clear" w:color="auto" w:fill="CCEEFF"/>
          </w:tcPr>
          <w:p>
            <w:pPr>
              <w:spacing w:after="0"/>
              <w:rPr>
                <w:sz w:val="16"/>
                <w:szCs w:val="16"/>
                <w:color w:val="auto"/>
              </w:rPr>
            </w:pPr>
          </w:p>
        </w:tc>
        <w:tc>
          <w:tcPr>
            <w:tcW w:w="68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3.34%</w:t>
            </w:r>
          </w:p>
        </w:tc>
        <w:tc>
          <w:tcPr>
            <w:tcW w:w="60" w:type="dxa"/>
            <w:vAlign w:val="bottom"/>
            <w:shd w:val="clear" w:color="auto" w:fill="CCEEFF"/>
          </w:tcPr>
          <w:p>
            <w:pPr>
              <w:spacing w:after="0"/>
              <w:rPr>
                <w:sz w:val="16"/>
                <w:szCs w:val="16"/>
                <w:color w:val="auto"/>
              </w:rPr>
            </w:pPr>
          </w:p>
        </w:tc>
        <w:tc>
          <w:tcPr>
            <w:tcW w:w="70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20.23%</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20" w:type="dxa"/>
            <w:vAlign w:val="bottom"/>
            <w:gridSpan w:val="5"/>
          </w:tcPr>
          <w:p>
            <w:pPr>
              <w:spacing w:after="0" w:line="111" w:lineRule="exact"/>
              <w:rPr>
                <w:sz w:val="20"/>
                <w:szCs w:val="20"/>
                <w:color w:val="auto"/>
              </w:rPr>
            </w:pPr>
            <w:r>
              <w:rPr>
                <w:rFonts w:ascii="Times New Roman" w:cs="Times New Roman" w:eastAsia="Times New Roman" w:hAnsi="Times New Roman"/>
                <w:sz w:val="12"/>
                <w:szCs w:val="12"/>
                <w:color w:val="auto"/>
              </w:rPr>
              <w:t>Total return based on net</w:t>
            </w: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320" w:type="dxa"/>
            <w:vAlign w:val="bottom"/>
            <w:gridSpan w:val="5"/>
          </w:tcPr>
          <w:p>
            <w:pPr>
              <w:ind w:left="160"/>
              <w:spacing w:after="0"/>
              <w:rPr>
                <w:sz w:val="20"/>
                <w:szCs w:val="20"/>
                <w:color w:val="auto"/>
              </w:rPr>
            </w:pPr>
            <w:r>
              <w:rPr>
                <w:rFonts w:ascii="Times New Roman" w:cs="Times New Roman" w:eastAsia="Times New Roman" w:hAnsi="Times New Roman"/>
                <w:sz w:val="12"/>
                <w:szCs w:val="12"/>
                <w:color w:val="auto"/>
              </w:rPr>
              <w:t>asset</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20" w:type="dxa"/>
            <w:vAlign w:val="bottom"/>
            <w:gridSpan w:val="5"/>
          </w:tcPr>
          <w:p>
            <w:pPr>
              <w:ind w:left="160"/>
              <w:spacing w:after="0"/>
              <w:rPr>
                <w:sz w:val="20"/>
                <w:szCs w:val="20"/>
                <w:color w:val="auto"/>
              </w:rPr>
            </w:pPr>
            <w:r>
              <w:rPr>
                <w:rFonts w:ascii="Times New Roman" w:cs="Times New Roman" w:eastAsia="Times New Roman" w:hAnsi="Times New Roman"/>
                <w:sz w:val="12"/>
                <w:szCs w:val="12"/>
                <w:color w:val="auto"/>
              </w:rPr>
              <w:t>value</w:t>
            </w:r>
            <w:r>
              <w:rPr>
                <w:rFonts w:ascii="Times New Roman" w:cs="Times New Roman" w:eastAsia="Times New Roman" w:hAnsi="Times New Roman"/>
                <w:sz w:val="13"/>
                <w:szCs w:val="13"/>
                <w:color w:val="auto"/>
                <w:vertAlign w:val="superscript"/>
              </w:rPr>
              <w:t>(5)</w:t>
            </w:r>
          </w:p>
        </w:tc>
        <w:tc>
          <w:tcPr>
            <w:tcW w:w="80" w:type="dxa"/>
            <w:vAlign w:val="bottom"/>
          </w:tcPr>
          <w:p>
            <w:pPr>
              <w:spacing w:after="0"/>
              <w:rPr>
                <w:sz w:val="15"/>
                <w:szCs w:val="15"/>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(17.99)%</w:t>
            </w:r>
          </w:p>
        </w:tc>
        <w:tc>
          <w:tcPr>
            <w:tcW w:w="6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24.45%</w:t>
            </w:r>
          </w:p>
        </w:tc>
        <w:tc>
          <w:tcPr>
            <w:tcW w:w="60" w:type="dxa"/>
            <w:vAlign w:val="bottom"/>
          </w:tcPr>
          <w:p>
            <w:pPr>
              <w:spacing w:after="0"/>
              <w:rPr>
                <w:sz w:val="15"/>
                <w:szCs w:val="15"/>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94.20%</w:t>
            </w:r>
          </w:p>
        </w:tc>
        <w:tc>
          <w:tcPr>
            <w:tcW w:w="60" w:type="dxa"/>
            <w:vAlign w:val="bottom"/>
          </w:tcPr>
          <w:p>
            <w:pPr>
              <w:spacing w:after="0"/>
              <w:rPr>
                <w:sz w:val="15"/>
                <w:szCs w:val="15"/>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(37.50)%</w:t>
            </w:r>
          </w:p>
        </w:tc>
        <w:tc>
          <w:tcPr>
            <w:tcW w:w="60" w:type="dxa"/>
            <w:vAlign w:val="bottom"/>
          </w:tcPr>
          <w:p>
            <w:pPr>
              <w:spacing w:after="0"/>
              <w:rPr>
                <w:sz w:val="15"/>
                <w:szCs w:val="15"/>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(1.39)%</w:t>
            </w:r>
          </w:p>
        </w:tc>
        <w:tc>
          <w:tcPr>
            <w:tcW w:w="60" w:type="dxa"/>
            <w:vAlign w:val="bottom"/>
          </w:tcPr>
          <w:p>
            <w:pPr>
              <w:spacing w:after="0"/>
              <w:rPr>
                <w:sz w:val="15"/>
                <w:szCs w:val="15"/>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14.56%</w:t>
            </w:r>
          </w:p>
        </w:tc>
        <w:tc>
          <w:tcPr>
            <w:tcW w:w="60" w:type="dxa"/>
            <w:vAlign w:val="bottom"/>
          </w:tcPr>
          <w:p>
            <w:pPr>
              <w:spacing w:after="0"/>
              <w:rPr>
                <w:sz w:val="15"/>
                <w:szCs w:val="15"/>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78.98%</w:t>
            </w:r>
          </w:p>
        </w:tc>
        <w:tc>
          <w:tcPr>
            <w:tcW w:w="60" w:type="dxa"/>
            <w:vAlign w:val="bottom"/>
          </w:tcPr>
          <w:p>
            <w:pPr>
              <w:spacing w:after="0"/>
              <w:rPr>
                <w:sz w:val="15"/>
                <w:szCs w:val="15"/>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(32.95)%</w:t>
            </w:r>
          </w:p>
        </w:tc>
        <w:tc>
          <w:tcPr>
            <w:tcW w:w="60" w:type="dxa"/>
            <w:vAlign w:val="bottom"/>
          </w:tcPr>
          <w:p>
            <w:pPr>
              <w:spacing w:after="0"/>
              <w:rPr>
                <w:sz w:val="15"/>
                <w:szCs w:val="15"/>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1.35%</w:t>
            </w:r>
          </w:p>
        </w:tc>
        <w:tc>
          <w:tcPr>
            <w:tcW w:w="60" w:type="dxa"/>
            <w:vAlign w:val="bottom"/>
          </w:tcPr>
          <w:p>
            <w:pPr>
              <w:spacing w:after="0"/>
              <w:rPr>
                <w:sz w:val="15"/>
                <w:szCs w:val="15"/>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14.88%</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320" w:type="dxa"/>
            <w:vAlign w:val="bottom"/>
            <w:gridSpan w:val="5"/>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Shares outstanding at end</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320" w:type="dxa"/>
            <w:vAlign w:val="bottom"/>
            <w:tcBorders>
              <w:bottom w:val="single" w:sz="8" w:color="CCEEFF"/>
            </w:tcBorders>
            <w:gridSpan w:val="5"/>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of year/period</w:t>
            </w:r>
          </w:p>
        </w:tc>
        <w:tc>
          <w:tcPr>
            <w:tcW w:w="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6"/>
              </w:rPr>
              <w:t>158,889,507</w:t>
            </w:r>
          </w:p>
        </w:tc>
        <w:tc>
          <w:tcPr>
            <w:tcW w:w="220" w:type="dxa"/>
            <w:vAlign w:val="bottom"/>
            <w:tcBorders>
              <w:bottom w:val="single" w:sz="8" w:color="CCEEFF"/>
              <w:right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6"/>
              </w:rPr>
              <w:t>144,478,402</w:t>
            </w:r>
          </w:p>
        </w:tc>
        <w:tc>
          <w:tcPr>
            <w:tcW w:w="160" w:type="dxa"/>
            <w:vAlign w:val="bottom"/>
            <w:tcBorders>
              <w:bottom w:val="single" w:sz="8" w:color="CCEEFF"/>
              <w:right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6"/>
              </w:rPr>
              <w:t>100,452,835</w:t>
            </w:r>
          </w:p>
        </w:tc>
        <w:tc>
          <w:tcPr>
            <w:tcW w:w="6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6"/>
              </w:rPr>
              <w:t>75,183,153</w:t>
            </w:r>
          </w:p>
        </w:tc>
        <w:tc>
          <w:tcPr>
            <w:tcW w:w="6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2"/>
              </w:rPr>
              <w:t>42,547,801</w:t>
            </w:r>
          </w:p>
        </w:tc>
        <w:tc>
          <w:tcPr>
            <w:tcW w:w="6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6"/>
              </w:rPr>
              <w:t>28,768,899</w:t>
            </w:r>
          </w:p>
        </w:tc>
        <w:tc>
          <w:tcPr>
            <w:tcW w:w="6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6"/>
              </w:rPr>
              <w:t>22,751,432</w:t>
            </w:r>
          </w:p>
        </w:tc>
        <w:tc>
          <w:tcPr>
            <w:tcW w:w="6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2"/>
              </w:rPr>
              <w:t>18,751,696</w:t>
            </w:r>
          </w:p>
        </w:tc>
        <w:tc>
          <w:tcPr>
            <w:tcW w:w="6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6"/>
              </w:rPr>
              <w:t>15,972,381</w:t>
            </w:r>
          </w:p>
        </w:tc>
        <w:tc>
          <w:tcPr>
            <w:tcW w:w="6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6"/>
              </w:rPr>
              <w:t>15,240,729</w:t>
            </w: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5"/>
              </w:rPr>
              <w:t>7,60</w:t>
            </w:r>
          </w:p>
        </w:tc>
        <w:tc>
          <w:tcPr>
            <w:tcW w:w="0" w:type="dxa"/>
            <w:vAlign w:val="bottom"/>
          </w:tcPr>
          <w:p>
            <w:pPr>
              <w:spacing w:after="0"/>
              <w:rPr>
                <w:sz w:val="1"/>
                <w:szCs w:val="1"/>
                <w:color w:val="auto"/>
              </w:rPr>
            </w:pPr>
          </w:p>
        </w:tc>
      </w:tr>
      <w:tr>
        <w:trPr>
          <w:trHeight w:val="266"/>
        </w:trPr>
        <w:tc>
          <w:tcPr>
            <w:tcW w:w="20" w:type="dxa"/>
            <w:vAlign w:val="bottom"/>
            <w:vMerge w:val="restart"/>
          </w:tcPr>
          <w:p>
            <w:pPr>
              <w:spacing w:after="0"/>
              <w:rPr>
                <w:sz w:val="23"/>
                <w:szCs w:val="23"/>
                <w:color w:val="auto"/>
              </w:rPr>
            </w:pP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20" w:type="dxa"/>
            <w:vAlign w:val="bottom"/>
            <w:vMerge w:val="continue"/>
          </w:tcPr>
          <w:p>
            <w:pPr>
              <w:spacing w:after="0"/>
              <w:rPr>
                <w:sz w:val="9"/>
                <w:szCs w:val="9"/>
                <w:color w:val="auto"/>
              </w:rPr>
            </w:pPr>
          </w:p>
        </w:tc>
        <w:tc>
          <w:tcPr>
            <w:tcW w:w="1320" w:type="dxa"/>
            <w:vAlign w:val="bottom"/>
            <w:gridSpan w:val="5"/>
            <w:shd w:val="clear" w:color="auto" w:fill="CCEEFF"/>
          </w:tcPr>
          <w:p>
            <w:pPr>
              <w:spacing w:after="0" w:line="114" w:lineRule="exact"/>
              <w:rPr>
                <w:sz w:val="20"/>
                <w:szCs w:val="20"/>
                <w:color w:val="auto"/>
              </w:rPr>
            </w:pPr>
            <w:r>
              <w:rPr>
                <w:rFonts w:ascii="Times New Roman" w:cs="Times New Roman" w:eastAsia="Times New Roman" w:hAnsi="Times New Roman"/>
                <w:sz w:val="12"/>
                <w:szCs w:val="12"/>
                <w:b w:val="1"/>
                <w:bCs w:val="1"/>
                <w:color w:val="auto"/>
              </w:rPr>
              <w:t>Ratios/Supplemental</w:t>
            </w: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2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40" w:type="dxa"/>
            <w:vAlign w:val="bottom"/>
            <w:tcBorders>
              <w:top w:val="single" w:sz="8" w:color="auto"/>
            </w:tcBorders>
            <w:gridSpan w:val="4"/>
            <w:shd w:val="clear" w:color="auto" w:fill="CCEEFF"/>
          </w:tcPr>
          <w:p>
            <w:pPr>
              <w:ind w:left="160"/>
              <w:spacing w:after="0" w:line="107" w:lineRule="exact"/>
              <w:rPr>
                <w:sz w:val="20"/>
                <w:szCs w:val="20"/>
                <w:color w:val="auto"/>
              </w:rPr>
            </w:pPr>
            <w:r>
              <w:rPr>
                <w:rFonts w:ascii="Times New Roman" w:cs="Times New Roman" w:eastAsia="Times New Roman" w:hAnsi="Times New Roman"/>
                <w:sz w:val="12"/>
                <w:szCs w:val="12"/>
                <w:b w:val="1"/>
                <w:bCs w:val="1"/>
                <w:color w:val="auto"/>
              </w:rPr>
              <w:t>Data</w:t>
            </w:r>
          </w:p>
        </w:tc>
        <w:tc>
          <w:tcPr>
            <w:tcW w:w="2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CCEEFF"/>
              <w:right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CCEEFF"/>
              <w:right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right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CCEEFF"/>
              <w:right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CCEEFF"/>
              <w:right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right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CCEEFF"/>
              <w:right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CCEEFF"/>
              <w:right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right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CCEEFF"/>
              <w:right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31"/>
        </w:trPr>
        <w:tc>
          <w:tcPr>
            <w:tcW w:w="20" w:type="dxa"/>
            <w:vAlign w:val="bottom"/>
            <w:vMerge w:val="restart"/>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auto"/>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1"/>
        </w:trPr>
        <w:tc>
          <w:tcPr>
            <w:tcW w:w="20" w:type="dxa"/>
            <w:vAlign w:val="bottom"/>
            <w:vMerge w:val="continue"/>
          </w:tcPr>
          <w:p>
            <w:pPr>
              <w:spacing w:after="0"/>
              <w:rPr>
                <w:sz w:val="9"/>
                <w:szCs w:val="9"/>
                <w:color w:val="auto"/>
              </w:rPr>
            </w:pPr>
          </w:p>
        </w:tc>
        <w:tc>
          <w:tcPr>
            <w:tcW w:w="1320" w:type="dxa"/>
            <w:vAlign w:val="bottom"/>
            <w:gridSpan w:val="5"/>
          </w:tcPr>
          <w:p>
            <w:pPr>
              <w:spacing w:after="0" w:line="111" w:lineRule="exact"/>
              <w:rPr>
                <w:sz w:val="20"/>
                <w:szCs w:val="20"/>
                <w:color w:val="auto"/>
              </w:rPr>
            </w:pPr>
            <w:r>
              <w:rPr>
                <w:rFonts w:ascii="Times New Roman" w:cs="Times New Roman" w:eastAsia="Times New Roman" w:hAnsi="Times New Roman"/>
                <w:sz w:val="12"/>
                <w:szCs w:val="12"/>
                <w:color w:val="auto"/>
              </w:rPr>
              <w:t>Net assets at end of</w:t>
            </w: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320" w:type="dxa"/>
            <w:vAlign w:val="bottom"/>
            <w:gridSpan w:val="5"/>
          </w:tcPr>
          <w:p>
            <w:pPr>
              <w:ind w:left="160"/>
              <w:spacing w:after="0"/>
              <w:rPr>
                <w:sz w:val="20"/>
                <w:szCs w:val="20"/>
                <w:color w:val="auto"/>
              </w:rPr>
            </w:pPr>
            <w:r>
              <w:rPr>
                <w:rFonts w:ascii="Times New Roman" w:cs="Times New Roman" w:eastAsia="Times New Roman" w:hAnsi="Times New Roman"/>
                <w:sz w:val="12"/>
                <w:szCs w:val="12"/>
                <w:color w:val="auto"/>
              </w:rPr>
              <w:t>period (000’s)</w:t>
            </w:r>
          </w:p>
        </w:tc>
        <w:tc>
          <w:tcPr>
            <w:tcW w:w="80" w:type="dxa"/>
            <w:vAlign w:val="bottom"/>
          </w:tcPr>
          <w:p>
            <w:pPr>
              <w:spacing w:after="0"/>
              <w:rPr>
                <w:sz w:val="20"/>
                <w:szCs w:val="20"/>
                <w:color w:val="auto"/>
              </w:rPr>
            </w:pPr>
            <w:r>
              <w:rPr>
                <w:rFonts w:ascii="Times New Roman" w:cs="Times New Roman" w:eastAsia="Times New Roman" w:hAnsi="Times New Roman"/>
                <w:sz w:val="12"/>
                <w:szCs w:val="12"/>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783,239</w:t>
            </w:r>
          </w:p>
        </w:tc>
        <w:tc>
          <w:tcPr>
            <w:tcW w:w="22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947,156</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596,254</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268,788</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353,832</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289,930</w:t>
            </w:r>
          </w:p>
        </w:tc>
        <w:tc>
          <w:tcPr>
            <w:tcW w:w="14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232,048</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131,950</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224,933</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247,829</w:t>
            </w:r>
          </w:p>
        </w:tc>
        <w:tc>
          <w:tcPr>
            <w:tcW w:w="80" w:type="dxa"/>
            <w:vAlign w:val="bottom"/>
            <w:vMerge w:val="continue"/>
          </w:tcPr>
          <w:p>
            <w:pPr>
              <w:spacing w:after="0"/>
              <w:rPr>
                <w:sz w:val="13"/>
                <w:szCs w:val="1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1"/>
        </w:trPr>
        <w:tc>
          <w:tcPr>
            <w:tcW w:w="20" w:type="dxa"/>
            <w:vAlign w:val="bottom"/>
            <w:vMerge w:val="continue"/>
          </w:tcPr>
          <w:p>
            <w:pPr>
              <w:spacing w:after="0"/>
              <w:rPr>
                <w:sz w:val="9"/>
                <w:szCs w:val="9"/>
                <w:color w:val="auto"/>
              </w:rPr>
            </w:pPr>
          </w:p>
        </w:tc>
        <w:tc>
          <w:tcPr>
            <w:tcW w:w="1320" w:type="dxa"/>
            <w:vAlign w:val="bottom"/>
            <w:gridSpan w:val="5"/>
            <w:shd w:val="clear" w:color="auto" w:fill="CCEEFF"/>
          </w:tcPr>
          <w:p>
            <w:pPr>
              <w:spacing w:after="0" w:line="111" w:lineRule="exact"/>
              <w:rPr>
                <w:sz w:val="20"/>
                <w:szCs w:val="20"/>
                <w:color w:val="auto"/>
              </w:rPr>
            </w:pPr>
            <w:r>
              <w:rPr>
                <w:rFonts w:ascii="Times New Roman" w:cs="Times New Roman" w:eastAsia="Times New Roman" w:hAnsi="Times New Roman"/>
                <w:sz w:val="12"/>
                <w:szCs w:val="12"/>
                <w:color w:val="auto"/>
              </w:rPr>
              <w:t>Average net assets</w:t>
            </w: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spacing w:after="0"/>
              <w:rPr>
                <w:sz w:val="9"/>
                <w:szCs w:val="9"/>
                <w:color w:val="auto"/>
              </w:rPr>
            </w:pPr>
          </w:p>
        </w:tc>
        <w:tc>
          <w:tcPr>
            <w:tcW w:w="22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320" w:type="dxa"/>
            <w:vAlign w:val="bottom"/>
            <w:tcBorders>
              <w:bottom w:val="single" w:sz="8" w:color="CCEEFF"/>
            </w:tcBorders>
            <w:gridSpan w:val="5"/>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(000’s)</w:t>
            </w:r>
          </w:p>
        </w:tc>
        <w:tc>
          <w:tcPr>
            <w:tcW w:w="80" w:type="dxa"/>
            <w:vAlign w:val="bottom"/>
            <w:tcBorders>
              <w:bottom w:val="single" w:sz="8" w:color="CCEEFF"/>
            </w:tcBorders>
            <w:vMerge w:val="continue"/>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863,867</w:t>
            </w:r>
          </w:p>
        </w:tc>
        <w:tc>
          <w:tcPr>
            <w:tcW w:w="220" w:type="dxa"/>
            <w:vAlign w:val="bottom"/>
            <w:tcBorders>
              <w:bottom w:val="single" w:sz="8" w:color="CCEEFF"/>
              <w:right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CCEEFF"/>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738,960</w:t>
            </w: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CCEEFF"/>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419,391</w:t>
            </w: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CCEEFF"/>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314,446</w:t>
            </w: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CCEEFF"/>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315,037</w:t>
            </w: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254,893</w:t>
            </w:r>
          </w:p>
        </w:tc>
        <w:tc>
          <w:tcPr>
            <w:tcW w:w="140" w:type="dxa"/>
            <w:vAlign w:val="bottom"/>
            <w:tcBorders>
              <w:bottom w:val="single" w:sz="8" w:color="CCEEFF"/>
              <w:right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CCEEFF"/>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173,005</w:t>
            </w: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CCEEFF"/>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185,211</w:t>
            </w: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CCEEFF"/>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239,703</w:t>
            </w: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154,112</w:t>
            </w:r>
          </w:p>
        </w:tc>
        <w:tc>
          <w:tcPr>
            <w:tcW w:w="160" w:type="dxa"/>
            <w:vAlign w:val="bottom"/>
            <w:tcBorders>
              <w:bottom w:val="single" w:sz="8" w:color="CCEEFF"/>
              <w:right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vMerge w:val="continue"/>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20" w:type="dxa"/>
            <w:vAlign w:val="bottom"/>
            <w:gridSpan w:val="5"/>
          </w:tcPr>
          <w:p>
            <w:pPr>
              <w:spacing w:after="0" w:line="111" w:lineRule="exact"/>
              <w:rPr>
                <w:sz w:val="20"/>
                <w:szCs w:val="20"/>
                <w:color w:val="auto"/>
              </w:rPr>
            </w:pPr>
            <w:r>
              <w:rPr>
                <w:rFonts w:ascii="Times New Roman" w:cs="Times New Roman" w:eastAsia="Times New Roman" w:hAnsi="Times New Roman"/>
                <w:sz w:val="12"/>
                <w:szCs w:val="12"/>
                <w:color w:val="auto"/>
              </w:rPr>
              <w:t>Ratio of net investment</w:t>
            </w: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320" w:type="dxa"/>
            <w:vAlign w:val="bottom"/>
            <w:gridSpan w:val="5"/>
          </w:tcPr>
          <w:p>
            <w:pPr>
              <w:ind w:left="160"/>
              <w:spacing w:after="0" w:line="127" w:lineRule="exact"/>
              <w:rPr>
                <w:sz w:val="20"/>
                <w:szCs w:val="20"/>
                <w:color w:val="auto"/>
              </w:rPr>
            </w:pPr>
            <w:r>
              <w:rPr>
                <w:rFonts w:ascii="Times New Roman" w:cs="Times New Roman" w:eastAsia="Times New Roman" w:hAnsi="Times New Roman"/>
                <w:sz w:val="12"/>
                <w:szCs w:val="12"/>
                <w:color w:val="auto"/>
              </w:rPr>
              <w:t>income to average</w:t>
            </w:r>
          </w:p>
        </w:tc>
        <w:tc>
          <w:tcPr>
            <w:tcW w:w="80" w:type="dxa"/>
            <w:vAlign w:val="bottom"/>
          </w:tcPr>
          <w:p>
            <w:pPr>
              <w:spacing w:after="0"/>
              <w:rPr>
                <w:sz w:val="11"/>
                <w:szCs w:val="11"/>
                <w:color w:val="auto"/>
              </w:rPr>
            </w:pPr>
          </w:p>
        </w:tc>
        <w:tc>
          <w:tcPr>
            <w:tcW w:w="8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2"/>
                <w:szCs w:val="12"/>
                <w:color w:val="auto"/>
              </w:rPr>
              <w:t>17.76%</w:t>
            </w:r>
            <w:r>
              <w:rPr>
                <w:rFonts w:ascii="Times New Roman" w:cs="Times New Roman" w:eastAsia="Times New Roman" w:hAnsi="Times New Roman"/>
                <w:sz w:val="13"/>
                <w:szCs w:val="13"/>
                <w:color w:val="auto"/>
                <w:vertAlign w:val="superscript"/>
              </w:rPr>
              <w:t>(7)</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320" w:type="dxa"/>
            <w:vAlign w:val="bottom"/>
            <w:gridSpan w:val="5"/>
          </w:tcPr>
          <w:p>
            <w:pPr>
              <w:ind w:left="160"/>
              <w:spacing w:after="0"/>
              <w:rPr>
                <w:sz w:val="20"/>
                <w:szCs w:val="20"/>
                <w:color w:val="auto"/>
              </w:rPr>
            </w:pPr>
            <w:r>
              <w:rPr>
                <w:rFonts w:ascii="Times New Roman" w:cs="Times New Roman" w:eastAsia="Times New Roman" w:hAnsi="Times New Roman"/>
                <w:sz w:val="12"/>
                <w:szCs w:val="12"/>
                <w:color w:val="auto"/>
              </w:rPr>
              <w:t>daily net assets</w:t>
            </w: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16.21%</w:t>
            </w:r>
          </w:p>
        </w:tc>
        <w:tc>
          <w:tcPr>
            <w:tcW w:w="6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18.22%</w:t>
            </w:r>
          </w:p>
        </w:tc>
        <w:tc>
          <w:tcPr>
            <w:tcW w:w="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23.20%</w:t>
            </w:r>
          </w:p>
        </w:tc>
        <w:tc>
          <w:tcPr>
            <w:tcW w:w="6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15.58%</w:t>
            </w:r>
          </w:p>
        </w:tc>
        <w:tc>
          <w:tcPr>
            <w:tcW w:w="60" w:type="dxa"/>
            <w:vAlign w:val="bottom"/>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15.83%</w:t>
            </w:r>
          </w:p>
        </w:tc>
        <w:tc>
          <w:tcPr>
            <w:tcW w:w="6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17.78%</w:t>
            </w:r>
          </w:p>
        </w:tc>
        <w:tc>
          <w:tcPr>
            <w:tcW w:w="6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15.57%</w:t>
            </w:r>
          </w:p>
        </w:tc>
        <w:tc>
          <w:tcPr>
            <w:tcW w:w="60" w:type="dxa"/>
            <w:vAlign w:val="bottom"/>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8.88%</w:t>
            </w:r>
          </w:p>
        </w:tc>
        <w:tc>
          <w:tcPr>
            <w:tcW w:w="6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6.55%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320" w:type="dxa"/>
            <w:vAlign w:val="bottom"/>
            <w:gridSpan w:val="5"/>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Ratio of expenses to</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320" w:type="dxa"/>
            <w:vAlign w:val="bottom"/>
            <w:gridSpan w:val="5"/>
            <w:shd w:val="clear" w:color="auto" w:fill="CCEEFF"/>
          </w:tcPr>
          <w:p>
            <w:pPr>
              <w:ind w:left="160"/>
              <w:spacing w:after="0" w:line="127" w:lineRule="exact"/>
              <w:rPr>
                <w:sz w:val="20"/>
                <w:szCs w:val="20"/>
                <w:color w:val="auto"/>
              </w:rPr>
            </w:pPr>
            <w:r>
              <w:rPr>
                <w:rFonts w:ascii="Times New Roman" w:cs="Times New Roman" w:eastAsia="Times New Roman" w:hAnsi="Times New Roman"/>
                <w:sz w:val="12"/>
                <w:szCs w:val="12"/>
                <w:color w:val="auto"/>
              </w:rPr>
              <w:t>average daily net</w:t>
            </w:r>
          </w:p>
        </w:tc>
        <w:tc>
          <w:tcPr>
            <w:tcW w:w="80" w:type="dxa"/>
            <w:vAlign w:val="bottom"/>
            <w:shd w:val="clear" w:color="auto" w:fill="CCEEFF"/>
          </w:tcPr>
          <w:p>
            <w:pPr>
              <w:spacing w:after="0"/>
              <w:rPr>
                <w:sz w:val="11"/>
                <w:szCs w:val="11"/>
                <w:color w:val="auto"/>
              </w:rPr>
            </w:pPr>
          </w:p>
        </w:tc>
        <w:tc>
          <w:tcPr>
            <w:tcW w:w="820" w:type="dxa"/>
            <w:vAlign w:val="bottom"/>
            <w:tcBorders>
              <w:right w:val="single" w:sz="8" w:color="CCEEFF"/>
            </w:tcBorders>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11.92%</w:t>
            </w:r>
            <w:r>
              <w:rPr>
                <w:rFonts w:ascii="Times New Roman" w:cs="Times New Roman" w:eastAsia="Times New Roman" w:hAnsi="Times New Roman"/>
                <w:sz w:val="13"/>
                <w:szCs w:val="13"/>
                <w:color w:val="auto"/>
                <w:vertAlign w:val="superscript"/>
              </w:rPr>
              <w:t>(7)</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32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assets</w:t>
            </w:r>
          </w:p>
        </w:tc>
        <w:tc>
          <w:tcPr>
            <w:tcW w:w="80" w:type="dxa"/>
            <w:vAlign w:val="bottom"/>
            <w:shd w:val="clear" w:color="auto" w:fill="CCEEFF"/>
          </w:tcPr>
          <w:p>
            <w:pPr>
              <w:spacing w:after="0"/>
              <w:rPr>
                <w:sz w:val="15"/>
                <w:szCs w:val="15"/>
                <w:color w:val="auto"/>
              </w:rPr>
            </w:pPr>
          </w:p>
        </w:tc>
        <w:tc>
          <w:tcPr>
            <w:tcW w:w="820" w:type="dxa"/>
            <w:vAlign w:val="bottom"/>
            <w:tcBorders>
              <w:right w:val="single" w:sz="8" w:color="CCEEFF"/>
            </w:tcBorders>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10.76%</w:t>
            </w:r>
          </w:p>
        </w:tc>
        <w:tc>
          <w:tcPr>
            <w:tcW w:w="60" w:type="dxa"/>
            <w:vAlign w:val="bottom"/>
            <w:shd w:val="clear" w:color="auto" w:fill="CCEEFF"/>
          </w:tcPr>
          <w:p>
            <w:pPr>
              <w:spacing w:after="0"/>
              <w:rPr>
                <w:sz w:val="15"/>
                <w:szCs w:val="15"/>
                <w:color w:val="auto"/>
              </w:rPr>
            </w:pPr>
          </w:p>
        </w:tc>
        <w:tc>
          <w:tcPr>
            <w:tcW w:w="74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12.14%</w:t>
            </w:r>
          </w:p>
        </w:tc>
        <w:tc>
          <w:tcPr>
            <w:tcW w:w="60" w:type="dxa"/>
            <w:vAlign w:val="bottom"/>
            <w:shd w:val="clear" w:color="auto" w:fill="CCEEFF"/>
          </w:tcPr>
          <w:p>
            <w:pPr>
              <w:spacing w:after="0"/>
              <w:rPr>
                <w:sz w:val="15"/>
                <w:szCs w:val="15"/>
                <w:color w:val="auto"/>
              </w:rPr>
            </w:pPr>
          </w:p>
        </w:tc>
        <w:tc>
          <w:tcPr>
            <w:tcW w:w="7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15.65%</w:t>
            </w:r>
          </w:p>
        </w:tc>
        <w:tc>
          <w:tcPr>
            <w:tcW w:w="60" w:type="dxa"/>
            <w:vAlign w:val="bottom"/>
            <w:shd w:val="clear" w:color="auto" w:fill="CCEEFF"/>
          </w:tcPr>
          <w:p>
            <w:pPr>
              <w:spacing w:after="0"/>
              <w:rPr>
                <w:sz w:val="15"/>
                <w:szCs w:val="15"/>
                <w:color w:val="auto"/>
              </w:rPr>
            </w:pPr>
          </w:p>
        </w:tc>
        <w:tc>
          <w:tcPr>
            <w:tcW w:w="7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12.80%</w:t>
            </w:r>
          </w:p>
        </w:tc>
        <w:tc>
          <w:tcPr>
            <w:tcW w:w="60" w:type="dxa"/>
            <w:vAlign w:val="bottom"/>
            <w:shd w:val="clear" w:color="auto" w:fill="CCEEFF"/>
          </w:tcPr>
          <w:p>
            <w:pPr>
              <w:spacing w:after="0"/>
              <w:rPr>
                <w:sz w:val="15"/>
                <w:szCs w:val="15"/>
                <w:color w:val="auto"/>
              </w:rPr>
            </w:pPr>
          </w:p>
        </w:tc>
        <w:tc>
          <w:tcPr>
            <w:tcW w:w="68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13.52%</w:t>
            </w:r>
          </w:p>
        </w:tc>
        <w:tc>
          <w:tcPr>
            <w:tcW w:w="60" w:type="dxa"/>
            <w:vAlign w:val="bottom"/>
            <w:shd w:val="clear" w:color="auto" w:fill="CCEEFF"/>
          </w:tcPr>
          <w:p>
            <w:pPr>
              <w:spacing w:after="0"/>
              <w:rPr>
                <w:sz w:val="15"/>
                <w:szCs w:val="15"/>
                <w:color w:val="auto"/>
              </w:rPr>
            </w:pPr>
          </w:p>
        </w:tc>
        <w:tc>
          <w:tcPr>
            <w:tcW w:w="70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15.71%</w:t>
            </w:r>
          </w:p>
        </w:tc>
        <w:tc>
          <w:tcPr>
            <w:tcW w:w="60" w:type="dxa"/>
            <w:vAlign w:val="bottom"/>
            <w:shd w:val="clear" w:color="auto" w:fill="CCEEFF"/>
          </w:tcPr>
          <w:p>
            <w:pPr>
              <w:spacing w:after="0"/>
              <w:rPr>
                <w:sz w:val="15"/>
                <w:szCs w:val="15"/>
                <w:color w:val="auto"/>
              </w:rPr>
            </w:pPr>
          </w:p>
        </w:tc>
        <w:tc>
          <w:tcPr>
            <w:tcW w:w="7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16.60%</w:t>
            </w:r>
          </w:p>
        </w:tc>
        <w:tc>
          <w:tcPr>
            <w:tcW w:w="60" w:type="dxa"/>
            <w:vAlign w:val="bottom"/>
            <w:shd w:val="clear" w:color="auto" w:fill="CCEEFF"/>
          </w:tcPr>
          <w:p>
            <w:pPr>
              <w:spacing w:after="0"/>
              <w:rPr>
                <w:sz w:val="15"/>
                <w:szCs w:val="15"/>
                <w:color w:val="auto"/>
              </w:rPr>
            </w:pPr>
          </w:p>
        </w:tc>
        <w:tc>
          <w:tcPr>
            <w:tcW w:w="68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10.58%</w:t>
            </w:r>
          </w:p>
        </w:tc>
        <w:tc>
          <w:tcPr>
            <w:tcW w:w="60" w:type="dxa"/>
            <w:vAlign w:val="bottom"/>
            <w:shd w:val="clear" w:color="auto" w:fill="CCEEFF"/>
          </w:tcPr>
          <w:p>
            <w:pPr>
              <w:spacing w:after="0"/>
              <w:rPr>
                <w:sz w:val="15"/>
                <w:szCs w:val="15"/>
                <w:color w:val="auto"/>
              </w:rPr>
            </w:pPr>
          </w:p>
        </w:tc>
        <w:tc>
          <w:tcPr>
            <w:tcW w:w="70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8.38%</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320" w:type="dxa"/>
            <w:vAlign w:val="bottom"/>
            <w:gridSpan w:val="5"/>
          </w:tcPr>
          <w:p>
            <w:pPr>
              <w:spacing w:after="0" w:line="124" w:lineRule="exact"/>
              <w:rPr>
                <w:sz w:val="20"/>
                <w:szCs w:val="20"/>
                <w:color w:val="auto"/>
              </w:rPr>
            </w:pPr>
            <w:r>
              <w:rPr>
                <w:rFonts w:ascii="Times New Roman" w:cs="Times New Roman" w:eastAsia="Times New Roman" w:hAnsi="Times New Roman"/>
                <w:sz w:val="12"/>
                <w:szCs w:val="12"/>
                <w:color w:val="auto"/>
              </w:rPr>
              <w:t>Portfolio turnover</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20" w:type="dxa"/>
            <w:vAlign w:val="bottom"/>
            <w:gridSpan w:val="5"/>
          </w:tcPr>
          <w:p>
            <w:pPr>
              <w:ind w:left="160"/>
              <w:spacing w:after="0"/>
              <w:rPr>
                <w:sz w:val="20"/>
                <w:szCs w:val="20"/>
                <w:color w:val="auto"/>
              </w:rPr>
            </w:pPr>
            <w:r>
              <w:rPr>
                <w:rFonts w:ascii="Times New Roman" w:cs="Times New Roman" w:eastAsia="Times New Roman" w:hAnsi="Times New Roman"/>
                <w:sz w:val="12"/>
                <w:szCs w:val="12"/>
                <w:color w:val="auto"/>
              </w:rPr>
              <w:t>rate</w:t>
            </w:r>
            <w:r>
              <w:rPr>
                <w:rFonts w:ascii="Times New Roman" w:cs="Times New Roman" w:eastAsia="Times New Roman" w:hAnsi="Times New Roman"/>
                <w:sz w:val="13"/>
                <w:szCs w:val="13"/>
                <w:color w:val="auto"/>
                <w:vertAlign w:val="superscript"/>
              </w:rPr>
              <w:t>(6)</w:t>
            </w:r>
          </w:p>
        </w:tc>
        <w:tc>
          <w:tcPr>
            <w:tcW w:w="8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10.43%</w:t>
            </w:r>
          </w:p>
        </w:tc>
        <w:tc>
          <w:tcPr>
            <w:tcW w:w="6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56.07%</w:t>
            </w:r>
          </w:p>
        </w:tc>
        <w:tc>
          <w:tcPr>
            <w:tcW w:w="60" w:type="dxa"/>
            <w:vAlign w:val="bottom"/>
          </w:tcPr>
          <w:p>
            <w:pPr>
              <w:spacing w:after="0"/>
              <w:rPr>
                <w:sz w:val="15"/>
                <w:szCs w:val="15"/>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44.15%</w:t>
            </w:r>
          </w:p>
        </w:tc>
        <w:tc>
          <w:tcPr>
            <w:tcW w:w="60" w:type="dxa"/>
            <w:vAlign w:val="bottom"/>
          </w:tcPr>
          <w:p>
            <w:pPr>
              <w:spacing w:after="0"/>
              <w:rPr>
                <w:sz w:val="15"/>
                <w:szCs w:val="15"/>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17.56%</w:t>
            </w:r>
          </w:p>
        </w:tc>
        <w:tc>
          <w:tcPr>
            <w:tcW w:w="6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64.97%</w:t>
            </w:r>
          </w:p>
        </w:tc>
        <w:tc>
          <w:tcPr>
            <w:tcW w:w="60" w:type="dxa"/>
            <w:vAlign w:val="bottom"/>
          </w:tcPr>
          <w:p>
            <w:pPr>
              <w:spacing w:after="0"/>
              <w:rPr>
                <w:sz w:val="15"/>
                <w:szCs w:val="15"/>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53.42%</w:t>
            </w:r>
          </w:p>
        </w:tc>
        <w:tc>
          <w:tcPr>
            <w:tcW w:w="60" w:type="dxa"/>
            <w:vAlign w:val="bottom"/>
          </w:tcPr>
          <w:p>
            <w:pPr>
              <w:spacing w:after="0"/>
              <w:rPr>
                <w:sz w:val="15"/>
                <w:szCs w:val="15"/>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69.08%</w:t>
            </w:r>
          </w:p>
        </w:tc>
        <w:tc>
          <w:tcPr>
            <w:tcW w:w="6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32.02%</w:t>
            </w:r>
          </w:p>
        </w:tc>
        <w:tc>
          <w:tcPr>
            <w:tcW w:w="60" w:type="dxa"/>
            <w:vAlign w:val="bottom"/>
          </w:tcPr>
          <w:p>
            <w:pPr>
              <w:spacing w:after="0"/>
              <w:rPr>
                <w:sz w:val="15"/>
                <w:szCs w:val="15"/>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69.05%</w:t>
            </w:r>
          </w:p>
        </w:tc>
        <w:tc>
          <w:tcPr>
            <w:tcW w:w="60" w:type="dxa"/>
            <w:vAlign w:val="bottom"/>
          </w:tcPr>
          <w:p>
            <w:pPr>
              <w:spacing w:after="0"/>
              <w:rPr>
                <w:sz w:val="15"/>
                <w:szCs w:val="15"/>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28.81%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5"/>
          <w:szCs w:val="15"/>
          <w:color w:val="auto"/>
        </w:rPr>
        <w:t>____________</w:t>
      </w:r>
    </w:p>
    <w:p>
      <w:pPr>
        <w:spacing w:after="0" w:line="90" w:lineRule="exact"/>
        <w:rPr>
          <w:sz w:val="20"/>
          <w:szCs w:val="20"/>
          <w:color w:val="auto"/>
        </w:rPr>
      </w:pPr>
    </w:p>
    <w:p>
      <w:pPr>
        <w:ind w:left="1100" w:hanging="395"/>
        <w:spacing w:after="0"/>
        <w:tabs>
          <w:tab w:leader="none" w:pos="110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net investment income per share for the period, based upon average shares outstanding.</w:t>
      </w:r>
    </w:p>
    <w:p>
      <w:pPr>
        <w:spacing w:after="0" w:line="16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15240</wp:posOffset>
            </wp:positionV>
            <wp:extent cx="482473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4824730" cy="8255"/>
                    </a:xfrm>
                    <a:prstGeom prst="rect">
                      <a:avLst/>
                    </a:prstGeom>
                    <a:noFill/>
                  </pic:spPr>
                </pic:pic>
              </a:graphicData>
            </a:graphic>
          </wp:anchor>
        </w:drawing>
      </w:r>
    </w:p>
    <w:p>
      <w:pPr>
        <w:sectPr>
          <w:pgSz w:w="11900" w:h="16838" w:orient="portrait"/>
          <w:cols w:equalWidth="0" w:num="1">
            <w:col w:w="10220"/>
          </w:cols>
          <w:pgMar w:left="1440" w:top="262" w:right="239" w:bottom="1440" w:gutter="0" w:footer="0" w:header="0"/>
        </w:sectPr>
      </w:pPr>
    </w:p>
    <w:bookmarkStart w:id="49" w:name="page50"/>
    <w:bookmarkEnd w:id="49"/>
    <w:p>
      <w:pPr>
        <w:ind w:left="7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SEPTEMBER 30, 2022</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 xml:space="preserve">NOTE 13. FINANCIAL HIGHLIGHTS </w:t>
      </w:r>
      <w:r>
        <w:rPr>
          <w:rFonts w:ascii="Times New Roman" w:cs="Times New Roman" w:eastAsia="Times New Roman" w:hAnsi="Times New Roman"/>
          <w:sz w:val="17"/>
          <w:szCs w:val="17"/>
          <w:color w:val="auto"/>
        </w:rPr>
        <w:t>(cont.)</w:t>
      </w:r>
    </w:p>
    <w:p>
      <w:pPr>
        <w:spacing w:after="0" w:line="189" w:lineRule="exact"/>
        <w:rPr>
          <w:sz w:val="20"/>
          <w:szCs w:val="20"/>
          <w:color w:val="auto"/>
        </w:rPr>
      </w:pPr>
    </w:p>
    <w:p>
      <w:pPr>
        <w:ind w:left="1100" w:hanging="395"/>
        <w:spacing w:after="0"/>
        <w:tabs>
          <w:tab w:leader="none" w:pos="1100" w:val="left"/>
        </w:tabs>
        <w:numPr>
          <w:ilvl w:val="0"/>
          <w:numId w:val="3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Net realized and unrealized capital gains and losses based upon average shares outstanding include adjustments to reconcile change in NAV per share.</w:t>
      </w:r>
    </w:p>
    <w:p>
      <w:pPr>
        <w:spacing w:after="0" w:line="12" w:lineRule="exact"/>
        <w:rPr>
          <w:rFonts w:ascii="Times New Roman" w:cs="Times New Roman" w:eastAsia="Times New Roman" w:hAnsi="Times New Roman"/>
          <w:sz w:val="11"/>
          <w:szCs w:val="11"/>
          <w:color w:val="auto"/>
        </w:rPr>
      </w:pPr>
    </w:p>
    <w:p>
      <w:pPr>
        <w:ind w:left="1120" w:right="739" w:hanging="415"/>
        <w:spacing w:after="0" w:line="220" w:lineRule="auto"/>
        <w:tabs>
          <w:tab w:leader="none" w:pos="1118"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Management monitors available taxable earnings, including net investment income and realized capital gains, to determine if a tax return of capital may occur for the period. To the extent the Fund’s taxable earnings fall below the total amount of the Fund’s distributions for that fiscal year, a portion of those distributions may be deemed a tax return of capital to the Fund’s stockholders. The ultimate tax character of the Fund’s earnings cannot be determined until tax returns are prepared after the end of the fiscal year. The information provided is based on estimates available at each respective fiscal year end, see “Note 7. Distributions”.</w:t>
      </w:r>
    </w:p>
    <w:p>
      <w:pPr>
        <w:ind w:left="1120" w:right="919" w:hanging="415"/>
        <w:spacing w:after="0" w:line="220" w:lineRule="auto"/>
        <w:tabs>
          <w:tab w:leader="none" w:pos="1118"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Total return based on market value is calculated assuming that shares of the Fund’s common stock were purchased at the market price as of the beginning of the period, and that distribution, capital gains and other distributions were reinvested as provided for in the Fund’s distribution reinvestment plan, excluding any discounts, and that the total number of shares were sold at the closing market price per share on the last day of the period. The computation does not reflect any sales commission investors may incur in purchasing or selling shares of the Fund.</w:t>
      </w:r>
    </w:p>
    <w:p>
      <w:pPr>
        <w:ind w:left="1120" w:right="1019" w:hanging="415"/>
        <w:spacing w:after="0" w:line="220" w:lineRule="auto"/>
        <w:tabs>
          <w:tab w:leader="none" w:pos="1118"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Total return based on NAV is the change in ending NAV per share plus distributions per share paid during the period assuming participation in the Fund’s distribution reinvestment plan divided by the beginning NAV per share.</w:t>
      </w:r>
    </w:p>
    <w:p>
      <w:pPr>
        <w:ind w:left="1120" w:right="759" w:hanging="415"/>
        <w:spacing w:after="0" w:line="220" w:lineRule="auto"/>
        <w:tabs>
          <w:tab w:leader="none" w:pos="1118"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Portfolio turnover rate is calculated using the lesser of the year-to-date purchases or sales and repayments of investments divided by the monthly average of the fair value of total investments. Excluded from both the numerator and denominator is the fair value of all investments whose maturity or expiration date at the time of acquisition was one year or less.</w:t>
      </w:r>
    </w:p>
    <w:p>
      <w:pPr>
        <w:ind w:left="1120" w:right="879" w:hanging="415"/>
        <w:spacing w:after="0" w:line="232" w:lineRule="auto"/>
        <w:tabs>
          <w:tab w:leader="none" w:pos="1118"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Ratios for the six months ended September 30, 2022 are annualized and include non-recurring expenses including excise tax of 0.46% of average net assets, which is not annualized.</w:t>
      </w:r>
    </w:p>
    <w:p>
      <w:pPr>
        <w:spacing w:after="0" w:line="17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Senior Securities Table</w:t>
      </w:r>
    </w:p>
    <w:p>
      <w:pPr>
        <w:spacing w:after="0" w:line="176" w:lineRule="exact"/>
        <w:rPr>
          <w:sz w:val="20"/>
          <w:szCs w:val="20"/>
          <w:color w:val="auto"/>
        </w:rPr>
      </w:pPr>
    </w:p>
    <w:tbl>
      <w:tblPr>
        <w:tblLayout w:type="fixed"/>
        <w:tblInd w:w="70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w w:val="99"/>
              </w:rPr>
              <w:t>Total Amount</w:t>
            </w: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Outstanding</w:t>
            </w:r>
          </w:p>
        </w:tc>
        <w:tc>
          <w:tcPr>
            <w:tcW w:w="740" w:type="dxa"/>
            <w:vAlign w:val="bottom"/>
            <w:gridSpan w:val="2"/>
          </w:tcPr>
          <w:p>
            <w:pPr>
              <w:jc w:val="center"/>
              <w:ind w:right="40"/>
              <w:spacing w:after="0"/>
              <w:rPr>
                <w:sz w:val="20"/>
                <w:szCs w:val="20"/>
                <w:color w:val="auto"/>
              </w:rPr>
            </w:pPr>
            <w:r>
              <w:rPr>
                <w:rFonts w:ascii="Times New Roman" w:cs="Times New Roman" w:eastAsia="Times New Roman" w:hAnsi="Times New Roman"/>
                <w:sz w:val="15"/>
                <w:szCs w:val="15"/>
                <w:b w:val="1"/>
                <w:bCs w:val="1"/>
                <w:color w:val="auto"/>
                <w:w w:val="99"/>
              </w:rPr>
              <w:t>Asset</w:t>
            </w:r>
          </w:p>
        </w:tc>
        <w:tc>
          <w:tcPr>
            <w:tcW w:w="40" w:type="dxa"/>
            <w:vAlign w:val="bottom"/>
          </w:tcPr>
          <w:p>
            <w:pPr>
              <w:spacing w:after="0"/>
              <w:rPr>
                <w:sz w:val="16"/>
                <w:szCs w:val="16"/>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Involuntary</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Exclusive of</w:t>
            </w:r>
          </w:p>
        </w:tc>
        <w:tc>
          <w:tcPr>
            <w:tcW w:w="740" w:type="dxa"/>
            <w:vAlign w:val="bottom"/>
            <w:gridSpan w:val="2"/>
          </w:tcPr>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Coverage</w:t>
            </w:r>
          </w:p>
        </w:tc>
        <w:tc>
          <w:tcPr>
            <w:tcW w:w="40" w:type="dxa"/>
            <w:vAlign w:val="bottom"/>
          </w:tcPr>
          <w:p>
            <w:pPr>
              <w:spacing w:after="0"/>
              <w:rPr>
                <w:sz w:val="16"/>
                <w:szCs w:val="16"/>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Liquidation</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center"/>
              <w:ind w:right="36"/>
              <w:spacing w:after="0"/>
              <w:rPr>
                <w:sz w:val="20"/>
                <w:szCs w:val="20"/>
                <w:color w:val="auto"/>
              </w:rPr>
            </w:pPr>
            <w:r>
              <w:rPr>
                <w:rFonts w:ascii="Times New Roman" w:cs="Times New Roman" w:eastAsia="Times New Roman" w:hAnsi="Times New Roman"/>
                <w:sz w:val="15"/>
                <w:szCs w:val="15"/>
                <w:b w:val="1"/>
                <w:bCs w:val="1"/>
                <w:color w:val="auto"/>
                <w:w w:val="97"/>
              </w:rPr>
              <w:t>Average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w w:val="97"/>
              </w:rPr>
              <w:t>Treasury</w:t>
            </w:r>
          </w:p>
        </w:tc>
        <w:tc>
          <w:tcPr>
            <w:tcW w:w="740" w:type="dxa"/>
            <w:vAlign w:val="bottom"/>
            <w:gridSpan w:val="2"/>
          </w:tcPr>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Ratio Per</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center"/>
              <w:ind w:right="36"/>
              <w:spacing w:after="0"/>
              <w:rPr>
                <w:sz w:val="20"/>
                <w:szCs w:val="20"/>
                <w:color w:val="auto"/>
              </w:rPr>
            </w:pPr>
            <w:r>
              <w:rPr>
                <w:rFonts w:ascii="Times New Roman" w:cs="Times New Roman" w:eastAsia="Times New Roman" w:hAnsi="Times New Roman"/>
                <w:sz w:val="15"/>
                <w:szCs w:val="15"/>
                <w:b w:val="1"/>
                <w:bCs w:val="1"/>
                <w:color w:val="auto"/>
              </w:rPr>
              <w:t>Preference</w:t>
            </w:r>
          </w:p>
        </w:tc>
        <w:tc>
          <w:tcPr>
            <w:tcW w:w="80" w:type="dxa"/>
            <w:vAlign w:val="bottom"/>
          </w:tcPr>
          <w:p>
            <w:pPr>
              <w:spacing w:after="0"/>
              <w:rPr>
                <w:sz w:val="16"/>
                <w:szCs w:val="16"/>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Market Value</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w w:val="97"/>
              </w:rPr>
              <w:t>Securities</w:t>
            </w:r>
            <w:r>
              <w:rPr>
                <w:rFonts w:ascii="Times New Roman" w:cs="Times New Roman" w:eastAsia="Times New Roman" w:hAnsi="Times New Roman"/>
                <w:sz w:val="17"/>
                <w:szCs w:val="17"/>
                <w:b w:val="1"/>
                <w:bCs w:val="1"/>
                <w:color w:val="auto"/>
                <w:w w:val="97"/>
                <w:vertAlign w:val="superscript"/>
              </w:rPr>
              <w:t>(1)</w:t>
            </w: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w w:val="96"/>
              </w:rPr>
              <w:t>Unit</w:t>
            </w:r>
            <w:r>
              <w:rPr>
                <w:rFonts w:ascii="Times New Roman" w:cs="Times New Roman" w:eastAsia="Times New Roman" w:hAnsi="Times New Roman"/>
                <w:sz w:val="17"/>
                <w:szCs w:val="17"/>
                <w:b w:val="1"/>
                <w:bCs w:val="1"/>
                <w:color w:val="auto"/>
                <w:w w:val="96"/>
                <w:vertAlign w:val="superscript"/>
              </w:rPr>
              <w:t>(2)</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center"/>
              <w:ind w:right="36"/>
              <w:spacing w:after="0"/>
              <w:rPr>
                <w:sz w:val="20"/>
                <w:szCs w:val="20"/>
                <w:color w:val="auto"/>
              </w:rPr>
            </w:pPr>
            <w:r>
              <w:rPr>
                <w:rFonts w:ascii="Times New Roman" w:cs="Times New Roman" w:eastAsia="Times New Roman" w:hAnsi="Times New Roman"/>
                <w:sz w:val="15"/>
                <w:szCs w:val="15"/>
                <w:b w:val="1"/>
                <w:bCs w:val="1"/>
                <w:color w:val="auto"/>
                <w:w w:val="97"/>
              </w:rPr>
              <w:t>Per Unit</w:t>
            </w:r>
            <w:r>
              <w:rPr>
                <w:rFonts w:ascii="Times New Roman" w:cs="Times New Roman" w:eastAsia="Times New Roman" w:hAnsi="Times New Roman"/>
                <w:sz w:val="17"/>
                <w:szCs w:val="17"/>
                <w:b w:val="1"/>
                <w:bCs w:val="1"/>
                <w:color w:val="auto"/>
                <w:w w:val="97"/>
                <w:vertAlign w:val="superscript"/>
              </w:rPr>
              <w:t>(3)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center"/>
              <w:ind w:right="36"/>
              <w:spacing w:after="0"/>
              <w:rPr>
                <w:sz w:val="20"/>
                <w:szCs w:val="20"/>
                <w:color w:val="auto"/>
              </w:rPr>
            </w:pPr>
            <w:r>
              <w:rPr>
                <w:rFonts w:ascii="Times New Roman" w:cs="Times New Roman" w:eastAsia="Times New Roman" w:hAnsi="Times New Roman"/>
                <w:sz w:val="15"/>
                <w:szCs w:val="15"/>
                <w:b w:val="1"/>
                <w:bCs w:val="1"/>
                <w:color w:val="auto"/>
                <w:w w:val="94"/>
              </w:rPr>
              <w:t>Per Unit</w:t>
            </w:r>
            <w:r>
              <w:rPr>
                <w:rFonts w:ascii="Times New Roman" w:cs="Times New Roman" w:eastAsia="Times New Roman" w:hAnsi="Times New Roman"/>
                <w:sz w:val="17"/>
                <w:szCs w:val="17"/>
                <w:b w:val="1"/>
                <w:bCs w:val="1"/>
                <w:color w:val="auto"/>
                <w:w w:val="94"/>
                <w:vertAlign w:val="superscript"/>
              </w:rPr>
              <w:t>(4)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6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Year</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560" w:type="dxa"/>
            <w:vAlign w:val="bottom"/>
            <w:gridSpan w:val="3"/>
          </w:tcPr>
          <w:p>
            <w:pPr>
              <w:spacing w:after="0" w:line="164" w:lineRule="exact"/>
              <w:rPr>
                <w:sz w:val="20"/>
                <w:szCs w:val="20"/>
                <w:color w:val="auto"/>
              </w:rPr>
            </w:pPr>
            <w:r>
              <w:rPr>
                <w:rFonts w:ascii="Times New Roman" w:cs="Times New Roman" w:eastAsia="Times New Roman" w:hAnsi="Times New Roman"/>
                <w:sz w:val="17"/>
                <w:szCs w:val="17"/>
                <w:b w:val="1"/>
                <w:bCs w:val="1"/>
                <w:color w:val="auto"/>
              </w:rPr>
              <w:t>8.</w:t>
            </w:r>
            <w:r>
              <w:rPr>
                <w:rFonts w:ascii="Times New Roman" w:cs="Times New Roman" w:eastAsia="Times New Roman" w:hAnsi="Times New Roman"/>
                <w:sz w:val="17"/>
                <w:szCs w:val="17"/>
                <w:b w:val="1"/>
                <w:bCs w:val="1"/>
                <w:u w:val="single" w:color="auto"/>
                <w:color w:val="auto"/>
              </w:rPr>
              <w:t>50%</w:t>
            </w:r>
            <w:r>
              <w:rPr>
                <w:rFonts w:ascii="Times New Roman" w:cs="Times New Roman" w:eastAsia="Times New Roman" w:hAnsi="Times New Roman"/>
                <w:sz w:val="17"/>
                <w:szCs w:val="17"/>
                <w:b w:val="1"/>
                <w:bCs w:val="1"/>
                <w:color w:val="auto"/>
              </w:rPr>
              <w:t xml:space="preserve"> Series 2017 Term Preferred Shares</w:t>
            </w:r>
            <w:r>
              <w:rPr>
                <w:rFonts w:ascii="Times New Roman" w:cs="Times New Roman" w:eastAsia="Times New Roman" w:hAnsi="Times New Roman"/>
                <w:sz w:val="19"/>
                <w:szCs w:val="19"/>
                <w:color w:val="auto"/>
                <w:vertAlign w:val="superscript"/>
              </w:rPr>
              <w:t>(5)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3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2016</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7"/>
        </w:trPr>
        <w:tc>
          <w:tcPr>
            <w:tcW w:w="3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2015</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15,811,250</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2.47</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0" w:type="dxa"/>
            <w:vAlign w:val="bottom"/>
          </w:tcPr>
          <w:p>
            <w:pPr>
              <w:spacing w:after="0"/>
              <w:rPr>
                <w:sz w:val="1"/>
                <w:szCs w:val="1"/>
                <w:color w:val="auto"/>
              </w:rPr>
            </w:pPr>
          </w:p>
        </w:tc>
      </w:tr>
      <w:tr>
        <w:trPr>
          <w:trHeight w:val="39"/>
        </w:trPr>
        <w:tc>
          <w:tcPr>
            <w:tcW w:w="302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6"/>
        </w:trPr>
        <w:tc>
          <w:tcPr>
            <w:tcW w:w="20" w:type="dxa"/>
            <w:vAlign w:val="bottom"/>
          </w:tcPr>
          <w:p>
            <w:pPr>
              <w:spacing w:after="0"/>
              <w:rPr>
                <w:sz w:val="21"/>
                <w:szCs w:val="21"/>
                <w:color w:val="auto"/>
              </w:rPr>
            </w:pPr>
          </w:p>
        </w:tc>
        <w:tc>
          <w:tcPr>
            <w:tcW w:w="3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2014</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15,811,250</w:t>
            </w:r>
          </w:p>
        </w:tc>
        <w:tc>
          <w:tcPr>
            <w:tcW w:w="7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3.99</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0" w:type="dxa"/>
            <w:vAlign w:val="bottom"/>
          </w:tcPr>
          <w:p>
            <w:pPr>
              <w:spacing w:after="0"/>
              <w:rPr>
                <w:sz w:val="1"/>
                <w:szCs w:val="1"/>
                <w:color w:val="auto"/>
              </w:rPr>
            </w:pPr>
          </w:p>
        </w:tc>
      </w:tr>
      <w:tr>
        <w:trPr>
          <w:trHeight w:val="227"/>
        </w:trPr>
        <w:tc>
          <w:tcPr>
            <w:tcW w:w="3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2013</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15,811,250</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8.79</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0" w:type="dxa"/>
            <w:vAlign w:val="bottom"/>
          </w:tcPr>
          <w:p>
            <w:pPr>
              <w:spacing w:after="0"/>
              <w:rPr>
                <w:sz w:val="1"/>
                <w:szCs w:val="1"/>
                <w:color w:val="auto"/>
              </w:rPr>
            </w:pPr>
          </w:p>
        </w:tc>
      </w:tr>
      <w:tr>
        <w:trPr>
          <w:trHeight w:val="39"/>
        </w:trPr>
        <w:tc>
          <w:tcPr>
            <w:tcW w:w="302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6"/>
        </w:trPr>
        <w:tc>
          <w:tcPr>
            <w:tcW w:w="20" w:type="dxa"/>
            <w:vAlign w:val="bottom"/>
            <w:vMerge w:val="restart"/>
          </w:tcPr>
          <w:p>
            <w:pPr>
              <w:spacing w:after="0"/>
              <w:rPr>
                <w:sz w:val="23"/>
                <w:szCs w:val="23"/>
                <w:color w:val="auto"/>
              </w:rPr>
            </w:pPr>
          </w:p>
        </w:tc>
        <w:tc>
          <w:tcPr>
            <w:tcW w:w="3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65"/>
        </w:trPr>
        <w:tc>
          <w:tcPr>
            <w:tcW w:w="20" w:type="dxa"/>
            <w:vAlign w:val="bottom"/>
            <w:vMerge w:val="continue"/>
          </w:tcPr>
          <w:p>
            <w:pPr>
              <w:spacing w:after="0"/>
              <w:rPr>
                <w:sz w:val="14"/>
                <w:szCs w:val="14"/>
                <w:color w:val="auto"/>
              </w:rPr>
            </w:pPr>
          </w:p>
        </w:tc>
        <w:tc>
          <w:tcPr>
            <w:tcW w:w="3560" w:type="dxa"/>
            <w:vAlign w:val="bottom"/>
            <w:gridSpan w:val="3"/>
          </w:tcPr>
          <w:p>
            <w:pPr>
              <w:spacing w:after="0" w:line="164" w:lineRule="exact"/>
              <w:rPr>
                <w:sz w:val="20"/>
                <w:szCs w:val="20"/>
                <w:color w:val="auto"/>
              </w:rPr>
            </w:pPr>
            <w:r>
              <w:rPr>
                <w:rFonts w:ascii="Times New Roman" w:cs="Times New Roman" w:eastAsia="Times New Roman" w:hAnsi="Times New Roman"/>
                <w:sz w:val="17"/>
                <w:szCs w:val="17"/>
                <w:b w:val="1"/>
                <w:bCs w:val="1"/>
                <w:color w:val="auto"/>
                <w:w w:val="97"/>
              </w:rPr>
              <w:t>7.</w:t>
            </w:r>
            <w:r>
              <w:rPr>
                <w:rFonts w:ascii="Times New Roman" w:cs="Times New Roman" w:eastAsia="Times New Roman" w:hAnsi="Times New Roman"/>
                <w:sz w:val="17"/>
                <w:szCs w:val="17"/>
                <w:b w:val="1"/>
                <w:bCs w:val="1"/>
                <w:u w:val="single" w:color="auto"/>
                <w:color w:val="auto"/>
                <w:w w:val="97"/>
              </w:rPr>
              <w:t>50%</w:t>
            </w:r>
            <w:r>
              <w:rPr>
                <w:rFonts w:ascii="Times New Roman" w:cs="Times New Roman" w:eastAsia="Times New Roman" w:hAnsi="Times New Roman"/>
                <w:sz w:val="17"/>
                <w:szCs w:val="17"/>
                <w:b w:val="1"/>
                <w:bCs w:val="1"/>
                <w:color w:val="auto"/>
                <w:w w:val="97"/>
              </w:rPr>
              <w:t xml:space="preserve"> Series 2023 Term Preferred Shares</w:t>
            </w:r>
            <w:r>
              <w:rPr>
                <w:rFonts w:ascii="Times New Roman" w:cs="Times New Roman" w:eastAsia="Times New Roman" w:hAnsi="Times New Roman"/>
                <w:sz w:val="19"/>
                <w:szCs w:val="19"/>
                <w:color w:val="auto"/>
                <w:w w:val="97"/>
                <w:vertAlign w:val="superscript"/>
              </w:rPr>
              <w:t>(6)(10)(13)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3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2022</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7"/>
        </w:trPr>
        <w:tc>
          <w:tcPr>
            <w:tcW w:w="3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2021</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57,034,875</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2.88</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0.97</w:t>
            </w:r>
          </w:p>
        </w:tc>
        <w:tc>
          <w:tcPr>
            <w:tcW w:w="0" w:type="dxa"/>
            <w:vAlign w:val="bottom"/>
          </w:tcPr>
          <w:p>
            <w:pPr>
              <w:spacing w:after="0"/>
              <w:rPr>
                <w:sz w:val="1"/>
                <w:szCs w:val="1"/>
                <w:color w:val="auto"/>
              </w:rPr>
            </w:pPr>
          </w:p>
        </w:tc>
      </w:tr>
      <w:tr>
        <w:trPr>
          <w:trHeight w:val="39"/>
        </w:trPr>
        <w:tc>
          <w:tcPr>
            <w:tcW w:w="302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6"/>
        </w:trPr>
        <w:tc>
          <w:tcPr>
            <w:tcW w:w="20" w:type="dxa"/>
            <w:vAlign w:val="bottom"/>
          </w:tcPr>
          <w:p>
            <w:pPr>
              <w:spacing w:after="0"/>
              <w:rPr>
                <w:sz w:val="21"/>
                <w:szCs w:val="21"/>
                <w:color w:val="auto"/>
              </w:rPr>
            </w:pPr>
          </w:p>
        </w:tc>
        <w:tc>
          <w:tcPr>
            <w:tcW w:w="3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2020</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60,400,025</w:t>
            </w:r>
          </w:p>
        </w:tc>
        <w:tc>
          <w:tcPr>
            <w:tcW w:w="7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2.01</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0" w:type="dxa"/>
            <w:vAlign w:val="bottom"/>
          </w:tcPr>
          <w:p>
            <w:pPr>
              <w:spacing w:after="0"/>
              <w:rPr>
                <w:sz w:val="1"/>
                <w:szCs w:val="1"/>
                <w:color w:val="auto"/>
              </w:rPr>
            </w:pPr>
          </w:p>
        </w:tc>
      </w:tr>
      <w:tr>
        <w:trPr>
          <w:trHeight w:val="227"/>
        </w:trPr>
        <w:tc>
          <w:tcPr>
            <w:tcW w:w="3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2019</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90,400,025</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2.73</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0" w:type="dxa"/>
            <w:vAlign w:val="bottom"/>
          </w:tcPr>
          <w:p>
            <w:pPr>
              <w:spacing w:after="0"/>
              <w:rPr>
                <w:sz w:val="1"/>
                <w:szCs w:val="1"/>
                <w:color w:val="auto"/>
              </w:rPr>
            </w:pPr>
          </w:p>
        </w:tc>
      </w:tr>
      <w:tr>
        <w:trPr>
          <w:trHeight w:val="39"/>
        </w:trPr>
        <w:tc>
          <w:tcPr>
            <w:tcW w:w="302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6"/>
        </w:trPr>
        <w:tc>
          <w:tcPr>
            <w:tcW w:w="20" w:type="dxa"/>
            <w:vAlign w:val="bottom"/>
          </w:tcPr>
          <w:p>
            <w:pPr>
              <w:spacing w:after="0"/>
              <w:rPr>
                <w:sz w:val="21"/>
                <w:szCs w:val="21"/>
                <w:color w:val="auto"/>
              </w:rPr>
            </w:pPr>
          </w:p>
        </w:tc>
        <w:tc>
          <w:tcPr>
            <w:tcW w:w="3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2018</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90,400,025</w:t>
            </w:r>
          </w:p>
        </w:tc>
        <w:tc>
          <w:tcPr>
            <w:tcW w:w="7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2.41</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0" w:type="dxa"/>
            <w:vAlign w:val="bottom"/>
          </w:tcPr>
          <w:p>
            <w:pPr>
              <w:spacing w:after="0"/>
              <w:rPr>
                <w:sz w:val="1"/>
                <w:szCs w:val="1"/>
                <w:color w:val="auto"/>
              </w:rPr>
            </w:pPr>
          </w:p>
        </w:tc>
      </w:tr>
      <w:tr>
        <w:trPr>
          <w:trHeight w:val="227"/>
        </w:trPr>
        <w:tc>
          <w:tcPr>
            <w:tcW w:w="3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2017</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90,400,025</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2.59</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0" w:type="dxa"/>
            <w:vAlign w:val="bottom"/>
          </w:tcPr>
          <w:p>
            <w:pPr>
              <w:spacing w:after="0"/>
              <w:rPr>
                <w:sz w:val="1"/>
                <w:szCs w:val="1"/>
                <w:color w:val="auto"/>
              </w:rPr>
            </w:pPr>
          </w:p>
        </w:tc>
      </w:tr>
      <w:tr>
        <w:trPr>
          <w:trHeight w:val="39"/>
        </w:trPr>
        <w:tc>
          <w:tcPr>
            <w:tcW w:w="302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6"/>
        </w:trPr>
        <w:tc>
          <w:tcPr>
            <w:tcW w:w="20" w:type="dxa"/>
            <w:vAlign w:val="bottom"/>
          </w:tcPr>
          <w:p>
            <w:pPr>
              <w:spacing w:after="0"/>
              <w:rPr>
                <w:sz w:val="21"/>
                <w:szCs w:val="21"/>
                <w:color w:val="auto"/>
              </w:rPr>
            </w:pPr>
          </w:p>
        </w:tc>
        <w:tc>
          <w:tcPr>
            <w:tcW w:w="3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2016</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90,638,450</w:t>
            </w:r>
          </w:p>
        </w:tc>
        <w:tc>
          <w:tcPr>
            <w:tcW w:w="7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1.91</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0.97</w:t>
            </w:r>
          </w:p>
        </w:tc>
        <w:tc>
          <w:tcPr>
            <w:tcW w:w="0" w:type="dxa"/>
            <w:vAlign w:val="bottom"/>
          </w:tcPr>
          <w:p>
            <w:pPr>
              <w:spacing w:after="0"/>
              <w:rPr>
                <w:sz w:val="1"/>
                <w:szCs w:val="1"/>
                <w:color w:val="auto"/>
              </w:rPr>
            </w:pPr>
          </w:p>
        </w:tc>
      </w:tr>
      <w:tr>
        <w:trPr>
          <w:trHeight w:val="227"/>
        </w:trPr>
        <w:tc>
          <w:tcPr>
            <w:tcW w:w="3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2015</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73,869,250</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2.47</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0.98</w:t>
            </w:r>
          </w:p>
        </w:tc>
        <w:tc>
          <w:tcPr>
            <w:tcW w:w="0" w:type="dxa"/>
            <w:vAlign w:val="bottom"/>
          </w:tcPr>
          <w:p>
            <w:pPr>
              <w:spacing w:after="0"/>
              <w:rPr>
                <w:sz w:val="1"/>
                <w:szCs w:val="1"/>
                <w:color w:val="auto"/>
              </w:rPr>
            </w:pPr>
          </w:p>
        </w:tc>
      </w:tr>
      <w:tr>
        <w:trPr>
          <w:trHeight w:val="39"/>
        </w:trPr>
        <w:tc>
          <w:tcPr>
            <w:tcW w:w="302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6"/>
        </w:trPr>
        <w:tc>
          <w:tcPr>
            <w:tcW w:w="20" w:type="dxa"/>
            <w:vAlign w:val="bottom"/>
          </w:tcPr>
          <w:p>
            <w:pPr>
              <w:spacing w:after="0"/>
              <w:rPr>
                <w:sz w:val="21"/>
                <w:szCs w:val="21"/>
                <w:color w:val="auto"/>
              </w:rPr>
            </w:pPr>
          </w:p>
        </w:tc>
        <w:tc>
          <w:tcPr>
            <w:tcW w:w="3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2014</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65,744,250</w:t>
            </w:r>
          </w:p>
        </w:tc>
        <w:tc>
          <w:tcPr>
            <w:tcW w:w="7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3.99</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0.94</w:t>
            </w:r>
          </w:p>
        </w:tc>
        <w:tc>
          <w:tcPr>
            <w:tcW w:w="0" w:type="dxa"/>
            <w:vAlign w:val="bottom"/>
          </w:tcPr>
          <w:p>
            <w:pPr>
              <w:spacing w:after="0"/>
              <w:rPr>
                <w:sz w:val="1"/>
                <w:szCs w:val="1"/>
                <w:color w:val="auto"/>
              </w:rPr>
            </w:pPr>
          </w:p>
        </w:tc>
      </w:tr>
      <w:tr>
        <w:trPr>
          <w:trHeight w:val="266"/>
        </w:trPr>
        <w:tc>
          <w:tcPr>
            <w:tcW w:w="3020" w:type="dxa"/>
            <w:vAlign w:val="bottom"/>
            <w:gridSpan w:val="2"/>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560" w:type="dxa"/>
            <w:vAlign w:val="bottom"/>
            <w:gridSpan w:val="3"/>
            <w:shd w:val="clear" w:color="auto" w:fill="CCEEFF"/>
          </w:tcPr>
          <w:p>
            <w:pPr>
              <w:spacing w:after="0" w:line="190" w:lineRule="exact"/>
              <w:rPr>
                <w:sz w:val="20"/>
                <w:szCs w:val="20"/>
                <w:color w:val="auto"/>
              </w:rPr>
            </w:pPr>
            <w:r>
              <w:rPr>
                <w:rFonts w:ascii="Times New Roman" w:cs="Times New Roman" w:eastAsia="Times New Roman" w:hAnsi="Times New Roman"/>
                <w:sz w:val="17"/>
                <w:szCs w:val="17"/>
                <w:b w:val="1"/>
                <w:bCs w:val="1"/>
                <w:color w:val="auto"/>
              </w:rPr>
              <w:t>8.</w:t>
            </w:r>
            <w:r>
              <w:rPr>
                <w:rFonts w:ascii="Times New Roman" w:cs="Times New Roman" w:eastAsia="Times New Roman" w:hAnsi="Times New Roman"/>
                <w:sz w:val="17"/>
                <w:szCs w:val="17"/>
                <w:b w:val="1"/>
                <w:bCs w:val="1"/>
                <w:u w:val="single" w:color="auto"/>
                <w:color w:val="auto"/>
              </w:rPr>
              <w:t>125%</w:t>
            </w:r>
            <w:r>
              <w:rPr>
                <w:rFonts w:ascii="Times New Roman" w:cs="Times New Roman" w:eastAsia="Times New Roman" w:hAnsi="Times New Roman"/>
                <w:sz w:val="17"/>
                <w:szCs w:val="17"/>
                <w:b w:val="1"/>
                <w:bCs w:val="1"/>
                <w:color w:val="auto"/>
              </w:rPr>
              <w:t xml:space="preserve"> Series 2024 Term Preferred Shares</w:t>
            </w:r>
            <w:r>
              <w:rPr>
                <w:rFonts w:ascii="Times New Roman" w:cs="Times New Roman" w:eastAsia="Times New Roman" w:hAnsi="Times New Roman"/>
                <w:sz w:val="19"/>
                <w:szCs w:val="19"/>
                <w:color w:val="auto"/>
                <w:vertAlign w:val="superscript"/>
              </w:rPr>
              <w:t>(7)</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0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3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2018</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302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6"/>
        </w:trPr>
        <w:tc>
          <w:tcPr>
            <w:tcW w:w="20" w:type="dxa"/>
            <w:vAlign w:val="bottom"/>
          </w:tcPr>
          <w:p>
            <w:pPr>
              <w:spacing w:after="0"/>
              <w:rPr>
                <w:sz w:val="21"/>
                <w:szCs w:val="21"/>
                <w:color w:val="auto"/>
              </w:rPr>
            </w:pPr>
          </w:p>
        </w:tc>
        <w:tc>
          <w:tcPr>
            <w:tcW w:w="3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2017</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50,504,475</w:t>
            </w:r>
          </w:p>
        </w:tc>
        <w:tc>
          <w:tcPr>
            <w:tcW w:w="7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2.59</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0" w:type="dxa"/>
            <w:vAlign w:val="bottom"/>
          </w:tcPr>
          <w:p>
            <w:pPr>
              <w:spacing w:after="0"/>
              <w:rPr>
                <w:sz w:val="1"/>
                <w:szCs w:val="1"/>
                <w:color w:val="auto"/>
              </w:rPr>
            </w:pPr>
          </w:p>
        </w:tc>
      </w:tr>
      <w:tr>
        <w:trPr>
          <w:trHeight w:val="227"/>
        </w:trPr>
        <w:tc>
          <w:tcPr>
            <w:tcW w:w="3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2016</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50,539,775</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1.91</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39"/>
        </w:trPr>
        <w:tc>
          <w:tcPr>
            <w:tcW w:w="302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6"/>
        </w:trPr>
        <w:tc>
          <w:tcPr>
            <w:tcW w:w="20" w:type="dxa"/>
            <w:vAlign w:val="bottom"/>
          </w:tcPr>
          <w:p>
            <w:pPr>
              <w:spacing w:after="0"/>
              <w:rPr>
                <w:sz w:val="21"/>
                <w:szCs w:val="21"/>
                <w:color w:val="auto"/>
              </w:rPr>
            </w:pPr>
          </w:p>
        </w:tc>
        <w:tc>
          <w:tcPr>
            <w:tcW w:w="3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2015</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60,687,500</w:t>
            </w:r>
          </w:p>
        </w:tc>
        <w:tc>
          <w:tcPr>
            <w:tcW w:w="7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2.47</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jc w:val="right"/>
              <w:ind w:right="798"/>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2" w:right="1440" w:bottom="1440" w:gutter="0" w:footer="0" w:header="0"/>
        </w:sectPr>
      </w:pPr>
    </w:p>
    <w:bookmarkStart w:id="50" w:name="page51"/>
    <w:bookmarkEnd w:id="50"/>
    <w:p>
      <w:pPr>
        <w:ind w:left="7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SEPTEMBER 30, 2022</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 xml:space="preserve">NOTE 13. FINANCIAL HIGHLIGHTS </w:t>
      </w:r>
      <w:r>
        <w:rPr>
          <w:rFonts w:ascii="Times New Roman" w:cs="Times New Roman" w:eastAsia="Times New Roman" w:hAnsi="Times New Roman"/>
          <w:sz w:val="17"/>
          <w:szCs w:val="17"/>
          <w:color w:val="auto"/>
        </w:rPr>
        <w:t>(cont.)</w:t>
      </w:r>
    </w:p>
    <w:p>
      <w:pPr>
        <w:spacing w:after="0" w:line="189" w:lineRule="exact"/>
        <w:rPr>
          <w:sz w:val="20"/>
          <w:szCs w:val="20"/>
          <w:color w:val="auto"/>
        </w:rPr>
      </w:pPr>
    </w:p>
    <w:tbl>
      <w:tblPr>
        <w:tblLayout w:type="fixed"/>
        <w:tblInd w:w="700" w:type="dxa"/>
        <w:tblCellMar>
          <w:top w:w="0" w:type="dxa"/>
          <w:left w:w="0" w:type="dxa"/>
          <w:bottom w:w="0" w:type="dxa"/>
          <w:right w:w="0" w:type="dxa"/>
        </w:tblCellMar>
      </w:tblPr>
      <w:tr>
        <w:trPr>
          <w:trHeight w:val="190"/>
        </w:trPr>
        <w:tc>
          <w:tcPr>
            <w:tcW w:w="1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w w:val="99"/>
              </w:rPr>
              <w:t>Total Amount</w:t>
            </w: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0"/>
        </w:trPr>
        <w:tc>
          <w:tcPr>
            <w:tcW w:w="1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Outstanding</w:t>
            </w:r>
          </w:p>
        </w:tc>
        <w:tc>
          <w:tcPr>
            <w:tcW w:w="740" w:type="dxa"/>
            <w:vAlign w:val="bottom"/>
            <w:gridSpan w:val="2"/>
          </w:tcPr>
          <w:p>
            <w:pPr>
              <w:jc w:val="center"/>
              <w:ind w:right="40"/>
              <w:spacing w:after="0"/>
              <w:rPr>
                <w:sz w:val="20"/>
                <w:szCs w:val="20"/>
                <w:color w:val="auto"/>
              </w:rPr>
            </w:pPr>
            <w:r>
              <w:rPr>
                <w:rFonts w:ascii="Times New Roman" w:cs="Times New Roman" w:eastAsia="Times New Roman" w:hAnsi="Times New Roman"/>
                <w:sz w:val="15"/>
                <w:szCs w:val="15"/>
                <w:b w:val="1"/>
                <w:bCs w:val="1"/>
                <w:color w:val="auto"/>
                <w:w w:val="99"/>
              </w:rPr>
              <w:t>Asset</w:t>
            </w:r>
          </w:p>
        </w:tc>
        <w:tc>
          <w:tcPr>
            <w:tcW w:w="40" w:type="dxa"/>
            <w:vAlign w:val="bottom"/>
          </w:tcPr>
          <w:p>
            <w:pPr>
              <w:spacing w:after="0"/>
              <w:rPr>
                <w:sz w:val="16"/>
                <w:szCs w:val="16"/>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Involuntary</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0"/>
        </w:trPr>
        <w:tc>
          <w:tcPr>
            <w:tcW w:w="1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Exclusive of</w:t>
            </w:r>
          </w:p>
        </w:tc>
        <w:tc>
          <w:tcPr>
            <w:tcW w:w="740" w:type="dxa"/>
            <w:vAlign w:val="bottom"/>
            <w:gridSpan w:val="2"/>
          </w:tcPr>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Coverage</w:t>
            </w:r>
          </w:p>
        </w:tc>
        <w:tc>
          <w:tcPr>
            <w:tcW w:w="40" w:type="dxa"/>
            <w:vAlign w:val="bottom"/>
          </w:tcPr>
          <w:p>
            <w:pPr>
              <w:spacing w:after="0"/>
              <w:rPr>
                <w:sz w:val="16"/>
                <w:szCs w:val="16"/>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Liquidation</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center"/>
              <w:ind w:right="36"/>
              <w:spacing w:after="0"/>
              <w:rPr>
                <w:sz w:val="20"/>
                <w:szCs w:val="20"/>
                <w:color w:val="auto"/>
              </w:rPr>
            </w:pPr>
            <w:r>
              <w:rPr>
                <w:rFonts w:ascii="Times New Roman" w:cs="Times New Roman" w:eastAsia="Times New Roman" w:hAnsi="Times New Roman"/>
                <w:sz w:val="15"/>
                <w:szCs w:val="15"/>
                <w:b w:val="1"/>
                <w:bCs w:val="1"/>
                <w:color w:val="auto"/>
                <w:w w:val="97"/>
              </w:rPr>
              <w:t>Average</w:t>
            </w:r>
          </w:p>
        </w:tc>
      </w:tr>
      <w:tr>
        <w:trPr>
          <w:trHeight w:val="190"/>
        </w:trPr>
        <w:tc>
          <w:tcPr>
            <w:tcW w:w="1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w w:val="97"/>
              </w:rPr>
              <w:t>Treasury</w:t>
            </w:r>
          </w:p>
        </w:tc>
        <w:tc>
          <w:tcPr>
            <w:tcW w:w="740" w:type="dxa"/>
            <w:vAlign w:val="bottom"/>
            <w:gridSpan w:val="2"/>
          </w:tcPr>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Ratio Per</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center"/>
              <w:ind w:right="36"/>
              <w:spacing w:after="0"/>
              <w:rPr>
                <w:sz w:val="20"/>
                <w:szCs w:val="20"/>
                <w:color w:val="auto"/>
              </w:rPr>
            </w:pPr>
            <w:r>
              <w:rPr>
                <w:rFonts w:ascii="Times New Roman" w:cs="Times New Roman" w:eastAsia="Times New Roman" w:hAnsi="Times New Roman"/>
                <w:sz w:val="15"/>
                <w:szCs w:val="15"/>
                <w:b w:val="1"/>
                <w:bCs w:val="1"/>
                <w:color w:val="auto"/>
              </w:rPr>
              <w:t>Preference</w:t>
            </w:r>
          </w:p>
        </w:tc>
        <w:tc>
          <w:tcPr>
            <w:tcW w:w="80" w:type="dxa"/>
            <w:vAlign w:val="bottom"/>
          </w:tcPr>
          <w:p>
            <w:pPr>
              <w:spacing w:after="0"/>
              <w:rPr>
                <w:sz w:val="16"/>
                <w:szCs w:val="16"/>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Market Value</w:t>
            </w:r>
          </w:p>
        </w:tc>
      </w:tr>
      <w:tr>
        <w:trPr>
          <w:trHeight w:val="240"/>
        </w:trPr>
        <w:tc>
          <w:tcPr>
            <w:tcW w:w="1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w w:val="97"/>
              </w:rPr>
              <w:t>Securities</w:t>
            </w:r>
            <w:r>
              <w:rPr>
                <w:rFonts w:ascii="Times New Roman" w:cs="Times New Roman" w:eastAsia="Times New Roman" w:hAnsi="Times New Roman"/>
                <w:sz w:val="17"/>
                <w:szCs w:val="17"/>
                <w:b w:val="1"/>
                <w:bCs w:val="1"/>
                <w:color w:val="auto"/>
                <w:w w:val="97"/>
                <w:vertAlign w:val="superscript"/>
              </w:rPr>
              <w:t>(1)</w:t>
            </w: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w w:val="96"/>
              </w:rPr>
              <w:t>Unit</w:t>
            </w:r>
            <w:r>
              <w:rPr>
                <w:rFonts w:ascii="Times New Roman" w:cs="Times New Roman" w:eastAsia="Times New Roman" w:hAnsi="Times New Roman"/>
                <w:sz w:val="17"/>
                <w:szCs w:val="17"/>
                <w:b w:val="1"/>
                <w:bCs w:val="1"/>
                <w:color w:val="auto"/>
                <w:w w:val="96"/>
                <w:vertAlign w:val="superscript"/>
              </w:rPr>
              <w:t>(2)</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center"/>
              <w:ind w:right="36"/>
              <w:spacing w:after="0"/>
              <w:rPr>
                <w:sz w:val="20"/>
                <w:szCs w:val="20"/>
                <w:color w:val="auto"/>
              </w:rPr>
            </w:pPr>
            <w:r>
              <w:rPr>
                <w:rFonts w:ascii="Times New Roman" w:cs="Times New Roman" w:eastAsia="Times New Roman" w:hAnsi="Times New Roman"/>
                <w:sz w:val="15"/>
                <w:szCs w:val="15"/>
                <w:b w:val="1"/>
                <w:bCs w:val="1"/>
                <w:color w:val="auto"/>
                <w:w w:val="97"/>
              </w:rPr>
              <w:t>Per Unit</w:t>
            </w:r>
            <w:r>
              <w:rPr>
                <w:rFonts w:ascii="Times New Roman" w:cs="Times New Roman" w:eastAsia="Times New Roman" w:hAnsi="Times New Roman"/>
                <w:sz w:val="17"/>
                <w:szCs w:val="17"/>
                <w:b w:val="1"/>
                <w:bCs w:val="1"/>
                <w:color w:val="auto"/>
                <w:w w:val="97"/>
                <w:vertAlign w:val="superscript"/>
              </w:rPr>
              <w:t>(3)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center"/>
              <w:ind w:right="36"/>
              <w:spacing w:after="0"/>
              <w:rPr>
                <w:sz w:val="20"/>
                <w:szCs w:val="20"/>
                <w:color w:val="auto"/>
              </w:rPr>
            </w:pPr>
            <w:r>
              <w:rPr>
                <w:rFonts w:ascii="Times New Roman" w:cs="Times New Roman" w:eastAsia="Times New Roman" w:hAnsi="Times New Roman"/>
                <w:sz w:val="15"/>
                <w:szCs w:val="15"/>
                <w:b w:val="1"/>
                <w:bCs w:val="1"/>
                <w:color w:val="auto"/>
                <w:w w:val="94"/>
              </w:rPr>
              <w:t>Per Unit</w:t>
            </w:r>
            <w:r>
              <w:rPr>
                <w:rFonts w:ascii="Times New Roman" w:cs="Times New Roman" w:eastAsia="Times New Roman" w:hAnsi="Times New Roman"/>
                <w:sz w:val="17"/>
                <w:szCs w:val="17"/>
                <w:b w:val="1"/>
                <w:bCs w:val="1"/>
                <w:color w:val="auto"/>
                <w:w w:val="94"/>
                <w:vertAlign w:val="superscript"/>
              </w:rPr>
              <w:t>(4)</w:t>
            </w:r>
          </w:p>
        </w:tc>
      </w:tr>
      <w:tr>
        <w:trPr>
          <w:trHeight w:val="243"/>
        </w:trPr>
        <w:tc>
          <w:tcPr>
            <w:tcW w:w="3500" w:type="dxa"/>
            <w:vAlign w:val="bottom"/>
            <w:tcBorders>
              <w:top w:val="single" w:sz="8" w:color="CCEEFF"/>
            </w:tcBorders>
            <w:gridSpan w:val="5"/>
            <w:shd w:val="clear" w:color="auto" w:fill="CCEEFF"/>
          </w:tcPr>
          <w:p>
            <w:pPr>
              <w:spacing w:after="0" w:line="187" w:lineRule="exact"/>
              <w:rPr>
                <w:sz w:val="20"/>
                <w:szCs w:val="20"/>
                <w:color w:val="auto"/>
              </w:rPr>
            </w:pPr>
            <w:r>
              <w:rPr>
                <w:rFonts w:ascii="Times New Roman" w:cs="Times New Roman" w:eastAsia="Times New Roman" w:hAnsi="Times New Roman"/>
                <w:sz w:val="17"/>
                <w:szCs w:val="17"/>
                <w:b w:val="1"/>
                <w:bCs w:val="1"/>
                <w:color w:val="auto"/>
              </w:rPr>
              <w:t>6.</w:t>
            </w:r>
            <w:r>
              <w:rPr>
                <w:rFonts w:ascii="Times New Roman" w:cs="Times New Roman" w:eastAsia="Times New Roman" w:hAnsi="Times New Roman"/>
                <w:sz w:val="17"/>
                <w:szCs w:val="17"/>
                <w:b w:val="1"/>
                <w:bCs w:val="1"/>
                <w:u w:val="single" w:color="auto"/>
                <w:color w:val="auto"/>
              </w:rPr>
              <w:t>75%</w:t>
            </w:r>
            <w:r>
              <w:rPr>
                <w:rFonts w:ascii="Times New Roman" w:cs="Times New Roman" w:eastAsia="Times New Roman" w:hAnsi="Times New Roman"/>
                <w:sz w:val="17"/>
                <w:szCs w:val="17"/>
                <w:b w:val="1"/>
                <w:bCs w:val="1"/>
                <w:color w:val="auto"/>
              </w:rPr>
              <w:t xml:space="preserve"> Series 2024 Term Preferred Shares</w:t>
            </w:r>
            <w:r>
              <w:rPr>
                <w:rFonts w:ascii="Times New Roman" w:cs="Times New Roman" w:eastAsia="Times New Roman" w:hAnsi="Times New Roman"/>
                <w:sz w:val="19"/>
                <w:szCs w:val="19"/>
                <w:color w:val="auto"/>
                <w:vertAlign w:val="superscript"/>
              </w:rPr>
              <w:t>(8)(10)</w:t>
            </w:r>
          </w:p>
        </w:tc>
        <w:tc>
          <w:tcPr>
            <w:tcW w:w="20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1"/>
                <w:szCs w:val="21"/>
                <w:color w:val="auto"/>
              </w:rPr>
            </w:pPr>
          </w:p>
        </w:tc>
      </w:tr>
      <w:tr>
        <w:trPr>
          <w:trHeight w:val="227"/>
        </w:trPr>
        <w:tc>
          <w:tcPr>
            <w:tcW w:w="30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2023 (as of September 30, 2022)</w:t>
            </w:r>
          </w:p>
        </w:tc>
        <w:tc>
          <w:tcPr>
            <w:tcW w:w="480" w:type="dxa"/>
            <w:vAlign w:val="bottom"/>
            <w:tcBorders>
              <w:top w:val="single" w:sz="8" w:color="CCEEFF"/>
            </w:tcBorders>
            <w:gridSpan w:val="2"/>
          </w:tcPr>
          <w:p>
            <w:pPr>
              <w:spacing w:after="0"/>
              <w:rPr>
                <w:sz w:val="19"/>
                <w:szCs w:val="19"/>
                <w:color w:val="auto"/>
              </w:rPr>
            </w:pPr>
          </w:p>
        </w:tc>
        <w:tc>
          <w:tcPr>
            <w:tcW w:w="28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68,125,375</w:t>
            </w:r>
          </w:p>
        </w:tc>
        <w:tc>
          <w:tcPr>
            <w:tcW w:w="74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2.58</w:t>
            </w:r>
          </w:p>
        </w:tc>
        <w:tc>
          <w:tcPr>
            <w:tcW w:w="14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20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CCEEFF"/>
            </w:tcBorders>
          </w:tcPr>
          <w:p>
            <w:pPr>
              <w:ind w:left="540"/>
              <w:spacing w:after="0"/>
              <w:rPr>
                <w:sz w:val="20"/>
                <w:szCs w:val="20"/>
                <w:color w:val="auto"/>
              </w:rPr>
            </w:pPr>
            <w:r>
              <w:rPr>
                <w:rFonts w:ascii="Times New Roman" w:cs="Times New Roman" w:eastAsia="Times New Roman" w:hAnsi="Times New Roman"/>
                <w:sz w:val="17"/>
                <w:szCs w:val="17"/>
                <w:color w:val="auto"/>
                <w:w w:val="93"/>
              </w:rPr>
              <w:t>1.01</w:t>
            </w:r>
          </w:p>
        </w:tc>
      </w:tr>
      <w:tr>
        <w:trPr>
          <w:trHeight w:val="39"/>
        </w:trPr>
        <w:tc>
          <w:tcPr>
            <w:tcW w:w="1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46"/>
        </w:trPr>
        <w:tc>
          <w:tcPr>
            <w:tcW w:w="1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2022</w:t>
            </w:r>
          </w:p>
        </w:tc>
        <w:tc>
          <w:tcPr>
            <w:tcW w:w="7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68,125,375</w:t>
            </w:r>
          </w:p>
        </w:tc>
        <w:tc>
          <w:tcPr>
            <w:tcW w:w="7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3.21</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w w:val="93"/>
              </w:rPr>
              <w:t>1.01</w:t>
            </w:r>
          </w:p>
        </w:tc>
      </w:tr>
      <w:tr>
        <w:trPr>
          <w:trHeight w:val="22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auto"/>
              </w:rPr>
              <w:t>2021</w:t>
            </w: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68,125,375</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2.88</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ind w:left="540"/>
              <w:spacing w:after="0"/>
              <w:rPr>
                <w:sz w:val="20"/>
                <w:szCs w:val="20"/>
                <w:color w:val="auto"/>
              </w:rPr>
            </w:pPr>
            <w:r>
              <w:rPr>
                <w:rFonts w:ascii="Times New Roman" w:cs="Times New Roman" w:eastAsia="Times New Roman" w:hAnsi="Times New Roman"/>
                <w:sz w:val="17"/>
                <w:szCs w:val="17"/>
                <w:color w:val="auto"/>
                <w:w w:val="93"/>
              </w:rPr>
              <w:t>0.94</w:t>
            </w:r>
          </w:p>
        </w:tc>
      </w:tr>
      <w:tr>
        <w:trPr>
          <w:trHeight w:val="39"/>
        </w:trPr>
        <w:tc>
          <w:tcPr>
            <w:tcW w:w="1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46"/>
        </w:trPr>
        <w:tc>
          <w:tcPr>
            <w:tcW w:w="1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2020</w:t>
            </w:r>
          </w:p>
        </w:tc>
        <w:tc>
          <w:tcPr>
            <w:tcW w:w="7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68,235,375</w:t>
            </w:r>
          </w:p>
        </w:tc>
        <w:tc>
          <w:tcPr>
            <w:tcW w:w="7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2.01</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w w:val="93"/>
              </w:rPr>
              <w:t>1.01</w:t>
            </w:r>
          </w:p>
        </w:tc>
      </w:tr>
      <w:tr>
        <w:trPr>
          <w:trHeight w:val="22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auto"/>
              </w:rPr>
              <w:t>2019</w:t>
            </w: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68,235,375</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2.73</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ind w:left="540"/>
              <w:spacing w:after="0"/>
              <w:rPr>
                <w:sz w:val="20"/>
                <w:szCs w:val="20"/>
                <w:color w:val="auto"/>
              </w:rPr>
            </w:pPr>
            <w:r>
              <w:rPr>
                <w:rFonts w:ascii="Times New Roman" w:cs="Times New Roman" w:eastAsia="Times New Roman" w:hAnsi="Times New Roman"/>
                <w:sz w:val="17"/>
                <w:szCs w:val="17"/>
                <w:color w:val="auto"/>
                <w:w w:val="93"/>
              </w:rPr>
              <w:t>1.02</w:t>
            </w:r>
          </w:p>
        </w:tc>
      </w:tr>
      <w:tr>
        <w:trPr>
          <w:trHeight w:val="39"/>
        </w:trPr>
        <w:tc>
          <w:tcPr>
            <w:tcW w:w="1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46"/>
        </w:trPr>
        <w:tc>
          <w:tcPr>
            <w:tcW w:w="1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2018</w:t>
            </w:r>
          </w:p>
        </w:tc>
        <w:tc>
          <w:tcPr>
            <w:tcW w:w="7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68,235,375</w:t>
            </w:r>
          </w:p>
        </w:tc>
        <w:tc>
          <w:tcPr>
            <w:tcW w:w="7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2.41</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w w:val="93"/>
              </w:rPr>
              <w:t>1.01</w:t>
            </w:r>
          </w:p>
        </w:tc>
      </w:tr>
      <w:tr>
        <w:trPr>
          <w:trHeight w:val="266"/>
        </w:trPr>
        <w:tc>
          <w:tcPr>
            <w:tcW w:w="17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46"/>
        </w:trPr>
        <w:tc>
          <w:tcPr>
            <w:tcW w:w="3500" w:type="dxa"/>
            <w:vAlign w:val="bottom"/>
            <w:gridSpan w:val="5"/>
            <w:shd w:val="clear" w:color="auto" w:fill="CCEEFF"/>
          </w:tcPr>
          <w:p>
            <w:pPr>
              <w:spacing w:after="0" w:line="190" w:lineRule="exact"/>
              <w:rPr>
                <w:sz w:val="20"/>
                <w:szCs w:val="20"/>
                <w:color w:val="auto"/>
              </w:rPr>
            </w:pPr>
            <w:r>
              <w:rPr>
                <w:rFonts w:ascii="Times New Roman" w:cs="Times New Roman" w:eastAsia="Times New Roman" w:hAnsi="Times New Roman"/>
                <w:sz w:val="17"/>
                <w:szCs w:val="17"/>
                <w:b w:val="1"/>
                <w:bCs w:val="1"/>
                <w:color w:val="auto"/>
              </w:rPr>
              <w:t>6.</w:t>
            </w:r>
            <w:r>
              <w:rPr>
                <w:rFonts w:ascii="Times New Roman" w:cs="Times New Roman" w:eastAsia="Times New Roman" w:hAnsi="Times New Roman"/>
                <w:sz w:val="17"/>
                <w:szCs w:val="17"/>
                <w:b w:val="1"/>
                <w:bCs w:val="1"/>
                <w:u w:val="single" w:color="auto"/>
                <w:color w:val="auto"/>
              </w:rPr>
              <w:t>25%</w:t>
            </w:r>
            <w:r>
              <w:rPr>
                <w:rFonts w:ascii="Times New Roman" w:cs="Times New Roman" w:eastAsia="Times New Roman" w:hAnsi="Times New Roman"/>
                <w:sz w:val="17"/>
                <w:szCs w:val="17"/>
                <w:b w:val="1"/>
                <w:bCs w:val="1"/>
                <w:color w:val="auto"/>
              </w:rPr>
              <w:t xml:space="preserve"> Series 2027 Term Preferred Shares</w:t>
            </w:r>
            <w:r>
              <w:rPr>
                <w:rFonts w:ascii="Times New Roman" w:cs="Times New Roman" w:eastAsia="Times New Roman" w:hAnsi="Times New Roman"/>
                <w:sz w:val="19"/>
                <w:szCs w:val="19"/>
                <w:color w:val="auto"/>
                <w:vertAlign w:val="superscript"/>
              </w:rPr>
              <w:t>(9)(10)</w:t>
            </w: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r>
      <w:tr>
        <w:trPr>
          <w:trHeight w:val="227"/>
        </w:trPr>
        <w:tc>
          <w:tcPr>
            <w:tcW w:w="30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2023 (as of September 30, 2022)</w:t>
            </w:r>
          </w:p>
        </w:tc>
        <w:tc>
          <w:tcPr>
            <w:tcW w:w="480" w:type="dxa"/>
            <w:vAlign w:val="bottom"/>
            <w:tcBorders>
              <w:top w:val="single" w:sz="8" w:color="CCEEFF"/>
            </w:tcBorders>
            <w:gridSpan w:val="2"/>
          </w:tcPr>
          <w:p>
            <w:pPr>
              <w:spacing w:after="0"/>
              <w:rPr>
                <w:sz w:val="19"/>
                <w:szCs w:val="19"/>
                <w:color w:val="auto"/>
              </w:rPr>
            </w:pPr>
          </w:p>
        </w:tc>
        <w:tc>
          <w:tcPr>
            <w:tcW w:w="28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88,120,150</w:t>
            </w:r>
          </w:p>
        </w:tc>
        <w:tc>
          <w:tcPr>
            <w:tcW w:w="74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2.58</w:t>
            </w:r>
          </w:p>
        </w:tc>
        <w:tc>
          <w:tcPr>
            <w:tcW w:w="14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20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CCEEFF"/>
            </w:tcBorders>
          </w:tcPr>
          <w:p>
            <w:pPr>
              <w:ind w:left="540"/>
              <w:spacing w:after="0"/>
              <w:rPr>
                <w:sz w:val="20"/>
                <w:szCs w:val="20"/>
                <w:color w:val="auto"/>
              </w:rPr>
            </w:pPr>
            <w:r>
              <w:rPr>
                <w:rFonts w:ascii="Times New Roman" w:cs="Times New Roman" w:eastAsia="Times New Roman" w:hAnsi="Times New Roman"/>
                <w:sz w:val="17"/>
                <w:szCs w:val="17"/>
                <w:color w:val="auto"/>
                <w:w w:val="93"/>
              </w:rPr>
              <w:t>0.97</w:t>
            </w:r>
          </w:p>
        </w:tc>
      </w:tr>
      <w:tr>
        <w:trPr>
          <w:trHeight w:val="39"/>
        </w:trPr>
        <w:tc>
          <w:tcPr>
            <w:tcW w:w="1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46"/>
        </w:trPr>
        <w:tc>
          <w:tcPr>
            <w:tcW w:w="1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2022</w:t>
            </w:r>
          </w:p>
        </w:tc>
        <w:tc>
          <w:tcPr>
            <w:tcW w:w="7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88,120,150</w:t>
            </w:r>
          </w:p>
        </w:tc>
        <w:tc>
          <w:tcPr>
            <w:tcW w:w="7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3.21</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w w:val="93"/>
              </w:rPr>
              <w:t>1.00</w:t>
            </w:r>
          </w:p>
        </w:tc>
      </w:tr>
      <w:tr>
        <w:trPr>
          <w:trHeight w:val="22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auto"/>
              </w:rPr>
              <w:t>2021</w:t>
            </w: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88,120,150</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2.88</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ind w:left="540"/>
              <w:spacing w:after="0"/>
              <w:rPr>
                <w:sz w:val="20"/>
                <w:szCs w:val="20"/>
                <w:color w:val="auto"/>
              </w:rPr>
            </w:pPr>
            <w:r>
              <w:rPr>
                <w:rFonts w:ascii="Times New Roman" w:cs="Times New Roman" w:eastAsia="Times New Roman" w:hAnsi="Times New Roman"/>
                <w:sz w:val="17"/>
                <w:szCs w:val="17"/>
                <w:color w:val="auto"/>
                <w:w w:val="93"/>
              </w:rPr>
              <w:t>0.89</w:t>
            </w:r>
          </w:p>
        </w:tc>
      </w:tr>
      <w:tr>
        <w:trPr>
          <w:trHeight w:val="39"/>
        </w:trPr>
        <w:tc>
          <w:tcPr>
            <w:tcW w:w="1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46"/>
        </w:trPr>
        <w:tc>
          <w:tcPr>
            <w:tcW w:w="1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2020</w:t>
            </w:r>
          </w:p>
        </w:tc>
        <w:tc>
          <w:tcPr>
            <w:tcW w:w="7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91,600,000</w:t>
            </w:r>
          </w:p>
        </w:tc>
        <w:tc>
          <w:tcPr>
            <w:tcW w:w="7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2.01</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w w:val="93"/>
              </w:rPr>
              <w:t>0.89</w:t>
            </w:r>
          </w:p>
        </w:tc>
      </w:tr>
      <w:tr>
        <w:trPr>
          <w:trHeight w:val="266"/>
        </w:trPr>
        <w:tc>
          <w:tcPr>
            <w:tcW w:w="17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46"/>
        </w:trPr>
        <w:tc>
          <w:tcPr>
            <w:tcW w:w="3500" w:type="dxa"/>
            <w:vAlign w:val="bottom"/>
            <w:gridSpan w:val="5"/>
            <w:shd w:val="clear" w:color="auto" w:fill="CCEEFF"/>
          </w:tcPr>
          <w:p>
            <w:pPr>
              <w:spacing w:after="0" w:line="190" w:lineRule="exact"/>
              <w:rPr>
                <w:sz w:val="20"/>
                <w:szCs w:val="20"/>
                <w:color w:val="auto"/>
              </w:rPr>
            </w:pPr>
            <w:r>
              <w:rPr>
                <w:rFonts w:ascii="Times New Roman" w:cs="Times New Roman" w:eastAsia="Times New Roman" w:hAnsi="Times New Roman"/>
                <w:sz w:val="17"/>
                <w:szCs w:val="17"/>
                <w:b w:val="1"/>
                <w:bCs w:val="1"/>
                <w:color w:val="auto"/>
              </w:rPr>
              <w:t>6.</w:t>
            </w:r>
            <w:r>
              <w:rPr>
                <w:rFonts w:ascii="Times New Roman" w:cs="Times New Roman" w:eastAsia="Times New Roman" w:hAnsi="Times New Roman"/>
                <w:sz w:val="17"/>
                <w:szCs w:val="17"/>
                <w:b w:val="1"/>
                <w:bCs w:val="1"/>
                <w:u w:val="single" w:color="auto"/>
                <w:color w:val="auto"/>
              </w:rPr>
              <w:t>00%</w:t>
            </w:r>
            <w:r>
              <w:rPr>
                <w:rFonts w:ascii="Times New Roman" w:cs="Times New Roman" w:eastAsia="Times New Roman" w:hAnsi="Times New Roman"/>
                <w:sz w:val="17"/>
                <w:szCs w:val="17"/>
                <w:b w:val="1"/>
                <w:bCs w:val="1"/>
                <w:color w:val="auto"/>
              </w:rPr>
              <w:t xml:space="preserve"> Series 2029 Term Preferred Shares</w:t>
            </w:r>
            <w:r>
              <w:rPr>
                <w:rFonts w:ascii="Times New Roman" w:cs="Times New Roman" w:eastAsia="Times New Roman" w:hAnsi="Times New Roman"/>
                <w:sz w:val="19"/>
                <w:szCs w:val="19"/>
                <w:color w:val="auto"/>
                <w:vertAlign w:val="superscript"/>
              </w:rPr>
              <w:t>(14)</w:t>
            </w: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r>
      <w:tr>
        <w:trPr>
          <w:trHeight w:val="227"/>
        </w:trPr>
        <w:tc>
          <w:tcPr>
            <w:tcW w:w="30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2023 (as of September 30, 2022)</w:t>
            </w:r>
          </w:p>
        </w:tc>
        <w:tc>
          <w:tcPr>
            <w:tcW w:w="480" w:type="dxa"/>
            <w:vAlign w:val="bottom"/>
            <w:tcBorders>
              <w:top w:val="single" w:sz="8" w:color="CCEEFF"/>
            </w:tcBorders>
            <w:gridSpan w:val="2"/>
          </w:tcPr>
          <w:p>
            <w:pPr>
              <w:spacing w:after="0"/>
              <w:rPr>
                <w:sz w:val="19"/>
                <w:szCs w:val="19"/>
                <w:color w:val="auto"/>
              </w:rPr>
            </w:pPr>
          </w:p>
        </w:tc>
        <w:tc>
          <w:tcPr>
            <w:tcW w:w="28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67,172,500</w:t>
            </w:r>
          </w:p>
        </w:tc>
        <w:tc>
          <w:tcPr>
            <w:tcW w:w="74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2.58</w:t>
            </w:r>
          </w:p>
        </w:tc>
        <w:tc>
          <w:tcPr>
            <w:tcW w:w="14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20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CCEEFF"/>
            </w:tcBorders>
          </w:tcPr>
          <w:p>
            <w:pPr>
              <w:ind w:left="540"/>
              <w:spacing w:after="0"/>
              <w:rPr>
                <w:sz w:val="20"/>
                <w:szCs w:val="20"/>
                <w:color w:val="auto"/>
              </w:rPr>
            </w:pPr>
            <w:r>
              <w:rPr>
                <w:rFonts w:ascii="Times New Roman" w:cs="Times New Roman" w:eastAsia="Times New Roman" w:hAnsi="Times New Roman"/>
                <w:sz w:val="17"/>
                <w:szCs w:val="17"/>
                <w:color w:val="auto"/>
                <w:w w:val="93"/>
              </w:rPr>
              <w:t>0.95</w:t>
            </w:r>
          </w:p>
        </w:tc>
      </w:tr>
      <w:tr>
        <w:trPr>
          <w:trHeight w:val="39"/>
        </w:trPr>
        <w:tc>
          <w:tcPr>
            <w:tcW w:w="1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46"/>
        </w:trPr>
        <w:tc>
          <w:tcPr>
            <w:tcW w:w="1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2022</w:t>
            </w:r>
          </w:p>
        </w:tc>
        <w:tc>
          <w:tcPr>
            <w:tcW w:w="7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67,172,500</w:t>
            </w:r>
          </w:p>
        </w:tc>
        <w:tc>
          <w:tcPr>
            <w:tcW w:w="7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3.21</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w w:val="93"/>
              </w:rPr>
              <w:t>1.00</w:t>
            </w:r>
          </w:p>
        </w:tc>
      </w:tr>
      <w:tr>
        <w:trPr>
          <w:trHeight w:val="266"/>
        </w:trPr>
        <w:tc>
          <w:tcPr>
            <w:tcW w:w="17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46"/>
        </w:trPr>
        <w:tc>
          <w:tcPr>
            <w:tcW w:w="3500" w:type="dxa"/>
            <w:vAlign w:val="bottom"/>
            <w:gridSpan w:val="5"/>
            <w:shd w:val="clear" w:color="auto" w:fill="CCEEFF"/>
          </w:tcPr>
          <w:p>
            <w:pPr>
              <w:spacing w:after="0" w:line="190" w:lineRule="exact"/>
              <w:rPr>
                <w:sz w:val="20"/>
                <w:szCs w:val="20"/>
                <w:color w:val="auto"/>
              </w:rPr>
            </w:pPr>
            <w:r>
              <w:rPr>
                <w:rFonts w:ascii="Times New Roman" w:cs="Times New Roman" w:eastAsia="Times New Roman" w:hAnsi="Times New Roman"/>
                <w:sz w:val="17"/>
                <w:szCs w:val="17"/>
                <w:b w:val="1"/>
                <w:bCs w:val="1"/>
                <w:color w:val="auto"/>
              </w:rPr>
              <w:t>7.</w:t>
            </w:r>
            <w:r>
              <w:rPr>
                <w:rFonts w:ascii="Times New Roman" w:cs="Times New Roman" w:eastAsia="Times New Roman" w:hAnsi="Times New Roman"/>
                <w:sz w:val="17"/>
                <w:szCs w:val="17"/>
                <w:b w:val="1"/>
                <w:bCs w:val="1"/>
                <w:u w:val="single" w:color="auto"/>
                <w:color w:val="auto"/>
              </w:rPr>
              <w:t>125%</w:t>
            </w:r>
            <w:r>
              <w:rPr>
                <w:rFonts w:ascii="Times New Roman" w:cs="Times New Roman" w:eastAsia="Times New Roman" w:hAnsi="Times New Roman"/>
                <w:sz w:val="17"/>
                <w:szCs w:val="17"/>
                <w:b w:val="1"/>
                <w:bCs w:val="1"/>
                <w:color w:val="auto"/>
              </w:rPr>
              <w:t xml:space="preserve"> Series 2029 Term Preferred Shares</w:t>
            </w:r>
            <w:r>
              <w:rPr>
                <w:rFonts w:ascii="Times New Roman" w:cs="Times New Roman" w:eastAsia="Times New Roman" w:hAnsi="Times New Roman"/>
                <w:sz w:val="19"/>
                <w:szCs w:val="19"/>
                <w:color w:val="auto"/>
                <w:vertAlign w:val="superscript"/>
              </w:rPr>
              <w:t>(16)</w:t>
            </w: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r>
      <w:tr>
        <w:trPr>
          <w:trHeight w:val="227"/>
        </w:trPr>
        <w:tc>
          <w:tcPr>
            <w:tcW w:w="310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7"/>
                <w:szCs w:val="17"/>
                <w:color w:val="auto"/>
              </w:rPr>
              <w:t>2023 (as of September 30, 2022)</w:t>
            </w:r>
          </w:p>
        </w:tc>
        <w:tc>
          <w:tcPr>
            <w:tcW w:w="40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63,750,000</w:t>
            </w:r>
          </w:p>
        </w:tc>
        <w:tc>
          <w:tcPr>
            <w:tcW w:w="74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2.58</w:t>
            </w:r>
          </w:p>
        </w:tc>
        <w:tc>
          <w:tcPr>
            <w:tcW w:w="14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20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CCEEFF"/>
            </w:tcBorders>
          </w:tcPr>
          <w:p>
            <w:pPr>
              <w:ind w:left="540"/>
              <w:spacing w:after="0"/>
              <w:rPr>
                <w:sz w:val="20"/>
                <w:szCs w:val="20"/>
                <w:color w:val="auto"/>
              </w:rPr>
            </w:pPr>
            <w:r>
              <w:rPr>
                <w:rFonts w:ascii="Times New Roman" w:cs="Times New Roman" w:eastAsia="Times New Roman" w:hAnsi="Times New Roman"/>
                <w:sz w:val="17"/>
                <w:szCs w:val="17"/>
                <w:color w:val="auto"/>
                <w:w w:val="93"/>
              </w:rPr>
              <w:t>0.97</w:t>
            </w:r>
          </w:p>
        </w:tc>
      </w:tr>
      <w:tr>
        <w:trPr>
          <w:trHeight w:val="39"/>
        </w:trPr>
        <w:tc>
          <w:tcPr>
            <w:tcW w:w="1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66"/>
        </w:trPr>
        <w:tc>
          <w:tcPr>
            <w:tcW w:w="17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r>
      <w:tr>
        <w:trPr>
          <w:trHeight w:val="190"/>
        </w:trPr>
        <w:tc>
          <w:tcPr>
            <w:tcW w:w="3500" w:type="dxa"/>
            <w:vAlign w:val="bottom"/>
            <w:gridSpan w:val="5"/>
          </w:tcPr>
          <w:p>
            <w:pPr>
              <w:spacing w:after="0" w:line="190" w:lineRule="exact"/>
              <w:rPr>
                <w:sz w:val="20"/>
                <w:szCs w:val="20"/>
                <w:color w:val="auto"/>
              </w:rPr>
            </w:pPr>
            <w:r>
              <w:rPr>
                <w:rFonts w:ascii="Times New Roman" w:cs="Times New Roman" w:eastAsia="Times New Roman" w:hAnsi="Times New Roman"/>
                <w:sz w:val="17"/>
                <w:szCs w:val="17"/>
                <w:b w:val="1"/>
                <w:bCs w:val="1"/>
                <w:color w:val="auto"/>
              </w:rPr>
              <w:t>Repurchase Agreement</w:t>
            </w:r>
            <w:r>
              <w:rPr>
                <w:rFonts w:ascii="Times New Roman" w:cs="Times New Roman" w:eastAsia="Times New Roman" w:hAnsi="Times New Roman"/>
                <w:sz w:val="19"/>
                <w:szCs w:val="19"/>
                <w:color w:val="auto"/>
                <w:vertAlign w:val="superscript"/>
              </w:rPr>
              <w:t>(11)</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56"/>
        </w:trPr>
        <w:tc>
          <w:tcPr>
            <w:tcW w:w="1700" w:type="dxa"/>
            <w:vAlign w:val="bottom"/>
            <w:tcBorders>
              <w:top w:val="single" w:sz="8" w:color="auto"/>
            </w:tcBorders>
          </w:tcPr>
          <w:p>
            <w:pPr>
              <w:spacing w:after="0"/>
              <w:rPr>
                <w:sz w:val="4"/>
                <w:szCs w:val="4"/>
                <w:color w:val="auto"/>
              </w:rPr>
            </w:pPr>
          </w:p>
        </w:tc>
        <w:tc>
          <w:tcPr>
            <w:tcW w:w="7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246"/>
        </w:trPr>
        <w:tc>
          <w:tcPr>
            <w:tcW w:w="1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2021</w:t>
            </w:r>
          </w:p>
        </w:tc>
        <w:tc>
          <w:tcPr>
            <w:tcW w:w="7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w w:val="88"/>
              </w:rPr>
              <w:t>N/A</w:t>
            </w:r>
          </w:p>
        </w:tc>
      </w:tr>
      <w:tr>
        <w:trPr>
          <w:trHeight w:val="22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auto"/>
              </w:rPr>
              <w:t>2020</w:t>
            </w: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40,000,000</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2.01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ind w:left="560"/>
              <w:spacing w:after="0"/>
              <w:rPr>
                <w:sz w:val="20"/>
                <w:szCs w:val="20"/>
                <w:color w:val="auto"/>
              </w:rPr>
            </w:pPr>
            <w:r>
              <w:rPr>
                <w:rFonts w:ascii="Times New Roman" w:cs="Times New Roman" w:eastAsia="Times New Roman" w:hAnsi="Times New Roman"/>
                <w:sz w:val="17"/>
                <w:szCs w:val="17"/>
                <w:color w:val="auto"/>
                <w:w w:val="88"/>
              </w:rPr>
              <w:t>N/A</w:t>
            </w:r>
          </w:p>
        </w:tc>
      </w:tr>
      <w:tr>
        <w:trPr>
          <w:trHeight w:val="39"/>
        </w:trPr>
        <w:tc>
          <w:tcPr>
            <w:tcW w:w="1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46"/>
        </w:trPr>
        <w:tc>
          <w:tcPr>
            <w:tcW w:w="1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2019</w:t>
            </w:r>
          </w:p>
        </w:tc>
        <w:tc>
          <w:tcPr>
            <w:tcW w:w="7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42,493,500</w:t>
            </w:r>
          </w:p>
        </w:tc>
        <w:tc>
          <w:tcPr>
            <w:tcW w:w="7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2.73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w w:val="88"/>
              </w:rPr>
              <w:t>N/A</w:t>
            </w:r>
          </w:p>
        </w:tc>
      </w:tr>
      <w:tr>
        <w:trPr>
          <w:trHeight w:val="22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auto"/>
              </w:rPr>
              <w:t>2018</w:t>
            </w: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42,493,500</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2.41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ind w:left="560"/>
              <w:spacing w:after="0"/>
              <w:rPr>
                <w:sz w:val="20"/>
                <w:szCs w:val="20"/>
                <w:color w:val="auto"/>
              </w:rPr>
            </w:pPr>
            <w:r>
              <w:rPr>
                <w:rFonts w:ascii="Times New Roman" w:cs="Times New Roman" w:eastAsia="Times New Roman" w:hAnsi="Times New Roman"/>
                <w:sz w:val="17"/>
                <w:szCs w:val="17"/>
                <w:color w:val="auto"/>
                <w:w w:val="88"/>
              </w:rPr>
              <w:t>N/A</w:t>
            </w:r>
          </w:p>
        </w:tc>
      </w:tr>
      <w:tr>
        <w:trPr>
          <w:trHeight w:val="39"/>
        </w:trPr>
        <w:tc>
          <w:tcPr>
            <w:tcW w:w="1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66"/>
        </w:trPr>
        <w:tc>
          <w:tcPr>
            <w:tcW w:w="17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r>
      <w:tr>
        <w:trPr>
          <w:trHeight w:val="190"/>
        </w:trPr>
        <w:tc>
          <w:tcPr>
            <w:tcW w:w="3500" w:type="dxa"/>
            <w:vAlign w:val="bottom"/>
            <w:gridSpan w:val="5"/>
          </w:tcPr>
          <w:p>
            <w:pPr>
              <w:spacing w:after="0" w:line="190" w:lineRule="exact"/>
              <w:rPr>
                <w:sz w:val="20"/>
                <w:szCs w:val="20"/>
                <w:color w:val="auto"/>
              </w:rPr>
            </w:pPr>
            <w:r>
              <w:rPr>
                <w:rFonts w:ascii="Times New Roman" w:cs="Times New Roman" w:eastAsia="Times New Roman" w:hAnsi="Times New Roman"/>
                <w:sz w:val="17"/>
                <w:szCs w:val="17"/>
                <w:b w:val="1"/>
                <w:bCs w:val="1"/>
                <w:color w:val="auto"/>
              </w:rPr>
              <w:t>6.</w:t>
            </w:r>
            <w:r>
              <w:rPr>
                <w:rFonts w:ascii="Times New Roman" w:cs="Times New Roman" w:eastAsia="Times New Roman" w:hAnsi="Times New Roman"/>
                <w:sz w:val="17"/>
                <w:szCs w:val="17"/>
                <w:b w:val="1"/>
                <w:bCs w:val="1"/>
                <w:u w:val="single" w:color="auto"/>
                <w:color w:val="auto"/>
              </w:rPr>
              <w:t>75%</w:t>
            </w:r>
            <w:r>
              <w:rPr>
                <w:rFonts w:ascii="Times New Roman" w:cs="Times New Roman" w:eastAsia="Times New Roman" w:hAnsi="Times New Roman"/>
                <w:sz w:val="17"/>
                <w:szCs w:val="17"/>
                <w:b w:val="1"/>
                <w:bCs w:val="1"/>
                <w:color w:val="auto"/>
              </w:rPr>
              <w:t xml:space="preserve"> Unsecured Notes due 2031</w:t>
            </w:r>
            <w:r>
              <w:rPr>
                <w:rFonts w:ascii="Times New Roman" w:cs="Times New Roman" w:eastAsia="Times New Roman" w:hAnsi="Times New Roman"/>
                <w:sz w:val="19"/>
                <w:szCs w:val="19"/>
                <w:color w:val="auto"/>
                <w:vertAlign w:val="superscript"/>
              </w:rPr>
              <w:t>(12)</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56"/>
        </w:trPr>
        <w:tc>
          <w:tcPr>
            <w:tcW w:w="1700" w:type="dxa"/>
            <w:vAlign w:val="bottom"/>
            <w:tcBorders>
              <w:top w:val="single" w:sz="8" w:color="auto"/>
            </w:tcBorders>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246"/>
        </w:trPr>
        <w:tc>
          <w:tcPr>
            <w:tcW w:w="350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auto"/>
              </w:rPr>
              <w:t>2023 (as of September 30, 2022)</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100,000,000</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2.58</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w w:val="93"/>
              </w:rPr>
              <w:t>0.99</w:t>
            </w:r>
          </w:p>
        </w:tc>
      </w:tr>
      <w:tr>
        <w:trPr>
          <w:trHeight w:val="227"/>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auto"/>
              </w:rPr>
              <w:t>2022</w:t>
            </w: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100,000,000</w:t>
            </w: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3.21</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ind w:left="540"/>
              <w:spacing w:after="0"/>
              <w:rPr>
                <w:sz w:val="20"/>
                <w:szCs w:val="20"/>
                <w:color w:val="auto"/>
              </w:rPr>
            </w:pPr>
            <w:r>
              <w:rPr>
                <w:rFonts w:ascii="Times New Roman" w:cs="Times New Roman" w:eastAsia="Times New Roman" w:hAnsi="Times New Roman"/>
                <w:sz w:val="17"/>
                <w:szCs w:val="17"/>
                <w:color w:val="auto"/>
                <w:w w:val="93"/>
              </w:rPr>
              <w:t>1.04</w:t>
            </w:r>
          </w:p>
        </w:tc>
      </w:tr>
      <w:tr>
        <w:trPr>
          <w:trHeight w:val="39"/>
        </w:trPr>
        <w:tc>
          <w:tcPr>
            <w:tcW w:w="1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46"/>
        </w:trPr>
        <w:tc>
          <w:tcPr>
            <w:tcW w:w="1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2021</w:t>
            </w:r>
          </w:p>
        </w:tc>
        <w:tc>
          <w:tcPr>
            <w:tcW w:w="7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100,000,000</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2.88</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w w:val="93"/>
              </w:rPr>
              <w:t>1.00</w:t>
            </w:r>
          </w:p>
        </w:tc>
      </w:tr>
      <w:tr>
        <w:trPr>
          <w:trHeight w:val="266"/>
        </w:trPr>
        <w:tc>
          <w:tcPr>
            <w:tcW w:w="17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46"/>
        </w:trPr>
        <w:tc>
          <w:tcPr>
            <w:tcW w:w="3500" w:type="dxa"/>
            <w:vAlign w:val="bottom"/>
            <w:gridSpan w:val="5"/>
            <w:shd w:val="clear" w:color="auto" w:fill="CCEEFF"/>
          </w:tcPr>
          <w:p>
            <w:pPr>
              <w:spacing w:after="0" w:line="190" w:lineRule="exact"/>
              <w:rPr>
                <w:sz w:val="20"/>
                <w:szCs w:val="20"/>
                <w:color w:val="auto"/>
              </w:rPr>
            </w:pPr>
            <w:r>
              <w:rPr>
                <w:rFonts w:ascii="Times New Roman" w:cs="Times New Roman" w:eastAsia="Times New Roman" w:hAnsi="Times New Roman"/>
                <w:sz w:val="17"/>
                <w:szCs w:val="17"/>
                <w:b w:val="1"/>
                <w:bCs w:val="1"/>
                <w:color w:val="auto"/>
              </w:rPr>
              <w:t>5.</w:t>
            </w:r>
            <w:r>
              <w:rPr>
                <w:rFonts w:ascii="Times New Roman" w:cs="Times New Roman" w:eastAsia="Times New Roman" w:hAnsi="Times New Roman"/>
                <w:sz w:val="17"/>
                <w:szCs w:val="17"/>
                <w:b w:val="1"/>
                <w:bCs w:val="1"/>
                <w:u w:val="single" w:color="auto"/>
                <w:color w:val="auto"/>
              </w:rPr>
              <w:t>00%</w:t>
            </w:r>
            <w:r>
              <w:rPr>
                <w:rFonts w:ascii="Times New Roman" w:cs="Times New Roman" w:eastAsia="Times New Roman" w:hAnsi="Times New Roman"/>
                <w:sz w:val="17"/>
                <w:szCs w:val="17"/>
                <w:b w:val="1"/>
                <w:bCs w:val="1"/>
                <w:color w:val="auto"/>
              </w:rPr>
              <w:t xml:space="preserve"> Unsecured Notes due 2027</w:t>
            </w:r>
            <w:r>
              <w:rPr>
                <w:rFonts w:ascii="Times New Roman" w:cs="Times New Roman" w:eastAsia="Times New Roman" w:hAnsi="Times New Roman"/>
                <w:sz w:val="19"/>
                <w:szCs w:val="19"/>
                <w:color w:val="auto"/>
                <w:vertAlign w:val="superscript"/>
              </w:rPr>
              <w:t>(15)</w:t>
            </w: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r>
      <w:tr>
        <w:trPr>
          <w:trHeight w:val="227"/>
        </w:trPr>
        <w:tc>
          <w:tcPr>
            <w:tcW w:w="24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2023 (as of September 30, 2022)</w:t>
            </w:r>
          </w:p>
        </w:tc>
        <w:tc>
          <w:tcPr>
            <w:tcW w:w="1100" w:type="dxa"/>
            <w:vAlign w:val="bottom"/>
            <w:tcBorders>
              <w:top w:val="single" w:sz="8" w:color="CCEEFF"/>
            </w:tcBorders>
            <w:gridSpan w:val="3"/>
          </w:tcPr>
          <w:p>
            <w:pPr>
              <w:spacing w:after="0"/>
              <w:rPr>
                <w:sz w:val="19"/>
                <w:szCs w:val="19"/>
                <w:color w:val="auto"/>
              </w:rPr>
            </w:pPr>
          </w:p>
        </w:tc>
        <w:tc>
          <w:tcPr>
            <w:tcW w:w="28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100,000,000</w:t>
            </w:r>
          </w:p>
        </w:tc>
        <w:tc>
          <w:tcPr>
            <w:tcW w:w="100" w:type="dxa"/>
            <w:vAlign w:val="bottom"/>
            <w:tcBorders>
              <w:top w:val="single" w:sz="8" w:color="CCEEFF"/>
            </w:tcBorders>
          </w:tcPr>
          <w:p>
            <w:pPr>
              <w:spacing w:after="0"/>
              <w:rPr>
                <w:sz w:val="19"/>
                <w:szCs w:val="19"/>
                <w:color w:val="auto"/>
              </w:rPr>
            </w:pPr>
          </w:p>
        </w:tc>
        <w:tc>
          <w:tcPr>
            <w:tcW w:w="74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2.58</w:t>
            </w:r>
          </w:p>
        </w:tc>
        <w:tc>
          <w:tcPr>
            <w:tcW w:w="14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20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CCEEFF"/>
            </w:tcBorders>
          </w:tcPr>
          <w:p>
            <w:pPr>
              <w:ind w:left="540"/>
              <w:spacing w:after="0"/>
              <w:rPr>
                <w:sz w:val="20"/>
                <w:szCs w:val="20"/>
                <w:color w:val="auto"/>
              </w:rPr>
            </w:pPr>
            <w:r>
              <w:rPr>
                <w:rFonts w:ascii="Times New Roman" w:cs="Times New Roman" w:eastAsia="Times New Roman" w:hAnsi="Times New Roman"/>
                <w:sz w:val="17"/>
                <w:szCs w:val="17"/>
                <w:color w:val="auto"/>
                <w:w w:val="93"/>
              </w:rPr>
              <w:t>0.95</w:t>
            </w:r>
          </w:p>
        </w:tc>
      </w:tr>
      <w:tr>
        <w:trPr>
          <w:trHeight w:val="39"/>
        </w:trPr>
        <w:tc>
          <w:tcPr>
            <w:tcW w:w="1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27"/>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2022</w:t>
            </w:r>
          </w:p>
        </w:tc>
        <w:tc>
          <w:tcPr>
            <w:tcW w:w="7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100,000,000</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3.21</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w w:val="93"/>
              </w:rPr>
              <w:t>0.99</w:t>
            </w:r>
          </w:p>
        </w:tc>
      </w:tr>
      <w:tr>
        <w:trPr>
          <w:trHeight w:val="39"/>
        </w:trPr>
        <w:tc>
          <w:tcPr>
            <w:tcW w:w="170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r>
    </w:tbl>
    <w:p>
      <w:pPr>
        <w:spacing w:after="0" w:line="3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5"/>
          <w:szCs w:val="15"/>
          <w:color w:val="auto"/>
        </w:rPr>
        <w:t>____________</w:t>
      </w:r>
    </w:p>
    <w:p>
      <w:pPr>
        <w:spacing w:after="0" w:line="93" w:lineRule="exact"/>
        <w:rPr>
          <w:sz w:val="20"/>
          <w:szCs w:val="20"/>
          <w:color w:val="auto"/>
        </w:rPr>
      </w:pPr>
    </w:p>
    <w:p>
      <w:pPr>
        <w:ind w:left="1120" w:hanging="415"/>
        <w:spacing w:after="0"/>
        <w:tabs>
          <w:tab w:leader="none" w:pos="112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Total amount of each class of senior securities outstanding at the end of the period presented.</w:t>
      </w:r>
    </w:p>
    <w:p>
      <w:pPr>
        <w:spacing w:after="0" w:line="24" w:lineRule="exact"/>
        <w:rPr>
          <w:rFonts w:ascii="Times New Roman" w:cs="Times New Roman" w:eastAsia="Times New Roman" w:hAnsi="Times New Roman"/>
          <w:sz w:val="15"/>
          <w:szCs w:val="15"/>
          <w:color w:val="auto"/>
        </w:rPr>
      </w:pPr>
    </w:p>
    <w:p>
      <w:pPr>
        <w:ind w:left="1120" w:right="899" w:hanging="415"/>
        <w:spacing w:after="0" w:line="267" w:lineRule="auto"/>
        <w:tabs>
          <w:tab w:leader="none" w:pos="112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Asset coverage per unit is the ratio of the carrying value of our total consolidated assets, less all liabilities and indebtedness not represented by senior securities, to the aggregate amount of outstanding senior securities, as calculated separately for each of the Term Preferred, the Notes Shares and the Master Repurchase Agreement (“MRA”) with Nomura Securities International, Inc. (“Nomura”) in accordance with section 18(h) of the 1940 Act. With respect to the Term Preferred Shares and the Notes, the asset coverage per unit is expressed in terms of a ratio per share of outstanding Term Preferred Shares (when expressing in terms of dollar amounts per share, the asset coverage ratio per unit is multiplied by the involuntary liquidation preference per unit of $25). With respect to the MRA, the asset coverage ratio per unit is expressed in terms of a ratio per unit of outstanding (when expressing in terms of dollar amounts per share, the asset coverage per unit is multiplied by $1,000 per principal amount).</w:t>
      </w:r>
    </w:p>
    <w:p>
      <w:pPr>
        <w:sectPr>
          <w:pgSz w:w="11900" w:h="16838" w:orient="portrait"/>
          <w:cols w:equalWidth="0" w:num="1">
            <w:col w:w="9019"/>
          </w:cols>
          <w:pgMar w:left="1440" w:top="262" w:right="1440" w:bottom="1440" w:gutter="0" w:footer="0" w:header="0"/>
        </w:sectPr>
      </w:pP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22225</wp:posOffset>
            </wp:positionV>
            <wp:extent cx="482473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4824730"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type w:val="continuous"/>
        </w:sectPr>
      </w:pPr>
    </w:p>
    <w:bookmarkStart w:id="51" w:name="page52"/>
    <w:bookmarkEnd w:id="51"/>
    <w:p>
      <w:pPr>
        <w:ind w:left="7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SEPTEMBER 30, 2022</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 xml:space="preserve">NOTE 13. FINANCIAL HIGHLIGHTS </w:t>
      </w:r>
      <w:r>
        <w:rPr>
          <w:rFonts w:ascii="Times New Roman" w:cs="Times New Roman" w:eastAsia="Times New Roman" w:hAnsi="Times New Roman"/>
          <w:sz w:val="17"/>
          <w:szCs w:val="17"/>
          <w:color w:val="auto"/>
        </w:rPr>
        <w:t>(cont.)</w:t>
      </w:r>
    </w:p>
    <w:p>
      <w:pPr>
        <w:spacing w:after="0" w:line="193" w:lineRule="exact"/>
        <w:rPr>
          <w:sz w:val="20"/>
          <w:szCs w:val="20"/>
          <w:color w:val="auto"/>
        </w:rPr>
      </w:pPr>
    </w:p>
    <w:p>
      <w:pPr>
        <w:ind w:left="1120" w:right="959" w:hanging="415"/>
        <w:spacing w:after="0" w:line="269" w:lineRule="auto"/>
        <w:tabs>
          <w:tab w:leader="none" w:pos="112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 to which such class of senior security would be entitled upon the voluntary liquidation of the issuer in preference to any security junior to it.</w:t>
      </w:r>
    </w:p>
    <w:p>
      <w:pPr>
        <w:ind w:left="1120" w:right="739" w:hanging="415"/>
        <w:spacing w:after="0" w:line="264" w:lineRule="auto"/>
        <w:tabs>
          <w:tab w:leader="none" w:pos="112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respect to the Term Preferred Shares and the Notes, the Average Market Value Per Unit is calculated by taking the daily average closing price of the security for the respective period and dividing it by $25 per share to determine a unit price per share consistent with Asset Coverage Per Unit. With respect to the MRA, the Average Market Value is not applicable as there are no senior securities thereunder which are registered for public trading.</w:t>
      </w:r>
    </w:p>
    <w:p>
      <w:pPr>
        <w:ind w:left="1120" w:right="1159" w:hanging="415"/>
        <w:spacing w:after="0" w:line="264" w:lineRule="auto"/>
        <w:tabs>
          <w:tab w:leader="none" w:pos="112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July 24, 2015, the Fund redeemed all issued and outstanding Series 2017 Term Preferred Shares at the term redemption price.</w:t>
      </w:r>
    </w:p>
    <w:p>
      <w:pPr>
        <w:ind w:left="1120" w:right="759" w:hanging="415"/>
        <w:spacing w:after="0" w:line="264" w:lineRule="auto"/>
        <w:tabs>
          <w:tab w:leader="none" w:pos="112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March 12, 2020, the Fund redeemed 1,200,000 shares of the 7.50% Series 2023 Term Preferred Shares issued and outstanding at the term redemption price.</w:t>
      </w:r>
    </w:p>
    <w:p>
      <w:pPr>
        <w:ind w:left="1120" w:right="979" w:hanging="415"/>
        <w:spacing w:after="0" w:line="264" w:lineRule="auto"/>
        <w:tabs>
          <w:tab w:leader="none" w:pos="112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July 14, 2017, the Fund redeemed all issued and outstanding 8.125% Series 2024 Term Preferred Shares at the term redemption price.</w:t>
      </w:r>
    </w:p>
    <w:p>
      <w:pPr>
        <w:ind w:left="1120" w:right="1159" w:hanging="415"/>
        <w:spacing w:after="0" w:line="264" w:lineRule="auto"/>
        <w:tabs>
          <w:tab w:leader="none" w:pos="112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June 14, 2017, the Fund issued 2,729,415 shares of its newly designated 6.75% Series 2024 Term Preferred Shares.</w:t>
      </w:r>
    </w:p>
    <w:p>
      <w:pPr>
        <w:ind w:left="1120" w:right="779" w:hanging="415"/>
        <w:spacing w:after="0" w:line="264" w:lineRule="auto"/>
        <w:tabs>
          <w:tab w:leader="none" w:pos="112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February 11, 2020, the Fund completed an underwritten public offering of 3,500,000 shares of its newly designated 6.25% Series 2027 Term Preferred Stock at a public offering price of $25 per share, raising approximately $84.7 million in net proceeds. On March 10, 2020, an additional 164,000 shares were issued pursuant to an exercise of the over-allotment option granted to the underwriters, resulting in net proceeds of approximately $4.0 million.</w:t>
      </w:r>
    </w:p>
    <w:p>
      <w:pPr>
        <w:ind w:left="1120" w:hanging="415"/>
        <w:spacing w:after="0"/>
        <w:tabs>
          <w:tab w:leader="none" w:pos="112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May 21, 2020, the Fund’s Board of Directors authorized a program for the purpose of repurchasing up to</w:t>
      </w:r>
    </w:p>
    <w:p>
      <w:pPr>
        <w:spacing w:after="0" w:line="17" w:lineRule="exact"/>
        <w:rPr>
          <w:rFonts w:ascii="Times New Roman" w:cs="Times New Roman" w:eastAsia="Times New Roman" w:hAnsi="Times New Roman"/>
          <w:sz w:val="15"/>
          <w:szCs w:val="15"/>
          <w:color w:val="auto"/>
        </w:rPr>
      </w:pPr>
    </w:p>
    <w:p>
      <w:pPr>
        <w:jc w:val="both"/>
        <w:ind w:left="1120" w:right="819"/>
        <w:spacing w:after="0" w:line="264"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$40 million worth of the outstanding shares of its 7.50% Series 2023 Term Preferred Stock, 6.75% Series 2024 Term Preferred Stock and 6.25% Series 2027 Term Preferred Stock. During the six months ended September 30, 2020, the Fund repurchased 134,606 shares of 7.50% Series 2023 Term Preferred Stock for a total of approximately</w:t>
      </w:r>
    </w:p>
    <w:p>
      <w:pPr>
        <w:ind w:left="1120" w:right="859"/>
        <w:spacing w:after="0" w:line="264"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$3.2 million, 4,400 shares of 6.75% Series 2024 Term Preferred Stock for a total of approximately $0.1 million, and 139,194 shares of 6.25% Series 2027 Term Preferred Stock, for a total of approximately $3.1 million.</w:t>
      </w:r>
    </w:p>
    <w:p>
      <w:pPr>
        <w:ind w:left="1120" w:right="719" w:hanging="415"/>
        <w:spacing w:after="0" w:line="264" w:lineRule="auto"/>
        <w:tabs>
          <w:tab w:leader="none" w:pos="1114"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May 1, 2019, the MRA was amended to (i) extend the maturity date of the Repo from July 2, 2019 to January 2, 2020, and (ii) reduce the funding cost of the MRA from 3-month LIBOR plus 3.15% per annum to 3-month LIBOR plus 2.90% per annum effective as of July 2, 2019. In addition, the Repo was partially paid down on May 15, 2019, from approximately $42.5 million to $35.0 million. On August 15, 2019, the MRA was amended to extend the maturity date of the Repo from January 2, 2020, to April 2, 2020. On November 4, 2019, in light of market conditions, the Fund elected to post additional collateral with a market value of approximately $8.2 million. On December 26, 2019, the Fund amended the MRA to extend the maturity date of the Repo from April 2, 2020 to October 2, 2020 and sold CLO securities to Nomura with a market value of approximately $50.0 million, resulting in an increase in the maximum facility size of the Repo from $35.0 million to $50.0 million. On March 17, 2020, in light of market conditions, the Fund elected to post additional collateral with a market value of approximately</w:t>
      </w:r>
    </w:p>
    <w:p>
      <w:pPr>
        <w:spacing w:after="0" w:line="2" w:lineRule="exact"/>
        <w:rPr>
          <w:rFonts w:ascii="Times New Roman" w:cs="Times New Roman" w:eastAsia="Times New Roman" w:hAnsi="Times New Roman"/>
          <w:sz w:val="15"/>
          <w:szCs w:val="15"/>
          <w:color w:val="auto"/>
        </w:rPr>
      </w:pPr>
    </w:p>
    <w:p>
      <w:pPr>
        <w:ind w:left="1120" w:right="819"/>
        <w:spacing w:after="0" w:line="264"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$20.9 million. In addition, the Repo was partially paid down on March 30, 2020, from $50,000,000 to $40,000,000. On May 15, 2020, the Fund elected, at its option, to repay and terminate its $40.0 million repurchase agreement with Nomura. The Fund repurchased all of the previously sold CLO securities from Nomura at a repurchase price of $40.0 million plus accrued funding costs.</w:t>
      </w:r>
    </w:p>
    <w:p>
      <w:pPr>
        <w:ind w:left="1120" w:right="819" w:hanging="415"/>
        <w:spacing w:after="0" w:line="264" w:lineRule="auto"/>
        <w:tabs>
          <w:tab w:leader="none" w:pos="112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March 16, 2021, the Fund completed an underwritten public offering, including the full exercise of the underwriters’ 30-day overallotment option, of approximately $100.0 million in aggregate principal amount of 6.75% Unsecured Notes due 2031.</w:t>
      </w:r>
    </w:p>
    <w:p>
      <w:pPr>
        <w:ind w:left="1120" w:right="879" w:hanging="415"/>
        <w:spacing w:after="0" w:line="264" w:lineRule="auto"/>
        <w:tabs>
          <w:tab w:leader="none" w:pos="112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April 15, 2021 (the “Redemption Date”), the Fund redeemed all of the outstanding 7.50% Series 2023 Term Preferred Stock at a redemption price of $25 per share of 7.50% Series 2023 Term Preferred Stock, plus an amount equal to all accrued and unpaid dividends and distributions on each share accumulated to (but excluding) the 7.50% Series 2023 Redemption Date.</w:t>
      </w:r>
    </w:p>
    <w:p>
      <w:pPr>
        <w:ind w:left="1120" w:right="1079" w:hanging="415"/>
        <w:spacing w:after="0" w:line="264" w:lineRule="auto"/>
        <w:tabs>
          <w:tab w:leader="none" w:pos="112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August 17, 2021, we completed an underwritten public offering of 2,400,000 shares of our newly designated 6.00% Series 2029 Term Preferred Stock at a public offering price of $25 per share, raising approximately $60.0 million in gross proceeds. On August 24, 2021, an additional 286,900 shares were issued pursuant to an exercise of the over-allotment option granted to the underwriters, resulting in gross proceeds of approximately $7.1 million.</w:t>
      </w:r>
    </w:p>
    <w:p>
      <w:pPr>
        <w:spacing w:after="0" w:line="1" w:lineRule="exact"/>
        <w:rPr>
          <w:rFonts w:ascii="Times New Roman" w:cs="Times New Roman" w:eastAsia="Times New Roman" w:hAnsi="Times New Roman"/>
          <w:sz w:val="15"/>
          <w:szCs w:val="15"/>
          <w:color w:val="auto"/>
        </w:rPr>
      </w:pPr>
    </w:p>
    <w:p>
      <w:pPr>
        <w:ind w:left="1120" w:right="799" w:hanging="415"/>
        <w:spacing w:after="0" w:line="264" w:lineRule="auto"/>
        <w:tabs>
          <w:tab w:leader="none" w:pos="112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January 2022, the Fund completed an underwritten public offering, including the full exercise of the underwriters’ 30-day overallotment option, of approximately $100.0 million in aggregate principal amount of 5.00% Unsecured Notes due 2027.</w:t>
      </w:r>
    </w:p>
    <w:p>
      <w:pPr>
        <w:ind w:left="1120" w:right="819" w:hanging="415"/>
        <w:spacing w:after="0" w:line="272" w:lineRule="auto"/>
        <w:tabs>
          <w:tab w:leader="none" w:pos="112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June 6, 2022, we completed an underwritten public offering of 2,400,000 shares of our newly designated 7.125% Series 2029 Term Preferred Stock at a public offering price of $25 per share, raising approximately $60.0 million in gross proceeds. On July 7, 2022, an additional 150,000 shares were issued pursuant to an exercise of the over-allotment option granted to the underwriters, resulting in gross proceeds of approximately $3.8 million.</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15240</wp:posOffset>
            </wp:positionV>
            <wp:extent cx="482473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4824730"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52" w:name="page53"/>
    <w:bookmarkEnd w:id="52"/>
    <w:p>
      <w:pPr>
        <w:ind w:left="7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SEPTEMBER 30, 2022</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NOTE 14. RISKS AND UNCERTAINTIES</w:t>
      </w:r>
    </w:p>
    <w:p>
      <w:pPr>
        <w:spacing w:after="0" w:line="138" w:lineRule="exact"/>
        <w:rPr>
          <w:sz w:val="20"/>
          <w:szCs w:val="20"/>
          <w:color w:val="auto"/>
        </w:rPr>
      </w:pPr>
    </w:p>
    <w:p>
      <w:pPr>
        <w:ind w:left="700" w:right="839" w:firstLine="405"/>
        <w:spacing w:after="0" w:line="254" w:lineRule="auto"/>
        <w:rPr>
          <w:sz w:val="20"/>
          <w:szCs w:val="20"/>
          <w:color w:val="auto"/>
        </w:rPr>
      </w:pPr>
      <w:r>
        <w:rPr>
          <w:rFonts w:ascii="Times New Roman" w:cs="Times New Roman" w:eastAsia="Times New Roman" w:hAnsi="Times New Roman"/>
          <w:sz w:val="17"/>
          <w:szCs w:val="17"/>
          <w:color w:val="auto"/>
        </w:rPr>
        <w:t>Periods of market volatility have occurred and could continue to occur in response to pandemics or other events outside of our control. These types of events have adversely affected and could continue to adversely affect operating results for the Fund and for its investments in CLOs and their underlying collateral. For example, the COVID-19 pandemic has delivered a shock to the global economy. This outbreak has led and for an unknown period of time will continue to lead to disruptions in local, regional, national and global markets and economies affected thereby.</w:t>
      </w:r>
    </w:p>
    <w:p>
      <w:pPr>
        <w:spacing w:after="0" w:line="11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7"/>
          <w:szCs w:val="17"/>
          <w:color w:val="auto"/>
        </w:rPr>
        <w:t>We have and continue to assess the impact of the COVID-19 pandemic on our CLO investments.</w:t>
      </w:r>
    </w:p>
    <w:p>
      <w:pPr>
        <w:spacing w:after="0" w:line="2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Government spending, government policies, including recent increases in certain interest rates by the</w:t>
      </w:r>
    </w:p>
    <w:p>
      <w:pPr>
        <w:spacing w:after="0" w:line="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U.S. Federal Reserve, and disruptions in supply chains in the United States and elsewhere in response to the</w:t>
      </w:r>
    </w:p>
    <w:p>
      <w:pPr>
        <w:spacing w:after="0" w:line="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COVID-19 pandemic and otherwise, in conjunction with other factors, have led and could continue to lead to</w:t>
      </w:r>
    </w:p>
    <w:p>
      <w:pPr>
        <w:spacing w:after="0" w:line="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inflationary economic environments that could affect our CLO investments, financial condition and results of</w:t>
      </w:r>
    </w:p>
    <w:p>
      <w:pPr>
        <w:spacing w:after="0" w:line="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operations The effects of the COVID-19 pandemic contributed to increased volatility in global financial markets</w:t>
      </w:r>
    </w:p>
    <w:p>
      <w:pPr>
        <w:spacing w:after="0" w:line="1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and have affected countries, regions, companies, industries and market sectors more dramatically than others.</w:t>
      </w:r>
    </w:p>
    <w:p>
      <w:pPr>
        <w:spacing w:after="0" w:line="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The COVID-19 pandemic has had, and any other outbreak of an infectious disease or serious environmental or</w:t>
      </w:r>
    </w:p>
    <w:p>
      <w:pPr>
        <w:spacing w:after="0" w:line="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public health concern could have, a significant negative impact on economic and market conditions, could</w:t>
      </w:r>
    </w:p>
    <w:p>
      <w:pPr>
        <w:spacing w:after="0" w:line="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exacerbate pre-existing political, social and economic risks in certain countries or regions and could trigger a</w:t>
      </w:r>
    </w:p>
    <w:p>
      <w:pPr>
        <w:spacing w:after="0" w:line="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prolonged period of global economic slowdown, which may impact the Fund and its underlying investments. As</w:t>
      </w:r>
    </w:p>
    <w:p>
      <w:pPr>
        <w:spacing w:after="0" w:line="1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the impact of the Coronavirus is difficult to predict, the extent to which the Coronavirus and/or other disease</w:t>
      </w:r>
    </w:p>
    <w:p>
      <w:pPr>
        <w:spacing w:after="0" w:line="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outbreaks or health pandemics may negatively affect our operating results, or the duration of any potential</w:t>
      </w:r>
    </w:p>
    <w:p>
      <w:pPr>
        <w:spacing w:after="0" w:line="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business or supply-chain disruption, is uncertain.</w:t>
      </w:r>
    </w:p>
    <w:p>
      <w:pPr>
        <w:spacing w:after="0" w:line="131" w:lineRule="exact"/>
        <w:rPr>
          <w:sz w:val="20"/>
          <w:szCs w:val="20"/>
          <w:color w:val="auto"/>
        </w:rPr>
      </w:pPr>
    </w:p>
    <w:p>
      <w:pPr>
        <w:ind w:left="700" w:right="719" w:firstLine="405"/>
        <w:spacing w:after="0" w:line="250" w:lineRule="auto"/>
        <w:rPr>
          <w:sz w:val="20"/>
          <w:szCs w:val="20"/>
          <w:color w:val="auto"/>
        </w:rPr>
      </w:pPr>
      <w:r>
        <w:rPr>
          <w:rFonts w:ascii="Times New Roman" w:cs="Times New Roman" w:eastAsia="Times New Roman" w:hAnsi="Times New Roman"/>
          <w:sz w:val="17"/>
          <w:szCs w:val="17"/>
          <w:color w:val="auto"/>
        </w:rPr>
        <w:t>A cyber incident is considered to be any adverse event that threatens the confidentiality, integrity or availability of the information resources of the Fund. These incidents may be an intentional attack or an unintentional event and could involve gaining unauthorized access to the Fund’s information systems or those of its third-party vendors for purposes of misappropriating assets, stealing confidential information, corrupting data or causing operational disruption. Despite careful security and controls design, the information technology systems of the Fund or its third-party vendors, may be subject to security breaches and cyber-attacks the result of which could include disrupted operations, misstated or unreliable financial data, liability for stolen assets or information, increased cybersecurity protection and insurance costs, litigation and damage to business relationships. As the Fund and its third party vendor’s reliance on technology has increased, so have the risks posed to its information systems, both internal and those provided by third-party service providers, and the information systems of its third-party vendors. The Fund has implemented processes, procedures and internal controls to help mitigate cybersecurity risks and cyber intrusions, but these measures, as well as its increased awareness of the nature and extent of a risk of a cyber-incident, do not guarantee that a cyber-incident will not occur and/or that our financial results, operations or confidential information will not be negatively impacted by such an incident.</w:t>
      </w:r>
    </w:p>
    <w:p>
      <w:pPr>
        <w:spacing w:after="0" w:line="112" w:lineRule="exact"/>
        <w:rPr>
          <w:sz w:val="20"/>
          <w:szCs w:val="20"/>
          <w:color w:val="auto"/>
        </w:rPr>
      </w:pPr>
    </w:p>
    <w:p>
      <w:pPr>
        <w:ind w:left="700" w:right="739" w:firstLine="405"/>
        <w:spacing w:after="0" w:line="251" w:lineRule="auto"/>
        <w:rPr>
          <w:sz w:val="20"/>
          <w:szCs w:val="20"/>
          <w:color w:val="auto"/>
        </w:rPr>
      </w:pPr>
      <w:r>
        <w:rPr>
          <w:rFonts w:ascii="Times New Roman" w:cs="Times New Roman" w:eastAsia="Times New Roman" w:hAnsi="Times New Roman"/>
          <w:sz w:val="17"/>
          <w:szCs w:val="17"/>
          <w:color w:val="auto"/>
        </w:rPr>
        <w:t>Various social and political circumstances in the United States and around the world (including wars and other forms of conflict, including rising trade tensions between the United States and China, and other uncertainties regarding actual and potential shifts in the U.S. and foreign, trade, economic and other policies with other countries, terrorist acts, security operations and catastrophic events such as fires, floods, earthquakes, tornadoes, hurricanes and global health epidemics), may also contribute to increased market volatility and economic uncertainties or deterioration in the U.S. and worldwide. Specifically, the conflict between Russia and Ukraine, and resulting market volatility could adversely affect the Fund’s business, financial condition or results of operations. In response to the conflict between Russia and Ukraine, the U.S. and other countries have imposed sanctions or other restrictive actions against Russia. Any of the above factors, including sanctions, export controls, tariffs, trade wars and other governmental actions, could have a material adverse effect on the Fund’s business, financial condition, cash flows and results of operations and could cause the market value of the Fund’s common shares, Term Preferred Shares, and/or Notes to decline.</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15240</wp:posOffset>
            </wp:positionV>
            <wp:extent cx="482473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4824730"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53" w:name="page54"/>
    <w:bookmarkEnd w:id="53"/>
    <w:p>
      <w:pPr>
        <w:ind w:left="7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SEPTEMBER 30, 2022</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 xml:space="preserve">NOTE 14. RISKS AND UNCERTAINTIES </w:t>
      </w:r>
      <w:r>
        <w:rPr>
          <w:rFonts w:ascii="Times New Roman" w:cs="Times New Roman" w:eastAsia="Times New Roman" w:hAnsi="Times New Roman"/>
          <w:sz w:val="17"/>
          <w:szCs w:val="17"/>
          <w:color w:val="auto"/>
        </w:rPr>
        <w:t>(cont.)</w:t>
      </w:r>
    </w:p>
    <w:p>
      <w:pPr>
        <w:spacing w:after="0" w:line="188" w:lineRule="exact"/>
        <w:rPr>
          <w:sz w:val="20"/>
          <w:szCs w:val="20"/>
          <w:color w:val="auto"/>
        </w:rPr>
      </w:pPr>
    </w:p>
    <w:p>
      <w:pPr>
        <w:ind w:left="700" w:right="839" w:firstLine="405"/>
        <w:spacing w:after="0" w:line="254" w:lineRule="auto"/>
        <w:rPr>
          <w:sz w:val="20"/>
          <w:szCs w:val="20"/>
          <w:color w:val="auto"/>
        </w:rPr>
      </w:pPr>
      <w:r>
        <w:rPr>
          <w:rFonts w:ascii="Times New Roman" w:cs="Times New Roman" w:eastAsia="Times New Roman" w:hAnsi="Times New Roman"/>
          <w:sz w:val="17"/>
          <w:szCs w:val="17"/>
          <w:color w:val="auto"/>
        </w:rPr>
        <w:t>The Fund’s portfolio consists of equity and junior debt investments in CLO vehicles, which involve a number of significant risks. CLO vehicles are typically highly levered, and therefore the junior debt and equity tranches that the Fund invests in are subject to a higher degree of risk of total loss. As of September 30, 2022, the CLO vehicles in which the Fund was invested had average leverage of 10.2 times and ranged from approximately 2.4 times to 17.8 times levered. In particular, investors in CLO vehicles indirectly bear risks of the underlying debt investments held by such CLO vehicles.</w:t>
      </w:r>
    </w:p>
    <w:p>
      <w:pPr>
        <w:spacing w:after="0" w:line="101" w:lineRule="exact"/>
        <w:rPr>
          <w:sz w:val="20"/>
          <w:szCs w:val="20"/>
          <w:color w:val="auto"/>
        </w:rPr>
      </w:pPr>
    </w:p>
    <w:p>
      <w:pPr>
        <w:ind w:left="700" w:right="719" w:firstLine="405"/>
        <w:spacing w:after="0" w:line="254" w:lineRule="auto"/>
        <w:rPr>
          <w:sz w:val="20"/>
          <w:szCs w:val="20"/>
          <w:color w:val="auto"/>
        </w:rPr>
      </w:pPr>
      <w:r>
        <w:rPr>
          <w:rFonts w:ascii="Times New Roman" w:cs="Times New Roman" w:eastAsia="Times New Roman" w:hAnsi="Times New Roman"/>
          <w:sz w:val="17"/>
          <w:szCs w:val="17"/>
          <w:color w:val="auto"/>
        </w:rPr>
        <w:t>The Fund previously incurred leverage through the issuance of the Term Preferred Shares and the Notes. The Fund may incur additional leverage, directly or indirectly, through one or more special purpose vehicles, indebtedness for borrowed money, as well as leverage in the form of derivative transactions, additional shares of preferred stock, debt securities and other structures and instruments, in significant amounts and on terms that Oxford Lane Management and the Board deem appropriate, subject to applicable limitations under the 1940 Act.</w:t>
      </w:r>
    </w:p>
    <w:p>
      <w:pPr>
        <w:spacing w:after="0" w:line="114" w:lineRule="exact"/>
        <w:rPr>
          <w:sz w:val="20"/>
          <w:szCs w:val="20"/>
          <w:color w:val="auto"/>
        </w:rPr>
      </w:pPr>
    </w:p>
    <w:p>
      <w:pPr>
        <w:ind w:left="700" w:right="759" w:firstLine="405"/>
        <w:spacing w:after="0" w:line="254" w:lineRule="auto"/>
        <w:rPr>
          <w:sz w:val="20"/>
          <w:szCs w:val="20"/>
          <w:color w:val="auto"/>
        </w:rPr>
      </w:pPr>
      <w:r>
        <w:rPr>
          <w:rFonts w:ascii="Times New Roman" w:cs="Times New Roman" w:eastAsia="Times New Roman" w:hAnsi="Times New Roman"/>
          <w:sz w:val="17"/>
          <w:szCs w:val="17"/>
          <w:color w:val="auto"/>
        </w:rPr>
        <w:t>Such leverage may be used for the acquisition and financing of our investments, to pay fees and expenses and for other purposes. Such leverage may be secured and/or unsecured. The more leverage the Fund employs, the more likely a substantial change will occur in its NAV. Accordingly, any event that adversely affects the value of an investment would be magnified to the extent leverage is utilized. The cumulative effect of the use of leverage with respect to any investments in a market that moves adversely to such investments could result in a substantial loss that would be greater than if our investments were not leveraged.</w:t>
      </w:r>
    </w:p>
    <w:p>
      <w:pPr>
        <w:spacing w:after="0" w:line="114" w:lineRule="exact"/>
        <w:rPr>
          <w:sz w:val="20"/>
          <w:szCs w:val="20"/>
          <w:color w:val="auto"/>
        </w:rPr>
      </w:pPr>
    </w:p>
    <w:p>
      <w:pPr>
        <w:ind w:left="700" w:right="719" w:firstLine="405"/>
        <w:spacing w:after="0" w:line="250" w:lineRule="auto"/>
        <w:rPr>
          <w:sz w:val="20"/>
          <w:szCs w:val="20"/>
          <w:color w:val="auto"/>
        </w:rPr>
      </w:pPr>
      <w:r>
        <w:rPr>
          <w:rFonts w:ascii="Times New Roman" w:cs="Times New Roman" w:eastAsia="Times New Roman" w:hAnsi="Times New Roman"/>
          <w:sz w:val="17"/>
          <w:szCs w:val="17"/>
          <w:color w:val="auto"/>
        </w:rPr>
        <w:t>The Fund generally has the right to receive payments only from the CLO vehicles, and generally does not have direct rights against the underlying borrowers or the entity that sponsored the CLO vehicle. While the CLO vehicles the Fund targets generally enable the investor to acquire interests in a pool of senior loans without the expenses associated with directly holding the same investments, the Fund generally pays a proportionate share of the CLO vehicles’ administrative and other expenses. Although it is difficult to predict whether the prices of indices and securities underlying CLO vehicles will rise or fall, these prices (and, therefore, the prices of the CLO vehicles) will be influenced by the same types of political and economic events that affect issuers of securities and capital markets generally. The failure by a CLO vehicle in which we invest to satisfy certain financial covenants, including with respect to adequate collateralization and/or interest coverage tests, could lead to a reduction in its payments to the Fund. In the event that a CLO vehicle fails certain tests, holders of debt senior to the Fund may be entitled to additional payments that would, in turn, reduce the payments the Fund would otherwise be entitled to receive. Separately, the Fund may incur expenses to the extent necessary to seek recovery upon default or to negotiate new terms with a defaulting CLO vehicle or any other investment we may make. If any of these occur, it could materially and adversely affect the Fund’s operating results and cash flows.</w:t>
      </w:r>
    </w:p>
    <w:p>
      <w:pPr>
        <w:spacing w:after="0" w:line="112" w:lineRule="exact"/>
        <w:rPr>
          <w:sz w:val="20"/>
          <w:szCs w:val="20"/>
          <w:color w:val="auto"/>
        </w:rPr>
      </w:pPr>
    </w:p>
    <w:p>
      <w:pPr>
        <w:ind w:left="700" w:right="739" w:firstLine="405"/>
        <w:spacing w:after="0" w:line="253" w:lineRule="auto"/>
        <w:rPr>
          <w:sz w:val="20"/>
          <w:szCs w:val="20"/>
          <w:color w:val="auto"/>
        </w:rPr>
      </w:pPr>
      <w:r>
        <w:rPr>
          <w:rFonts w:ascii="Times New Roman" w:cs="Times New Roman" w:eastAsia="Times New Roman" w:hAnsi="Times New Roman"/>
          <w:sz w:val="17"/>
          <w:szCs w:val="17"/>
          <w:color w:val="auto"/>
        </w:rPr>
        <w:t>The interests the Fund has acquired in CLO vehicles are generally thinly traded or have only a limited trading market. CLO vehicles are typically privately offered and sold, even in the secondary market. As a result, investments in CLO vehicles may be characterized as illiquid securities. In addition to the general risks associated with investing in debt securities, CLO vehicles carry additional risks, including, but not limited to:</w:t>
      </w:r>
    </w:p>
    <w:p>
      <w:pPr>
        <w:spacing w:after="0" w:line="2" w:lineRule="exact"/>
        <w:rPr>
          <w:sz w:val="20"/>
          <w:szCs w:val="20"/>
          <w:color w:val="auto"/>
        </w:rPr>
      </w:pPr>
    </w:p>
    <w:p>
      <w:pPr>
        <w:ind w:left="700" w:right="1079" w:firstLine="5"/>
        <w:spacing w:after="0" w:line="264" w:lineRule="auto"/>
        <w:tabs>
          <w:tab w:leader="none" w:pos="902"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possibility that distributions from collateral securities will not be adequate to make interest or other payments; (ii) the quality of the collateral may decline in value or default; (iii) the fact that the Fund’s investments in CLO tranches will likely be subordinate to other senior classes of note tranches thereof; and</w:t>
      </w:r>
    </w:p>
    <w:p>
      <w:pPr>
        <w:ind w:left="700" w:right="819" w:firstLine="5"/>
        <w:spacing w:after="0" w:line="251" w:lineRule="auto"/>
        <w:tabs>
          <w:tab w:leader="none" w:pos="986"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complex structure of the security may not be fully understood at the time of investment and may produce disputes with the CLO vehicle or unexpected investment results. The Fund’s NAV may also decline over time if the Fund’s principal recovery with respect to CLO equity investments is less than the price that the Fund paid for those investments.</w:t>
      </w:r>
    </w:p>
    <w:p>
      <w:pPr>
        <w:spacing w:after="0" w:line="116" w:lineRule="exact"/>
        <w:rPr>
          <w:sz w:val="20"/>
          <w:szCs w:val="20"/>
          <w:color w:val="auto"/>
        </w:rPr>
      </w:pPr>
    </w:p>
    <w:p>
      <w:pPr>
        <w:ind w:left="700" w:right="1019" w:firstLine="405"/>
        <w:spacing w:after="0" w:line="258" w:lineRule="auto"/>
        <w:rPr>
          <w:sz w:val="20"/>
          <w:szCs w:val="20"/>
          <w:color w:val="auto"/>
        </w:rPr>
      </w:pPr>
      <w:r>
        <w:rPr>
          <w:rFonts w:ascii="Times New Roman" w:cs="Times New Roman" w:eastAsia="Times New Roman" w:hAnsi="Times New Roman"/>
          <w:sz w:val="17"/>
          <w:szCs w:val="17"/>
          <w:color w:val="auto"/>
        </w:rPr>
        <w:t>To the extent income from the Fund’s CLO equity investments (which the Fund expects to decline as those vehicles deleverage after the end of their respective reinvestment periods) declines or if the Fund transitions its portfolio into lower yielding investments, the Fund’s ability to pay future distributions may be harmed.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15240</wp:posOffset>
            </wp:positionV>
            <wp:extent cx="482473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4824730"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54" w:name="page55"/>
    <w:bookmarkEnd w:id="54"/>
    <w:p>
      <w:pPr>
        <w:ind w:left="7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SEPTEMBER 30, 2022</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 xml:space="preserve">NOTE 14. RISKS AND UNCERTAINTIES </w:t>
      </w:r>
      <w:r>
        <w:rPr>
          <w:rFonts w:ascii="Times New Roman" w:cs="Times New Roman" w:eastAsia="Times New Roman" w:hAnsi="Times New Roman"/>
          <w:sz w:val="17"/>
          <w:szCs w:val="17"/>
          <w:color w:val="auto"/>
        </w:rPr>
        <w:t>(cont.)</w:t>
      </w:r>
    </w:p>
    <w:p>
      <w:pPr>
        <w:spacing w:after="0" w:line="188" w:lineRule="exact"/>
        <w:rPr>
          <w:sz w:val="20"/>
          <w:szCs w:val="20"/>
          <w:color w:val="auto"/>
        </w:rPr>
      </w:pPr>
    </w:p>
    <w:p>
      <w:pPr>
        <w:ind w:left="700" w:right="739" w:firstLine="405"/>
        <w:spacing w:after="0" w:line="251" w:lineRule="auto"/>
        <w:rPr>
          <w:sz w:val="20"/>
          <w:szCs w:val="20"/>
          <w:color w:val="auto"/>
        </w:rPr>
      </w:pPr>
      <w:r>
        <w:rPr>
          <w:rFonts w:ascii="Times New Roman" w:cs="Times New Roman" w:eastAsia="Times New Roman" w:hAnsi="Times New Roman"/>
          <w:sz w:val="17"/>
          <w:szCs w:val="17"/>
          <w:color w:val="auto"/>
        </w:rPr>
        <w:t>The fair value of certain investments held by the Fund may be significantly affected by changes in interest rates. In general, rising interest rates will negatively affect the price of a fixed rate debt instrument and falling interest rates will have a positive effect on the price of a fixed rate instrument. Although senior secured loans are generally floating rate instruments, the Fund’s investments in senior secured loans through equity and junior debt tranches of CLOs are sensitive to interest rate levels and volatility. Although CLOs are generally structured to mitigate the risk of interest rate mismatch, there may be some difference between the timing of interest rate resets on the assets and liabilities of a CLO. Such a mismatch could have a negative effect on the amount of funds distributed to CLO equity investors. In addition, in the event of a significant rising interest rate environment and/or economic downturn, loan defaults may increase and result in credit losses which may adversely affect the Fund’s cash flow, fair value of its assets and operating results. In the event that the Fund’s interest expense were to increase relative to income, or sufficient financing became unavailable, return on investments and cash available for distribution to stockholders or to make other payments on the Fund’s securities would be reduced.</w:t>
      </w:r>
    </w:p>
    <w:p>
      <w:pPr>
        <w:spacing w:after="0" w:line="103" w:lineRule="exact"/>
        <w:rPr>
          <w:sz w:val="20"/>
          <w:szCs w:val="20"/>
          <w:color w:val="auto"/>
        </w:rPr>
      </w:pPr>
    </w:p>
    <w:p>
      <w:pPr>
        <w:ind w:left="700" w:right="899" w:firstLine="405"/>
        <w:spacing w:after="0" w:line="252" w:lineRule="auto"/>
        <w:rPr>
          <w:sz w:val="20"/>
          <w:szCs w:val="20"/>
          <w:color w:val="auto"/>
        </w:rPr>
      </w:pPr>
      <w:r>
        <w:rPr>
          <w:rFonts w:ascii="Times New Roman" w:cs="Times New Roman" w:eastAsia="Times New Roman" w:hAnsi="Times New Roman"/>
          <w:sz w:val="17"/>
          <w:szCs w:val="17"/>
          <w:color w:val="auto"/>
        </w:rPr>
        <w:t>On March 5, 2021, the United Kingdom’s Financial Conduct Authority (the “FCA”), which regulates LIBOR, announced that (i) 24 LIBOR settings would cease to exist immediately after December 31, 2021 (all seven euro LIBOR settings; all seven Swiss franc LIBOR settings; the Spot Next, 1-week, 2-month, and 12-month Japanese yen LIBOR settings; the overnight, 1-week, 2-month, and 12-month sterling LIBOR settings; and the 1-week and 2-month US dollar LIBOR settings) and (ii) the overnight and 1, 3, 6 and 12-month US LIBOR settings would cease to exist after June 30, 2023; and (iii) the FCA would consult on whether the remaining LIBOR settings should continue to be published on a synthetic basis for a certain period using the FCA’s proposed new powers that the UK government is legislating to grant to them.</w:t>
      </w:r>
    </w:p>
    <w:p>
      <w:pPr>
        <w:spacing w:after="0" w:line="118" w:lineRule="exact"/>
        <w:rPr>
          <w:sz w:val="20"/>
          <w:szCs w:val="20"/>
          <w:color w:val="auto"/>
        </w:rPr>
      </w:pPr>
    </w:p>
    <w:p>
      <w:pPr>
        <w:ind w:left="700" w:right="819" w:firstLine="405"/>
        <w:spacing w:after="0" w:line="252" w:lineRule="auto"/>
        <w:rPr>
          <w:sz w:val="20"/>
          <w:szCs w:val="20"/>
          <w:color w:val="auto"/>
        </w:rPr>
      </w:pPr>
      <w:r>
        <w:rPr>
          <w:rFonts w:ascii="Times New Roman" w:cs="Times New Roman" w:eastAsia="Times New Roman" w:hAnsi="Times New Roman"/>
          <w:sz w:val="17"/>
          <w:szCs w:val="17"/>
          <w:color w:val="auto"/>
        </w:rPr>
        <w:t>The Federal Reserve Bank of New York now publishes the Secured Overnight Financing Rate based on overnight U.S. Treasury repurchase agreement transactions, which has been recommended as the alternative to U.S. dollar LIBOR by the Alternative Reference Rates Committee convened by the Federal Reserve Board and the Federal Reserve Bank of New York. Further, the Bank of England publishes a reformed Sterling Overnight Index Average, comprised of a broader set of overnight Sterling money market transactions, which has been selected by the Working Group on Sterling Risk-Free Reference Rates as the alternative rate to Sterling LIBOR. Certain bank-sponsored committees in other jurisdictions, including Europe, Japan and Switzerland, have selected alternative reference rates denominated in other currencies.</w:t>
      </w:r>
    </w:p>
    <w:p>
      <w:pPr>
        <w:spacing w:after="0" w:line="118" w:lineRule="exact"/>
        <w:rPr>
          <w:sz w:val="20"/>
          <w:szCs w:val="20"/>
          <w:color w:val="auto"/>
        </w:rPr>
      </w:pPr>
    </w:p>
    <w:p>
      <w:pPr>
        <w:jc w:val="both"/>
        <w:ind w:left="700" w:right="919" w:firstLine="405"/>
        <w:spacing w:after="0" w:line="271" w:lineRule="auto"/>
        <w:rPr>
          <w:sz w:val="20"/>
          <w:szCs w:val="20"/>
          <w:color w:val="auto"/>
        </w:rPr>
      </w:pPr>
      <w:r>
        <w:rPr>
          <w:rFonts w:ascii="Times New Roman" w:cs="Times New Roman" w:eastAsia="Times New Roman" w:hAnsi="Times New Roman"/>
          <w:sz w:val="16"/>
          <w:szCs w:val="16"/>
          <w:color w:val="auto"/>
        </w:rPr>
        <w:t>Recently, the CLOs the Fund has invested in have included, or have been amended to include, language permitting the CLO investment manager, to implement a market replacement rate (like those proposed by the Alternative Reference Rates Committee of the Federal Reserve Board and the Federal Reserve Bank of</w:t>
      </w:r>
    </w:p>
    <w:p>
      <w:pPr>
        <w:ind w:left="700" w:right="819"/>
        <w:spacing w:after="0" w:line="249" w:lineRule="auto"/>
        <w:rPr>
          <w:sz w:val="20"/>
          <w:szCs w:val="20"/>
          <w:color w:val="auto"/>
        </w:rPr>
      </w:pPr>
      <w:r>
        <w:rPr>
          <w:rFonts w:ascii="Times New Roman" w:cs="Times New Roman" w:eastAsia="Times New Roman" w:hAnsi="Times New Roman"/>
          <w:sz w:val="17"/>
          <w:szCs w:val="17"/>
          <w:color w:val="auto"/>
        </w:rPr>
        <w:t>New York) upon the occurrence of certain material disruption events. However, the Fund cannot ensure that all CLOs in which it is invested will have such provisions, nor can the Fund ensure the CLO investment managers will undertake the suggested amendments when able. The Fund’s net investment income is affected by fluctuations in various interest rates, including LIBOR and prime rates. In addition, in a prolonged low interest rate environment, including a reduction of LIBOR to zero, the difference between the total interest income earned on interest earning assets and the total interest expense incurred on interest bearing liabilities may be compressed, reducing the Fund’s net interest income and potentially adversely affecting its operating results. The Fund believes that because CLO managers and other CLO market participants have been preparing for an eventual transition away from LIBOR, the Fund does not anticipate such a transition to have a material impact on the liquidity or value of any of its LIBOR-referenced CLO investments. However, because the specific effects of a transition away from LIBOR cannot be determined with certainty as of the date of this report, a transition away from LIBOR could:</w:t>
      </w:r>
    </w:p>
    <w:p>
      <w:pPr>
        <w:spacing w:after="0" w:line="109" w:lineRule="exact"/>
        <w:rPr>
          <w:sz w:val="20"/>
          <w:szCs w:val="20"/>
          <w:color w:val="auto"/>
        </w:rPr>
      </w:pPr>
    </w:p>
    <w:p>
      <w:pPr>
        <w:ind w:left="1520" w:right="819" w:hanging="410"/>
        <w:spacing w:after="0" w:line="276" w:lineRule="auto"/>
        <w:tabs>
          <w:tab w:leader="none" w:pos="151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adversely impact the pricing, liquidity, value of, return on and trading for a broad array of financial products, including any LIBOR-linked CLO investments;</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15240</wp:posOffset>
            </wp:positionV>
            <wp:extent cx="482473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4824730"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55" w:name="page56"/>
    <w:bookmarkEnd w:id="55"/>
    <w:p>
      <w:pPr>
        <w:ind w:left="7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SEPTEMBER 30, 2022</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 xml:space="preserve">NOTE 14. RISKS AND UNCERTAINTIES </w:t>
      </w:r>
      <w:r>
        <w:rPr>
          <w:rFonts w:ascii="Times New Roman" w:cs="Times New Roman" w:eastAsia="Times New Roman" w:hAnsi="Times New Roman"/>
          <w:sz w:val="17"/>
          <w:szCs w:val="17"/>
          <w:color w:val="auto"/>
        </w:rPr>
        <w:t>(cont.)</w:t>
      </w:r>
    </w:p>
    <w:p>
      <w:pPr>
        <w:spacing w:after="0" w:line="188" w:lineRule="exact"/>
        <w:rPr>
          <w:sz w:val="20"/>
          <w:szCs w:val="20"/>
          <w:color w:val="auto"/>
        </w:rPr>
      </w:pPr>
    </w:p>
    <w:p>
      <w:pPr>
        <w:ind w:left="1520" w:right="1039" w:hanging="410"/>
        <w:spacing w:after="0" w:line="262" w:lineRule="auto"/>
        <w:tabs>
          <w:tab w:leader="none" w:pos="1516"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extensive changes to documentation that governs or references LIBOR or LIBOR-based products, including, for example, pursuant to time-consuming renegotiations of existing documentation to modify the terms of outstanding investments;</w:t>
      </w:r>
    </w:p>
    <w:p>
      <w:pPr>
        <w:spacing w:after="0" w:line="94" w:lineRule="exact"/>
        <w:rPr>
          <w:rFonts w:ascii="Times New Roman" w:cs="Times New Roman" w:eastAsia="Times New Roman" w:hAnsi="Times New Roman"/>
          <w:sz w:val="17"/>
          <w:szCs w:val="17"/>
          <w:color w:val="auto"/>
        </w:rPr>
      </w:pPr>
    </w:p>
    <w:p>
      <w:pPr>
        <w:ind w:left="1520" w:right="759" w:hanging="410"/>
        <w:spacing w:after="0" w:line="276" w:lineRule="auto"/>
        <w:tabs>
          <w:tab w:leader="none" w:pos="1516"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 in inquiries or other actions from regulators in respect of the Fund’s preparation and readiness for the replacement of LIBOR with one or more alternative reference rates;</w:t>
      </w:r>
    </w:p>
    <w:p>
      <w:pPr>
        <w:spacing w:after="0" w:line="94" w:lineRule="exact"/>
        <w:rPr>
          <w:rFonts w:ascii="Times New Roman" w:cs="Times New Roman" w:eastAsia="Times New Roman" w:hAnsi="Times New Roman"/>
          <w:sz w:val="17"/>
          <w:szCs w:val="17"/>
          <w:color w:val="auto"/>
        </w:rPr>
      </w:pPr>
    </w:p>
    <w:p>
      <w:pPr>
        <w:ind w:left="1520" w:right="779" w:hanging="410"/>
        <w:spacing w:after="0" w:line="255" w:lineRule="auto"/>
        <w:tabs>
          <w:tab w:leader="none" w:pos="1516"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 in disputes, litigation or other actions with CLO investment managers, regarding the interpretation and enforceability of provisions in the Fund’s LIBOR-based CLO investments, such as fallback language or other related provisions, including, in the case of fallbacks to the alternative reference rates, any economic, legal, operational or other impact resulting from the fundamental differences between LIBOR and the various alternative reference rates;</w:t>
      </w:r>
    </w:p>
    <w:p>
      <w:pPr>
        <w:spacing w:after="0" w:line="113" w:lineRule="exact"/>
        <w:rPr>
          <w:rFonts w:ascii="Times New Roman" w:cs="Times New Roman" w:eastAsia="Times New Roman" w:hAnsi="Times New Roman"/>
          <w:sz w:val="17"/>
          <w:szCs w:val="17"/>
          <w:color w:val="auto"/>
        </w:rPr>
      </w:pPr>
    </w:p>
    <w:p>
      <w:pPr>
        <w:ind w:left="1520" w:right="759" w:hanging="410"/>
        <w:spacing w:after="0" w:line="258" w:lineRule="auto"/>
        <w:tabs>
          <w:tab w:leader="none" w:pos="1516"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the transition and/or development of appropriate systems and analytics to effectively transition the Fund’s risk management processes from LIBOR-based products to those based on one or more alternative reference rates, which may prove challenging given the limited history of the proposed alternative reference rates; and</w:t>
      </w:r>
    </w:p>
    <w:p>
      <w:pPr>
        <w:spacing w:after="0" w:line="96" w:lineRule="exact"/>
        <w:rPr>
          <w:rFonts w:ascii="Times New Roman" w:cs="Times New Roman" w:eastAsia="Times New Roman" w:hAnsi="Times New Roman"/>
          <w:sz w:val="17"/>
          <w:szCs w:val="17"/>
          <w:color w:val="auto"/>
        </w:rPr>
      </w:pPr>
    </w:p>
    <w:p>
      <w:pPr>
        <w:ind w:left="1520" w:hanging="410"/>
        <w:spacing w:after="0"/>
        <w:tabs>
          <w:tab w:leader="none" w:pos="15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the Fund to incur additional costs in relation to any of the above factors.</w:t>
      </w:r>
    </w:p>
    <w:p>
      <w:pPr>
        <w:spacing w:after="0" w:line="146" w:lineRule="exact"/>
        <w:rPr>
          <w:sz w:val="20"/>
          <w:szCs w:val="20"/>
          <w:color w:val="auto"/>
        </w:rPr>
      </w:pPr>
    </w:p>
    <w:p>
      <w:pPr>
        <w:ind w:left="700" w:right="739" w:firstLine="405"/>
        <w:spacing w:after="0" w:line="254" w:lineRule="auto"/>
        <w:rPr>
          <w:sz w:val="20"/>
          <w:szCs w:val="20"/>
          <w:color w:val="auto"/>
        </w:rPr>
      </w:pPr>
      <w:r>
        <w:rPr>
          <w:rFonts w:ascii="Times New Roman" w:cs="Times New Roman" w:eastAsia="Times New Roman" w:hAnsi="Times New Roman"/>
          <w:sz w:val="17"/>
          <w:szCs w:val="17"/>
          <w:color w:val="auto"/>
        </w:rPr>
        <w:t>Inflation could negatively impact our business, including our ability to access the debt markets on favorable terms, or could negatively impact our CLO investment. Sustained inflation could increase our funding costs, limit our access to the capital markets or result in a decision by lenders not to extend credit to us. These events could limit our investment originations, limit our ability to grow and negatively impact our operating results. Further, inflation could make it difficult to extend the maturity of, or refinance existing indebtedness or obtain new indebtedness on favorable terms.</w:t>
      </w:r>
    </w:p>
    <w:p>
      <w:pPr>
        <w:spacing w:after="0" w:line="114" w:lineRule="exact"/>
        <w:rPr>
          <w:sz w:val="20"/>
          <w:szCs w:val="20"/>
          <w:color w:val="auto"/>
        </w:rPr>
      </w:pPr>
    </w:p>
    <w:p>
      <w:pPr>
        <w:ind w:left="700" w:right="719" w:firstLine="405"/>
        <w:spacing w:after="0" w:line="258" w:lineRule="auto"/>
        <w:rPr>
          <w:sz w:val="20"/>
          <w:szCs w:val="20"/>
          <w:color w:val="auto"/>
        </w:rPr>
      </w:pPr>
      <w:r>
        <w:rPr>
          <w:rFonts w:ascii="Times New Roman" w:cs="Times New Roman" w:eastAsia="Times New Roman" w:hAnsi="Times New Roman"/>
          <w:sz w:val="17"/>
          <w:szCs w:val="17"/>
          <w:color w:val="auto"/>
        </w:rPr>
        <w:t>The current U.S. presidential administration has announced a number of tax law changes that include, among others, a minimum tax on book income and profits of certain multinational corporations. Such legislative changes, any other significant changes in economic or tax policy and/or government programs, as well as any future such changes could have a material adverse impact on us and on our investments.</w:t>
      </w:r>
    </w:p>
    <w:p>
      <w:pPr>
        <w:spacing w:after="0" w:line="97" w:lineRule="exact"/>
        <w:rPr>
          <w:sz w:val="20"/>
          <w:szCs w:val="20"/>
          <w:color w:val="auto"/>
        </w:rPr>
      </w:pPr>
    </w:p>
    <w:p>
      <w:pPr>
        <w:ind w:left="700" w:right="739" w:firstLine="405"/>
        <w:spacing w:after="0" w:line="255" w:lineRule="auto"/>
        <w:rPr>
          <w:sz w:val="20"/>
          <w:szCs w:val="20"/>
          <w:color w:val="auto"/>
        </w:rPr>
      </w:pPr>
      <w:r>
        <w:rPr>
          <w:rFonts w:ascii="Times New Roman" w:cs="Times New Roman" w:eastAsia="Times New Roman" w:hAnsi="Times New Roman"/>
          <w:sz w:val="17"/>
          <w:szCs w:val="17"/>
          <w:color w:val="auto"/>
        </w:rPr>
        <w:t>For example on August 16, 2022, the U.S. government enacted the Inflation Reduction Act of 2022 which includes changes to the U.S. corporate income tax system, including a 15% minimum tax based on “adjusted financial statement income” for certain large corporations which will not be effective until fiscal year 2024 and a 1% excise tax on share repurchases after December 31, 2022. We are currently assessing the potential impact of these legislative changes.</w:t>
      </w:r>
    </w:p>
    <w:p>
      <w:pPr>
        <w:spacing w:after="0" w:line="114" w:lineRule="exact"/>
        <w:rPr>
          <w:sz w:val="20"/>
          <w:szCs w:val="20"/>
          <w:color w:val="auto"/>
        </w:rPr>
      </w:pPr>
    </w:p>
    <w:p>
      <w:pPr>
        <w:ind w:left="700" w:right="719" w:firstLine="405"/>
        <w:spacing w:after="0" w:line="252" w:lineRule="auto"/>
        <w:rPr>
          <w:sz w:val="20"/>
          <w:szCs w:val="20"/>
          <w:color w:val="auto"/>
        </w:rPr>
      </w:pPr>
      <w:r>
        <w:rPr>
          <w:rFonts w:ascii="Times New Roman" w:cs="Times New Roman" w:eastAsia="Times New Roman" w:hAnsi="Times New Roman"/>
          <w:sz w:val="17"/>
          <w:szCs w:val="17"/>
          <w:color w:val="auto"/>
        </w:rPr>
        <w:t>Oxford Lane Management anticipates that the CLO vehicles in which the Fund invests may constitute “passive foreign investment companies” (“PFICs”). If the Fund acquires shares in a PFIC (including equity tranche investments in CLO vehicles that are PFICs), the Fund may be subject to U.S. federal income tax on a portion of any “excess distribution” or gain from the disposition of such shares even if such income is distributed as a taxable distribution by the Fund to its stockholders. Certain elections may be available to mitigate or eliminate such tax on excess distributions, but such elections (if available) will generally require the Fund to recognize its share of the PFIC’s income for each year regardless of whether the Fund receives any distributions from such PFIC. The Fund must nonetheless distribute such income to maintain its tax treatment as a RIC.</w:t>
      </w:r>
    </w:p>
    <w:p>
      <w:pPr>
        <w:spacing w:after="0" w:line="116" w:lineRule="exact"/>
        <w:rPr>
          <w:sz w:val="20"/>
          <w:szCs w:val="20"/>
          <w:color w:val="auto"/>
        </w:rPr>
      </w:pPr>
    </w:p>
    <w:p>
      <w:pPr>
        <w:ind w:left="700" w:right="819" w:firstLine="405"/>
        <w:spacing w:after="0" w:line="255" w:lineRule="auto"/>
        <w:rPr>
          <w:sz w:val="20"/>
          <w:szCs w:val="20"/>
          <w:color w:val="auto"/>
        </w:rPr>
      </w:pPr>
      <w:r>
        <w:rPr>
          <w:rFonts w:ascii="Times New Roman" w:cs="Times New Roman" w:eastAsia="Times New Roman" w:hAnsi="Times New Roman"/>
          <w:sz w:val="17"/>
          <w:szCs w:val="17"/>
          <w:color w:val="auto"/>
        </w:rPr>
        <w:t>If the Fund holds more than 10% of the shares in a foreign corporation that is treated as a controlled foreign corporation (“CFC”) (including equity tranche investments in a CLO vehicle treated as a CFC), the Fund may be treated as receiving a deemed distribution (taxable as ordinary income) each year from such foreign corporation in an amount equal to the Fund’s pro rata share of the corporation’s income for the tax year (including both ordinary</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15240</wp:posOffset>
            </wp:positionV>
            <wp:extent cx="482473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4824730"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56" w:name="page57"/>
    <w:bookmarkEnd w:id="56"/>
    <w:p>
      <w:pPr>
        <w:ind w:left="7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SEPTEMBER 30, 2022</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 xml:space="preserve">NOTE 14. RISKS AND UNCERTAINTIES </w:t>
      </w:r>
      <w:r>
        <w:rPr>
          <w:rFonts w:ascii="Times New Roman" w:cs="Times New Roman" w:eastAsia="Times New Roman" w:hAnsi="Times New Roman"/>
          <w:sz w:val="17"/>
          <w:szCs w:val="17"/>
          <w:color w:val="auto"/>
        </w:rPr>
        <w:t>(cont.)</w:t>
      </w:r>
    </w:p>
    <w:p>
      <w:pPr>
        <w:spacing w:after="0" w:line="188" w:lineRule="exact"/>
        <w:rPr>
          <w:sz w:val="20"/>
          <w:szCs w:val="20"/>
          <w:color w:val="auto"/>
        </w:rPr>
      </w:pPr>
    </w:p>
    <w:p>
      <w:pPr>
        <w:jc w:val="both"/>
        <w:ind w:left="700" w:right="1119"/>
        <w:spacing w:after="0" w:line="262" w:lineRule="auto"/>
        <w:rPr>
          <w:sz w:val="20"/>
          <w:szCs w:val="20"/>
          <w:color w:val="auto"/>
        </w:rPr>
      </w:pPr>
      <w:r>
        <w:rPr>
          <w:rFonts w:ascii="Times New Roman" w:cs="Times New Roman" w:eastAsia="Times New Roman" w:hAnsi="Times New Roman"/>
          <w:sz w:val="17"/>
          <w:szCs w:val="17"/>
          <w:color w:val="auto"/>
        </w:rPr>
        <w:t>earnings and capital gains). If the Fund is required to include such deemed distributions from a CFC in the Fund’s income, it will be required to distribute such income to maintain its RIC tax treatment regardless of whether or not the CFC makes an actual distribution during such year.</w:t>
      </w:r>
    </w:p>
    <w:p>
      <w:pPr>
        <w:spacing w:after="0" w:line="94" w:lineRule="exact"/>
        <w:rPr>
          <w:sz w:val="20"/>
          <w:szCs w:val="20"/>
          <w:color w:val="auto"/>
        </w:rPr>
      </w:pPr>
    </w:p>
    <w:p>
      <w:pPr>
        <w:ind w:left="700" w:right="799" w:firstLine="405"/>
        <w:spacing w:after="0" w:line="252" w:lineRule="auto"/>
        <w:rPr>
          <w:sz w:val="20"/>
          <w:szCs w:val="20"/>
          <w:color w:val="auto"/>
        </w:rPr>
      </w:pPr>
      <w:r>
        <w:rPr>
          <w:rFonts w:ascii="Times New Roman" w:cs="Times New Roman" w:eastAsia="Times New Roman" w:hAnsi="Times New Roman"/>
          <w:sz w:val="17"/>
          <w:szCs w:val="17"/>
          <w:color w:val="auto"/>
        </w:rPr>
        <w:t>The Fund may be required to include in its income its proportionate share of the income of certain CLO investments to the extent that such CLOs are PFICs for which the Fund has made a qualifying electing fund (“QEF”) election or are CFCs. To qualify as a RIC, the Fund must, among other things, derive in each taxable year at least 90% of its gross income from certain sources specified in the Code (the “90% Income Test”). The income inclusions from a QEF or a CFC will be “good income” for purposes of this 90% Income Test provided that they are derived in connection with the Fund’s business of investing in stocks and securities or the QEF or the CFC distributes such income to the Fund in the same taxable year to which the income is included in its income.</w:t>
      </w:r>
    </w:p>
    <w:p>
      <w:pPr>
        <w:spacing w:after="0" w:line="118" w:lineRule="exact"/>
        <w:rPr>
          <w:sz w:val="20"/>
          <w:szCs w:val="20"/>
          <w:color w:val="auto"/>
        </w:rPr>
      </w:pPr>
    </w:p>
    <w:p>
      <w:pPr>
        <w:ind w:left="700" w:right="719" w:firstLine="405"/>
        <w:spacing w:after="0" w:line="254" w:lineRule="auto"/>
        <w:rPr>
          <w:sz w:val="20"/>
          <w:szCs w:val="20"/>
          <w:color w:val="auto"/>
        </w:rPr>
      </w:pPr>
      <w:r>
        <w:rPr>
          <w:rFonts w:ascii="Times New Roman" w:cs="Times New Roman" w:eastAsia="Times New Roman" w:hAnsi="Times New Roman"/>
          <w:sz w:val="17"/>
          <w:szCs w:val="17"/>
          <w:color w:val="auto"/>
        </w:rPr>
        <w:t>If the Fund is required to include amounts in income prior to receiving distributions representing such income, the Fund may have to sell some of its investments at times and/or at prices management would not consider advantageous, raise additional debt or equity capital or forgo new investment opportunities. If the Fund is not able to obtain cash from other sources, it may fail to qualify for RIC tax treatment and thus become subject to corporate-level income tax. For additional discussion regarding the tax implications of a RIC, see “Note 3. Summary of Significant Accounting Policies — U.S. Federal Income Taxes”.</w:t>
      </w:r>
    </w:p>
    <w:p>
      <w:pPr>
        <w:spacing w:after="0" w:line="114" w:lineRule="exact"/>
        <w:rPr>
          <w:sz w:val="20"/>
          <w:szCs w:val="20"/>
          <w:color w:val="auto"/>
        </w:rPr>
      </w:pPr>
    </w:p>
    <w:p>
      <w:pPr>
        <w:ind w:left="700" w:right="799" w:firstLine="405"/>
        <w:spacing w:after="0" w:line="273" w:lineRule="auto"/>
        <w:rPr>
          <w:sz w:val="20"/>
          <w:szCs w:val="20"/>
          <w:color w:val="auto"/>
        </w:rPr>
      </w:pPr>
      <w:r>
        <w:rPr>
          <w:rFonts w:ascii="Times New Roman" w:cs="Times New Roman" w:eastAsia="Times New Roman" w:hAnsi="Times New Roman"/>
          <w:sz w:val="16"/>
          <w:szCs w:val="16"/>
          <w:color w:val="auto"/>
        </w:rPr>
        <w:t>The Fund’s Term Preferred Shares pay dividends at a fixed dividend rate. Prices of fixed income investments vary inversely with changes in market yields. The market yields on securities comparable to the Term Preferred Shares may increase, which would likely result in a decline in the secondary market price of such shares prior to the term redemption date. The Fund may be unable to pay dividends on the Term Preferred Shares under some circumstances. The terms of any future indebtedness the Fund may incur could preclude the payment of dividends in respect of equity securities, including such shares, under certain conditions.</w:t>
      </w:r>
    </w:p>
    <w:p>
      <w:pPr>
        <w:spacing w:after="0" w:line="87" w:lineRule="exact"/>
        <w:rPr>
          <w:sz w:val="20"/>
          <w:szCs w:val="20"/>
          <w:color w:val="auto"/>
        </w:rPr>
      </w:pPr>
    </w:p>
    <w:p>
      <w:pPr>
        <w:ind w:left="700" w:right="719" w:firstLine="405"/>
        <w:spacing w:after="0" w:line="250" w:lineRule="auto"/>
        <w:rPr>
          <w:sz w:val="20"/>
          <w:szCs w:val="20"/>
          <w:color w:val="auto"/>
        </w:rPr>
      </w:pPr>
      <w:r>
        <w:rPr>
          <w:rFonts w:ascii="Times New Roman" w:cs="Times New Roman" w:eastAsia="Times New Roman" w:hAnsi="Times New Roman"/>
          <w:sz w:val="17"/>
          <w:szCs w:val="17"/>
          <w:color w:val="auto"/>
        </w:rPr>
        <w:t>As a registered closed-end investment company, the Fund is required to comply with the asset coverage requirements of the 1940 Act and the Articles Supplementary governing the Fund’s Term Preferred Shares. Under the 1940 Act, the Fund may not issue additional preferred stock if immediately after such issuance the Fund will not have an asset coverage of at least 200% (defined as the ratio of the Fund’s gross assets (less all liabilities and indebtedness not represented by senior securities) to its outstanding senior securities representing indebtedness, plus the aggregate involuntary liquidation preference of the Fund’s outstanding preferred stock). In addition, the Articles Supplementary governing the Fund’s Term Preferred Shares require that the Fund have an asset coverage of at least 200% as of the end of each fiscal quarter. With respect to senior securities representing indebtedness, such as the Notes or any bank borrowings (other than temporary borrowings as defined under the 1940 Act), the Fund is required under the 1940 Act to have asset coverage of at least 300%, as measured at the time of borrowing and calculated as the ratio of the Fund’s total consolidated assets, less all liabilities and indebtedness not represented by senior securities, over the aggregate amount of the Fund’s outstanding senior securities representing indebtedness. If the asset coverage is not at least 300% (or 200%, as applicable) as of such measurement dates, the Fund may not be able to incur additional debt or issue additional shares of Term Preferred Shares or Notes and could be forced to sell a portion of its investments to repurchase or redeem some shares of Preferred Stock or Notes when it is disadvantageous to do so, which could have a material adverse effect on its operations. Further, the Fund may be restricted from making distributions to holders of the Fund’s common stock if the it does not have asset coverage of at least 300% (or 200%, as applicable).</w:t>
      </w:r>
    </w:p>
    <w:p>
      <w:pPr>
        <w:spacing w:after="0" w:line="120" w:lineRule="exact"/>
        <w:rPr>
          <w:sz w:val="20"/>
          <w:szCs w:val="20"/>
          <w:color w:val="auto"/>
        </w:rPr>
      </w:pPr>
    </w:p>
    <w:p>
      <w:pPr>
        <w:ind w:left="700" w:right="959" w:firstLine="405"/>
        <w:spacing w:after="0" w:line="255" w:lineRule="auto"/>
        <w:rPr>
          <w:sz w:val="20"/>
          <w:szCs w:val="20"/>
          <w:color w:val="auto"/>
        </w:rPr>
      </w:pPr>
      <w:r>
        <w:rPr>
          <w:rFonts w:ascii="Times New Roman" w:cs="Times New Roman" w:eastAsia="Times New Roman" w:hAnsi="Times New Roman"/>
          <w:sz w:val="17"/>
          <w:szCs w:val="17"/>
          <w:color w:val="auto"/>
        </w:rPr>
        <w:t>Given the ten-year original terms, and potential for early redemption, of the Term Preferred Shares, holders of such shares may face an increased reinvestment risk, which is the risk that the return on an investment purchased with proceeds from the sale or redemption of such shares may be lower than the return previously obtained from the investment in such shares, see “Note 8. Mandatorily Redeemable Preferred Stock”.</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15240</wp:posOffset>
            </wp:positionV>
            <wp:extent cx="482473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4824730"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57" w:name="page58"/>
    <w:bookmarkEnd w:id="57"/>
    <w:p>
      <w:pPr>
        <w:ind w:left="7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SEPTEMBER 30, 2022</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 xml:space="preserve">NOTE 14. RISKS AND UNCERTAINTIES </w:t>
      </w:r>
      <w:r>
        <w:rPr>
          <w:rFonts w:ascii="Times New Roman" w:cs="Times New Roman" w:eastAsia="Times New Roman" w:hAnsi="Times New Roman"/>
          <w:sz w:val="17"/>
          <w:szCs w:val="17"/>
          <w:color w:val="auto"/>
        </w:rPr>
        <w:t>(cont.)</w:t>
      </w:r>
    </w:p>
    <w:p>
      <w:pPr>
        <w:spacing w:after="0" w:line="188" w:lineRule="exact"/>
        <w:rPr>
          <w:sz w:val="20"/>
          <w:szCs w:val="20"/>
          <w:color w:val="auto"/>
        </w:rPr>
      </w:pPr>
    </w:p>
    <w:p>
      <w:pPr>
        <w:ind w:left="700" w:right="899" w:firstLine="405"/>
        <w:spacing w:after="0" w:line="262" w:lineRule="auto"/>
        <w:rPr>
          <w:sz w:val="20"/>
          <w:szCs w:val="20"/>
          <w:color w:val="auto"/>
        </w:rPr>
      </w:pPr>
      <w:r>
        <w:rPr>
          <w:rFonts w:ascii="Times New Roman" w:cs="Times New Roman" w:eastAsia="Times New Roman" w:hAnsi="Times New Roman"/>
          <w:sz w:val="17"/>
          <w:szCs w:val="17"/>
          <w:color w:val="auto"/>
        </w:rPr>
        <w:t>The Fund does not intend to have the Term Preferred Shares rated by any rating agency. Unrated securities usually trade at a discount to similar, rated securities. As a result, there is a risk that any such shares may trade at a price that is lower than they might otherwise trade if rated by a rating agency.</w:t>
      </w:r>
    </w:p>
    <w:p>
      <w:pPr>
        <w:spacing w:after="0" w:line="16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NOTE 15. RECENT ACCOUNTING PRONOUNCEMENTS</w:t>
      </w:r>
    </w:p>
    <w:p>
      <w:pPr>
        <w:spacing w:after="0" w:line="138" w:lineRule="exact"/>
        <w:rPr>
          <w:sz w:val="20"/>
          <w:szCs w:val="20"/>
          <w:color w:val="auto"/>
        </w:rPr>
      </w:pPr>
    </w:p>
    <w:p>
      <w:pPr>
        <w:ind w:left="700" w:right="759" w:firstLine="405"/>
        <w:spacing w:after="0" w:line="250" w:lineRule="auto"/>
        <w:rPr>
          <w:sz w:val="20"/>
          <w:szCs w:val="20"/>
          <w:color w:val="auto"/>
        </w:rPr>
      </w:pPr>
      <w:r>
        <w:rPr>
          <w:rFonts w:ascii="Times New Roman" w:cs="Times New Roman" w:eastAsia="Times New Roman" w:hAnsi="Times New Roman"/>
          <w:sz w:val="17"/>
          <w:szCs w:val="17"/>
          <w:color w:val="auto"/>
        </w:rPr>
        <w:t>In March 2020, the FASB issued Accounting Standards Update (“ASU”) 2020-04, Reference Rate Reform (Topic 848): Facilitation of the Effects of Reference Rate Reform on Financial Reporting (“ASU 2020-04”). The amendments in ASU 2020-04 provide optional expedients and exceptions for applying GAAP to certain contracts, hedging relationships, and other transactions that reference LIBOR or another reference rate expected to be discontinued due to reference rate reform. The Fund has agreements that have LIBOR as a reference rate with certain lenders. These agreements include language for choosing an alternative successor rate if LIBOR reference is no longer considered to be appropriate. Such contract modifications are required to be evaluated in determining whether the modifications result in the establishment of new contracts or the continuation of existing contracts. In January 2021, the FASB issued ASU No. 2021-01, “Reference Rate Reform (Topic 848),” which expanded the scope of Topic 848 to include derivative instruments impacted by discounting transition. ASU 2020-04 and ASU 2021-01 are effective as of March 12, 2020 through December 31, 2022. ASU No. 2021-01 provides increased clarity as the Fund continues to evaluate the transition of reference rates and is currently evaluating the impact of adopting ASU N0. 2020-4 and 2021-01 on the financial statements.</w:t>
      </w:r>
    </w:p>
    <w:p>
      <w:pPr>
        <w:spacing w:after="0" w:line="125" w:lineRule="exact"/>
        <w:rPr>
          <w:sz w:val="20"/>
          <w:szCs w:val="20"/>
          <w:color w:val="auto"/>
        </w:rPr>
      </w:pPr>
    </w:p>
    <w:p>
      <w:pPr>
        <w:ind w:left="700" w:right="1079" w:firstLine="405"/>
        <w:spacing w:after="0" w:line="262" w:lineRule="auto"/>
        <w:rPr>
          <w:sz w:val="20"/>
          <w:szCs w:val="20"/>
          <w:color w:val="auto"/>
        </w:rPr>
      </w:pPr>
      <w:r>
        <w:rPr>
          <w:rFonts w:ascii="Times New Roman" w:cs="Times New Roman" w:eastAsia="Times New Roman" w:hAnsi="Times New Roman"/>
          <w:sz w:val="17"/>
          <w:szCs w:val="17"/>
          <w:color w:val="auto"/>
        </w:rPr>
        <w:t>Other than the aforementioned guidance, the Fund’s management does not believe that any recently issued, but not yet effective, accounting standards, if currently adopted, would have a material effect on the accompanying financial statements.</w:t>
      </w:r>
    </w:p>
    <w:p>
      <w:pPr>
        <w:spacing w:after="0" w:line="16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NOTE 16. ISSUANCES OF COMMON STOCK</w:t>
      </w:r>
    </w:p>
    <w:p>
      <w:pPr>
        <w:spacing w:after="0" w:line="150" w:lineRule="exact"/>
        <w:rPr>
          <w:sz w:val="20"/>
          <w:szCs w:val="20"/>
          <w:color w:val="auto"/>
        </w:rPr>
      </w:pPr>
    </w:p>
    <w:p>
      <w:pPr>
        <w:ind w:left="700" w:right="839" w:firstLine="405"/>
        <w:spacing w:after="0" w:line="258" w:lineRule="auto"/>
        <w:rPr>
          <w:sz w:val="20"/>
          <w:szCs w:val="20"/>
          <w:color w:val="auto"/>
        </w:rPr>
      </w:pPr>
      <w:r>
        <w:rPr>
          <w:rFonts w:ascii="Times New Roman" w:cs="Times New Roman" w:eastAsia="Times New Roman" w:hAnsi="Times New Roman"/>
          <w:sz w:val="17"/>
          <w:szCs w:val="17"/>
          <w:color w:val="auto"/>
        </w:rPr>
        <w:t>The Fund sold a total of 12,771,940 shares of common stock pursuant to an “at-the-market” offering during the six months ended September 30, 2022. The total amount of capital raised under these issuances was approximately $80.9 million and net proceeds were approximately $80.1 million after deducting the sales agent’s commissions and offering expenses.</w:t>
      </w:r>
    </w:p>
    <w:p>
      <w:pPr>
        <w:spacing w:after="0" w:line="97" w:lineRule="exact"/>
        <w:rPr>
          <w:sz w:val="20"/>
          <w:szCs w:val="20"/>
          <w:color w:val="auto"/>
        </w:rPr>
      </w:pPr>
    </w:p>
    <w:p>
      <w:pPr>
        <w:ind w:left="700" w:right="1019" w:firstLine="405"/>
        <w:spacing w:after="0" w:line="258" w:lineRule="auto"/>
        <w:rPr>
          <w:sz w:val="20"/>
          <w:szCs w:val="20"/>
          <w:color w:val="auto"/>
        </w:rPr>
      </w:pPr>
      <w:r>
        <w:rPr>
          <w:rFonts w:ascii="Times New Roman" w:cs="Times New Roman" w:eastAsia="Times New Roman" w:hAnsi="Times New Roman"/>
          <w:sz w:val="17"/>
          <w:szCs w:val="17"/>
          <w:color w:val="auto"/>
        </w:rPr>
        <w:t>The Fund sold a total of 42,165,903 shares of common stock pursuant to an “at-the-market” offering during the fiscal year ended March 31, 2022. The total amount of capital raised under these issuances was approximately $314.3 million and net proceeds were approximately $310.6 million after deducting the sales agent’s commissions and offering expenses.</w:t>
      </w:r>
    </w:p>
    <w:p>
      <w:pPr>
        <w:spacing w:after="0" w:line="109" w:lineRule="exact"/>
        <w:rPr>
          <w:sz w:val="20"/>
          <w:szCs w:val="20"/>
          <w:color w:val="auto"/>
        </w:rPr>
      </w:pPr>
    </w:p>
    <w:p>
      <w:pPr>
        <w:ind w:left="700" w:right="1099" w:firstLine="405"/>
        <w:spacing w:after="0" w:line="262" w:lineRule="auto"/>
        <w:rPr>
          <w:sz w:val="20"/>
          <w:szCs w:val="20"/>
          <w:color w:val="auto"/>
        </w:rPr>
      </w:pPr>
      <w:r>
        <w:rPr>
          <w:rFonts w:ascii="Times New Roman" w:cs="Times New Roman" w:eastAsia="Times New Roman" w:hAnsi="Times New Roman"/>
          <w:sz w:val="17"/>
          <w:szCs w:val="17"/>
          <w:color w:val="auto"/>
        </w:rPr>
        <w:t>For the six months ended September 30, 2022, the Fund issued 1,639,165 shares of common stock in connection with the distribution reinvestment plan. For the year ended March 31, 2022, the Fund issued 1,859,664 shares of common stock in connection with the distribution reinvestment plan.</w:t>
      </w:r>
    </w:p>
    <w:p>
      <w:pPr>
        <w:spacing w:after="0" w:line="16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NOTE 17. SUBSEQUENT EVENTS</w:t>
      </w:r>
    </w:p>
    <w:p>
      <w:pPr>
        <w:spacing w:after="0" w:line="150" w:lineRule="exact"/>
        <w:rPr>
          <w:sz w:val="20"/>
          <w:szCs w:val="20"/>
          <w:color w:val="auto"/>
        </w:rPr>
      </w:pPr>
    </w:p>
    <w:p>
      <w:pPr>
        <w:ind w:left="700" w:right="1199" w:firstLine="405"/>
        <w:spacing w:after="0" w:line="276" w:lineRule="auto"/>
        <w:rPr>
          <w:sz w:val="20"/>
          <w:szCs w:val="20"/>
          <w:color w:val="auto"/>
        </w:rPr>
      </w:pPr>
      <w:r>
        <w:rPr>
          <w:rFonts w:ascii="Times New Roman" w:cs="Times New Roman" w:eastAsia="Times New Roman" w:hAnsi="Times New Roman"/>
          <w:sz w:val="17"/>
          <w:szCs w:val="17"/>
          <w:color w:val="auto"/>
        </w:rPr>
        <w:t>On October 27, 2022, the Board of Directors declared monthly distributions $0.075 per share on its common stock, as follows:</w:t>
      </w:r>
    </w:p>
    <w:p>
      <w:pPr>
        <w:spacing w:after="0" w:line="121" w:lineRule="exact"/>
        <w:rPr>
          <w:sz w:val="20"/>
          <w:szCs w:val="20"/>
          <w:color w:val="auto"/>
        </w:rPr>
      </w:pPr>
    </w:p>
    <w:tbl>
      <w:tblPr>
        <w:tblLayout w:type="fixed"/>
        <w:tblInd w:w="700" w:type="dxa"/>
        <w:tblCellMar>
          <w:top w:w="0" w:type="dxa"/>
          <w:left w:w="0" w:type="dxa"/>
          <w:bottom w:w="0" w:type="dxa"/>
          <w:right w:w="0" w:type="dxa"/>
        </w:tblCellMar>
      </w:tblPr>
      <w:tr>
        <w:trPr>
          <w:trHeight w:val="190"/>
        </w:trPr>
        <w:tc>
          <w:tcPr>
            <w:tcW w:w="3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ind w:right="239"/>
              <w:spacing w:after="0"/>
              <w:rPr>
                <w:sz w:val="20"/>
                <w:szCs w:val="20"/>
                <w:color w:val="auto"/>
              </w:rPr>
            </w:pPr>
            <w:r>
              <w:rPr>
                <w:rFonts w:ascii="Times New Roman" w:cs="Times New Roman" w:eastAsia="Times New Roman" w:hAnsi="Times New Roman"/>
                <w:sz w:val="15"/>
                <w:szCs w:val="15"/>
                <w:b w:val="1"/>
                <w:bCs w:val="1"/>
                <w:color w:val="auto"/>
              </w:rPr>
              <w:t>Amount</w:t>
            </w:r>
          </w:p>
        </w:tc>
      </w:tr>
      <w:tr>
        <w:trPr>
          <w:trHeight w:val="201"/>
        </w:trPr>
        <w:tc>
          <w:tcPr>
            <w:tcW w:w="34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Month Ending</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Record Date</w:t>
            </w:r>
          </w:p>
        </w:tc>
        <w:tc>
          <w:tcPr>
            <w:tcW w:w="14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Payment Date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ind w:right="179"/>
              <w:spacing w:after="0"/>
              <w:rPr>
                <w:sz w:val="20"/>
                <w:szCs w:val="20"/>
                <w:color w:val="auto"/>
              </w:rPr>
            </w:pPr>
            <w:r>
              <w:rPr>
                <w:rFonts w:ascii="Times New Roman" w:cs="Times New Roman" w:eastAsia="Times New Roman" w:hAnsi="Times New Roman"/>
                <w:sz w:val="15"/>
                <w:szCs w:val="15"/>
                <w:b w:val="1"/>
                <w:bCs w:val="1"/>
                <w:color w:val="auto"/>
              </w:rPr>
              <w:t>Per Share</w:t>
            </w:r>
          </w:p>
        </w:tc>
      </w:tr>
      <w:tr>
        <w:trPr>
          <w:trHeight w:val="43"/>
        </w:trPr>
        <w:tc>
          <w:tcPr>
            <w:tcW w:w="3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26"/>
        </w:trPr>
        <w:tc>
          <w:tcPr>
            <w:tcW w:w="3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January 31, 2023</w:t>
            </w:r>
          </w:p>
        </w:tc>
        <w:tc>
          <w:tcPr>
            <w:tcW w:w="1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January 17, 2023</w:t>
            </w:r>
          </w:p>
        </w:tc>
        <w:tc>
          <w:tcPr>
            <w:tcW w:w="1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January 31, 2023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0.075</w:t>
            </w:r>
          </w:p>
        </w:tc>
      </w:tr>
      <w:tr>
        <w:trPr>
          <w:trHeight w:val="227"/>
        </w:trPr>
        <w:tc>
          <w:tcPr>
            <w:tcW w:w="3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February 28, 2023</w:t>
            </w: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9"/>
              </w:rPr>
              <w:t>February 14, 2023</w:t>
            </w:r>
          </w:p>
        </w:tc>
        <w:tc>
          <w:tcPr>
            <w:tcW w:w="14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February 28, 2023</w:t>
            </w:r>
          </w:p>
        </w:tc>
        <w:tc>
          <w:tcPr>
            <w:tcW w:w="280" w:type="dxa"/>
            <w:vAlign w:val="bottom"/>
            <w:gridSpan w:val="2"/>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0.075</w:t>
            </w:r>
          </w:p>
        </w:tc>
      </w:tr>
      <w:tr>
        <w:trPr>
          <w:trHeight w:val="39"/>
        </w:trPr>
        <w:tc>
          <w:tcPr>
            <w:tcW w:w="3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46"/>
        </w:trPr>
        <w:tc>
          <w:tcPr>
            <w:tcW w:w="34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March 31, 2023</w:t>
            </w:r>
          </w:p>
        </w:tc>
        <w:tc>
          <w:tcPr>
            <w:tcW w:w="15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7"/>
              </w:rPr>
              <w:t>March 17, 2023</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March 31, 2023</w:t>
            </w:r>
          </w:p>
        </w:tc>
        <w:tc>
          <w:tcPr>
            <w:tcW w:w="280" w:type="dxa"/>
            <w:vAlign w:val="bottom"/>
            <w:tcBorders>
              <w:bottom w:val="single" w:sz="8" w:color="CCEEFF"/>
            </w:tcBorders>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0.075</w:t>
            </w:r>
          </w:p>
        </w:tc>
      </w:tr>
      <w:tr>
        <w:trPr>
          <w:trHeight w:val="367"/>
        </w:trPr>
        <w:tc>
          <w:tcPr>
            <w:tcW w:w="3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877"/>
              <w:spacing w:after="0"/>
              <w:rPr>
                <w:sz w:val="20"/>
                <w:szCs w:val="20"/>
                <w:color w:val="auto"/>
              </w:rPr>
            </w:pPr>
            <w:r>
              <w:rPr>
                <w:rFonts w:ascii="Times New Roman" w:cs="Times New Roman" w:eastAsia="Times New Roman" w:hAnsi="Times New Roman"/>
                <w:sz w:val="17"/>
                <w:szCs w:val="17"/>
                <w:color w:val="auto"/>
              </w:rPr>
              <w:t>55</w:t>
            </w: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2" w:right="1440" w:bottom="1440" w:gutter="0" w:footer="0" w:header="0"/>
        </w:sectPr>
      </w:pPr>
    </w:p>
    <w:bookmarkStart w:id="58" w:name="page59"/>
    <w:bookmarkEnd w:id="58"/>
    <w:p>
      <w:pPr>
        <w:ind w:left="7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SEPTEMBER 30, 2022</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 xml:space="preserve">NOTE 17. SUBSEQUENT EVENTS </w:t>
      </w:r>
      <w:r>
        <w:rPr>
          <w:rFonts w:ascii="Times New Roman" w:cs="Times New Roman" w:eastAsia="Times New Roman" w:hAnsi="Times New Roman"/>
          <w:sz w:val="17"/>
          <w:szCs w:val="17"/>
          <w:color w:val="auto"/>
        </w:rPr>
        <w:t>(cont.)</w:t>
      </w:r>
    </w:p>
    <w:p>
      <w:pPr>
        <w:spacing w:after="0" w:line="188" w:lineRule="exact"/>
        <w:rPr>
          <w:sz w:val="20"/>
          <w:szCs w:val="20"/>
          <w:color w:val="auto"/>
        </w:rPr>
      </w:pPr>
    </w:p>
    <w:p>
      <w:pPr>
        <w:ind w:left="700" w:right="959" w:firstLine="405"/>
        <w:spacing w:after="0" w:line="262" w:lineRule="auto"/>
        <w:rPr>
          <w:sz w:val="20"/>
          <w:szCs w:val="20"/>
          <w:color w:val="auto"/>
        </w:rPr>
      </w:pPr>
      <w:r>
        <w:rPr>
          <w:rFonts w:ascii="Times New Roman" w:cs="Times New Roman" w:eastAsia="Times New Roman" w:hAnsi="Times New Roman"/>
          <w:sz w:val="17"/>
          <w:szCs w:val="17"/>
          <w:color w:val="auto"/>
        </w:rPr>
        <w:t>On October 27, 2022, the Board of Directors declared the required monthly dividends on its 6.75% Series 2024, 6.25% Series 2027, 6.00% Series 2029, and 7.125% Series 2029 Term Preferred Shares (each, a “Share”), as follows:</w:t>
      </w:r>
    </w:p>
    <w:p>
      <w:pPr>
        <w:spacing w:after="0" w:line="133" w:lineRule="exact"/>
        <w:rPr>
          <w:sz w:val="20"/>
          <w:szCs w:val="20"/>
          <w:color w:val="auto"/>
        </w:rPr>
      </w:pPr>
    </w:p>
    <w:tbl>
      <w:tblPr>
        <w:tblLayout w:type="fixed"/>
        <w:tblInd w:w="70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Per Share</w:t>
            </w:r>
          </w:p>
        </w:tc>
        <w:tc>
          <w:tcPr>
            <w:tcW w:w="2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Dividend</w:t>
            </w:r>
          </w:p>
        </w:tc>
        <w:tc>
          <w:tcPr>
            <w:tcW w:w="2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2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5"/>
                <w:szCs w:val="15"/>
                <w:b w:val="1"/>
                <w:bCs w:val="1"/>
                <w:color w:val="auto"/>
              </w:rPr>
              <w:t>Declared</w:t>
            </w:r>
          </w:p>
        </w:tc>
        <w:tc>
          <w:tcPr>
            <w:tcW w:w="24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Record Dates</w:t>
            </w:r>
          </w:p>
        </w:tc>
        <w:tc>
          <w:tcPr>
            <w:tcW w:w="24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Payable Dates</w:t>
            </w: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540" w:type="dxa"/>
            <w:vAlign w:val="bottom"/>
            <w:shd w:val="clear" w:color="auto" w:fill="CCEEFF"/>
          </w:tcPr>
          <w:p>
            <w:pPr>
              <w:spacing w:after="0" w:line="179" w:lineRule="exact"/>
              <w:rPr>
                <w:sz w:val="20"/>
                <w:szCs w:val="20"/>
                <w:color w:val="auto"/>
              </w:rPr>
            </w:pPr>
            <w:r>
              <w:rPr>
                <w:rFonts w:ascii="Times New Roman" w:cs="Times New Roman" w:eastAsia="Times New Roman" w:hAnsi="Times New Roman"/>
                <w:sz w:val="17"/>
                <w:szCs w:val="17"/>
                <w:b w:val="1"/>
                <w:bCs w:val="1"/>
                <w:color w:val="auto"/>
              </w:rPr>
              <w:t>6.75% Series 2024</w:t>
            </w:r>
          </w:p>
        </w:tc>
        <w:tc>
          <w:tcPr>
            <w:tcW w:w="140" w:type="dxa"/>
            <w:vAlign w:val="bottom"/>
            <w:shd w:val="clear" w:color="auto" w:fill="CCEEFF"/>
          </w:tcPr>
          <w:p>
            <w:pPr>
              <w:jc w:val="right"/>
              <w:spacing w:after="0" w:line="179" w:lineRule="exact"/>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ind w:left="120"/>
              <w:spacing w:after="0" w:line="179" w:lineRule="exact"/>
              <w:rPr>
                <w:sz w:val="20"/>
                <w:szCs w:val="20"/>
                <w:color w:val="auto"/>
              </w:rPr>
            </w:pPr>
            <w:r>
              <w:rPr>
                <w:rFonts w:ascii="Times New Roman" w:cs="Times New Roman" w:eastAsia="Times New Roman" w:hAnsi="Times New Roman"/>
                <w:sz w:val="17"/>
                <w:szCs w:val="17"/>
                <w:color w:val="auto"/>
                <w:w w:val="96"/>
              </w:rPr>
              <w:t>0.14062500</w:t>
            </w:r>
          </w:p>
        </w:tc>
        <w:tc>
          <w:tcPr>
            <w:tcW w:w="100" w:type="dxa"/>
            <w:vAlign w:val="bottom"/>
            <w:shd w:val="clear" w:color="auto" w:fill="CCEEFF"/>
          </w:tcPr>
          <w:p>
            <w:pPr>
              <w:spacing w:after="0"/>
              <w:rPr>
                <w:sz w:val="15"/>
                <w:szCs w:val="15"/>
                <w:color w:val="auto"/>
              </w:rPr>
            </w:pPr>
          </w:p>
        </w:tc>
        <w:tc>
          <w:tcPr>
            <w:tcW w:w="2340" w:type="dxa"/>
            <w:vAlign w:val="bottom"/>
            <w:shd w:val="clear" w:color="auto" w:fill="CCEEFF"/>
          </w:tcPr>
          <w:p>
            <w:pPr>
              <w:jc w:val="center"/>
              <w:spacing w:after="0" w:line="179" w:lineRule="exact"/>
              <w:rPr>
                <w:sz w:val="20"/>
                <w:szCs w:val="20"/>
                <w:color w:val="auto"/>
              </w:rPr>
            </w:pPr>
            <w:r>
              <w:rPr>
                <w:rFonts w:ascii="Times New Roman" w:cs="Times New Roman" w:eastAsia="Times New Roman" w:hAnsi="Times New Roman"/>
                <w:sz w:val="17"/>
                <w:szCs w:val="17"/>
                <w:color w:val="auto"/>
                <w:w w:val="98"/>
              </w:rPr>
              <w:t>December 16, 2022, January 17,</w:t>
            </w:r>
          </w:p>
        </w:tc>
        <w:tc>
          <w:tcPr>
            <w:tcW w:w="80" w:type="dxa"/>
            <w:vAlign w:val="bottom"/>
            <w:shd w:val="clear" w:color="auto" w:fill="CCEEFF"/>
          </w:tcPr>
          <w:p>
            <w:pPr>
              <w:spacing w:after="0"/>
              <w:rPr>
                <w:sz w:val="15"/>
                <w:szCs w:val="15"/>
                <w:color w:val="auto"/>
              </w:rPr>
            </w:pPr>
          </w:p>
        </w:tc>
        <w:tc>
          <w:tcPr>
            <w:tcW w:w="2460" w:type="dxa"/>
            <w:vAlign w:val="bottom"/>
            <w:shd w:val="clear" w:color="auto" w:fill="CCEEFF"/>
          </w:tcPr>
          <w:p>
            <w:pPr>
              <w:jc w:val="center"/>
              <w:spacing w:after="0" w:line="179" w:lineRule="exact"/>
              <w:rPr>
                <w:sz w:val="20"/>
                <w:szCs w:val="20"/>
                <w:color w:val="auto"/>
              </w:rPr>
            </w:pPr>
            <w:r>
              <w:rPr>
                <w:rFonts w:ascii="Times New Roman" w:cs="Times New Roman" w:eastAsia="Times New Roman" w:hAnsi="Times New Roman"/>
                <w:sz w:val="17"/>
                <w:szCs w:val="17"/>
                <w:color w:val="auto"/>
                <w:w w:val="98"/>
              </w:rPr>
              <w:t>December 30, 2022, January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w w:val="99"/>
              </w:rPr>
              <w:t>2023, February 14, 2023</w:t>
            </w:r>
          </w:p>
        </w:tc>
        <w:tc>
          <w:tcPr>
            <w:tcW w:w="2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2023, February 28, 2023</w:t>
            </w:r>
          </w:p>
        </w:tc>
        <w:tc>
          <w:tcPr>
            <w:tcW w:w="0" w:type="dxa"/>
            <w:vAlign w:val="bottom"/>
          </w:tcPr>
          <w:p>
            <w:pPr>
              <w:spacing w:after="0"/>
              <w:rPr>
                <w:sz w:val="1"/>
                <w:szCs w:val="1"/>
                <w:color w:val="auto"/>
              </w:rPr>
            </w:pPr>
          </w:p>
        </w:tc>
      </w:tr>
      <w:tr>
        <w:trPr>
          <w:trHeight w:val="266"/>
        </w:trPr>
        <w:tc>
          <w:tcPr>
            <w:tcW w:w="20" w:type="dxa"/>
            <w:vAlign w:val="bottom"/>
            <w:vMerge w:val="restart"/>
          </w:tcPr>
          <w:p>
            <w:pPr>
              <w:spacing w:after="0"/>
              <w:rPr>
                <w:sz w:val="23"/>
                <w:szCs w:val="23"/>
                <w:color w:val="auto"/>
              </w:rPr>
            </w:pPr>
          </w:p>
        </w:tc>
        <w:tc>
          <w:tcPr>
            <w:tcW w:w="1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154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7"/>
                <w:szCs w:val="17"/>
                <w:b w:val="1"/>
                <w:bCs w:val="1"/>
                <w:color w:val="auto"/>
              </w:rPr>
              <w:t>6.25% Series 2027</w:t>
            </w:r>
          </w:p>
        </w:tc>
        <w:tc>
          <w:tcPr>
            <w:tcW w:w="14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ind w:left="120"/>
              <w:spacing w:after="0" w:line="186" w:lineRule="exact"/>
              <w:rPr>
                <w:sz w:val="20"/>
                <w:szCs w:val="20"/>
                <w:color w:val="auto"/>
              </w:rPr>
            </w:pPr>
            <w:r>
              <w:rPr>
                <w:rFonts w:ascii="Times New Roman" w:cs="Times New Roman" w:eastAsia="Times New Roman" w:hAnsi="Times New Roman"/>
                <w:sz w:val="17"/>
                <w:szCs w:val="17"/>
                <w:color w:val="auto"/>
              </w:rPr>
              <w:t>0.13020833</w:t>
            </w:r>
          </w:p>
        </w:tc>
        <w:tc>
          <w:tcPr>
            <w:tcW w:w="2420" w:type="dxa"/>
            <w:vAlign w:val="bottom"/>
            <w:gridSpan w:val="2"/>
            <w:shd w:val="clear" w:color="auto" w:fill="CCEEFF"/>
          </w:tcPr>
          <w:p>
            <w:pPr>
              <w:jc w:val="center"/>
              <w:ind w:right="80"/>
              <w:spacing w:after="0" w:line="186" w:lineRule="exact"/>
              <w:rPr>
                <w:sz w:val="20"/>
                <w:szCs w:val="20"/>
                <w:color w:val="auto"/>
              </w:rPr>
            </w:pPr>
            <w:r>
              <w:rPr>
                <w:rFonts w:ascii="Times New Roman" w:cs="Times New Roman" w:eastAsia="Times New Roman" w:hAnsi="Times New Roman"/>
                <w:sz w:val="17"/>
                <w:szCs w:val="17"/>
                <w:color w:val="auto"/>
                <w:w w:val="98"/>
              </w:rPr>
              <w:t>December 16, 2022, January 17,</w:t>
            </w:r>
          </w:p>
        </w:tc>
        <w:tc>
          <w:tcPr>
            <w:tcW w:w="2460" w:type="dxa"/>
            <w:vAlign w:val="bottom"/>
            <w:shd w:val="clear" w:color="auto" w:fill="CCEEFF"/>
          </w:tcPr>
          <w:p>
            <w:pPr>
              <w:jc w:val="center"/>
              <w:spacing w:after="0" w:line="186" w:lineRule="exact"/>
              <w:rPr>
                <w:sz w:val="20"/>
                <w:szCs w:val="20"/>
                <w:color w:val="auto"/>
              </w:rPr>
            </w:pPr>
            <w:r>
              <w:rPr>
                <w:rFonts w:ascii="Times New Roman" w:cs="Times New Roman" w:eastAsia="Times New Roman" w:hAnsi="Times New Roman"/>
                <w:sz w:val="17"/>
                <w:szCs w:val="17"/>
                <w:color w:val="auto"/>
                <w:w w:val="98"/>
              </w:rPr>
              <w:t>December 30, 2022, January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w w:val="99"/>
              </w:rPr>
              <w:t>2023, February 14, 2023</w:t>
            </w:r>
          </w:p>
        </w:tc>
        <w:tc>
          <w:tcPr>
            <w:tcW w:w="2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2023, February 28, 2023</w:t>
            </w:r>
          </w:p>
        </w:tc>
        <w:tc>
          <w:tcPr>
            <w:tcW w:w="0" w:type="dxa"/>
            <w:vAlign w:val="bottom"/>
          </w:tcPr>
          <w:p>
            <w:pPr>
              <w:spacing w:after="0"/>
              <w:rPr>
                <w:sz w:val="1"/>
                <w:szCs w:val="1"/>
                <w:color w:val="auto"/>
              </w:rPr>
            </w:pPr>
          </w:p>
        </w:tc>
      </w:tr>
      <w:tr>
        <w:trPr>
          <w:trHeight w:val="266"/>
        </w:trPr>
        <w:tc>
          <w:tcPr>
            <w:tcW w:w="20" w:type="dxa"/>
            <w:vAlign w:val="bottom"/>
            <w:vMerge w:val="restart"/>
          </w:tcPr>
          <w:p>
            <w:pPr>
              <w:spacing w:after="0"/>
              <w:rPr>
                <w:sz w:val="23"/>
                <w:szCs w:val="23"/>
                <w:color w:val="auto"/>
              </w:rPr>
            </w:pPr>
          </w:p>
        </w:tc>
        <w:tc>
          <w:tcPr>
            <w:tcW w:w="1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154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7"/>
                <w:szCs w:val="17"/>
                <w:b w:val="1"/>
                <w:bCs w:val="1"/>
                <w:color w:val="auto"/>
              </w:rPr>
              <w:t>6.00% Series 2029</w:t>
            </w:r>
          </w:p>
        </w:tc>
        <w:tc>
          <w:tcPr>
            <w:tcW w:w="14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ind w:left="120"/>
              <w:spacing w:after="0" w:line="186" w:lineRule="exact"/>
              <w:rPr>
                <w:sz w:val="20"/>
                <w:szCs w:val="20"/>
                <w:color w:val="auto"/>
              </w:rPr>
            </w:pPr>
            <w:r>
              <w:rPr>
                <w:rFonts w:ascii="Times New Roman" w:cs="Times New Roman" w:eastAsia="Times New Roman" w:hAnsi="Times New Roman"/>
                <w:sz w:val="17"/>
                <w:szCs w:val="17"/>
                <w:color w:val="auto"/>
              </w:rPr>
              <w:t>0.12500000</w:t>
            </w:r>
          </w:p>
        </w:tc>
        <w:tc>
          <w:tcPr>
            <w:tcW w:w="2420" w:type="dxa"/>
            <w:vAlign w:val="bottom"/>
            <w:gridSpan w:val="2"/>
            <w:shd w:val="clear" w:color="auto" w:fill="CCEEFF"/>
          </w:tcPr>
          <w:p>
            <w:pPr>
              <w:jc w:val="center"/>
              <w:ind w:right="80"/>
              <w:spacing w:after="0" w:line="186" w:lineRule="exact"/>
              <w:rPr>
                <w:sz w:val="20"/>
                <w:szCs w:val="20"/>
                <w:color w:val="auto"/>
              </w:rPr>
            </w:pPr>
            <w:r>
              <w:rPr>
                <w:rFonts w:ascii="Times New Roman" w:cs="Times New Roman" w:eastAsia="Times New Roman" w:hAnsi="Times New Roman"/>
                <w:sz w:val="17"/>
                <w:szCs w:val="17"/>
                <w:color w:val="auto"/>
                <w:w w:val="98"/>
              </w:rPr>
              <w:t>December 16, 2022, January 17,</w:t>
            </w:r>
          </w:p>
        </w:tc>
        <w:tc>
          <w:tcPr>
            <w:tcW w:w="2460" w:type="dxa"/>
            <w:vAlign w:val="bottom"/>
            <w:shd w:val="clear" w:color="auto" w:fill="CCEEFF"/>
          </w:tcPr>
          <w:p>
            <w:pPr>
              <w:jc w:val="center"/>
              <w:spacing w:after="0" w:line="186" w:lineRule="exact"/>
              <w:rPr>
                <w:sz w:val="20"/>
                <w:szCs w:val="20"/>
                <w:color w:val="auto"/>
              </w:rPr>
            </w:pPr>
            <w:r>
              <w:rPr>
                <w:rFonts w:ascii="Times New Roman" w:cs="Times New Roman" w:eastAsia="Times New Roman" w:hAnsi="Times New Roman"/>
                <w:sz w:val="17"/>
                <w:szCs w:val="17"/>
                <w:color w:val="auto"/>
                <w:w w:val="98"/>
              </w:rPr>
              <w:t>December 30, 2022, January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w w:val="99"/>
              </w:rPr>
              <w:t>2023, February 14, 2023</w:t>
            </w:r>
          </w:p>
        </w:tc>
        <w:tc>
          <w:tcPr>
            <w:tcW w:w="2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2023, February 28, 2023</w:t>
            </w:r>
          </w:p>
        </w:tc>
        <w:tc>
          <w:tcPr>
            <w:tcW w:w="0" w:type="dxa"/>
            <w:vAlign w:val="bottom"/>
          </w:tcPr>
          <w:p>
            <w:pPr>
              <w:spacing w:after="0"/>
              <w:rPr>
                <w:sz w:val="1"/>
                <w:szCs w:val="1"/>
                <w:color w:val="auto"/>
              </w:rPr>
            </w:pPr>
          </w:p>
        </w:tc>
      </w:tr>
      <w:tr>
        <w:trPr>
          <w:trHeight w:val="266"/>
        </w:trPr>
        <w:tc>
          <w:tcPr>
            <w:tcW w:w="20" w:type="dxa"/>
            <w:vAlign w:val="bottom"/>
            <w:vMerge w:val="restart"/>
          </w:tcPr>
          <w:p>
            <w:pPr>
              <w:spacing w:after="0"/>
              <w:rPr>
                <w:sz w:val="23"/>
                <w:szCs w:val="23"/>
                <w:color w:val="auto"/>
              </w:rPr>
            </w:pPr>
          </w:p>
        </w:tc>
        <w:tc>
          <w:tcPr>
            <w:tcW w:w="1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154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7"/>
                <w:szCs w:val="17"/>
                <w:b w:val="1"/>
                <w:bCs w:val="1"/>
                <w:color w:val="auto"/>
              </w:rPr>
              <w:t>7.125% Series 2029</w:t>
            </w:r>
          </w:p>
        </w:tc>
        <w:tc>
          <w:tcPr>
            <w:tcW w:w="140" w:type="dxa"/>
            <w:vAlign w:val="bottom"/>
            <w:shd w:val="clear" w:color="auto" w:fill="CCEEFF"/>
          </w:tcPr>
          <w:p>
            <w:pPr>
              <w:jc w:val="right"/>
              <w:spacing w:after="0" w:line="186"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ind w:left="120"/>
              <w:spacing w:after="0" w:line="186" w:lineRule="exact"/>
              <w:rPr>
                <w:sz w:val="20"/>
                <w:szCs w:val="20"/>
                <w:color w:val="auto"/>
              </w:rPr>
            </w:pPr>
            <w:r>
              <w:rPr>
                <w:rFonts w:ascii="Times New Roman" w:cs="Times New Roman" w:eastAsia="Times New Roman" w:hAnsi="Times New Roman"/>
                <w:sz w:val="17"/>
                <w:szCs w:val="17"/>
                <w:color w:val="auto"/>
              </w:rPr>
              <w:t>0.14843750</w:t>
            </w:r>
          </w:p>
        </w:tc>
        <w:tc>
          <w:tcPr>
            <w:tcW w:w="2420" w:type="dxa"/>
            <w:vAlign w:val="bottom"/>
            <w:gridSpan w:val="2"/>
            <w:shd w:val="clear" w:color="auto" w:fill="CCEEFF"/>
          </w:tcPr>
          <w:p>
            <w:pPr>
              <w:jc w:val="center"/>
              <w:ind w:right="80"/>
              <w:spacing w:after="0" w:line="186" w:lineRule="exact"/>
              <w:rPr>
                <w:sz w:val="20"/>
                <w:szCs w:val="20"/>
                <w:color w:val="auto"/>
              </w:rPr>
            </w:pPr>
            <w:r>
              <w:rPr>
                <w:rFonts w:ascii="Times New Roman" w:cs="Times New Roman" w:eastAsia="Times New Roman" w:hAnsi="Times New Roman"/>
                <w:sz w:val="17"/>
                <w:szCs w:val="17"/>
                <w:color w:val="auto"/>
                <w:w w:val="98"/>
              </w:rPr>
              <w:t>December 16, 2022, January 17,</w:t>
            </w:r>
          </w:p>
        </w:tc>
        <w:tc>
          <w:tcPr>
            <w:tcW w:w="2460" w:type="dxa"/>
            <w:vAlign w:val="bottom"/>
            <w:shd w:val="clear" w:color="auto" w:fill="CCEEFF"/>
          </w:tcPr>
          <w:p>
            <w:pPr>
              <w:jc w:val="center"/>
              <w:spacing w:after="0" w:line="186" w:lineRule="exact"/>
              <w:rPr>
                <w:sz w:val="20"/>
                <w:szCs w:val="20"/>
                <w:color w:val="auto"/>
              </w:rPr>
            </w:pPr>
            <w:r>
              <w:rPr>
                <w:rFonts w:ascii="Times New Roman" w:cs="Times New Roman" w:eastAsia="Times New Roman" w:hAnsi="Times New Roman"/>
                <w:sz w:val="17"/>
                <w:szCs w:val="17"/>
                <w:color w:val="auto"/>
                <w:w w:val="98"/>
              </w:rPr>
              <w:t>December 30, 2022, January 31,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w w:val="99"/>
              </w:rPr>
              <w:t>2023, February 14, 2023</w:t>
            </w:r>
          </w:p>
        </w:tc>
        <w:tc>
          <w:tcPr>
            <w:tcW w:w="2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2023, February 28, 2023</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5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3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4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700" w:right="1019" w:firstLine="405"/>
        <w:spacing w:after="0" w:line="276" w:lineRule="auto"/>
        <w:rPr>
          <w:sz w:val="20"/>
          <w:szCs w:val="20"/>
          <w:color w:val="auto"/>
        </w:rPr>
      </w:pPr>
      <w:r>
        <w:rPr>
          <w:rFonts w:ascii="Times New Roman" w:cs="Times New Roman" w:eastAsia="Times New Roman" w:hAnsi="Times New Roman"/>
          <w:sz w:val="17"/>
          <w:szCs w:val="17"/>
          <w:color w:val="auto"/>
        </w:rPr>
        <w:t>The Fund has evaluated subsequent events through the date of issuance and noted no other events that necessitate adjustments to or disclosure in the financial statements.</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15240</wp:posOffset>
            </wp:positionV>
            <wp:extent cx="482473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4824730"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59" w:name="page60"/>
    <w:bookmarkEnd w:id="59"/>
    <w:p>
      <w:pPr>
        <w:ind w:left="7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Price Range of Common Stock</w:t>
      </w:r>
    </w:p>
    <w:p>
      <w:pPr>
        <w:spacing w:after="0" w:line="138" w:lineRule="exact"/>
        <w:rPr>
          <w:sz w:val="20"/>
          <w:szCs w:val="20"/>
          <w:color w:val="auto"/>
        </w:rPr>
      </w:pPr>
    </w:p>
    <w:p>
      <w:pPr>
        <w:ind w:left="700" w:right="979" w:firstLine="405"/>
        <w:spacing w:after="0" w:line="258" w:lineRule="auto"/>
        <w:rPr>
          <w:sz w:val="20"/>
          <w:szCs w:val="20"/>
          <w:color w:val="auto"/>
        </w:rPr>
      </w:pPr>
      <w:r>
        <w:rPr>
          <w:rFonts w:ascii="Times New Roman" w:cs="Times New Roman" w:eastAsia="Times New Roman" w:hAnsi="Times New Roman"/>
          <w:sz w:val="17"/>
          <w:szCs w:val="17"/>
          <w:color w:val="auto"/>
        </w:rPr>
        <w:t>Our common stock is traded on the NASDAQ Global Select Market under the symbol “OXLC.” The following table sets forth, for each fiscal quarter during the last two fiscal years and the current fiscal year to date, the NAV per share of our common stock, the high and low intraday sales prices for our common stock, such sales prices as a percentage of NAV per share and quarterly distributions per share.</w:t>
      </w:r>
    </w:p>
    <w:p>
      <w:pPr>
        <w:spacing w:after="0" w:line="230" w:lineRule="exact"/>
        <w:rPr>
          <w:sz w:val="20"/>
          <w:szCs w:val="20"/>
          <w:color w:val="auto"/>
        </w:rPr>
      </w:pPr>
    </w:p>
    <w:tbl>
      <w:tblPr>
        <w:tblLayout w:type="fixed"/>
        <w:tblInd w:w="70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Premium/</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Premium/</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40"/>
              <w:spacing w:after="0" w:line="139" w:lineRule="exact"/>
              <w:rPr>
                <w:sz w:val="20"/>
                <w:szCs w:val="20"/>
                <w:color w:val="auto"/>
              </w:rPr>
            </w:pPr>
            <w:r>
              <w:rPr>
                <w:rFonts w:ascii="Times New Roman" w:cs="Times New Roman" w:eastAsia="Times New Roman" w:hAnsi="Times New Roman"/>
                <w:sz w:val="13"/>
                <w:szCs w:val="13"/>
                <w:b w:val="1"/>
                <w:bCs w:val="1"/>
                <w:color w:val="auto"/>
              </w:rPr>
              <w:t>(Discount)</w:t>
            </w:r>
          </w:p>
        </w:tc>
        <w:tc>
          <w:tcPr>
            <w:tcW w:w="9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(Discount)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Price Range</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of High</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of Low</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gridSpan w:val="2"/>
            <w:vMerge w:val="restart"/>
          </w:tcPr>
          <w:p>
            <w:pPr>
              <w:jc w:val="center"/>
              <w:ind w:right="120"/>
              <w:spacing w:after="0" w:line="113" w:lineRule="exact"/>
              <w:rPr>
                <w:sz w:val="20"/>
                <w:szCs w:val="20"/>
                <w:color w:val="auto"/>
              </w:rPr>
            </w:pPr>
            <w:r>
              <w:rPr>
                <w:rFonts w:ascii="Times New Roman" w:cs="Times New Roman" w:eastAsia="Times New Roman" w:hAnsi="Times New Roman"/>
                <w:sz w:val="13"/>
                <w:szCs w:val="13"/>
                <w:b w:val="1"/>
                <w:bCs w:val="1"/>
                <w:color w:val="auto"/>
              </w:rPr>
              <w:t>Sales Price</w:t>
            </w:r>
          </w:p>
        </w:tc>
        <w:tc>
          <w:tcPr>
            <w:tcW w:w="900" w:type="dxa"/>
            <w:vAlign w:val="bottom"/>
            <w:vMerge w:val="restart"/>
          </w:tcPr>
          <w:p>
            <w:pPr>
              <w:jc w:val="center"/>
              <w:spacing w:after="0" w:line="113" w:lineRule="exact"/>
              <w:rPr>
                <w:sz w:val="20"/>
                <w:szCs w:val="20"/>
                <w:color w:val="auto"/>
              </w:rPr>
            </w:pPr>
            <w:r>
              <w:rPr>
                <w:rFonts w:ascii="Times New Roman" w:cs="Times New Roman" w:eastAsia="Times New Roman" w:hAnsi="Times New Roman"/>
                <w:sz w:val="13"/>
                <w:szCs w:val="13"/>
                <w:b w:val="1"/>
                <w:bCs w:val="1"/>
                <w:color w:val="auto"/>
              </w:rPr>
              <w:t>Sales Price</w:t>
            </w: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vMerge w:val="restart"/>
          </w:tcPr>
          <w:p>
            <w:pPr>
              <w:jc w:val="right"/>
              <w:ind w:right="25"/>
              <w:spacing w:after="0" w:line="113" w:lineRule="exact"/>
              <w:rPr>
                <w:sz w:val="20"/>
                <w:szCs w:val="20"/>
                <w:color w:val="auto"/>
              </w:rPr>
            </w:pPr>
            <w:r>
              <w:rPr>
                <w:rFonts w:ascii="Times New Roman" w:cs="Times New Roman" w:eastAsia="Times New Roman" w:hAnsi="Times New Roman"/>
                <w:sz w:val="13"/>
                <w:szCs w:val="13"/>
                <w:b w:val="1"/>
                <w:bCs w:val="1"/>
                <w:color w:val="auto"/>
              </w:rPr>
              <w:t>Distributions</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90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ind w:right="145"/>
              <w:spacing w:after="0" w:line="229" w:lineRule="exact"/>
              <w:rPr>
                <w:sz w:val="20"/>
                <w:szCs w:val="20"/>
                <w:color w:val="auto"/>
              </w:rPr>
            </w:pPr>
            <w:r>
              <w:rPr>
                <w:rFonts w:ascii="Times New Roman" w:cs="Times New Roman" w:eastAsia="Times New Roman" w:hAnsi="Times New Roman"/>
                <w:sz w:val="13"/>
                <w:szCs w:val="13"/>
                <w:b w:val="1"/>
                <w:bCs w:val="1"/>
                <w:color w:val="auto"/>
              </w:rPr>
              <w:t>NAV</w:t>
            </w:r>
            <w:r>
              <w:rPr>
                <w:rFonts w:ascii="Times New Roman" w:cs="Times New Roman" w:eastAsia="Times New Roman" w:hAnsi="Times New Roman"/>
                <w:sz w:val="20"/>
                <w:szCs w:val="20"/>
                <w:b w:val="1"/>
                <w:bCs w:val="1"/>
                <w:color w:val="auto"/>
                <w:vertAlign w:val="superscript"/>
              </w:rPr>
              <w:t>(1)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High</w:t>
            </w:r>
          </w:p>
        </w:tc>
        <w:tc>
          <w:tcPr>
            <w:tcW w:w="180" w:type="dxa"/>
            <w:vAlign w:val="bottom"/>
          </w:tcPr>
          <w:p>
            <w:pPr>
              <w:spacing w:after="0"/>
              <w:rPr>
                <w:sz w:val="19"/>
                <w:szCs w:val="19"/>
                <w:color w:val="auto"/>
              </w:rPr>
            </w:pPr>
          </w:p>
        </w:tc>
        <w:tc>
          <w:tcPr>
            <w:tcW w:w="74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Low</w:t>
            </w:r>
          </w:p>
        </w:tc>
        <w:tc>
          <w:tcPr>
            <w:tcW w:w="940" w:type="dxa"/>
            <w:vAlign w:val="bottom"/>
            <w:gridSpan w:val="2"/>
          </w:tcPr>
          <w:p>
            <w:pPr>
              <w:jc w:val="center"/>
              <w:ind w:right="100"/>
              <w:spacing w:after="0" w:line="229" w:lineRule="exact"/>
              <w:rPr>
                <w:sz w:val="20"/>
                <w:szCs w:val="20"/>
                <w:color w:val="auto"/>
              </w:rPr>
            </w:pPr>
            <w:r>
              <w:rPr>
                <w:rFonts w:ascii="Times New Roman" w:cs="Times New Roman" w:eastAsia="Times New Roman" w:hAnsi="Times New Roman"/>
                <w:sz w:val="13"/>
                <w:szCs w:val="13"/>
                <w:b w:val="1"/>
                <w:bCs w:val="1"/>
                <w:color w:val="auto"/>
                <w:w w:val="89"/>
              </w:rPr>
              <w:t>to NAV</w:t>
            </w:r>
            <w:r>
              <w:rPr>
                <w:rFonts w:ascii="Times New Roman" w:cs="Times New Roman" w:eastAsia="Times New Roman" w:hAnsi="Times New Roman"/>
                <w:sz w:val="20"/>
                <w:szCs w:val="20"/>
                <w:b w:val="1"/>
                <w:bCs w:val="1"/>
                <w:color w:val="auto"/>
                <w:w w:val="89"/>
                <w:vertAlign w:val="superscript"/>
              </w:rPr>
              <w:t>(2)</w:t>
            </w:r>
          </w:p>
        </w:tc>
        <w:tc>
          <w:tcPr>
            <w:tcW w:w="900" w:type="dxa"/>
            <w:vAlign w:val="bottom"/>
          </w:tcPr>
          <w:p>
            <w:pPr>
              <w:jc w:val="center"/>
              <w:spacing w:after="0" w:line="229" w:lineRule="exact"/>
              <w:rPr>
                <w:sz w:val="20"/>
                <w:szCs w:val="20"/>
                <w:color w:val="auto"/>
              </w:rPr>
            </w:pPr>
            <w:r>
              <w:rPr>
                <w:rFonts w:ascii="Times New Roman" w:cs="Times New Roman" w:eastAsia="Times New Roman" w:hAnsi="Times New Roman"/>
                <w:sz w:val="13"/>
                <w:szCs w:val="13"/>
                <w:b w:val="1"/>
                <w:bCs w:val="1"/>
                <w:color w:val="auto"/>
                <w:w w:val="93"/>
              </w:rPr>
              <w:t>to NAV</w:t>
            </w:r>
            <w:r>
              <w:rPr>
                <w:rFonts w:ascii="Times New Roman" w:cs="Times New Roman" w:eastAsia="Times New Roman" w:hAnsi="Times New Roman"/>
                <w:sz w:val="20"/>
                <w:szCs w:val="20"/>
                <w:b w:val="1"/>
                <w:bCs w:val="1"/>
                <w:color w:val="auto"/>
                <w:w w:val="93"/>
                <w:vertAlign w:val="superscript"/>
              </w:rPr>
              <w:t>(2)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ind w:right="65"/>
              <w:spacing w:after="0" w:line="229" w:lineRule="exact"/>
              <w:rPr>
                <w:sz w:val="20"/>
                <w:szCs w:val="20"/>
                <w:color w:val="auto"/>
              </w:rPr>
            </w:pPr>
            <w:r>
              <w:rPr>
                <w:rFonts w:ascii="Times New Roman" w:cs="Times New Roman" w:eastAsia="Times New Roman" w:hAnsi="Times New Roman"/>
                <w:sz w:val="13"/>
                <w:szCs w:val="13"/>
                <w:b w:val="1"/>
                <w:bCs w:val="1"/>
                <w:color w:val="auto"/>
              </w:rPr>
              <w:t>Per Share</w:t>
            </w:r>
            <w:r>
              <w:rPr>
                <w:rFonts w:ascii="Times New Roman" w:cs="Times New Roman" w:eastAsia="Times New Roman" w:hAnsi="Times New Roman"/>
                <w:sz w:val="20"/>
                <w:szCs w:val="20"/>
                <w:b w:val="1"/>
                <w:bCs w:val="1"/>
                <w:color w:val="auto"/>
                <w:vertAlign w:val="superscript"/>
              </w:rPr>
              <w:t>(3)</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Fiscal 2023</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6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6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5"/>
                <w:szCs w:val="15"/>
                <w:color w:val="auto"/>
              </w:rPr>
              <w:t>Third Quarter (through</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66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October 28, 2022)</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gridSpan w:val="2"/>
            <w:vMerge w:val="continue"/>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5.54</w:t>
            </w:r>
          </w:p>
        </w:tc>
        <w:tc>
          <w:tcPr>
            <w:tcW w:w="10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4.85</w:t>
            </w:r>
          </w:p>
        </w:tc>
        <w:tc>
          <w:tcPr>
            <w:tcW w:w="84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90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0.225</w:t>
            </w:r>
          </w:p>
        </w:tc>
        <w:tc>
          <w:tcPr>
            <w:tcW w:w="0" w:type="dxa"/>
            <w:vAlign w:val="bottom"/>
          </w:tcPr>
          <w:p>
            <w:pPr>
              <w:spacing w:after="0"/>
              <w:rPr>
                <w:sz w:val="1"/>
                <w:szCs w:val="1"/>
                <w:color w:val="auto"/>
              </w:rPr>
            </w:pPr>
          </w:p>
        </w:tc>
      </w:tr>
      <w:tr>
        <w:trPr>
          <w:trHeight w:val="39"/>
        </w:trPr>
        <w:tc>
          <w:tcPr>
            <w:tcW w:w="1680" w:type="dxa"/>
            <w:vAlign w:val="bottom"/>
            <w:gridSpan w:val="2"/>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6"/>
        </w:trPr>
        <w:tc>
          <w:tcPr>
            <w:tcW w:w="20" w:type="dxa"/>
            <w:vAlign w:val="bottom"/>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Second Quarter</w:t>
            </w:r>
          </w:p>
        </w:tc>
        <w:tc>
          <w:tcPr>
            <w:tcW w:w="4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4.93</w:t>
            </w:r>
          </w:p>
        </w:tc>
        <w:tc>
          <w:tcPr>
            <w:tcW w:w="26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4.83</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0.225</w:t>
            </w:r>
          </w:p>
        </w:tc>
        <w:tc>
          <w:tcPr>
            <w:tcW w:w="0" w:type="dxa"/>
            <w:vAlign w:val="bottom"/>
          </w:tcPr>
          <w:p>
            <w:pPr>
              <w:spacing w:after="0"/>
              <w:rPr>
                <w:sz w:val="1"/>
                <w:szCs w:val="1"/>
                <w:color w:val="auto"/>
              </w:rPr>
            </w:pPr>
          </w:p>
        </w:tc>
      </w:tr>
      <w:tr>
        <w:trPr>
          <w:trHeight w:val="223"/>
        </w:trPr>
        <w:tc>
          <w:tcPr>
            <w:tcW w:w="16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First Quarter</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5.07</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7.32</w:t>
            </w:r>
          </w:p>
        </w:tc>
        <w:tc>
          <w:tcPr>
            <w:tcW w:w="1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5.49</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44.4%</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0.225</w:t>
            </w:r>
          </w:p>
        </w:tc>
        <w:tc>
          <w:tcPr>
            <w:tcW w:w="0" w:type="dxa"/>
            <w:vAlign w:val="bottom"/>
          </w:tcPr>
          <w:p>
            <w:pPr>
              <w:spacing w:after="0"/>
              <w:rPr>
                <w:sz w:val="1"/>
                <w:szCs w:val="1"/>
                <w:color w:val="auto"/>
              </w:rPr>
            </w:pPr>
          </w:p>
        </w:tc>
      </w:tr>
      <w:tr>
        <w:trPr>
          <w:trHeight w:val="43"/>
        </w:trPr>
        <w:tc>
          <w:tcPr>
            <w:tcW w:w="1680" w:type="dxa"/>
            <w:vAlign w:val="bottom"/>
            <w:gridSpan w:val="2"/>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6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Fiscal 2022</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
        </w:trPr>
        <w:tc>
          <w:tcPr>
            <w:tcW w:w="1680" w:type="dxa"/>
            <w:vAlign w:val="bottom"/>
            <w:gridSpan w:val="2"/>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Fourth Quarter</w:t>
            </w:r>
          </w:p>
        </w:tc>
        <w:tc>
          <w:tcPr>
            <w:tcW w:w="4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6.56</w:t>
            </w:r>
          </w:p>
        </w:tc>
        <w:tc>
          <w:tcPr>
            <w:tcW w:w="26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6.96</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0.225</w:t>
            </w:r>
          </w:p>
        </w:tc>
        <w:tc>
          <w:tcPr>
            <w:tcW w:w="0" w:type="dxa"/>
            <w:vAlign w:val="bottom"/>
          </w:tcPr>
          <w:p>
            <w:pPr>
              <w:spacing w:after="0"/>
              <w:rPr>
                <w:sz w:val="1"/>
                <w:szCs w:val="1"/>
                <w:color w:val="auto"/>
              </w:rPr>
            </w:pPr>
          </w:p>
        </w:tc>
      </w:tr>
      <w:tr>
        <w:trPr>
          <w:trHeight w:val="223"/>
        </w:trPr>
        <w:tc>
          <w:tcPr>
            <w:tcW w:w="16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Third Quarter</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6.93</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8.53</w:t>
            </w:r>
          </w:p>
        </w:tc>
        <w:tc>
          <w:tcPr>
            <w:tcW w:w="1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7.21</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23.1%</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0.203</w:t>
            </w:r>
          </w:p>
        </w:tc>
        <w:tc>
          <w:tcPr>
            <w:tcW w:w="0" w:type="dxa"/>
            <w:vAlign w:val="bottom"/>
          </w:tcPr>
          <w:p>
            <w:pPr>
              <w:spacing w:after="0"/>
              <w:rPr>
                <w:sz w:val="1"/>
                <w:szCs w:val="1"/>
                <w:color w:val="auto"/>
              </w:rPr>
            </w:pPr>
          </w:p>
        </w:tc>
      </w:tr>
      <w:tr>
        <w:trPr>
          <w:trHeight w:val="43"/>
        </w:trPr>
        <w:tc>
          <w:tcPr>
            <w:tcW w:w="1680" w:type="dxa"/>
            <w:vAlign w:val="bottom"/>
            <w:gridSpan w:val="2"/>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Second Quarter</w:t>
            </w:r>
          </w:p>
        </w:tc>
        <w:tc>
          <w:tcPr>
            <w:tcW w:w="4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6.97</w:t>
            </w:r>
          </w:p>
        </w:tc>
        <w:tc>
          <w:tcPr>
            <w:tcW w:w="26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6.86</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0.203</w:t>
            </w:r>
          </w:p>
        </w:tc>
        <w:tc>
          <w:tcPr>
            <w:tcW w:w="0" w:type="dxa"/>
            <w:vAlign w:val="bottom"/>
          </w:tcPr>
          <w:p>
            <w:pPr>
              <w:spacing w:after="0"/>
              <w:rPr>
                <w:sz w:val="1"/>
                <w:szCs w:val="1"/>
                <w:color w:val="auto"/>
              </w:rPr>
            </w:pPr>
          </w:p>
        </w:tc>
      </w:tr>
      <w:tr>
        <w:trPr>
          <w:trHeight w:val="223"/>
        </w:trPr>
        <w:tc>
          <w:tcPr>
            <w:tcW w:w="16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First Quarter</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6.56</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7.88</w:t>
            </w:r>
          </w:p>
        </w:tc>
        <w:tc>
          <w:tcPr>
            <w:tcW w:w="1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6.22</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20.1%</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0.203</w:t>
            </w:r>
          </w:p>
        </w:tc>
        <w:tc>
          <w:tcPr>
            <w:tcW w:w="0" w:type="dxa"/>
            <w:vAlign w:val="bottom"/>
          </w:tcPr>
          <w:p>
            <w:pPr>
              <w:spacing w:after="0"/>
              <w:rPr>
                <w:sz w:val="1"/>
                <w:szCs w:val="1"/>
                <w:color w:val="auto"/>
              </w:rPr>
            </w:pPr>
          </w:p>
        </w:tc>
      </w:tr>
      <w:tr>
        <w:trPr>
          <w:trHeight w:val="43"/>
        </w:trPr>
        <w:tc>
          <w:tcPr>
            <w:tcW w:w="1680" w:type="dxa"/>
            <w:vAlign w:val="bottom"/>
            <w:gridSpan w:val="2"/>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6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Fiscal 2021</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
        </w:trPr>
        <w:tc>
          <w:tcPr>
            <w:tcW w:w="1680" w:type="dxa"/>
            <w:vAlign w:val="bottom"/>
            <w:gridSpan w:val="2"/>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Fourth Quarter</w:t>
            </w:r>
          </w:p>
        </w:tc>
        <w:tc>
          <w:tcPr>
            <w:tcW w:w="4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5.94</w:t>
            </w:r>
          </w:p>
        </w:tc>
        <w:tc>
          <w:tcPr>
            <w:tcW w:w="26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5.24</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0.203</w:t>
            </w:r>
          </w:p>
        </w:tc>
        <w:tc>
          <w:tcPr>
            <w:tcW w:w="0" w:type="dxa"/>
            <w:vAlign w:val="bottom"/>
          </w:tcPr>
          <w:p>
            <w:pPr>
              <w:spacing w:after="0"/>
              <w:rPr>
                <w:sz w:val="1"/>
                <w:szCs w:val="1"/>
                <w:color w:val="auto"/>
              </w:rPr>
            </w:pPr>
          </w:p>
        </w:tc>
      </w:tr>
      <w:tr>
        <w:trPr>
          <w:trHeight w:val="223"/>
        </w:trPr>
        <w:tc>
          <w:tcPr>
            <w:tcW w:w="16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Third Quarter</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5.44</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6.07</w:t>
            </w:r>
          </w:p>
        </w:tc>
        <w:tc>
          <w:tcPr>
            <w:tcW w:w="1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4.21</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11.6%</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(22.6)%</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0.203</w:t>
            </w:r>
          </w:p>
        </w:tc>
        <w:tc>
          <w:tcPr>
            <w:tcW w:w="0" w:type="dxa"/>
            <w:vAlign w:val="bottom"/>
          </w:tcPr>
          <w:p>
            <w:pPr>
              <w:spacing w:after="0"/>
              <w:rPr>
                <w:sz w:val="1"/>
                <w:szCs w:val="1"/>
                <w:color w:val="auto"/>
              </w:rPr>
            </w:pPr>
          </w:p>
        </w:tc>
      </w:tr>
      <w:tr>
        <w:trPr>
          <w:trHeight w:val="43"/>
        </w:trPr>
        <w:tc>
          <w:tcPr>
            <w:tcW w:w="1680" w:type="dxa"/>
            <w:vAlign w:val="bottom"/>
            <w:gridSpan w:val="2"/>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Second Quarter</w:t>
            </w:r>
          </w:p>
        </w:tc>
        <w:tc>
          <w:tcPr>
            <w:tcW w:w="4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3.88</w:t>
            </w:r>
          </w:p>
        </w:tc>
        <w:tc>
          <w:tcPr>
            <w:tcW w:w="26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3.95</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0.203</w:t>
            </w:r>
          </w:p>
        </w:tc>
        <w:tc>
          <w:tcPr>
            <w:tcW w:w="0" w:type="dxa"/>
            <w:vAlign w:val="bottom"/>
          </w:tcPr>
          <w:p>
            <w:pPr>
              <w:spacing w:after="0"/>
              <w:rPr>
                <w:sz w:val="1"/>
                <w:szCs w:val="1"/>
                <w:color w:val="auto"/>
              </w:rPr>
            </w:pPr>
          </w:p>
        </w:tc>
      </w:tr>
      <w:tr>
        <w:trPr>
          <w:trHeight w:val="223"/>
        </w:trPr>
        <w:tc>
          <w:tcPr>
            <w:tcW w:w="16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First Quarter</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3.23</w:t>
            </w: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6.25</w:t>
            </w:r>
          </w:p>
        </w:tc>
        <w:tc>
          <w:tcPr>
            <w:tcW w:w="1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2.50</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93.5%</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(22.6)%</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0.405</w:t>
            </w:r>
          </w:p>
        </w:tc>
        <w:tc>
          <w:tcPr>
            <w:tcW w:w="0" w:type="dxa"/>
            <w:vAlign w:val="bottom"/>
          </w:tcPr>
          <w:p>
            <w:pPr>
              <w:spacing w:after="0"/>
              <w:rPr>
                <w:sz w:val="1"/>
                <w:szCs w:val="1"/>
                <w:color w:val="auto"/>
              </w:rPr>
            </w:pPr>
          </w:p>
        </w:tc>
      </w:tr>
      <w:tr>
        <w:trPr>
          <w:trHeight w:val="279"/>
        </w:trPr>
        <w:tc>
          <w:tcPr>
            <w:tcW w:w="16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____________</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1120" w:right="719" w:hanging="415"/>
        <w:spacing w:after="0" w:line="267" w:lineRule="auto"/>
        <w:tabs>
          <w:tab w:leader="none" w:pos="112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Net asset value per share is determined as of the last day in the relevant quarter and therefore may not reflect the net asset value per share on the date of the high and low sales prices. The net asset values shown are based on outstanding shares at the end of each period.</w:t>
      </w:r>
    </w:p>
    <w:p>
      <w:pPr>
        <w:spacing w:after="0" w:line="1" w:lineRule="exact"/>
        <w:rPr>
          <w:rFonts w:ascii="Times New Roman" w:cs="Times New Roman" w:eastAsia="Times New Roman" w:hAnsi="Times New Roman"/>
          <w:sz w:val="15"/>
          <w:szCs w:val="15"/>
          <w:color w:val="auto"/>
        </w:rPr>
      </w:pPr>
    </w:p>
    <w:p>
      <w:pPr>
        <w:ind w:left="1120" w:hanging="415"/>
        <w:spacing w:after="0"/>
        <w:tabs>
          <w:tab w:leader="none" w:pos="112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Calculated as the respective high or low intraday sales price divided by NAV and subtracting 1.</w:t>
      </w:r>
    </w:p>
    <w:p>
      <w:pPr>
        <w:spacing w:after="0" w:line="17" w:lineRule="exact"/>
        <w:rPr>
          <w:rFonts w:ascii="Times New Roman" w:cs="Times New Roman" w:eastAsia="Times New Roman" w:hAnsi="Times New Roman"/>
          <w:sz w:val="15"/>
          <w:szCs w:val="15"/>
          <w:color w:val="auto"/>
        </w:rPr>
      </w:pPr>
    </w:p>
    <w:p>
      <w:pPr>
        <w:ind w:left="1120" w:hanging="415"/>
        <w:spacing w:after="0"/>
        <w:tabs>
          <w:tab w:leader="none" w:pos="112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the cash distributions, including dividends, dividends reinvested and returns of capital, if any, per share</w:t>
      </w:r>
    </w:p>
    <w:p>
      <w:pPr>
        <w:spacing w:after="0" w:line="1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5"/>
          <w:szCs w:val="15"/>
          <w:color w:val="auto"/>
        </w:rPr>
        <w:t>that we have declared on our common stock in the specified quarter.</w:t>
      </w:r>
    </w:p>
    <w:p>
      <w:pPr>
        <w:spacing w:after="0" w:line="17" w:lineRule="exact"/>
        <w:rPr>
          <w:sz w:val="20"/>
          <w:szCs w:val="20"/>
          <w:color w:val="auto"/>
        </w:rPr>
      </w:pPr>
    </w:p>
    <w:p>
      <w:pPr>
        <w:ind w:left="1080" w:hanging="375"/>
        <w:spacing w:after="0"/>
        <w:tabs>
          <w:tab w:leader="none" w:pos="108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 determinable at the time of filing.</w:t>
      </w:r>
    </w:p>
    <w:p>
      <w:pPr>
        <w:spacing w:after="0" w:line="145" w:lineRule="exact"/>
        <w:rPr>
          <w:sz w:val="20"/>
          <w:szCs w:val="20"/>
          <w:color w:val="auto"/>
        </w:rPr>
      </w:pPr>
    </w:p>
    <w:p>
      <w:pPr>
        <w:ind w:left="700" w:right="1239" w:firstLine="405"/>
        <w:spacing w:after="0" w:line="276" w:lineRule="auto"/>
        <w:rPr>
          <w:sz w:val="20"/>
          <w:szCs w:val="20"/>
          <w:color w:val="auto"/>
        </w:rPr>
      </w:pPr>
      <w:r>
        <w:rPr>
          <w:rFonts w:ascii="Times New Roman" w:cs="Times New Roman" w:eastAsia="Times New Roman" w:hAnsi="Times New Roman"/>
          <w:sz w:val="17"/>
          <w:szCs w:val="17"/>
          <w:color w:val="auto"/>
        </w:rPr>
        <w:t>On October 28, 2022, the last reported sales price of our common stock was $5.39 per share. As of October 28, 2022, we had 113 holders of record of our common stock.</w:t>
      </w:r>
    </w:p>
    <w:p>
      <w:pPr>
        <w:spacing w:after="0" w:line="95" w:lineRule="exact"/>
        <w:rPr>
          <w:sz w:val="20"/>
          <w:szCs w:val="20"/>
          <w:color w:val="auto"/>
        </w:rPr>
      </w:pPr>
    </w:p>
    <w:p>
      <w:pPr>
        <w:ind w:left="700" w:right="799" w:firstLine="405"/>
        <w:spacing w:after="0" w:line="252" w:lineRule="auto"/>
        <w:rPr>
          <w:sz w:val="20"/>
          <w:szCs w:val="20"/>
          <w:color w:val="auto"/>
        </w:rPr>
      </w:pPr>
      <w:r>
        <w:rPr>
          <w:rFonts w:ascii="Times New Roman" w:cs="Times New Roman" w:eastAsia="Times New Roman" w:hAnsi="Times New Roman"/>
          <w:sz w:val="17"/>
          <w:szCs w:val="17"/>
          <w:color w:val="auto"/>
        </w:rPr>
        <w:t>Shares of closed-end management investment companies may trade at a market price that is less than the value of the net assets attributable to those shares. The possibility that our shares of common stock will trade at a discount from net asset value or at premiums that are unsustainable over the long term are separate and distinct from the risk that our net asset value will decrease. Since our initial public offering, shares of our common stock have traded at a discount and at a premium to the net assets attributable to those shares. As of October 28, 2022, our shares of common stock traded at a discount equal to approximately 9.33% of our net asset value per share as of September 30, 2022. It is not possible to predict whether the shares offered hereby will trade at, above, or below net asset value.</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15240</wp:posOffset>
            </wp:positionV>
            <wp:extent cx="482473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4824730"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60" w:name="page61"/>
    <w:bookmarkEnd w:id="60"/>
    <w:p>
      <w:pPr>
        <w:ind w:left="7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DISTRIBUTION REINVESTMENT PLAN</w:t>
      </w:r>
    </w:p>
    <w:p>
      <w:pPr>
        <w:spacing w:after="0" w:line="138" w:lineRule="exact"/>
        <w:rPr>
          <w:sz w:val="20"/>
          <w:szCs w:val="20"/>
          <w:color w:val="auto"/>
        </w:rPr>
      </w:pPr>
    </w:p>
    <w:p>
      <w:pPr>
        <w:ind w:left="700" w:right="719" w:firstLine="405"/>
        <w:spacing w:after="0" w:line="255" w:lineRule="auto"/>
        <w:rPr>
          <w:sz w:val="20"/>
          <w:szCs w:val="20"/>
          <w:color w:val="auto"/>
        </w:rPr>
      </w:pPr>
      <w:r>
        <w:rPr>
          <w:rFonts w:ascii="Times New Roman" w:cs="Times New Roman" w:eastAsia="Times New Roman" w:hAnsi="Times New Roman"/>
          <w:sz w:val="17"/>
          <w:szCs w:val="17"/>
          <w:color w:val="auto"/>
        </w:rPr>
        <w:t>We have adopted a distribution reinvestment plan that provides for reinvestment of our distributions on behalf of our stockholders, unless a stockholder elects to receive cash as provided below. As a result, if our Board of Directors authorizes, and we declare, a cash distribution, our stockholders who have not opted out of our distribution reinvestment plan will have their cash distributions automatically reinvested in additional shares of our common stock, rather than receiving the cash distributions.</w:t>
      </w:r>
    </w:p>
    <w:p>
      <w:pPr>
        <w:spacing w:after="0" w:line="114" w:lineRule="exact"/>
        <w:rPr>
          <w:sz w:val="20"/>
          <w:szCs w:val="20"/>
          <w:color w:val="auto"/>
        </w:rPr>
      </w:pPr>
    </w:p>
    <w:p>
      <w:pPr>
        <w:ind w:left="700" w:right="859" w:firstLine="405"/>
        <w:spacing w:after="0" w:line="269" w:lineRule="auto"/>
        <w:rPr>
          <w:sz w:val="20"/>
          <w:szCs w:val="20"/>
          <w:color w:val="auto"/>
        </w:rPr>
      </w:pPr>
      <w:r>
        <w:rPr>
          <w:rFonts w:ascii="Times New Roman" w:cs="Times New Roman" w:eastAsia="Times New Roman" w:hAnsi="Times New Roman"/>
          <w:sz w:val="16"/>
          <w:szCs w:val="16"/>
          <w:color w:val="auto"/>
        </w:rPr>
        <w:t>No action will be required on the part of a registered stockholder to have his cash distribution reinvested in shares of our common stock. A registered stockholder may elect to receive an entire distribution in cash by notifying Computershare Trust Company, N.A., the plan administrator and our transfer agent and registrar, by telephone, through the Internet or in writing so that such notice is received by the plan administrator no later than the record date for distributions to stockholders. The plan administrator will set up an account for shares acquired through the plan for each stockholder who has not elected to receive distributions in cash and hold such shares in non-certificated form. Upon request by a stockholder participating in the plan, received by telephone, through the Internet or writing prior to the record date, the plan administrator will, instead of crediting shares to the participant’s account, issue a certificate registered in the participant’s name for the number of whole shares of our common stock and a check for any fractional share, less any applicable fees.</w:t>
      </w:r>
    </w:p>
    <w:p>
      <w:pPr>
        <w:spacing w:after="0" w:line="103" w:lineRule="exact"/>
        <w:rPr>
          <w:sz w:val="20"/>
          <w:szCs w:val="20"/>
          <w:color w:val="auto"/>
        </w:rPr>
      </w:pPr>
    </w:p>
    <w:p>
      <w:pPr>
        <w:ind w:left="700" w:right="1299" w:firstLine="405"/>
        <w:spacing w:after="0" w:line="276" w:lineRule="auto"/>
        <w:rPr>
          <w:sz w:val="20"/>
          <w:szCs w:val="20"/>
          <w:color w:val="auto"/>
        </w:rPr>
      </w:pPr>
      <w:r>
        <w:rPr>
          <w:rFonts w:ascii="Times New Roman" w:cs="Times New Roman" w:eastAsia="Times New Roman" w:hAnsi="Times New Roman"/>
          <w:sz w:val="17"/>
          <w:szCs w:val="17"/>
          <w:color w:val="auto"/>
        </w:rPr>
        <w:t>Those stockholders whose shares are held by a broker or other financial intermediary may receive distributions in cash by notifying their broker or other financial intermediary of their election.</w:t>
      </w:r>
    </w:p>
    <w:p>
      <w:pPr>
        <w:spacing w:after="0" w:line="82" w:lineRule="exact"/>
        <w:rPr>
          <w:sz w:val="20"/>
          <w:szCs w:val="20"/>
          <w:color w:val="auto"/>
        </w:rPr>
      </w:pPr>
    </w:p>
    <w:p>
      <w:pPr>
        <w:ind w:left="700" w:right="779" w:firstLine="405"/>
        <w:spacing w:after="0" w:line="250" w:lineRule="auto"/>
        <w:rPr>
          <w:sz w:val="20"/>
          <w:szCs w:val="20"/>
          <w:color w:val="auto"/>
        </w:rPr>
      </w:pPr>
      <w:r>
        <w:rPr>
          <w:rFonts w:ascii="Times New Roman" w:cs="Times New Roman" w:eastAsia="Times New Roman" w:hAnsi="Times New Roman"/>
          <w:sz w:val="17"/>
          <w:szCs w:val="17"/>
          <w:color w:val="auto"/>
        </w:rPr>
        <w:t>We expect to use primarily newly-issued shares to implement the plan, whether our shares are trading at a premium or at a discount to net asset value. Under such circumstances, the number of shares to be issued to a stockholder is determined by dividing the total dollar amount of the distribution payable to such stockholder by an amount equal to ninety-five (95%) percent of the market price per share of our common stock at the close of regular trading on the Nasdaq Global Select Market on the valuation date fixed by our Board of Directors for such distribution. Market price per share on that date will be the closing price for such shares on the Nasdaq Global Select Market or, if no sale is reported for such day, at the average of their electronically reported bid and asked prices. We reserve the right to purchase shares in the open market in connection with our implementation of the plan. Shares purchased in open market transactions by the plan administrator will be allocated to a stockholder based on the average purchase price, excluding any brokerage charges or other charges, of all shares of common stock purchased in the open market. The number of shares of our common stock to be outstanding after giving effect to payment of the distribution cannot be established until the value per share at which additional shares will be issued has been determined and elections of our stockholders have been tabulated.</w:t>
      </w:r>
    </w:p>
    <w:p>
      <w:pPr>
        <w:spacing w:after="0" w:line="125" w:lineRule="exact"/>
        <w:rPr>
          <w:sz w:val="20"/>
          <w:szCs w:val="20"/>
          <w:color w:val="auto"/>
        </w:rPr>
      </w:pPr>
    </w:p>
    <w:p>
      <w:pPr>
        <w:ind w:left="700" w:right="739" w:firstLine="405"/>
        <w:spacing w:after="0" w:line="253" w:lineRule="auto"/>
        <w:rPr>
          <w:sz w:val="20"/>
          <w:szCs w:val="20"/>
          <w:color w:val="auto"/>
        </w:rPr>
      </w:pPr>
      <w:r>
        <w:rPr>
          <w:rFonts w:ascii="Times New Roman" w:cs="Times New Roman" w:eastAsia="Times New Roman" w:hAnsi="Times New Roman"/>
          <w:sz w:val="17"/>
          <w:szCs w:val="17"/>
          <w:color w:val="auto"/>
        </w:rPr>
        <w:t>There is no charge to stockholders for receiving their distributions in the form of additional shares of our common stock. Any transaction fees, brokerage charges, plan administrator’s fees or any other charges for handling distributions in stock are paid by us. There are no brokerage charges with respect to shares we have issued directly as a result of distributions payable in stock. If a participant elects by telephonic, Internet or written notice to the plan administrator to have the plan administrator sell part or all of the shares held by the plan administrator in the participant’s account and remit the proceeds to the participant, the plan administrator is authorized to deduct a $2.50 transaction fee plus brokerage charges from the proceeds.</w:t>
      </w:r>
    </w:p>
    <w:p>
      <w:pPr>
        <w:spacing w:after="0" w:line="115" w:lineRule="exact"/>
        <w:rPr>
          <w:sz w:val="20"/>
          <w:szCs w:val="20"/>
          <w:color w:val="auto"/>
        </w:rPr>
      </w:pPr>
    </w:p>
    <w:p>
      <w:pPr>
        <w:ind w:left="700" w:right="759" w:firstLine="405"/>
        <w:spacing w:after="0" w:line="255" w:lineRule="auto"/>
        <w:rPr>
          <w:sz w:val="20"/>
          <w:szCs w:val="20"/>
          <w:color w:val="auto"/>
        </w:rPr>
      </w:pPr>
      <w:r>
        <w:rPr>
          <w:rFonts w:ascii="Times New Roman" w:cs="Times New Roman" w:eastAsia="Times New Roman" w:hAnsi="Times New Roman"/>
          <w:sz w:val="17"/>
          <w:szCs w:val="17"/>
          <w:color w:val="auto"/>
        </w:rPr>
        <w:t>Stockholders who receive distributions in the form of stock are subject to the same federal, state and local tax consequences as are stockholders who elect to receive their distributions in cash. The amount of the distribution for U.S. federal income tax purposes will be equal to the fair market value of the stock received. A stockholder’s basis for determining gain or loss upon the sale of stock received in a distribution from us will be equal to the amount treated as a distribution for U.S. federal income tax purposes.</w:t>
      </w:r>
    </w:p>
    <w:p>
      <w:pPr>
        <w:spacing w:after="0" w:line="101" w:lineRule="exact"/>
        <w:rPr>
          <w:sz w:val="20"/>
          <w:szCs w:val="20"/>
          <w:color w:val="auto"/>
        </w:rPr>
      </w:pPr>
    </w:p>
    <w:p>
      <w:pPr>
        <w:ind w:left="700" w:right="839" w:firstLine="405"/>
        <w:spacing w:after="0" w:line="255" w:lineRule="auto"/>
        <w:rPr>
          <w:sz w:val="20"/>
          <w:szCs w:val="20"/>
          <w:color w:val="auto"/>
        </w:rPr>
      </w:pPr>
      <w:r>
        <w:rPr>
          <w:rFonts w:ascii="Times New Roman" w:cs="Times New Roman" w:eastAsia="Times New Roman" w:hAnsi="Times New Roman"/>
          <w:sz w:val="17"/>
          <w:szCs w:val="17"/>
          <w:color w:val="auto"/>
        </w:rPr>
        <w:t xml:space="preserve">The plan may be terminated by us upon notice in writing mailed to each participant at least 30 days prior to any record date for the payment of any dividend or distribution by us. All correspondence concerning the plan should be directed to the plan administrator as follows: through the Internet at </w:t>
      </w:r>
      <w:r>
        <w:rPr>
          <w:rFonts w:ascii="Times New Roman" w:cs="Times New Roman" w:eastAsia="Times New Roman" w:hAnsi="Times New Roman"/>
          <w:sz w:val="17"/>
          <w:szCs w:val="17"/>
          <w:i w:val="1"/>
          <w:iCs w:val="1"/>
          <w:color w:val="auto"/>
        </w:rPr>
        <w:t>www.computershare.com/investor</w:t>
      </w:r>
      <w:r>
        <w:rPr>
          <w:rFonts w:ascii="Times New Roman" w:cs="Times New Roman" w:eastAsia="Times New Roman" w:hAnsi="Times New Roman"/>
          <w:sz w:val="17"/>
          <w:szCs w:val="17"/>
          <w:color w:val="auto"/>
        </w:rPr>
        <w:t>, telephone number is 1-800-426-5523 and written correspondence can be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mailed to Computershare Trust Company, N.A., P.O. Box 30170, College Station, TX 77845.</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15240</wp:posOffset>
            </wp:positionV>
            <wp:extent cx="482473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4824730"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61" w:name="page62"/>
    <w:bookmarkEnd w:id="61"/>
    <w:p>
      <w:pPr>
        <w:ind w:left="7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MANAGEMENT</w:t>
      </w:r>
    </w:p>
    <w:p>
      <w:pPr>
        <w:spacing w:after="0" w:line="138" w:lineRule="exact"/>
        <w:rPr>
          <w:sz w:val="20"/>
          <w:szCs w:val="20"/>
          <w:color w:val="auto"/>
        </w:rPr>
      </w:pPr>
    </w:p>
    <w:p>
      <w:pPr>
        <w:ind w:left="700" w:right="899" w:firstLine="405"/>
        <w:spacing w:after="0" w:line="274" w:lineRule="auto"/>
        <w:rPr>
          <w:sz w:val="20"/>
          <w:szCs w:val="20"/>
          <w:color w:val="auto"/>
        </w:rPr>
      </w:pPr>
      <w:r>
        <w:rPr>
          <w:rFonts w:ascii="Times New Roman" w:cs="Times New Roman" w:eastAsia="Times New Roman" w:hAnsi="Times New Roman"/>
          <w:sz w:val="16"/>
          <w:szCs w:val="16"/>
          <w:color w:val="auto"/>
        </w:rPr>
        <w:t>Our Board of Directors oversees our management. The Board of Directors currently consists of five members, three of whom are not “interested persons” of Oxford Lane Capital Corp. as defined in Section 2(a)</w:t>
      </w:r>
    </w:p>
    <w:p>
      <w:pPr>
        <w:spacing w:after="0" w:line="1" w:lineRule="exact"/>
        <w:rPr>
          <w:sz w:val="20"/>
          <w:szCs w:val="20"/>
          <w:color w:val="auto"/>
        </w:rPr>
      </w:pPr>
    </w:p>
    <w:p>
      <w:pPr>
        <w:ind w:left="700" w:right="759" w:firstLine="5"/>
        <w:spacing w:after="0" w:line="250" w:lineRule="auto"/>
        <w:tabs>
          <w:tab w:leader="none" w:pos="1023"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the 1940 Act. We refer to these individuals as our independent directors. Our Board of Directors elects our officers, who serve at the discretion of the Board of Directors. The responsibilities of each director will include, among other things, the oversight of our investment activity, the quarterly valuation of our assets, and oversight of our financing arrangements. The Board of Directors has also established an Audit Committee and a Valuation Committee and may establish additional committees in the future.</w:t>
      </w:r>
    </w:p>
    <w:p>
      <w:pPr>
        <w:spacing w:after="0" w:line="118" w:lineRule="exact"/>
        <w:rPr>
          <w:sz w:val="20"/>
          <w:szCs w:val="20"/>
          <w:color w:val="auto"/>
        </w:rPr>
      </w:pPr>
    </w:p>
    <w:p>
      <w:pPr>
        <w:ind w:left="700" w:right="719" w:firstLine="405"/>
        <w:spacing w:after="0" w:line="262" w:lineRule="auto"/>
        <w:rPr>
          <w:sz w:val="20"/>
          <w:szCs w:val="20"/>
          <w:color w:val="auto"/>
        </w:rPr>
      </w:pPr>
      <w:r>
        <w:rPr>
          <w:rFonts w:ascii="Times New Roman" w:cs="Times New Roman" w:eastAsia="Times New Roman" w:hAnsi="Times New Roman"/>
          <w:sz w:val="17"/>
          <w:szCs w:val="17"/>
          <w:color w:val="auto"/>
        </w:rPr>
        <w:t xml:space="preserve">Our directors and officers and their principal occupations during the past five years are set forth below. Our prospectus includes additional information about our directors and is available without charge, upon request by calling (203) 983-5275, or on the Commission’s website at </w:t>
      </w:r>
      <w:r>
        <w:rPr>
          <w:rFonts w:ascii="Times New Roman" w:cs="Times New Roman" w:eastAsia="Times New Roman" w:hAnsi="Times New Roman"/>
          <w:sz w:val="17"/>
          <w:szCs w:val="17"/>
          <w:i w:val="1"/>
          <w:iCs w:val="1"/>
          <w:color w:val="auto"/>
        </w:rPr>
        <w:t>http://www.sec.gov</w:t>
      </w:r>
      <w:r>
        <w:rPr>
          <w:rFonts w:ascii="Times New Roman" w:cs="Times New Roman" w:eastAsia="Times New Roman" w:hAnsi="Times New Roman"/>
          <w:sz w:val="17"/>
          <w:szCs w:val="17"/>
          <w:color w:val="auto"/>
        </w:rPr>
        <w:t>.</w:t>
      </w:r>
    </w:p>
    <w:p>
      <w:pPr>
        <w:spacing w:after="0" w:line="16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Board of Directors and Executive Officers</w:t>
      </w:r>
    </w:p>
    <w:p>
      <w:pPr>
        <w:spacing w:after="0" w:line="21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i w:val="1"/>
          <w:iCs w:val="1"/>
          <w:color w:val="auto"/>
        </w:rPr>
        <w:t>Directors</w:t>
      </w:r>
    </w:p>
    <w:p>
      <w:pPr>
        <w:spacing w:after="0" w:line="15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7"/>
          <w:szCs w:val="17"/>
          <w:color w:val="auto"/>
        </w:rPr>
        <w:t>Information regarding the Board of Directors is as follows:</w:t>
      </w:r>
    </w:p>
    <w:p>
      <w:pPr>
        <w:spacing w:after="0" w:line="172" w:lineRule="exact"/>
        <w:rPr>
          <w:sz w:val="20"/>
          <w:szCs w:val="20"/>
          <w:color w:val="auto"/>
        </w:rPr>
      </w:pPr>
    </w:p>
    <w:tbl>
      <w:tblPr>
        <w:tblLayout w:type="fixed"/>
        <w:tblInd w:w="70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9"/>
              </w:rPr>
              <w:t>Director</w:t>
            </w:r>
          </w:p>
        </w:tc>
        <w:tc>
          <w:tcPr>
            <w:tcW w:w="10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Expiration of</w:t>
            </w:r>
          </w:p>
        </w:tc>
        <w:tc>
          <w:tcPr>
            <w:tcW w:w="0" w:type="dxa"/>
            <w:vAlign w:val="bottom"/>
          </w:tcPr>
          <w:p>
            <w:pPr>
              <w:spacing w:after="0"/>
              <w:rPr>
                <w:sz w:val="1"/>
                <w:szCs w:val="1"/>
                <w:color w:val="auto"/>
              </w:rPr>
            </w:pPr>
          </w:p>
        </w:tc>
      </w:tr>
      <w:tr>
        <w:trPr>
          <w:trHeight w:val="201"/>
        </w:trPr>
        <w:tc>
          <w:tcPr>
            <w:tcW w:w="168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Name</w:t>
            </w:r>
          </w:p>
        </w:tc>
        <w:tc>
          <w:tcPr>
            <w:tcW w:w="10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Age</w:t>
            </w:r>
          </w:p>
        </w:tc>
        <w:tc>
          <w:tcPr>
            <w:tcW w:w="80" w:type="dxa"/>
            <w:vAlign w:val="bottom"/>
          </w:tcPr>
          <w:p>
            <w:pPr>
              <w:spacing w:after="0"/>
              <w:rPr>
                <w:sz w:val="17"/>
                <w:szCs w:val="17"/>
                <w:color w:val="auto"/>
              </w:rPr>
            </w:pPr>
          </w:p>
        </w:tc>
        <w:tc>
          <w:tcPr>
            <w:tcW w:w="2640" w:type="dxa"/>
            <w:vAlign w:val="bottom"/>
            <w:gridSpan w:val="2"/>
          </w:tcPr>
          <w:p>
            <w:pPr>
              <w:ind w:left="1020"/>
              <w:spacing w:after="0"/>
              <w:rPr>
                <w:sz w:val="20"/>
                <w:szCs w:val="20"/>
                <w:color w:val="auto"/>
              </w:rPr>
            </w:pPr>
            <w:r>
              <w:rPr>
                <w:rFonts w:ascii="Times New Roman" w:cs="Times New Roman" w:eastAsia="Times New Roman" w:hAnsi="Times New Roman"/>
                <w:sz w:val="15"/>
                <w:szCs w:val="15"/>
                <w:b w:val="1"/>
                <w:bCs w:val="1"/>
                <w:color w:val="auto"/>
              </w:rPr>
              <w:t>Position</w:t>
            </w: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9"/>
              </w:rPr>
              <w:t>Since</w:t>
            </w:r>
          </w:p>
        </w:tc>
        <w:tc>
          <w:tcPr>
            <w:tcW w:w="10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Term</w:t>
            </w: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Interested Directors</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Jonathan H. Cohen</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57</w:t>
            </w:r>
          </w:p>
        </w:tc>
        <w:tc>
          <w:tcPr>
            <w:tcW w:w="27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Chief Executive Officer and Director</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2010</w:t>
            </w:r>
          </w:p>
        </w:tc>
        <w:tc>
          <w:tcPr>
            <w:tcW w:w="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2025</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25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20" w:type="dxa"/>
            <w:vAlign w:val="bottom"/>
            <w:vMerge w:val="continue"/>
          </w:tcPr>
          <w:p>
            <w:pPr>
              <w:spacing w:after="0"/>
              <w:rPr>
                <w:sz w:val="21"/>
                <w:szCs w:val="21"/>
                <w:color w:val="auto"/>
              </w:rPr>
            </w:pPr>
          </w:p>
        </w:tc>
        <w:tc>
          <w:tcPr>
            <w:tcW w:w="1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Saul B. Rosenthal</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54</w:t>
            </w:r>
          </w:p>
        </w:tc>
        <w:tc>
          <w:tcPr>
            <w:tcW w:w="272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President and Director</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2010</w:t>
            </w: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2024</w:t>
            </w:r>
          </w:p>
        </w:tc>
        <w:tc>
          <w:tcPr>
            <w:tcW w:w="0" w:type="dxa"/>
            <w:vAlign w:val="bottom"/>
          </w:tcPr>
          <w:p>
            <w:pPr>
              <w:spacing w:after="0"/>
              <w:rPr>
                <w:sz w:val="1"/>
                <w:szCs w:val="1"/>
                <w:color w:val="auto"/>
              </w:rPr>
            </w:pPr>
          </w:p>
        </w:tc>
      </w:tr>
      <w:tr>
        <w:trPr>
          <w:trHeight w:val="266"/>
        </w:trPr>
        <w:tc>
          <w:tcPr>
            <w:tcW w:w="20" w:type="dxa"/>
            <w:vAlign w:val="bottom"/>
            <w:vMerge w:val="restart"/>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166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7"/>
                <w:szCs w:val="17"/>
                <w:b w:val="1"/>
                <w:bCs w:val="1"/>
                <w:color w:val="auto"/>
              </w:rPr>
              <w:t>Independent</w:t>
            </w: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6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Directors</w:t>
            </w:r>
          </w:p>
        </w:tc>
        <w:tc>
          <w:tcPr>
            <w:tcW w:w="10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Mark J. Ashenfelter</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63</w:t>
            </w:r>
          </w:p>
        </w:tc>
        <w:tc>
          <w:tcPr>
            <w:tcW w:w="27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Chairman of the Board of Directors</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2010</w:t>
            </w:r>
          </w:p>
        </w:tc>
        <w:tc>
          <w:tcPr>
            <w:tcW w:w="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2025</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0" w:type="dxa"/>
            <w:vAlign w:val="bottom"/>
          </w:tcPr>
          <w:p>
            <w:pPr>
              <w:spacing w:after="0"/>
              <w:rPr>
                <w:sz w:val="4"/>
                <w:szCs w:val="4"/>
                <w:color w:val="auto"/>
              </w:rPr>
            </w:pPr>
          </w:p>
        </w:tc>
        <w:tc>
          <w:tcPr>
            <w:tcW w:w="25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20" w:type="dxa"/>
            <w:vAlign w:val="bottom"/>
            <w:vMerge w:val="continue"/>
          </w:tcPr>
          <w:p>
            <w:pPr>
              <w:spacing w:after="0"/>
              <w:rPr>
                <w:sz w:val="21"/>
                <w:szCs w:val="21"/>
                <w:color w:val="auto"/>
              </w:rPr>
            </w:pPr>
          </w:p>
        </w:tc>
        <w:tc>
          <w:tcPr>
            <w:tcW w:w="1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John Reardon</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56</w:t>
            </w:r>
          </w:p>
        </w:tc>
        <w:tc>
          <w:tcPr>
            <w:tcW w:w="272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Director</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2010</w:t>
            </w: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2023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David S. Shin</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54</w:t>
            </w:r>
          </w:p>
        </w:tc>
        <w:tc>
          <w:tcPr>
            <w:tcW w:w="27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Director</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2010</w:t>
            </w:r>
          </w:p>
        </w:tc>
        <w:tc>
          <w:tcPr>
            <w:tcW w:w="8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2024</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700" w:right="879" w:firstLine="405"/>
        <w:spacing w:after="0" w:line="276" w:lineRule="auto"/>
        <w:rPr>
          <w:sz w:val="20"/>
          <w:szCs w:val="20"/>
          <w:color w:val="auto"/>
        </w:rPr>
      </w:pPr>
      <w:r>
        <w:rPr>
          <w:rFonts w:ascii="Times New Roman" w:cs="Times New Roman" w:eastAsia="Times New Roman" w:hAnsi="Times New Roman"/>
          <w:sz w:val="17"/>
          <w:szCs w:val="17"/>
          <w:color w:val="auto"/>
        </w:rPr>
        <w:t>The address for each of our directors is c/o Oxford Lane Capital Corp., 8 Sound Shore Drive, Suite 255, Greenwich, CT 06830.</w:t>
      </w:r>
    </w:p>
    <w:p>
      <w:pPr>
        <w:spacing w:after="0" w:line="15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i w:val="1"/>
          <w:iCs w:val="1"/>
          <w:color w:val="auto"/>
        </w:rPr>
        <w:t>Executive Officers Who Are Not Directors</w:t>
      </w:r>
    </w:p>
    <w:p>
      <w:pPr>
        <w:spacing w:after="0" w:line="227" w:lineRule="exact"/>
        <w:rPr>
          <w:sz w:val="20"/>
          <w:szCs w:val="20"/>
          <w:color w:val="auto"/>
        </w:rPr>
      </w:pPr>
    </w:p>
    <w:tbl>
      <w:tblPr>
        <w:tblLayout w:type="fixed"/>
        <w:tblInd w:w="700" w:type="dxa"/>
        <w:tblCellMar>
          <w:top w:w="0" w:type="dxa"/>
          <w:left w:w="0" w:type="dxa"/>
          <w:bottom w:w="0" w:type="dxa"/>
          <w:right w:w="0" w:type="dxa"/>
        </w:tblCellMar>
      </w:tblPr>
      <w:tr>
        <w:trPr>
          <w:trHeight w:val="201"/>
        </w:trPr>
        <w:tc>
          <w:tcPr>
            <w:tcW w:w="166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Name</w:t>
            </w:r>
          </w:p>
        </w:tc>
        <w:tc>
          <w:tcPr>
            <w:tcW w:w="10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Age</w:t>
            </w:r>
          </w:p>
        </w:tc>
        <w:tc>
          <w:tcPr>
            <w:tcW w:w="100" w:type="dxa"/>
            <w:vAlign w:val="bottom"/>
          </w:tcPr>
          <w:p>
            <w:pPr>
              <w:spacing w:after="0"/>
              <w:rPr>
                <w:sz w:val="17"/>
                <w:szCs w:val="17"/>
                <w:color w:val="auto"/>
              </w:rPr>
            </w:pPr>
          </w:p>
        </w:tc>
        <w:tc>
          <w:tcPr>
            <w:tcW w:w="4780" w:type="dxa"/>
            <w:vAlign w:val="bottom"/>
          </w:tcPr>
          <w:p>
            <w:pPr>
              <w:ind w:left="2120"/>
              <w:spacing w:after="0"/>
              <w:rPr>
                <w:sz w:val="20"/>
                <w:szCs w:val="20"/>
                <w:color w:val="auto"/>
              </w:rPr>
            </w:pPr>
            <w:r>
              <w:rPr>
                <w:rFonts w:ascii="Times New Roman" w:cs="Times New Roman" w:eastAsia="Times New Roman" w:hAnsi="Times New Roman"/>
                <w:sz w:val="15"/>
                <w:szCs w:val="15"/>
                <w:b w:val="1"/>
                <w:bCs w:val="1"/>
                <w:color w:val="auto"/>
              </w:rPr>
              <w:t>Position</w:t>
            </w:r>
          </w:p>
        </w:tc>
      </w:tr>
      <w:tr>
        <w:trPr>
          <w:trHeight w:val="43"/>
        </w:trPr>
        <w:tc>
          <w:tcPr>
            <w:tcW w:w="2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780" w:type="dxa"/>
            <w:vAlign w:val="bottom"/>
            <w:tcBorders>
              <w:bottom w:val="single" w:sz="8" w:color="auto"/>
            </w:tcBorders>
          </w:tcPr>
          <w:p>
            <w:pPr>
              <w:spacing w:after="0"/>
              <w:rPr>
                <w:sz w:val="3"/>
                <w:szCs w:val="3"/>
                <w:color w:val="auto"/>
              </w:rPr>
            </w:pPr>
          </w:p>
        </w:tc>
      </w:tr>
      <w:tr>
        <w:trPr>
          <w:trHeight w:val="226"/>
        </w:trPr>
        <w:tc>
          <w:tcPr>
            <w:tcW w:w="20" w:type="dxa"/>
            <w:vAlign w:val="bottom"/>
          </w:tcPr>
          <w:p>
            <w:pPr>
              <w:spacing w:after="0"/>
              <w:rPr>
                <w:sz w:val="19"/>
                <w:szCs w:val="19"/>
                <w:color w:val="auto"/>
              </w:rPr>
            </w:pPr>
          </w:p>
        </w:tc>
        <w:tc>
          <w:tcPr>
            <w:tcW w:w="1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Bruce L. Rubin</w:t>
            </w:r>
          </w:p>
        </w:tc>
        <w:tc>
          <w:tcPr>
            <w:tcW w:w="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62</w:t>
            </w:r>
          </w:p>
        </w:tc>
        <w:tc>
          <w:tcPr>
            <w:tcW w:w="100" w:type="dxa"/>
            <w:vAlign w:val="bottom"/>
            <w:tcBorders>
              <w:bottom w:val="single" w:sz="8" w:color="CCEEFF"/>
            </w:tcBorders>
            <w:shd w:val="clear" w:color="auto" w:fill="CCEEFF"/>
          </w:tcPr>
          <w:p>
            <w:pPr>
              <w:spacing w:after="0"/>
              <w:rPr>
                <w:sz w:val="19"/>
                <w:szCs w:val="19"/>
                <w:color w:val="auto"/>
              </w:rPr>
            </w:pPr>
          </w:p>
        </w:tc>
        <w:tc>
          <w:tcPr>
            <w:tcW w:w="4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Chief Financial Officer, Treasurer and Corporate Secretary</w:t>
            </w:r>
          </w:p>
        </w:tc>
      </w:tr>
      <w:tr>
        <w:trPr>
          <w:trHeight w:val="218"/>
        </w:trPr>
        <w:tc>
          <w:tcPr>
            <w:tcW w:w="20" w:type="dxa"/>
            <w:vAlign w:val="bottom"/>
          </w:tcPr>
          <w:p>
            <w:pPr>
              <w:spacing w:after="0"/>
              <w:rPr>
                <w:sz w:val="18"/>
                <w:szCs w:val="18"/>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Gerald Cummins</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67</w:t>
            </w:r>
          </w:p>
        </w:tc>
        <w:tc>
          <w:tcPr>
            <w:tcW w:w="48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Chief Compliance Officer</w:t>
            </w:r>
          </w:p>
        </w:tc>
      </w:tr>
    </w:tbl>
    <w:p>
      <w:pPr>
        <w:spacing w:after="0" w:line="23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Biographical Information</w:t>
      </w:r>
    </w:p>
    <w:p>
      <w:pPr>
        <w:spacing w:after="0" w:line="21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i w:val="1"/>
          <w:iCs w:val="1"/>
          <w:color w:val="auto"/>
        </w:rPr>
        <w:t>Directors</w:t>
      </w:r>
    </w:p>
    <w:p>
      <w:pPr>
        <w:spacing w:after="0" w:line="138" w:lineRule="exact"/>
        <w:rPr>
          <w:sz w:val="20"/>
          <w:szCs w:val="20"/>
          <w:color w:val="auto"/>
        </w:rPr>
      </w:pPr>
    </w:p>
    <w:p>
      <w:pPr>
        <w:ind w:left="700" w:right="1019" w:firstLine="405"/>
        <w:spacing w:after="0" w:line="276" w:lineRule="auto"/>
        <w:rPr>
          <w:sz w:val="20"/>
          <w:szCs w:val="20"/>
          <w:color w:val="auto"/>
        </w:rPr>
      </w:pPr>
      <w:r>
        <w:rPr>
          <w:rFonts w:ascii="Times New Roman" w:cs="Times New Roman" w:eastAsia="Times New Roman" w:hAnsi="Times New Roman"/>
          <w:sz w:val="17"/>
          <w:szCs w:val="17"/>
          <w:color w:val="auto"/>
        </w:rPr>
        <w:t>Our directors have been divided into two groups — interested directors and independent directors. An interested director is an “interested person” as defined in Section 2(a)(19) of the 1940 Act.</w:t>
      </w:r>
    </w:p>
    <w:p>
      <w:pPr>
        <w:spacing w:after="0" w:line="15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Interested Directors</w:t>
      </w:r>
    </w:p>
    <w:p>
      <w:pPr>
        <w:spacing w:after="0" w:line="146" w:lineRule="exact"/>
        <w:rPr>
          <w:sz w:val="20"/>
          <w:szCs w:val="20"/>
          <w:color w:val="auto"/>
        </w:rPr>
      </w:pPr>
    </w:p>
    <w:p>
      <w:pPr>
        <w:jc w:val="both"/>
        <w:ind w:left="700" w:right="739" w:firstLine="405"/>
        <w:spacing w:after="0" w:line="259" w:lineRule="auto"/>
        <w:rPr>
          <w:sz w:val="20"/>
          <w:szCs w:val="20"/>
          <w:color w:val="auto"/>
        </w:rPr>
      </w:pPr>
      <w:r>
        <w:rPr>
          <w:rFonts w:ascii="Times New Roman" w:cs="Times New Roman" w:eastAsia="Times New Roman" w:hAnsi="Times New Roman"/>
          <w:sz w:val="17"/>
          <w:szCs w:val="17"/>
          <w:i w:val="1"/>
          <w:iCs w:val="1"/>
          <w:color w:val="auto"/>
        </w:rPr>
        <w:t>Messrs. Cohen and Rosenthal are “interested persons” of Oxford Lane Capital as defined in the 1940 Act due to their positions as Chief Executive Officer and President, respectively, of Oxford Lane Capital and Oxford Lane Management, Oxford Lane Capital’s investment adviser, and as the managing member and non-managing member, respectively, of Oxford Funds, the administrator for Oxford Lane Capital.</w:t>
      </w:r>
    </w:p>
    <w:p>
      <w:pPr>
        <w:spacing w:after="0" w:line="106" w:lineRule="exact"/>
        <w:rPr>
          <w:sz w:val="20"/>
          <w:szCs w:val="20"/>
          <w:color w:val="auto"/>
        </w:rPr>
      </w:pPr>
    </w:p>
    <w:p>
      <w:pPr>
        <w:ind w:left="700" w:right="739" w:firstLine="405"/>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 xml:space="preserve">Jonathan H. Cohen </w:t>
      </w:r>
      <w:r>
        <w:rPr>
          <w:rFonts w:ascii="Times New Roman" w:cs="Times New Roman" w:eastAsia="Times New Roman" w:hAnsi="Times New Roman"/>
          <w:sz w:val="17"/>
          <w:szCs w:val="17"/>
          <w:color w:val="auto"/>
        </w:rPr>
        <w:t>has served as Chief Executive Officer of both Oxford Lane Capital Corp. and Oxford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Lane Management since 2010. Mr. Cohen has also served since 2003 as Chief Executive Officer of both Oxford Square Capital Corp. (NasdaqGS: OXSQ), a publicly traded business development company, and Oxford Square Management, LLC, Oxford Square Capital Corp.’s investment adviser, and as the managing member of Oxford Funds. Since 2018, Mr. Cohen has also served as the Chief Executive Officer of Oxford Gate Management, LLC,</w:t>
      </w:r>
    </w:p>
    <w:p>
      <w:pPr>
        <w:sectPr>
          <w:pgSz w:w="11900" w:h="16838" w:orient="portrait"/>
          <w:cols w:equalWidth="0" w:num="1">
            <w:col w:w="9019"/>
          </w:cols>
          <w:pgMar w:left="1440" w:top="262" w:right="1440" w:bottom="1440" w:gutter="0" w:footer="0" w:header="0"/>
        </w:sectPr>
      </w:pP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22225</wp:posOffset>
            </wp:positionV>
            <wp:extent cx="482473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4824730"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type w:val="continuous"/>
        </w:sectPr>
      </w:pPr>
    </w:p>
    <w:bookmarkStart w:id="62" w:name="page63"/>
    <w:bookmarkEnd w:id="62"/>
    <w:p>
      <w:pPr>
        <w:ind w:left="7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34" w:lineRule="exact"/>
        <w:rPr>
          <w:sz w:val="20"/>
          <w:szCs w:val="20"/>
          <w:color w:val="auto"/>
        </w:rPr>
      </w:pPr>
    </w:p>
    <w:p>
      <w:pPr>
        <w:ind w:left="700" w:right="799"/>
        <w:spacing w:after="0" w:line="252" w:lineRule="auto"/>
        <w:rPr>
          <w:sz w:val="20"/>
          <w:szCs w:val="20"/>
          <w:color w:val="auto"/>
        </w:rPr>
      </w:pPr>
      <w:r>
        <w:rPr>
          <w:rFonts w:ascii="Times New Roman" w:cs="Times New Roman" w:eastAsia="Times New Roman" w:hAnsi="Times New Roman"/>
          <w:sz w:val="17"/>
          <w:szCs w:val="17"/>
          <w:color w:val="auto"/>
        </w:rPr>
        <w:t>or “Oxford Gate Management,” the investment adviser to Oxford Gate Master Fund, LLC, Oxford Gate, LLC and Oxford Gate (Bermuda), LLC (collectively, the “Oxford Gate Funds”), and Oxford Bridge II, LLC. Oxford Bridge II, LLC and the Oxford Gate Funds are private investment funds. Mr. Cohen is also a member of the Board of Directors of Oxford Square Capital Corp. Previously, Mr. Cohen managed technology equity research groups at Wit Capital, Merrill Lynch, UBS and Smith Barney. Mr. Cohen received a B.A. in Economics from Connecticut College and an M.B.A. from Columbia University. Mr. Cohen’s depth of experience in managerial positions in investment management, securities research and financial services, as well as his intimate knowledge of our business and operations, gives our Board of Directors valuable industry-specific knowledge and expertise on these and other matters.</w:t>
      </w:r>
    </w:p>
    <w:p>
      <w:pPr>
        <w:spacing w:after="0" w:line="112" w:lineRule="exact"/>
        <w:rPr>
          <w:sz w:val="20"/>
          <w:szCs w:val="20"/>
          <w:color w:val="auto"/>
        </w:rPr>
      </w:pPr>
    </w:p>
    <w:p>
      <w:pPr>
        <w:ind w:left="700" w:right="759" w:firstLine="405"/>
        <w:spacing w:after="0" w:line="253" w:lineRule="auto"/>
        <w:rPr>
          <w:sz w:val="20"/>
          <w:szCs w:val="20"/>
          <w:color w:val="auto"/>
        </w:rPr>
      </w:pPr>
      <w:r>
        <w:rPr>
          <w:rFonts w:ascii="Times New Roman" w:cs="Times New Roman" w:eastAsia="Times New Roman" w:hAnsi="Times New Roman"/>
          <w:sz w:val="17"/>
          <w:szCs w:val="17"/>
          <w:b w:val="1"/>
          <w:bCs w:val="1"/>
          <w:i w:val="1"/>
          <w:iCs w:val="1"/>
          <w:color w:val="auto"/>
        </w:rPr>
        <w:t xml:space="preserve">Saul B. Rosenthal </w:t>
      </w:r>
      <w:r>
        <w:rPr>
          <w:rFonts w:ascii="Times New Roman" w:cs="Times New Roman" w:eastAsia="Times New Roman" w:hAnsi="Times New Roman"/>
          <w:sz w:val="17"/>
          <w:szCs w:val="17"/>
          <w:color w:val="auto"/>
        </w:rPr>
        <w:t>has served as President of both Oxford Lane Capital Corp. and Oxford Lane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Management since 2010. Mr. Rosenthal has also served as President since 2004 of Oxford Square Capital Corp. (NasdaqGS: OXSQ), a publicly traded business development company. Mr. Rosenthal has also served as President of Oxford Gate Management, the investment adviser to the Oxford Gate Funds, and Oxford Bridge II, LLC, since 2018. Mr. Rosenthal was previously an attorney at the law firm of Shearman &amp; Sterling</w:t>
      </w:r>
    </w:p>
    <w:p>
      <w:pPr>
        <w:spacing w:after="0" w:line="3" w:lineRule="exact"/>
        <w:rPr>
          <w:sz w:val="20"/>
          <w:szCs w:val="20"/>
          <w:color w:val="auto"/>
        </w:rPr>
      </w:pPr>
    </w:p>
    <w:p>
      <w:pPr>
        <w:ind w:left="700" w:right="759"/>
        <w:spacing w:after="0" w:line="250" w:lineRule="auto"/>
        <w:rPr>
          <w:sz w:val="20"/>
          <w:szCs w:val="20"/>
          <w:color w:val="auto"/>
        </w:rPr>
      </w:pPr>
      <w:r>
        <w:rPr>
          <w:rFonts w:ascii="Times New Roman" w:cs="Times New Roman" w:eastAsia="Times New Roman" w:hAnsi="Times New Roman"/>
          <w:sz w:val="17"/>
          <w:szCs w:val="17"/>
          <w:color w:val="auto"/>
        </w:rPr>
        <w:t>LLP. Mr. Rosenthal serves on the board of the National Museum of Mathematics. Mr. Rosenthal received a B.S., magna cum laude, from the Wharton School of the University of Pennsylvania, a J.D. from Columbia University Law School, where he was a Harlan Fiske Stone Scholar, and a LL.M. (Taxation) from New York University School of Law. Mr. Rosenthal’s depth of experience in managerial positions in investment management, as well as his intimate knowledge of our business and operations, gives the Board of Directors the valuable perspective of a knowledgeable corporate leader.</w:t>
      </w:r>
    </w:p>
    <w:p>
      <w:pPr>
        <w:spacing w:after="0" w:line="17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Independent Directors</w:t>
      </w:r>
    </w:p>
    <w:p>
      <w:pPr>
        <w:spacing w:after="0" w:line="21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7"/>
          <w:szCs w:val="17"/>
          <w:i w:val="1"/>
          <w:iCs w:val="1"/>
          <w:color w:val="auto"/>
        </w:rPr>
        <w:t>The following directors are not “interested persons” of Oxford Lane Capital, as defined in the 1940 Act.</w:t>
      </w:r>
    </w:p>
    <w:p>
      <w:pPr>
        <w:spacing w:after="0" w:line="146" w:lineRule="exact"/>
        <w:rPr>
          <w:sz w:val="20"/>
          <w:szCs w:val="20"/>
          <w:color w:val="auto"/>
        </w:rPr>
      </w:pPr>
    </w:p>
    <w:p>
      <w:pPr>
        <w:ind w:left="700" w:right="759" w:firstLine="405"/>
        <w:spacing w:after="0" w:line="253" w:lineRule="auto"/>
        <w:rPr>
          <w:sz w:val="20"/>
          <w:szCs w:val="20"/>
          <w:color w:val="auto"/>
        </w:rPr>
      </w:pPr>
      <w:r>
        <w:rPr>
          <w:rFonts w:ascii="Times New Roman" w:cs="Times New Roman" w:eastAsia="Times New Roman" w:hAnsi="Times New Roman"/>
          <w:sz w:val="17"/>
          <w:szCs w:val="17"/>
          <w:b w:val="1"/>
          <w:bCs w:val="1"/>
          <w:i w:val="1"/>
          <w:iCs w:val="1"/>
          <w:color w:val="auto"/>
        </w:rPr>
        <w:t xml:space="preserve">Mark J. Ashenfelter </w:t>
      </w:r>
      <w:r>
        <w:rPr>
          <w:rFonts w:ascii="Times New Roman" w:cs="Times New Roman" w:eastAsia="Times New Roman" w:hAnsi="Times New Roman"/>
          <w:sz w:val="17"/>
          <w:szCs w:val="17"/>
          <w:color w:val="auto"/>
        </w:rPr>
        <w:t>presently serves as a Senior Vice President and the General Counsel of Haebler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Capital, a private investment company located in Greenwich, CT. Prior to joining Haebler Capital in 1994, Mr. Ashenfelter was an associate at Cravath, Swaine &amp; Moore from 1985 to 1992 and Cadwalader, Wickersham &amp; Taft from 1992 to 1994. Mr. Ashenfelter received a B.A., cum laude, from Harvard University, a J.D., magna cum laude, from New York Law School, where he was Managing Editor of the Law Review, and a LL.M. (Taxation) from New York University School of Law. Mr. Ashenfelter’s extensive corporate legal experience, particularly in connection with investment companies, provides our Board of Directors with valuable insight and perspective.</w:t>
      </w:r>
    </w:p>
    <w:p>
      <w:pPr>
        <w:spacing w:after="0" w:line="99" w:lineRule="exact"/>
        <w:rPr>
          <w:sz w:val="20"/>
          <w:szCs w:val="20"/>
          <w:color w:val="auto"/>
        </w:rPr>
      </w:pPr>
    </w:p>
    <w:p>
      <w:pPr>
        <w:jc w:val="both"/>
        <w:ind w:left="700" w:right="799" w:firstLine="405"/>
        <w:spacing w:after="0" w:line="272" w:lineRule="auto"/>
        <w:rPr>
          <w:sz w:val="20"/>
          <w:szCs w:val="20"/>
          <w:color w:val="auto"/>
        </w:rPr>
      </w:pPr>
      <w:r>
        <w:rPr>
          <w:rFonts w:ascii="Times New Roman" w:cs="Times New Roman" w:eastAsia="Times New Roman" w:hAnsi="Times New Roman"/>
          <w:sz w:val="16"/>
          <w:szCs w:val="16"/>
          <w:b w:val="1"/>
          <w:bCs w:val="1"/>
          <w:i w:val="1"/>
          <w:iCs w:val="1"/>
          <w:color w:val="auto"/>
        </w:rPr>
        <w:t xml:space="preserve">John Reardon </w:t>
      </w:r>
      <w:r>
        <w:rPr>
          <w:rFonts w:ascii="Times New Roman" w:cs="Times New Roman" w:eastAsia="Times New Roman" w:hAnsi="Times New Roman"/>
          <w:sz w:val="16"/>
          <w:szCs w:val="16"/>
          <w:color w:val="auto"/>
        </w:rPr>
        <w:t>is the founder of Reardon Consulting, LLP, a consulting firm that specializes in corporate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strategy and business development for technology companies. Mr. Reardon also serves as a Board Member and Audit Committee Member for Schurz Communications, Inc., a leading privately-held broadband provider.</w:t>
      </w:r>
    </w:p>
    <w:p>
      <w:pPr>
        <w:spacing w:after="0" w:line="2" w:lineRule="exact"/>
        <w:rPr>
          <w:sz w:val="20"/>
          <w:szCs w:val="20"/>
          <w:color w:val="auto"/>
        </w:rPr>
      </w:pPr>
    </w:p>
    <w:p>
      <w:pPr>
        <w:ind w:left="700" w:right="759"/>
        <w:spacing w:after="0" w:line="267" w:lineRule="auto"/>
        <w:rPr>
          <w:sz w:val="20"/>
          <w:szCs w:val="20"/>
          <w:color w:val="auto"/>
        </w:rPr>
      </w:pPr>
      <w:r>
        <w:rPr>
          <w:rFonts w:ascii="Times New Roman" w:cs="Times New Roman" w:eastAsia="Times New Roman" w:hAnsi="Times New Roman"/>
          <w:sz w:val="16"/>
          <w:szCs w:val="16"/>
          <w:color w:val="auto"/>
        </w:rPr>
        <w:t>Mr. Reardon is Of Counsel with Kutak Rock, LLP where he advises broadband companies on corporate and regulatory matters. Mr. Reardon served from 2019 until 2021 as the Director of Business Strategy, Smart Cities, for American Infrastructure Partners, LP, an infrastructure fund based in Foster City, California. Mr. Reardon previously was the Managing Director of Choctaw Telecom LLC. In addition, Mr. Reardon served as Chief Executive Officer, General Counsel, and a member of the Board of Directors of Mobex Communications, Inc. from 1997 until 2005. Mr. Reardon began his career in telecom law at the boutique Washington, DC firm of Keller and Heckman, LLP. Mr. Reardon received a Bachelor of Arts degree, summa cum laude, from Boston University, and earned his J.D. from Columbia Law School. Mr. Reardon’s extensive experience as a senior corporate executive provides our Board of Directors the perspective of a knowledgeable corporate leader.</w:t>
      </w:r>
    </w:p>
    <w:p>
      <w:pPr>
        <w:spacing w:after="0" w:line="101" w:lineRule="exact"/>
        <w:rPr>
          <w:sz w:val="20"/>
          <w:szCs w:val="20"/>
          <w:color w:val="auto"/>
        </w:rPr>
      </w:pPr>
    </w:p>
    <w:p>
      <w:pPr>
        <w:ind w:left="700" w:right="719" w:firstLine="405"/>
        <w:spacing w:after="0" w:line="251" w:lineRule="auto"/>
        <w:rPr>
          <w:sz w:val="20"/>
          <w:szCs w:val="20"/>
          <w:color w:val="auto"/>
        </w:rPr>
      </w:pPr>
      <w:r>
        <w:rPr>
          <w:rFonts w:ascii="Times New Roman" w:cs="Times New Roman" w:eastAsia="Times New Roman" w:hAnsi="Times New Roman"/>
          <w:sz w:val="17"/>
          <w:szCs w:val="17"/>
          <w:b w:val="1"/>
          <w:bCs w:val="1"/>
          <w:i w:val="1"/>
          <w:iCs w:val="1"/>
          <w:color w:val="auto"/>
        </w:rPr>
        <w:t xml:space="preserve">David S. Shin </w:t>
      </w:r>
      <w:r>
        <w:rPr>
          <w:rFonts w:ascii="Times New Roman" w:cs="Times New Roman" w:eastAsia="Times New Roman" w:hAnsi="Times New Roman"/>
          <w:sz w:val="17"/>
          <w:szCs w:val="17"/>
          <w:color w:val="auto"/>
        </w:rPr>
        <w:t>presently is the Head of Capital Markets for Amergin Asset Management, an asset manager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specializing in transportation assets. From April 2021 to July 2022, Mr. Shin was an external consultant to Apollo Investment Consulting where he was senior advisor to the board of a portfolio company. Prior to this, Mr. Shin served as the Head of Business Development for the Infinity Transportation division of Global Atlantic Financial Group from 2016 to March 2021 and, from January 2016 to November 2016, he was an asset management consultant to Innovatus Capital Partners, the manager of certain assets of Perella Weinberg Partners, a financial services firm. From 2011 to 2016, Mr. Shin was an asset management professional at Perella Weinberg Partners. From 2010 to 2011, Mr. Shin served as a Managing Director at Bentley Associates, an investment banking firm. Prior to joining Bentley Associates, Mr. Shin worked in the Global Real Estate Investment Banking Group at Deutsche Bank Securities from 2005 to 2008, and in the Real Estate &amp; Lodging Group of Citigroup Global Markets from 2004 to 2005. Prior to that, Mr. Shin worked for William Street Advisors, LLC, a boutique financial advisory firm affiliated</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15240</wp:posOffset>
            </wp:positionV>
            <wp:extent cx="482473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4824730"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63" w:name="page64"/>
    <w:bookmarkEnd w:id="63"/>
    <w:p>
      <w:pPr>
        <w:ind w:left="7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34" w:lineRule="exact"/>
        <w:rPr>
          <w:sz w:val="20"/>
          <w:szCs w:val="20"/>
          <w:color w:val="auto"/>
        </w:rPr>
      </w:pPr>
    </w:p>
    <w:p>
      <w:pPr>
        <w:ind w:left="700" w:right="779"/>
        <w:spacing w:after="0" w:line="252" w:lineRule="auto"/>
        <w:rPr>
          <w:sz w:val="20"/>
          <w:szCs w:val="20"/>
          <w:color w:val="auto"/>
        </w:rPr>
      </w:pPr>
      <w:r>
        <w:rPr>
          <w:rFonts w:ascii="Times New Roman" w:cs="Times New Roman" w:eastAsia="Times New Roman" w:hAnsi="Times New Roman"/>
          <w:sz w:val="17"/>
          <w:szCs w:val="17"/>
          <w:color w:val="auto"/>
        </w:rPr>
        <w:t>with Saratoga Management Company, from 2002 to 2004. After receiving his J.D. in 1995, Mr. Shin was a member of the Healthcare Group of Dean Witter Reynolds from 1995 to 1996, and was subsequently a member of the Mergers &amp; Acquisitions Group of Merrill Lynch &amp; Co. from 1996 to 2002. Mr. Shin started his career as a CPA in the Corporate Tax Department of KPMG Peat Marwick’s Financial Institutions Group, where he served from 1990 to 1992, before attending law school. Mr. Shin received a B.S., magna cum laude, from The Wharton School at the University of Pennsylvania and a J.D. from Columbia Law School. Mr. Shin’s extensive experience in investment banking provides the Board of Directors with valuable insights of an experienced and diligent financial professional, as well as a diverse perspective.</w:t>
      </w:r>
    </w:p>
    <w:p>
      <w:pPr>
        <w:spacing w:after="0" w:line="17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i w:val="1"/>
          <w:iCs w:val="1"/>
          <w:color w:val="auto"/>
        </w:rPr>
        <w:t>Executive Officers Who Are Not Directors</w:t>
      </w:r>
    </w:p>
    <w:p>
      <w:pPr>
        <w:spacing w:after="0" w:line="146" w:lineRule="exact"/>
        <w:rPr>
          <w:sz w:val="20"/>
          <w:szCs w:val="20"/>
          <w:color w:val="auto"/>
        </w:rPr>
      </w:pPr>
    </w:p>
    <w:p>
      <w:pPr>
        <w:ind w:left="700" w:right="759" w:firstLine="405"/>
        <w:spacing w:after="0" w:line="251" w:lineRule="auto"/>
        <w:rPr>
          <w:sz w:val="20"/>
          <w:szCs w:val="20"/>
          <w:color w:val="auto"/>
        </w:rPr>
      </w:pPr>
      <w:r>
        <w:rPr>
          <w:rFonts w:ascii="Times New Roman" w:cs="Times New Roman" w:eastAsia="Times New Roman" w:hAnsi="Times New Roman"/>
          <w:sz w:val="17"/>
          <w:szCs w:val="17"/>
          <w:b w:val="1"/>
          <w:bCs w:val="1"/>
          <w:i w:val="1"/>
          <w:iCs w:val="1"/>
          <w:color w:val="auto"/>
        </w:rPr>
        <w:t xml:space="preserve">Bruce L. Rubin </w:t>
      </w:r>
      <w:r>
        <w:rPr>
          <w:rFonts w:ascii="Times New Roman" w:cs="Times New Roman" w:eastAsia="Times New Roman" w:hAnsi="Times New Roman"/>
          <w:sz w:val="17"/>
          <w:szCs w:val="17"/>
          <w:color w:val="auto"/>
        </w:rPr>
        <w:t>has served as our Chief Financial Officer and Corporate Secretary since August 2015,</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as our Treasurer and Controller since our initial public offering in 2011. Mr. Rubin has also served as Oxford Square Capital Corp.’s Controller since 2005, Oxford Square Capital Corp.’s Treasurer since 2009, and Oxford Square Capital Corp.’s Chief Financial Officer, Chief Accounting Officer and Corporate Secretary since August 2015. Mr. Rubin also currently serves as the Chief Financial Officer and Secretary of Oxford Lane Management, Oxford Square Management, LLC, Oxford Funds, and Oxford Gate Management, LLC. From 1995 to 2003 Mr. Rubin was the Assistant Treasurer &amp; Director of Financial Planning of the New York Mercantile Exchange, Inc., the largest physical commodities futures exchange in the world and has extensive experience with Sarbanes-Oxley, treasury operations and SEC reporting requirements. From 1989 to 1995, Mr. Rubin was a manager in financial operations for the American Stock Exchange, where he was primarily responsible for budgeting matters. Mr. Rubin began his career in commercial banking as an auditor primarily of the commercial lending and municipal bond dealer areas. Mr. Rubin received his BBA in Accounting from Hofstra University where he also obtained his M.B.A. in Finance.</w:t>
      </w:r>
    </w:p>
    <w:p>
      <w:pPr>
        <w:spacing w:after="0" w:line="116" w:lineRule="exact"/>
        <w:rPr>
          <w:sz w:val="20"/>
          <w:szCs w:val="20"/>
          <w:color w:val="auto"/>
        </w:rPr>
      </w:pPr>
    </w:p>
    <w:p>
      <w:pPr>
        <w:ind w:left="700" w:right="739" w:firstLine="405"/>
        <w:spacing w:after="0" w:line="251" w:lineRule="auto"/>
        <w:rPr>
          <w:sz w:val="20"/>
          <w:szCs w:val="20"/>
          <w:color w:val="auto"/>
        </w:rPr>
      </w:pPr>
      <w:r>
        <w:rPr>
          <w:rFonts w:ascii="Times New Roman" w:cs="Times New Roman" w:eastAsia="Times New Roman" w:hAnsi="Times New Roman"/>
          <w:sz w:val="17"/>
          <w:szCs w:val="17"/>
          <w:b w:val="1"/>
          <w:bCs w:val="1"/>
          <w:i w:val="1"/>
          <w:iCs w:val="1"/>
          <w:color w:val="auto"/>
        </w:rPr>
        <w:t xml:space="preserve">Gerald Cummins </w:t>
      </w:r>
      <w:r>
        <w:rPr>
          <w:rFonts w:ascii="Times New Roman" w:cs="Times New Roman" w:eastAsia="Times New Roman" w:hAnsi="Times New Roman"/>
          <w:sz w:val="17"/>
          <w:szCs w:val="17"/>
          <w:color w:val="auto"/>
        </w:rPr>
        <w:t>has served as our Chief Compliance Officer, as well as the Chief Compliance Officer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Oxford Lane Management, Oxford Square Capital Corp., Oxford Square Management, LLC, since June 2015 pursuant to an agreement between us and ACA/Foreside Consulting Services (“ACA/Foreside”), a compliance consulting firm. Mr. Cummins also currently serves as the Chief Compliance Officer of Oxford Square Capital Corp., Oxford Square Management, Oxford Funds, and Oxford Gate Management, LLC. Mr. Cummins has been a director of ACA/Foreside since June 2014 and in that capacity he also serves as the Chief Compliance Officer to an unaffiliated private equity firm and an unaffiliated internally managed BDC. Prior to joining ACA/Foreside, Mr. Cummins was a consultant for Barclays Capital Inc. from 2012 to 2013, where he participated in numerous compliance projects on pricing and valuation, compliance assessments, and compliance policy and procedure development. Prior to his consulting work at Barclays, Mr. Cummins was from 2010 to 2011 the COO and the CCO for BroadArch Capital and from 2009 to 2011 the CFO and CCO to its predecessor New Castle Funds, a long-short equity asset manager. Prior to that, Mr. Cummins spent 25 years at Bear Stearns Asset Management (BSAM), where he was a Managing Director and held senior compliance, controllers and operations risk positions. Mr. Cummins graduated with a B.A. in Mathematics from Fordham University.</w:t>
      </w:r>
    </w:p>
    <w:p>
      <w:pPr>
        <w:spacing w:after="0" w:line="17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Compensation of Directors</w:t>
      </w:r>
    </w:p>
    <w:p>
      <w:pPr>
        <w:spacing w:after="0" w:line="13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7"/>
          <w:szCs w:val="17"/>
          <w:color w:val="auto"/>
        </w:rPr>
        <w:t>The following table sets forth compensation of our directors for the six months ended September 30,</w:t>
      </w:r>
    </w:p>
    <w:p>
      <w:pPr>
        <w:spacing w:after="0" w:line="2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2022:</w:t>
      </w:r>
    </w:p>
    <w:p>
      <w:pPr>
        <w:spacing w:after="0" w:line="169" w:lineRule="exact"/>
        <w:rPr>
          <w:sz w:val="20"/>
          <w:szCs w:val="20"/>
          <w:color w:val="auto"/>
        </w:rPr>
      </w:pPr>
    </w:p>
    <w:tbl>
      <w:tblPr>
        <w:tblLayout w:type="fixed"/>
        <w:tblInd w:w="700" w:type="dxa"/>
        <w:tblCellMar>
          <w:top w:w="0" w:type="dxa"/>
          <w:left w:w="0" w:type="dxa"/>
          <w:bottom w:w="0" w:type="dxa"/>
          <w:right w:w="0" w:type="dxa"/>
        </w:tblCellMar>
      </w:tblPr>
      <w:tr>
        <w:trPr>
          <w:trHeight w:val="190"/>
        </w:trPr>
        <w:tc>
          <w:tcPr>
            <w:tcW w:w="4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ind w:left="200"/>
              <w:spacing w:after="0"/>
              <w:rPr>
                <w:sz w:val="20"/>
                <w:szCs w:val="20"/>
                <w:color w:val="auto"/>
              </w:rPr>
            </w:pPr>
            <w:r>
              <w:rPr>
                <w:rFonts w:ascii="Times New Roman" w:cs="Times New Roman" w:eastAsia="Times New Roman" w:hAnsi="Times New Roman"/>
                <w:sz w:val="15"/>
                <w:szCs w:val="15"/>
                <w:b w:val="1"/>
                <w:bCs w:val="1"/>
                <w:color w:val="auto"/>
              </w:rPr>
              <w:t>Fees</w:t>
            </w:r>
          </w:p>
        </w:tc>
        <w:tc>
          <w:tcPr>
            <w:tcW w:w="1400" w:type="dxa"/>
            <w:vAlign w:val="bottom"/>
            <w:gridSpan w:val="3"/>
          </w:tcPr>
          <w:p>
            <w:pPr>
              <w:ind w:left="220"/>
              <w:spacing w:after="0"/>
              <w:rPr>
                <w:sz w:val="20"/>
                <w:szCs w:val="20"/>
                <w:color w:val="auto"/>
              </w:rPr>
            </w:pPr>
            <w:r>
              <w:rPr>
                <w:rFonts w:ascii="Times New Roman" w:cs="Times New Roman" w:eastAsia="Times New Roman" w:hAnsi="Times New Roman"/>
                <w:sz w:val="15"/>
                <w:szCs w:val="15"/>
                <w:b w:val="1"/>
                <w:bCs w:val="1"/>
                <w:color w:val="auto"/>
              </w:rPr>
              <w:t>All Other</w:t>
            </w:r>
          </w:p>
        </w:tc>
        <w:tc>
          <w:tcPr>
            <w:tcW w:w="940" w:type="dxa"/>
            <w:vAlign w:val="bottom"/>
          </w:tcPr>
          <w:p>
            <w:pPr>
              <w:spacing w:after="0"/>
              <w:rPr>
                <w:sz w:val="16"/>
                <w:szCs w:val="16"/>
                <w:color w:val="auto"/>
              </w:rPr>
            </w:pPr>
          </w:p>
        </w:tc>
      </w:tr>
      <w:tr>
        <w:trPr>
          <w:trHeight w:val="240"/>
        </w:trPr>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Name</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5"/>
                <w:szCs w:val="15"/>
                <w:b w:val="1"/>
                <w:bCs w:val="1"/>
                <w:color w:val="auto"/>
              </w:rPr>
              <w:t>Earned</w:t>
            </w:r>
            <w:r>
              <w:rPr>
                <w:rFonts w:ascii="Times New Roman" w:cs="Times New Roman" w:eastAsia="Times New Roman" w:hAnsi="Times New Roman"/>
                <w:sz w:val="17"/>
                <w:szCs w:val="17"/>
                <w:b w:val="1"/>
                <w:bCs w:val="1"/>
                <w:color w:val="auto"/>
                <w:vertAlign w:val="superscript"/>
              </w:rPr>
              <w:t>(1)</w:t>
            </w:r>
          </w:p>
        </w:tc>
        <w:tc>
          <w:tcPr>
            <w:tcW w:w="8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w w:val="96"/>
              </w:rPr>
              <w:t>Compensation</w:t>
            </w:r>
            <w:r>
              <w:rPr>
                <w:rFonts w:ascii="Times New Roman" w:cs="Times New Roman" w:eastAsia="Times New Roman" w:hAnsi="Times New Roman"/>
                <w:sz w:val="17"/>
                <w:szCs w:val="17"/>
                <w:b w:val="1"/>
                <w:bCs w:val="1"/>
                <w:color w:val="auto"/>
                <w:w w:val="96"/>
                <w:vertAlign w:val="superscript"/>
              </w:rPr>
              <w:t>(2)</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243"/>
        </w:trPr>
        <w:tc>
          <w:tcPr>
            <w:tcW w:w="4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Interested Directors</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27"/>
        </w:trPr>
        <w:tc>
          <w:tcPr>
            <w:tcW w:w="4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Jonathan H. Cohen</w:t>
            </w:r>
          </w:p>
        </w:tc>
        <w:tc>
          <w:tcPr>
            <w:tcW w:w="18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gridSpan w:val="3"/>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39"/>
        </w:trPr>
        <w:tc>
          <w:tcPr>
            <w:tcW w:w="4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46"/>
        </w:trPr>
        <w:tc>
          <w:tcPr>
            <w:tcW w:w="4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Saul B. Rosenthal</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CCEEFF"/>
            </w:tcBorders>
            <w:gridSpan w:val="3"/>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66"/>
        </w:trPr>
        <w:tc>
          <w:tcPr>
            <w:tcW w:w="4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46"/>
        </w:trPr>
        <w:tc>
          <w:tcPr>
            <w:tcW w:w="4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Independent Directors</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27"/>
        </w:trPr>
        <w:tc>
          <w:tcPr>
            <w:tcW w:w="4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Mark J. Ashenfelter</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54,000</w:t>
            </w:r>
          </w:p>
        </w:tc>
        <w:tc>
          <w:tcPr>
            <w:tcW w:w="1400" w:type="dxa"/>
            <w:vAlign w:val="bottom"/>
            <w:gridSpan w:val="3"/>
          </w:tcPr>
          <w:p>
            <w:pPr>
              <w:ind w:left="900"/>
              <w:spacing w:after="0"/>
              <w:rPr>
                <w:sz w:val="20"/>
                <w:szCs w:val="20"/>
                <w:color w:val="auto"/>
              </w:rPr>
            </w:pPr>
            <w:r>
              <w:rPr>
                <w:rFonts w:ascii="Times New Roman" w:cs="Times New Roman" w:eastAsia="Times New Roman" w:hAnsi="Times New Roman"/>
                <w:sz w:val="17"/>
                <w:szCs w:val="17"/>
                <w:color w:val="auto"/>
              </w:rPr>
              <w:t>— $</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54,000</w:t>
            </w:r>
          </w:p>
        </w:tc>
      </w:tr>
      <w:tr>
        <w:trPr>
          <w:trHeight w:val="39"/>
        </w:trPr>
        <w:tc>
          <w:tcPr>
            <w:tcW w:w="4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46"/>
        </w:trPr>
        <w:tc>
          <w:tcPr>
            <w:tcW w:w="4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John Reardon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54,000</w:t>
            </w:r>
          </w:p>
        </w:tc>
        <w:tc>
          <w:tcPr>
            <w:tcW w:w="1400" w:type="dxa"/>
            <w:vAlign w:val="bottom"/>
            <w:tcBorders>
              <w:bottom w:val="single" w:sz="8" w:color="CCEEFF"/>
            </w:tcBorders>
            <w:gridSpan w:val="3"/>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rPr>
              <w:t>— $</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54,000</w:t>
            </w:r>
          </w:p>
        </w:tc>
      </w:tr>
      <w:tr>
        <w:trPr>
          <w:trHeight w:val="227"/>
        </w:trPr>
        <w:tc>
          <w:tcPr>
            <w:tcW w:w="4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David S. Shin</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59,000</w:t>
            </w:r>
          </w:p>
        </w:tc>
        <w:tc>
          <w:tcPr>
            <w:tcW w:w="1400" w:type="dxa"/>
            <w:vAlign w:val="bottom"/>
            <w:gridSpan w:val="3"/>
          </w:tcPr>
          <w:p>
            <w:pPr>
              <w:ind w:left="900"/>
              <w:spacing w:after="0"/>
              <w:rPr>
                <w:sz w:val="20"/>
                <w:szCs w:val="20"/>
                <w:color w:val="auto"/>
              </w:rPr>
            </w:pPr>
            <w:r>
              <w:rPr>
                <w:rFonts w:ascii="Times New Roman" w:cs="Times New Roman" w:eastAsia="Times New Roman" w:hAnsi="Times New Roman"/>
                <w:sz w:val="17"/>
                <w:szCs w:val="17"/>
                <w:color w:val="auto"/>
              </w:rPr>
              <w:t>— $</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59,000</w:t>
            </w:r>
          </w:p>
        </w:tc>
      </w:tr>
      <w:tr>
        <w:trPr>
          <w:trHeight w:val="275"/>
        </w:trPr>
        <w:tc>
          <w:tcPr>
            <w:tcW w:w="4020" w:type="dxa"/>
            <w:vAlign w:val="bottom"/>
          </w:tcPr>
          <w:p>
            <w:pPr>
              <w:spacing w:after="0"/>
              <w:rPr>
                <w:sz w:val="20"/>
                <w:szCs w:val="20"/>
                <w:color w:val="auto"/>
              </w:rPr>
            </w:pPr>
            <w:r>
              <w:rPr>
                <w:rFonts w:ascii="Times New Roman" w:cs="Times New Roman" w:eastAsia="Times New Roman" w:hAnsi="Times New Roman"/>
                <w:sz w:val="15"/>
                <w:szCs w:val="15"/>
                <w:color w:val="auto"/>
              </w:rPr>
              <w:t>____________</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r>
    </w:tbl>
    <w:p>
      <w:pPr>
        <w:spacing w:after="0" w:line="69" w:lineRule="exact"/>
        <w:rPr>
          <w:sz w:val="20"/>
          <w:szCs w:val="20"/>
          <w:color w:val="auto"/>
        </w:rPr>
      </w:pPr>
    </w:p>
    <w:p>
      <w:pPr>
        <w:ind w:left="1120" w:hanging="415"/>
        <w:spacing w:after="0"/>
        <w:tabs>
          <w:tab w:leader="none" w:pos="112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a discussion of the independent directors’ compensation, see below.</w:t>
      </w:r>
    </w:p>
    <w:p>
      <w:pPr>
        <w:spacing w:after="0" w:line="24" w:lineRule="exact"/>
        <w:rPr>
          <w:rFonts w:ascii="Times New Roman" w:cs="Times New Roman" w:eastAsia="Times New Roman" w:hAnsi="Times New Roman"/>
          <w:sz w:val="15"/>
          <w:szCs w:val="15"/>
          <w:color w:val="auto"/>
        </w:rPr>
      </w:pPr>
    </w:p>
    <w:p>
      <w:pPr>
        <w:ind w:left="1120" w:hanging="415"/>
        <w:spacing w:after="0"/>
        <w:tabs>
          <w:tab w:leader="none" w:pos="112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do not maintain a stock option plan, non-equity incentive plan or pension plan for our directors.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15240</wp:posOffset>
            </wp:positionV>
            <wp:extent cx="482473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4824730"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64" w:name="page65"/>
    <w:bookmarkEnd w:id="64"/>
    <w:p>
      <w:pPr>
        <w:ind w:left="7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34" w:lineRule="exact"/>
        <w:rPr>
          <w:sz w:val="20"/>
          <w:szCs w:val="20"/>
          <w:color w:val="auto"/>
        </w:rPr>
      </w:pPr>
    </w:p>
    <w:p>
      <w:pPr>
        <w:ind w:left="700" w:right="759" w:firstLine="405"/>
        <w:spacing w:after="0" w:line="253" w:lineRule="auto"/>
        <w:rPr>
          <w:sz w:val="20"/>
          <w:szCs w:val="20"/>
          <w:color w:val="auto"/>
        </w:rPr>
      </w:pPr>
      <w:r>
        <w:rPr>
          <w:rFonts w:ascii="Times New Roman" w:cs="Times New Roman" w:eastAsia="Times New Roman" w:hAnsi="Times New Roman"/>
          <w:sz w:val="17"/>
          <w:szCs w:val="17"/>
          <w:color w:val="auto"/>
        </w:rPr>
        <w:t>The independent directors receive an annual fee of $90,000. In addition, the independent directors receive $2,000 plus reimbursement of reasonable out-of-pocket expenses incurred in connection with attending each Board of Directors meeting, $1,500 plus reimbursement of reasonable out-of-pocket expenses incurred in connection with attending each Valuation Committee meeting and $1,000 plus reimbursement of reasonable out-of-pocket expenses incurred in connection with attending each Audit Committee meeting. The Chairman of the Audit Committee also receives an additional annual fee of $10,000. No compensation is paid to directors who are “interested persons” of the Fund as defined in the 1940 Act.</w:t>
      </w:r>
    </w:p>
    <w:p>
      <w:pPr>
        <w:spacing w:after="0" w:line="17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Compensation of Chief Executive Officer and Other Executive Officers</w:t>
      </w:r>
    </w:p>
    <w:p>
      <w:pPr>
        <w:spacing w:after="0" w:line="150" w:lineRule="exact"/>
        <w:rPr>
          <w:sz w:val="20"/>
          <w:szCs w:val="20"/>
          <w:color w:val="auto"/>
        </w:rPr>
      </w:pPr>
    </w:p>
    <w:p>
      <w:pPr>
        <w:ind w:left="700" w:right="739" w:firstLine="405"/>
        <w:spacing w:after="0" w:line="252" w:lineRule="auto"/>
        <w:rPr>
          <w:sz w:val="20"/>
          <w:szCs w:val="20"/>
          <w:color w:val="auto"/>
        </w:rPr>
      </w:pPr>
      <w:r>
        <w:rPr>
          <w:rFonts w:ascii="Times New Roman" w:cs="Times New Roman" w:eastAsia="Times New Roman" w:hAnsi="Times New Roman"/>
          <w:sz w:val="17"/>
          <w:szCs w:val="17"/>
          <w:color w:val="auto"/>
        </w:rPr>
        <w:t>We do not have a compensation committee because our executive officers do not receive any direct compensation from the Fund. Mr. Cohen, our Chief Executive Officer, and Mr. Rosenthal, our President, through their ownership interest in Oxford Funds, the managing member of Oxford Lane Management, are entitled to a portion of any profits earned by Oxford Lane Management, which includes any fees payable to Oxford Lane Management under the terms of the Investment Advisory Agreement, less expenses incurred by Oxford Lane Management in performing its services under the Investment Advisory Agreement. Messrs. Cohen and Rosenthal do not receive any additional compensation from Oxford Lane Management in connection with the management of our portfolio.</w:t>
      </w:r>
    </w:p>
    <w:p>
      <w:pPr>
        <w:spacing w:after="0" w:line="118" w:lineRule="exact"/>
        <w:rPr>
          <w:sz w:val="20"/>
          <w:szCs w:val="20"/>
          <w:color w:val="auto"/>
        </w:rPr>
      </w:pPr>
    </w:p>
    <w:p>
      <w:pPr>
        <w:ind w:left="700" w:right="899" w:firstLine="405"/>
        <w:spacing w:after="0" w:line="262" w:lineRule="auto"/>
        <w:rPr>
          <w:sz w:val="20"/>
          <w:szCs w:val="20"/>
          <w:color w:val="auto"/>
        </w:rPr>
      </w:pPr>
      <w:r>
        <w:rPr>
          <w:rFonts w:ascii="Times New Roman" w:cs="Times New Roman" w:eastAsia="Times New Roman" w:hAnsi="Times New Roman"/>
          <w:sz w:val="17"/>
          <w:szCs w:val="17"/>
          <w:color w:val="auto"/>
        </w:rPr>
        <w:t>The compensation of Mr. Rubin, our Chief Financial Officer, Treasurer and Corporate Secretary, is paid by our administrator, Oxford Funds, subject to reimbursement by us of an allocable portion of such compensation for services rendered by Mr. Rubin to the Fund.</w:t>
      </w:r>
    </w:p>
    <w:p>
      <w:pPr>
        <w:spacing w:after="0" w:line="94" w:lineRule="exact"/>
        <w:rPr>
          <w:sz w:val="20"/>
          <w:szCs w:val="20"/>
          <w:color w:val="auto"/>
        </w:rPr>
      </w:pPr>
    </w:p>
    <w:p>
      <w:pPr>
        <w:ind w:left="700" w:right="719" w:firstLine="405"/>
        <w:spacing w:after="0" w:line="262" w:lineRule="auto"/>
        <w:rPr>
          <w:sz w:val="20"/>
          <w:szCs w:val="20"/>
          <w:color w:val="auto"/>
        </w:rPr>
      </w:pPr>
      <w:r>
        <w:rPr>
          <w:rFonts w:ascii="Times New Roman" w:cs="Times New Roman" w:eastAsia="Times New Roman" w:hAnsi="Times New Roman"/>
          <w:sz w:val="17"/>
          <w:szCs w:val="17"/>
          <w:color w:val="auto"/>
        </w:rPr>
        <w:t>Mr. Cummins, our Chief Compliance Officer, is a director of Foreside (which acquired Alaric Compliance Services in December 2021) and performs his functions under the terms of an agreement between us and Foreside.</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15240</wp:posOffset>
            </wp:positionV>
            <wp:extent cx="482473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4824730"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65" w:name="page66"/>
    <w:bookmarkEnd w:id="65"/>
    <w:p>
      <w:pPr>
        <w:ind w:left="7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7"/>
          <w:szCs w:val="17"/>
          <w:b w:val="1"/>
          <w:bCs w:val="1"/>
          <w:color w:val="auto"/>
        </w:rPr>
        <w:t>BOARD APPROVAL OF THE INVESTMENT ADVISORY AGREEMENT</w:t>
      </w:r>
    </w:p>
    <w:p>
      <w:pPr>
        <w:spacing w:after="0" w:line="138" w:lineRule="exact"/>
        <w:rPr>
          <w:sz w:val="20"/>
          <w:szCs w:val="20"/>
          <w:color w:val="auto"/>
        </w:rPr>
      </w:pPr>
    </w:p>
    <w:p>
      <w:pPr>
        <w:ind w:left="700" w:right="979" w:firstLine="405"/>
        <w:spacing w:after="0" w:line="275" w:lineRule="auto"/>
        <w:rPr>
          <w:sz w:val="20"/>
          <w:szCs w:val="20"/>
          <w:color w:val="auto"/>
        </w:rPr>
      </w:pPr>
      <w:r>
        <w:rPr>
          <w:rFonts w:ascii="Times New Roman" w:cs="Times New Roman" w:eastAsia="Times New Roman" w:hAnsi="Times New Roman"/>
          <w:sz w:val="16"/>
          <w:szCs w:val="16"/>
          <w:color w:val="auto"/>
        </w:rPr>
        <w:t>At an in-person meeting of our Board of Directors held on July 28, 2022, our Board of Directors unanimously voted to re-approve the Investment Advisory Agreement. In reaching a decision to approve the Investment Advisory Agreement, the independent directors reviewed a significant amount of information provided by Oxford Lane Management in response to questionnaires provided by counsel to the independent directors on behalf of the independent directors and considered and concluded, among other things:</w:t>
      </w:r>
    </w:p>
    <w:p>
      <w:pPr>
        <w:spacing w:after="0" w:line="98" w:lineRule="exact"/>
        <w:rPr>
          <w:sz w:val="20"/>
          <w:szCs w:val="20"/>
          <w:color w:val="auto"/>
        </w:rPr>
      </w:pPr>
    </w:p>
    <w:p>
      <w:pPr>
        <w:ind w:left="1520" w:right="739" w:hanging="410"/>
        <w:spacing w:after="0" w:line="254" w:lineRule="auto"/>
        <w:tabs>
          <w:tab w:leader="none" w:pos="1516"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nature, quality and extent of the advisory and other services to be provided to us by Oxford Lane Management, including with respect to the investment process and Oxford Lane Management’s policies and guidelines currently in place to monitor and manage the risk and volatility associated with the Fund’s portfolio, and the qualifications and abilities of the professional personnel of Oxford Lane Management and the compensation structure for such personnel, and concluded that such services are satisfactory;</w:t>
      </w:r>
    </w:p>
    <w:p>
      <w:pPr>
        <w:spacing w:after="0" w:line="113" w:lineRule="exact"/>
        <w:rPr>
          <w:rFonts w:ascii="Times New Roman" w:cs="Times New Roman" w:eastAsia="Times New Roman" w:hAnsi="Times New Roman"/>
          <w:sz w:val="17"/>
          <w:szCs w:val="17"/>
          <w:color w:val="auto"/>
        </w:rPr>
      </w:pPr>
    </w:p>
    <w:p>
      <w:pPr>
        <w:jc w:val="both"/>
        <w:ind w:left="1520" w:right="779" w:hanging="410"/>
        <w:spacing w:after="0" w:line="262" w:lineRule="auto"/>
        <w:tabs>
          <w:tab w:leader="none" w:pos="1516"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investment performance of the Fund and Oxford Lane Management including a comparison to the performance of the Fund’s peer group, and concluded that the Fund’s performance is reasonable in comparison to its peers;</w:t>
      </w:r>
    </w:p>
    <w:p>
      <w:pPr>
        <w:spacing w:after="0" w:line="94" w:lineRule="exact"/>
        <w:rPr>
          <w:rFonts w:ascii="Times New Roman" w:cs="Times New Roman" w:eastAsia="Times New Roman" w:hAnsi="Times New Roman"/>
          <w:sz w:val="17"/>
          <w:szCs w:val="17"/>
          <w:color w:val="auto"/>
        </w:rPr>
      </w:pPr>
    </w:p>
    <w:p>
      <w:pPr>
        <w:ind w:left="1520" w:right="779" w:hanging="410"/>
        <w:spacing w:after="0" w:line="262" w:lineRule="auto"/>
        <w:tabs>
          <w:tab w:leader="none" w:pos="1516"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Comparative data with respect to advisory fees or similar expenses paid by other closed-end management investment companies with similar investment objectives, and concluded that the total advisory fees paid by the Fund to Oxford Lane Management were not unreasonable;</w:t>
      </w:r>
    </w:p>
    <w:p>
      <w:pPr>
        <w:spacing w:after="0" w:line="106" w:lineRule="exact"/>
        <w:rPr>
          <w:rFonts w:ascii="Times New Roman" w:cs="Times New Roman" w:eastAsia="Times New Roman" w:hAnsi="Times New Roman"/>
          <w:sz w:val="17"/>
          <w:szCs w:val="17"/>
          <w:color w:val="auto"/>
        </w:rPr>
      </w:pPr>
    </w:p>
    <w:p>
      <w:pPr>
        <w:ind w:left="1520" w:right="1099" w:hanging="410"/>
        <w:spacing w:after="0" w:line="262" w:lineRule="auto"/>
        <w:tabs>
          <w:tab w:leader="none" w:pos="1516"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historical and projected operating expenses and expense ratio compared to closed-end management investment companies with similar investment objectives, and concluded that our operating expenses were reasonable;</w:t>
      </w:r>
    </w:p>
    <w:p>
      <w:pPr>
        <w:spacing w:after="0" w:line="106" w:lineRule="exact"/>
        <w:rPr>
          <w:rFonts w:ascii="Times New Roman" w:cs="Times New Roman" w:eastAsia="Times New Roman" w:hAnsi="Times New Roman"/>
          <w:sz w:val="17"/>
          <w:szCs w:val="17"/>
          <w:color w:val="auto"/>
        </w:rPr>
      </w:pPr>
    </w:p>
    <w:p>
      <w:pPr>
        <w:ind w:left="1520" w:right="1599" w:hanging="410"/>
        <w:spacing w:after="0" w:line="276" w:lineRule="auto"/>
        <w:tabs>
          <w:tab w:leader="none" w:pos="1516"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possible benefits to Oxford Lane Management and its affiliates arising from their relationships with the Fund;</w:t>
      </w:r>
    </w:p>
    <w:p>
      <w:pPr>
        <w:spacing w:after="0" w:line="82" w:lineRule="exact"/>
        <w:rPr>
          <w:rFonts w:ascii="Times New Roman" w:cs="Times New Roman" w:eastAsia="Times New Roman" w:hAnsi="Times New Roman"/>
          <w:sz w:val="17"/>
          <w:szCs w:val="17"/>
          <w:color w:val="auto"/>
        </w:rPr>
      </w:pPr>
    </w:p>
    <w:p>
      <w:pPr>
        <w:ind w:left="1520" w:hanging="410"/>
        <w:spacing w:after="0"/>
        <w:tabs>
          <w:tab w:leader="none" w:pos="15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possible economies of scale arising from the Fund’s size and/or anticipated growth;</w:t>
      </w:r>
    </w:p>
    <w:p>
      <w:pPr>
        <w:spacing w:after="0" w:line="146" w:lineRule="exact"/>
        <w:rPr>
          <w:rFonts w:ascii="Times New Roman" w:cs="Times New Roman" w:eastAsia="Times New Roman" w:hAnsi="Times New Roman"/>
          <w:sz w:val="17"/>
          <w:szCs w:val="17"/>
          <w:color w:val="auto"/>
        </w:rPr>
      </w:pPr>
    </w:p>
    <w:p>
      <w:pPr>
        <w:ind w:left="1520" w:right="739" w:hanging="410"/>
        <w:spacing w:after="0" w:line="262" w:lineRule="auto"/>
        <w:tabs>
          <w:tab w:leader="none" w:pos="1516"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services to be performed and the personnel performing such services under the Investment Advisory Agreement, and concluded that the services to be performed and the personnel performing such services were satisfactory;</w:t>
      </w:r>
    </w:p>
    <w:p>
      <w:pPr>
        <w:spacing w:after="0" w:line="106" w:lineRule="exact"/>
        <w:rPr>
          <w:rFonts w:ascii="Times New Roman" w:cs="Times New Roman" w:eastAsia="Times New Roman" w:hAnsi="Times New Roman"/>
          <w:sz w:val="17"/>
          <w:szCs w:val="17"/>
          <w:color w:val="auto"/>
        </w:rPr>
      </w:pPr>
    </w:p>
    <w:p>
      <w:pPr>
        <w:ind w:left="1520" w:right="879" w:hanging="410"/>
        <w:spacing w:after="0" w:line="262" w:lineRule="auto"/>
        <w:tabs>
          <w:tab w:leader="none" w:pos="1516"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of obtaining similar services from other third party service providers or through an internally managed structure, and concluded that our current externally managed structure with Oxford Lane Management as our investment advisor was satisfactory.</w:t>
      </w:r>
    </w:p>
    <w:p>
      <w:pPr>
        <w:spacing w:after="0" w:line="94" w:lineRule="exact"/>
        <w:rPr>
          <w:sz w:val="20"/>
          <w:szCs w:val="20"/>
          <w:color w:val="auto"/>
        </w:rPr>
      </w:pPr>
    </w:p>
    <w:p>
      <w:pPr>
        <w:ind w:left="700" w:right="719" w:firstLine="405"/>
        <w:spacing w:after="0" w:line="253" w:lineRule="auto"/>
        <w:rPr>
          <w:sz w:val="20"/>
          <w:szCs w:val="20"/>
          <w:color w:val="auto"/>
        </w:rPr>
      </w:pPr>
      <w:r>
        <w:rPr>
          <w:rFonts w:ascii="Times New Roman" w:cs="Times New Roman" w:eastAsia="Times New Roman" w:hAnsi="Times New Roman"/>
          <w:sz w:val="17"/>
          <w:szCs w:val="17"/>
          <w:color w:val="auto"/>
        </w:rPr>
        <w:t>Based on the information reviewed and the discussions detailed above, the Board of Directors, including all of the directors who are not “interested persons” as defined in the 1940 Act, and assisted by independent counsel, concluded that the fees payable to Oxford Lane Management pursuant to the Investment Advisory Agreement were not unreasonable, and comparable to the fees paid by other management investment companies with similar investment objectives, in relation to the services to be provided. The Board of Directors did not assign relative weights to the above factors or the other factors considered by it. Individual members of the Board of Directors may have given different weights to different factors.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15240</wp:posOffset>
            </wp:positionV>
            <wp:extent cx="482473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4824730"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66" w:name="page67"/>
    <w:bookmarkEnd w:id="66"/>
    <w:p>
      <w:pPr>
        <w:ind w:left="7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SUBMISSION OF MATTERS TO A VOTE OF STOCKHOLDERS</w:t>
      </w:r>
    </w:p>
    <w:p>
      <w:pPr>
        <w:spacing w:after="0" w:line="138" w:lineRule="exact"/>
        <w:rPr>
          <w:sz w:val="20"/>
          <w:szCs w:val="20"/>
          <w:color w:val="auto"/>
        </w:rPr>
      </w:pPr>
    </w:p>
    <w:p>
      <w:pPr>
        <w:jc w:val="both"/>
        <w:ind w:left="700" w:right="859" w:firstLine="405"/>
        <w:spacing w:after="0" w:line="286" w:lineRule="auto"/>
        <w:rPr>
          <w:sz w:val="20"/>
          <w:szCs w:val="20"/>
          <w:color w:val="auto"/>
        </w:rPr>
      </w:pPr>
      <w:r>
        <w:rPr>
          <w:rFonts w:ascii="Times New Roman" w:cs="Times New Roman" w:eastAsia="Times New Roman" w:hAnsi="Times New Roman"/>
          <w:sz w:val="16"/>
          <w:szCs w:val="16"/>
          <w:color w:val="auto"/>
        </w:rPr>
        <w:t>The Fund held its Annual Meeting of Stockholders (the ‘‘Meeting’’) on October 21, 2022 and submitted one matter to the vote of the stockholders. At the Meeting, stockholders elected nominees for director, to serve for a three-year term to expire at the 2025 Annual Meeting of Stockholders based on the following votes:</w:t>
      </w:r>
    </w:p>
    <w:p>
      <w:pPr>
        <w:spacing w:after="0" w:line="166" w:lineRule="exact"/>
        <w:rPr>
          <w:sz w:val="20"/>
          <w:szCs w:val="20"/>
          <w:color w:val="auto"/>
        </w:rPr>
      </w:pPr>
    </w:p>
    <w:tbl>
      <w:tblPr>
        <w:tblLayout w:type="fixed"/>
        <w:tblInd w:w="700" w:type="dxa"/>
        <w:tblCellMar>
          <w:top w:w="0" w:type="dxa"/>
          <w:left w:w="0" w:type="dxa"/>
          <w:bottom w:w="0" w:type="dxa"/>
          <w:right w:w="0" w:type="dxa"/>
        </w:tblCellMar>
      </w:tblPr>
      <w:tr>
        <w:trPr>
          <w:trHeight w:val="201"/>
        </w:trPr>
        <w:tc>
          <w:tcPr>
            <w:tcW w:w="52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Name</w:t>
            </w: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b w:val="1"/>
                <w:bCs w:val="1"/>
                <w:color w:val="auto"/>
              </w:rPr>
              <w:t>Votes for</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Votes Withheld</w:t>
            </w:r>
          </w:p>
        </w:tc>
      </w:tr>
      <w:tr>
        <w:trPr>
          <w:trHeight w:val="43"/>
        </w:trPr>
        <w:tc>
          <w:tcPr>
            <w:tcW w:w="5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4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Mark J. Ashenfelter</w:t>
            </w:r>
            <w:r>
              <w:rPr>
                <w:rFonts w:ascii="Times New Roman" w:cs="Times New Roman" w:eastAsia="Times New Roman" w:hAnsi="Times New Roman"/>
                <w:sz w:val="19"/>
                <w:szCs w:val="19"/>
                <w:color w:val="auto"/>
                <w:vertAlign w:val="superscript"/>
              </w:rPr>
              <w:t>(1)</w:t>
            </w:r>
          </w:p>
        </w:tc>
        <w:tc>
          <w:tcPr>
            <w:tcW w:w="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5,906,860</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2,161,556</w:t>
            </w:r>
          </w:p>
        </w:tc>
      </w:tr>
      <w:tr>
        <w:trPr>
          <w:trHeight w:val="273"/>
        </w:trPr>
        <w:tc>
          <w:tcPr>
            <w:tcW w:w="5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Jonathan H. Cohen</w:t>
            </w:r>
            <w:r>
              <w:rPr>
                <w:rFonts w:ascii="Times New Roman" w:cs="Times New Roman" w:eastAsia="Times New Roman" w:hAnsi="Times New Roman"/>
                <w:sz w:val="19"/>
                <w:szCs w:val="19"/>
                <w:color w:val="auto"/>
                <w:vertAlign w:val="superscript"/>
              </w:rPr>
              <w:t>(2)</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88,163,665</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10,322,100</w:t>
            </w:r>
          </w:p>
        </w:tc>
      </w:tr>
    </w:tbl>
    <w:p>
      <w:pPr>
        <w:spacing w:after="0" w:line="3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5"/>
          <w:szCs w:val="15"/>
          <w:color w:val="auto"/>
        </w:rPr>
        <w:t>____________</w:t>
      </w:r>
    </w:p>
    <w:p>
      <w:pPr>
        <w:spacing w:after="0" w:line="93" w:lineRule="exact"/>
        <w:rPr>
          <w:sz w:val="20"/>
          <w:szCs w:val="20"/>
          <w:color w:val="auto"/>
        </w:rPr>
      </w:pPr>
    </w:p>
    <w:p>
      <w:pPr>
        <w:ind w:left="1120" w:hanging="415"/>
        <w:spacing w:after="0"/>
        <w:tabs>
          <w:tab w:leader="none" w:pos="112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Mr. Ashenfelter was elected by the holders of our preferred stock, voting as a single class.</w:t>
      </w:r>
    </w:p>
    <w:p>
      <w:pPr>
        <w:spacing w:after="0" w:line="24" w:lineRule="exact"/>
        <w:rPr>
          <w:rFonts w:ascii="Times New Roman" w:cs="Times New Roman" w:eastAsia="Times New Roman" w:hAnsi="Times New Roman"/>
          <w:sz w:val="15"/>
          <w:szCs w:val="15"/>
          <w:color w:val="auto"/>
        </w:rPr>
      </w:pPr>
    </w:p>
    <w:p>
      <w:pPr>
        <w:ind w:left="1120" w:hanging="415"/>
        <w:spacing w:after="0"/>
        <w:tabs>
          <w:tab w:leader="none" w:pos="112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Mr. Cohen was elected by the holders of our common stock and preferred stock, voting together as a single class.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15240</wp:posOffset>
            </wp:positionV>
            <wp:extent cx="482473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4824730"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67" w:name="page68"/>
    <w:bookmarkEnd w:id="67"/>
    <w:p>
      <w:pPr>
        <w:ind w:left="7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ADDITIONAL INFORMATION</w:t>
      </w:r>
    </w:p>
    <w:p>
      <w:pPr>
        <w:spacing w:after="0" w:line="21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Portfolio Information</w:t>
      </w:r>
    </w:p>
    <w:p>
      <w:pPr>
        <w:spacing w:after="0" w:line="138" w:lineRule="exact"/>
        <w:rPr>
          <w:sz w:val="20"/>
          <w:szCs w:val="20"/>
          <w:color w:val="auto"/>
        </w:rPr>
      </w:pPr>
    </w:p>
    <w:p>
      <w:pPr>
        <w:ind w:left="700" w:right="859" w:firstLine="405"/>
        <w:spacing w:after="0" w:line="258" w:lineRule="auto"/>
        <w:rPr>
          <w:sz w:val="20"/>
          <w:szCs w:val="20"/>
          <w:color w:val="auto"/>
        </w:rPr>
      </w:pPr>
      <w:r>
        <w:rPr>
          <w:rFonts w:ascii="Times New Roman" w:cs="Times New Roman" w:eastAsia="Times New Roman" w:hAnsi="Times New Roman"/>
          <w:sz w:val="17"/>
          <w:szCs w:val="17"/>
          <w:color w:val="auto"/>
        </w:rPr>
        <w:t xml:space="preserve">The Fund prepares Form N-PORT, which contains a complete schedule of the Fund’s portfolio holdings, on a monthly basis, and makes its N-PORT filings with the SEC on a quarterly basis within 60 days after the end of each quarter. The Fund’s N-PORT filings for the third month of each quarter are available on the SEC’s website at </w:t>
      </w:r>
      <w:r>
        <w:rPr>
          <w:rFonts w:ascii="Times New Roman" w:cs="Times New Roman" w:eastAsia="Times New Roman" w:hAnsi="Times New Roman"/>
          <w:sz w:val="17"/>
          <w:szCs w:val="17"/>
          <w:i w:val="1"/>
          <w:iCs w:val="1"/>
          <w:color w:val="auto"/>
        </w:rPr>
        <w:t>http://www.sec.gov</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Proxy Information</w:t>
      </w:r>
    </w:p>
    <w:p>
      <w:pPr>
        <w:spacing w:after="0" w:line="150" w:lineRule="exact"/>
        <w:rPr>
          <w:sz w:val="20"/>
          <w:szCs w:val="20"/>
          <w:color w:val="auto"/>
        </w:rPr>
      </w:pPr>
    </w:p>
    <w:p>
      <w:pPr>
        <w:ind w:left="700" w:right="839" w:firstLine="405"/>
        <w:spacing w:after="0" w:line="274" w:lineRule="auto"/>
        <w:rPr>
          <w:sz w:val="20"/>
          <w:szCs w:val="20"/>
          <w:color w:val="auto"/>
        </w:rPr>
      </w:pPr>
      <w:r>
        <w:rPr>
          <w:rFonts w:ascii="Times New Roman" w:cs="Times New Roman" w:eastAsia="Times New Roman" w:hAnsi="Times New Roman"/>
          <w:sz w:val="16"/>
          <w:szCs w:val="16"/>
          <w:color w:val="auto"/>
        </w:rPr>
        <w:t>A description of the policies and procedures that the Fund’s investment adviser uses to determine how to vote proxies relating to the Fund’s portfolio securities is available (i) without charge, upon request, by calling</w:t>
      </w:r>
    </w:p>
    <w:p>
      <w:pPr>
        <w:spacing w:after="0" w:line="1" w:lineRule="exact"/>
        <w:rPr>
          <w:sz w:val="20"/>
          <w:szCs w:val="20"/>
          <w:color w:val="auto"/>
        </w:rPr>
      </w:pPr>
    </w:p>
    <w:p>
      <w:pPr>
        <w:ind w:left="700" w:right="939" w:firstLine="5"/>
        <w:spacing w:after="0" w:line="264" w:lineRule="auto"/>
        <w:tabs>
          <w:tab w:leader="none" w:pos="1108"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983-5275; (ii) on the Fund’s website at </w:t>
      </w:r>
      <w:r>
        <w:rPr>
          <w:rFonts w:ascii="Times New Roman" w:cs="Times New Roman" w:eastAsia="Times New Roman" w:hAnsi="Times New Roman"/>
          <w:sz w:val="16"/>
          <w:szCs w:val="16"/>
          <w:i w:val="1"/>
          <w:iCs w:val="1"/>
          <w:color w:val="auto"/>
        </w:rPr>
        <w:t>http://www.oxfordlanecapital.com</w:t>
      </w:r>
      <w:r>
        <w:rPr>
          <w:rFonts w:ascii="Times New Roman" w:cs="Times New Roman" w:eastAsia="Times New Roman" w:hAnsi="Times New Roman"/>
          <w:sz w:val="16"/>
          <w:szCs w:val="16"/>
          <w:color w:val="auto"/>
        </w:rPr>
        <w:t>. Information about how the Fund’s investment adviser voted proxies with respect to the Fund’s portfolio securities during the most recent</w:t>
      </w:r>
    </w:p>
    <w:p>
      <w:pPr>
        <w:ind w:left="700" w:right="819"/>
        <w:spacing w:after="0" w:line="25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 xml:space="preserve">12-month period ended March 31 can be obtained by making a written request for proxy voting information to: Chief Compliance Officer, Oxford Lane Management, LLC, 8 Sound Shore Drive, Suite 255, Greenwich, CT 06830. All information described in this paragraph is also available on the SEC’s website at </w:t>
      </w:r>
      <w:r>
        <w:rPr>
          <w:rFonts w:ascii="Times New Roman" w:cs="Times New Roman" w:eastAsia="Times New Roman" w:hAnsi="Times New Roman"/>
          <w:sz w:val="17"/>
          <w:szCs w:val="17"/>
          <w:i w:val="1"/>
          <w:iCs w:val="1"/>
          <w:color w:val="auto"/>
        </w:rPr>
        <w:t>http://www.sec.gov</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Tax Information</w:t>
      </w:r>
    </w:p>
    <w:p>
      <w:pPr>
        <w:spacing w:after="0" w:line="150" w:lineRule="exact"/>
        <w:rPr>
          <w:sz w:val="20"/>
          <w:szCs w:val="20"/>
          <w:color w:val="auto"/>
        </w:rPr>
      </w:pPr>
    </w:p>
    <w:p>
      <w:pPr>
        <w:ind w:left="700" w:right="1059" w:firstLine="405"/>
        <w:spacing w:after="0" w:line="276" w:lineRule="auto"/>
        <w:rPr>
          <w:sz w:val="20"/>
          <w:szCs w:val="20"/>
          <w:color w:val="auto"/>
        </w:rPr>
      </w:pPr>
      <w:r>
        <w:rPr>
          <w:rFonts w:ascii="Times New Roman" w:cs="Times New Roman" w:eastAsia="Times New Roman" w:hAnsi="Times New Roman"/>
          <w:sz w:val="17"/>
          <w:szCs w:val="17"/>
          <w:color w:val="auto"/>
        </w:rPr>
        <w:t>For tax purposes, distributions to stockholders during the six months ended September 30, 2022 were approximately $68.1 million.</w:t>
      </w:r>
    </w:p>
    <w:p>
      <w:pPr>
        <w:spacing w:after="0" w:line="15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Privacy Policy</w:t>
      </w:r>
    </w:p>
    <w:p>
      <w:pPr>
        <w:spacing w:after="0" w:line="138" w:lineRule="exact"/>
        <w:rPr>
          <w:sz w:val="20"/>
          <w:szCs w:val="20"/>
          <w:color w:val="auto"/>
        </w:rPr>
      </w:pPr>
    </w:p>
    <w:p>
      <w:pPr>
        <w:ind w:left="700" w:right="799" w:firstLine="405"/>
        <w:spacing w:after="0" w:line="258" w:lineRule="auto"/>
        <w:rPr>
          <w:sz w:val="20"/>
          <w:szCs w:val="20"/>
          <w:color w:val="auto"/>
        </w:rPr>
      </w:pPr>
      <w:r>
        <w:rPr>
          <w:rFonts w:ascii="Times New Roman" w:cs="Times New Roman" w:eastAsia="Times New Roman" w:hAnsi="Times New Roman"/>
          <w:sz w:val="17"/>
          <w:szCs w:val="17"/>
          <w:color w:val="auto"/>
        </w:rPr>
        <w:t>We are committed to protecting your privacy. This privacy notice, which is required by federal law, explains privacy policies of Oxford Lane Capital Corp. and its affiliated companies. This notice supersedes any other privacy notice you may have received from Oxford Lane Capital Corp., and its terms apply both to our current stockholders and to former stockholders as well.</w:t>
      </w:r>
    </w:p>
    <w:p>
      <w:pPr>
        <w:spacing w:after="0" w:line="109" w:lineRule="exact"/>
        <w:rPr>
          <w:sz w:val="20"/>
          <w:szCs w:val="20"/>
          <w:color w:val="auto"/>
        </w:rPr>
      </w:pPr>
    </w:p>
    <w:p>
      <w:pPr>
        <w:ind w:left="700" w:right="779" w:firstLine="405"/>
        <w:spacing w:after="0" w:line="262" w:lineRule="auto"/>
        <w:rPr>
          <w:sz w:val="20"/>
          <w:szCs w:val="20"/>
          <w:color w:val="auto"/>
        </w:rPr>
      </w:pPr>
      <w:r>
        <w:rPr>
          <w:rFonts w:ascii="Times New Roman" w:cs="Times New Roman" w:eastAsia="Times New Roman" w:hAnsi="Times New Roman"/>
          <w:sz w:val="17"/>
          <w:szCs w:val="17"/>
          <w:color w:val="auto"/>
        </w:rPr>
        <w:t>We will safeguard, according to strict standards of security and confidentiality, all information we receive about you. With regard to this information, we maintain procedural safeguards that comply with federal standards.</w:t>
      </w:r>
    </w:p>
    <w:p>
      <w:pPr>
        <w:spacing w:after="0" w:line="107" w:lineRule="exact"/>
        <w:rPr>
          <w:sz w:val="20"/>
          <w:szCs w:val="20"/>
          <w:color w:val="auto"/>
        </w:rPr>
      </w:pPr>
    </w:p>
    <w:p>
      <w:pPr>
        <w:ind w:left="700" w:right="919" w:firstLine="405"/>
        <w:spacing w:after="0" w:line="262" w:lineRule="auto"/>
        <w:rPr>
          <w:sz w:val="20"/>
          <w:szCs w:val="20"/>
          <w:color w:val="auto"/>
        </w:rPr>
      </w:pPr>
      <w:r>
        <w:rPr>
          <w:rFonts w:ascii="Times New Roman" w:cs="Times New Roman" w:eastAsia="Times New Roman" w:hAnsi="Times New Roman"/>
          <w:sz w:val="17"/>
          <w:szCs w:val="17"/>
          <w:color w:val="auto"/>
        </w:rPr>
        <w:t>Our goal is to limit the collection and use of information about you. When you purchase shares of our common stock, our transfer agent collects personal information about you, such as your name, address, social security number or tax identification number.</w:t>
      </w:r>
    </w:p>
    <w:p>
      <w:pPr>
        <w:spacing w:after="0" w:line="94" w:lineRule="exact"/>
        <w:rPr>
          <w:sz w:val="20"/>
          <w:szCs w:val="20"/>
          <w:color w:val="auto"/>
        </w:rPr>
      </w:pPr>
    </w:p>
    <w:p>
      <w:pPr>
        <w:ind w:left="700" w:right="879" w:firstLine="405"/>
        <w:spacing w:after="0" w:line="309" w:lineRule="auto"/>
        <w:rPr>
          <w:sz w:val="20"/>
          <w:szCs w:val="20"/>
          <w:color w:val="auto"/>
        </w:rPr>
      </w:pPr>
      <w:r>
        <w:rPr>
          <w:rFonts w:ascii="Times New Roman" w:cs="Times New Roman" w:eastAsia="Times New Roman" w:hAnsi="Times New Roman"/>
          <w:sz w:val="16"/>
          <w:szCs w:val="16"/>
          <w:color w:val="auto"/>
        </w:rPr>
        <w:t>This information is used only so that we can send you annual and semi-annual reports, proxy statements and other information required by law, and to send you information we believe may be of interest to you.</w:t>
      </w:r>
    </w:p>
    <w:p>
      <w:pPr>
        <w:spacing w:after="0" w:line="7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7"/>
          <w:szCs w:val="17"/>
          <w:color w:val="auto"/>
        </w:rPr>
        <w:t>We do not share such information with any non-affiliated third party except as described below:</w:t>
      </w:r>
    </w:p>
    <w:p>
      <w:pPr>
        <w:spacing w:after="0" w:line="146" w:lineRule="exact"/>
        <w:rPr>
          <w:sz w:val="20"/>
          <w:szCs w:val="20"/>
          <w:color w:val="auto"/>
        </w:rPr>
      </w:pPr>
    </w:p>
    <w:p>
      <w:pPr>
        <w:ind w:left="1520" w:right="1659" w:hanging="410"/>
        <w:spacing w:after="0" w:line="309" w:lineRule="auto"/>
        <w:tabs>
          <w:tab w:leader="none" w:pos="1516"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is our policy that only authorized employees of our investment adviser, Oxford Lane Management, who need to know your personal information will have access to it.</w:t>
      </w:r>
    </w:p>
    <w:p>
      <w:pPr>
        <w:spacing w:after="0" w:line="58" w:lineRule="exact"/>
        <w:rPr>
          <w:rFonts w:ascii="Times New Roman" w:cs="Times New Roman" w:eastAsia="Times New Roman" w:hAnsi="Times New Roman"/>
          <w:sz w:val="16"/>
          <w:szCs w:val="16"/>
          <w:color w:val="auto"/>
        </w:rPr>
      </w:pPr>
    </w:p>
    <w:p>
      <w:pPr>
        <w:jc w:val="both"/>
        <w:ind w:left="1520" w:right="819" w:hanging="410"/>
        <w:spacing w:after="0" w:line="286" w:lineRule="auto"/>
        <w:tabs>
          <w:tab w:leader="none" w:pos="1516"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disclose stockholder-related information to companies that provide services on our behalf, such as record keeping, processing your trades, and mailing you information. These companies are required to protect your information and use it solely for the purpose for which they received it.</w:t>
      </w:r>
    </w:p>
    <w:p>
      <w:pPr>
        <w:spacing w:after="0" w:line="89" w:lineRule="exact"/>
        <w:rPr>
          <w:rFonts w:ascii="Times New Roman" w:cs="Times New Roman" w:eastAsia="Times New Roman" w:hAnsi="Times New Roman"/>
          <w:sz w:val="16"/>
          <w:szCs w:val="16"/>
          <w:color w:val="auto"/>
        </w:rPr>
      </w:pPr>
    </w:p>
    <w:p>
      <w:pPr>
        <w:ind w:left="1520" w:right="859" w:hanging="410"/>
        <w:spacing w:after="0" w:line="262" w:lineRule="auto"/>
        <w:tabs>
          <w:tab w:leader="none" w:pos="1516"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required by law, we may disclose stockholder-related information in accordance with a court order or at the request of government regulators. Only that information required by law, subpoena, or court order will be disclosed.</w:t>
      </w:r>
    </w:p>
    <w:p>
      <w:pPr>
        <w:spacing w:after="0" w:line="103" w:lineRule="exact"/>
        <w:rPr>
          <w:sz w:val="20"/>
          <w:szCs w:val="20"/>
          <w:color w:val="auto"/>
        </w:rPr>
      </w:pPr>
    </w:p>
    <w:p>
      <w:pPr>
        <w:ind w:left="700" w:right="1059" w:firstLine="405"/>
        <w:spacing w:after="0" w:line="281" w:lineRule="auto"/>
        <w:rPr>
          <w:sz w:val="20"/>
          <w:szCs w:val="20"/>
          <w:color w:val="auto"/>
        </w:rPr>
      </w:pPr>
      <w:r>
        <w:rPr>
          <w:rFonts w:ascii="Times New Roman" w:cs="Times New Roman" w:eastAsia="Times New Roman" w:hAnsi="Times New Roman"/>
          <w:sz w:val="17"/>
          <w:szCs w:val="17"/>
          <w:color w:val="auto"/>
        </w:rPr>
        <w:t xml:space="preserve">Our privacy policy is available on our website at </w:t>
      </w:r>
      <w:r>
        <w:rPr>
          <w:rFonts w:ascii="Times New Roman" w:cs="Times New Roman" w:eastAsia="Times New Roman" w:hAnsi="Times New Roman"/>
          <w:sz w:val="17"/>
          <w:szCs w:val="17"/>
          <w:i w:val="1"/>
          <w:iCs w:val="1"/>
          <w:color w:val="auto"/>
        </w:rPr>
        <w:t>https://www.oxfordfunds.com/privacy-policy/</w:t>
      </w:r>
      <w:r>
        <w:rPr>
          <w:rFonts w:ascii="Times New Roman" w:cs="Times New Roman" w:eastAsia="Times New Roman" w:hAnsi="Times New Roman"/>
          <w:sz w:val="17"/>
          <w:szCs w:val="17"/>
          <w:color w:val="auto"/>
        </w:rPr>
        <w:t>. If you have any questions or concerns about the policy, please contact by calling (203) 983-5275.</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15240</wp:posOffset>
            </wp:positionV>
            <wp:extent cx="482473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4824730"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68" w:name="page69"/>
    <w:bookmarkEnd w:id="68"/>
    <w:p>
      <w:pPr>
        <w:ind w:left="7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21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BOARD OF DIRECTORS</w:t>
      </w:r>
    </w:p>
    <w:p>
      <w:pPr>
        <w:spacing w:after="0" w:line="2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Independent Directors</w:t>
      </w:r>
    </w:p>
    <w:p>
      <w:pPr>
        <w:spacing w:after="0" w:line="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Mark J. Ashenfelter, Chairman of the Board of Directors</w:t>
      </w:r>
    </w:p>
    <w:p>
      <w:pPr>
        <w:spacing w:after="0" w:line="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John Reardon</w:t>
      </w:r>
    </w:p>
    <w:p>
      <w:pPr>
        <w:spacing w:after="0" w:line="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David S. Shin</w:t>
      </w:r>
    </w:p>
    <w:p>
      <w:pPr>
        <w:spacing w:after="0" w:line="19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Interested Directors</w:t>
      </w:r>
      <w:r>
        <w:rPr>
          <w:rFonts w:ascii="Times New Roman" w:cs="Times New Roman" w:eastAsia="Times New Roman" w:hAnsi="Times New Roman"/>
          <w:sz w:val="19"/>
          <w:szCs w:val="19"/>
          <w:color w:val="auto"/>
          <w:vertAlign w:val="superscript"/>
        </w:rPr>
        <w:t>(1)</w:t>
      </w:r>
    </w:p>
    <w:p>
      <w:pPr>
        <w:spacing w:after="0" w:line="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Jonathan H. Cohen</w:t>
      </w:r>
    </w:p>
    <w:p>
      <w:pPr>
        <w:spacing w:after="0" w:line="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Saul B. Rosenthal</w:t>
      </w:r>
    </w:p>
    <w:p>
      <w:pPr>
        <w:spacing w:after="0" w:line="19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OFFICERS</w:t>
      </w:r>
    </w:p>
    <w:p>
      <w:pPr>
        <w:spacing w:after="0" w:line="2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Jonathan H. Cohen, Chief Executive Officer</w:t>
      </w:r>
    </w:p>
    <w:p>
      <w:pPr>
        <w:spacing w:after="0" w:line="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Saul B. Rosenthal, President</w:t>
      </w:r>
    </w:p>
    <w:p>
      <w:pPr>
        <w:spacing w:after="0" w:line="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Bruce L. Rubin, Chief Financial Officer, Corporate Secretary and Treasurer</w:t>
      </w:r>
    </w:p>
    <w:p>
      <w:pPr>
        <w:spacing w:after="0" w:line="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Gerald Cummins, Chief Compliance Officer</w:t>
      </w:r>
    </w:p>
    <w:p>
      <w:pPr>
        <w:spacing w:after="0" w:line="19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INVESTMENT ADVISER</w:t>
      </w:r>
    </w:p>
    <w:p>
      <w:pPr>
        <w:spacing w:after="0" w:line="2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Oxford Lane Management, LLC</w:t>
      </w:r>
    </w:p>
    <w:p>
      <w:pPr>
        <w:spacing w:after="0" w:line="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8 Sound Shore Drive, Suite 255</w:t>
      </w:r>
    </w:p>
    <w:p>
      <w:pPr>
        <w:spacing w:after="0" w:line="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Greenwich, CT 06830</w:t>
      </w:r>
    </w:p>
    <w:p>
      <w:pPr>
        <w:spacing w:after="0" w:line="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5"/>
          <w:szCs w:val="15"/>
          <w:color w:val="auto"/>
        </w:rPr>
        <w:t>____________</w:t>
      </w:r>
    </w:p>
    <w:p>
      <w:pPr>
        <w:spacing w:after="0" w:line="82" w:lineRule="exact"/>
        <w:rPr>
          <w:sz w:val="20"/>
          <w:szCs w:val="20"/>
          <w:color w:val="auto"/>
        </w:rPr>
      </w:pPr>
    </w:p>
    <w:p>
      <w:pPr>
        <w:ind w:left="1120" w:right="859" w:hanging="415"/>
        <w:spacing w:after="0" w:line="298" w:lineRule="auto"/>
        <w:tabs>
          <w:tab w:leader="none" w:pos="112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Interested directors are “interested persons,” as defined in section 2(a)(19) of the Investment Company Act of 1940, as amended.</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15240</wp:posOffset>
            </wp:positionV>
            <wp:extent cx="482473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4824730"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69" w:name="page70"/>
    <w:bookmarkEnd w:id="69"/>
    <w:p>
      <w:pPr>
        <w:ind w:left="7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13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 xml:space="preserve">8 Sound Shore Drive, Suite 255 | Greenwich, CT 06830 | </w:t>
      </w:r>
      <w:r>
        <w:rPr>
          <w:rFonts w:ascii="Times New Roman" w:cs="Times New Roman" w:eastAsia="Times New Roman" w:hAnsi="Times New Roman"/>
          <w:sz w:val="16"/>
          <w:szCs w:val="16"/>
          <w:i w:val="1"/>
          <w:iCs w:val="1"/>
          <w:color w:val="auto"/>
        </w:rPr>
        <w:t>oxfordlanecapital.com</w:t>
      </w:r>
      <w:r>
        <w:rPr>
          <w:rFonts w:ascii="Times New Roman" w:cs="Times New Roman" w:eastAsia="Times New Roman" w:hAnsi="Times New Roman"/>
          <w:sz w:val="16"/>
          <w:szCs w:val="16"/>
          <w:color w:val="auto"/>
        </w:rPr>
        <w:t xml:space="preserve"> | (203) 983-5275</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15240</wp:posOffset>
            </wp:positionV>
            <wp:extent cx="482473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4824730"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70" w:name="page71"/>
    <w:bookmarkEnd w:id="70"/>
    <w:p>
      <w:pPr>
        <w:ind w:left="7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Item 2. Code of Ethics.</w:t>
      </w:r>
    </w:p>
    <w:p>
      <w:pPr>
        <w:spacing w:after="0" w:line="13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7"/>
          <w:szCs w:val="17"/>
          <w:color w:val="auto"/>
        </w:rPr>
        <w:t>The information required by this item is not required in a semi-annual report on Form N-CSR.</w:t>
      </w:r>
    </w:p>
    <w:p>
      <w:pPr>
        <w:spacing w:after="0" w:line="20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Item 3. Audit Committee Financial Expert.</w:t>
      </w:r>
    </w:p>
    <w:p>
      <w:pPr>
        <w:spacing w:after="0" w:line="15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7"/>
          <w:szCs w:val="17"/>
          <w:color w:val="auto"/>
        </w:rPr>
        <w:t>The information required by this item is not required in a semi-annual report on Form N-CSR.</w:t>
      </w:r>
    </w:p>
    <w:p>
      <w:pPr>
        <w:spacing w:after="0" w:line="20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Item 4. Principal Accountant Fees and Services.</w:t>
      </w:r>
    </w:p>
    <w:p>
      <w:pPr>
        <w:spacing w:after="0" w:line="15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7"/>
          <w:szCs w:val="17"/>
          <w:color w:val="auto"/>
        </w:rPr>
        <w:t>The information required by this item is not required in a semi-annual report on Form N-CSR.</w:t>
      </w:r>
    </w:p>
    <w:p>
      <w:pPr>
        <w:spacing w:after="0" w:line="20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Item 5. Audit Committee of Listed Registrant.</w:t>
      </w:r>
    </w:p>
    <w:p>
      <w:pPr>
        <w:spacing w:after="0" w:line="13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7"/>
          <w:szCs w:val="17"/>
          <w:color w:val="auto"/>
        </w:rPr>
        <w:t>The information required by this item is not required in a semi-annual report on Form N-CSR.</w:t>
      </w:r>
    </w:p>
    <w:p>
      <w:pPr>
        <w:spacing w:after="0" w:line="20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Item 6. Investments.</w:t>
      </w:r>
    </w:p>
    <w:p>
      <w:pPr>
        <w:spacing w:after="0" w:line="150" w:lineRule="exact"/>
        <w:rPr>
          <w:sz w:val="20"/>
          <w:szCs w:val="20"/>
          <w:color w:val="auto"/>
        </w:rPr>
      </w:pPr>
    </w:p>
    <w:p>
      <w:pPr>
        <w:ind w:left="700" w:right="879" w:firstLine="405"/>
        <w:spacing w:after="0" w:line="276" w:lineRule="auto"/>
        <w:rPr>
          <w:sz w:val="20"/>
          <w:szCs w:val="20"/>
          <w:color w:val="auto"/>
        </w:rPr>
      </w:pPr>
      <w:r>
        <w:rPr>
          <w:rFonts w:ascii="Times New Roman" w:cs="Times New Roman" w:eastAsia="Times New Roman" w:hAnsi="Times New Roman"/>
          <w:sz w:val="17"/>
          <w:szCs w:val="17"/>
          <w:color w:val="auto"/>
        </w:rPr>
        <w:t>Please see the schedule of investments contained in the Report to Stockholders included under Item 1 of this Form N-CSR.</w:t>
      </w:r>
    </w:p>
    <w:p>
      <w:pPr>
        <w:spacing w:after="0" w:line="154" w:lineRule="exact"/>
        <w:rPr>
          <w:sz w:val="20"/>
          <w:szCs w:val="20"/>
          <w:color w:val="auto"/>
        </w:rPr>
      </w:pPr>
    </w:p>
    <w:p>
      <w:pPr>
        <w:ind w:left="700" w:right="1119"/>
        <w:spacing w:after="0" w:line="281" w:lineRule="auto"/>
        <w:rPr>
          <w:sz w:val="20"/>
          <w:szCs w:val="20"/>
          <w:color w:val="auto"/>
        </w:rPr>
      </w:pPr>
      <w:r>
        <w:rPr>
          <w:rFonts w:ascii="Times New Roman" w:cs="Times New Roman" w:eastAsia="Times New Roman" w:hAnsi="Times New Roman"/>
          <w:sz w:val="17"/>
          <w:szCs w:val="17"/>
          <w:b w:val="1"/>
          <w:bCs w:val="1"/>
          <w:color w:val="auto"/>
        </w:rPr>
        <w:t>Item 7. Disclosure of Proxy Voting Policies and Procedures for Closed-End Management Investment Companies.</w:t>
      </w:r>
    </w:p>
    <w:p>
      <w:pPr>
        <w:spacing w:after="0" w:line="9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7"/>
          <w:szCs w:val="17"/>
          <w:color w:val="auto"/>
        </w:rPr>
        <w:t>The information required by this item is not required in a semi-annual report on Form N-CSR.</w:t>
      </w:r>
    </w:p>
    <w:p>
      <w:pPr>
        <w:spacing w:after="0" w:line="20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Item 8. Portfolio Managers of Closed-End Investment Companies.</w:t>
      </w:r>
    </w:p>
    <w:p>
      <w:pPr>
        <w:spacing w:after="0" w:line="138" w:lineRule="exact"/>
        <w:rPr>
          <w:sz w:val="20"/>
          <w:szCs w:val="20"/>
          <w:color w:val="auto"/>
        </w:rPr>
      </w:pPr>
    </w:p>
    <w:p>
      <w:pPr>
        <w:ind w:left="1520" w:hanging="410"/>
        <w:spacing w:after="0"/>
        <w:tabs>
          <w:tab w:leader="none" w:pos="15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required by this item is not required in a semi-annual report on Form N-CSR.</w:t>
      </w:r>
    </w:p>
    <w:p>
      <w:pPr>
        <w:spacing w:after="0" w:line="146" w:lineRule="exact"/>
        <w:rPr>
          <w:rFonts w:ascii="Times New Roman" w:cs="Times New Roman" w:eastAsia="Times New Roman" w:hAnsi="Times New Roman"/>
          <w:sz w:val="17"/>
          <w:szCs w:val="17"/>
          <w:color w:val="auto"/>
        </w:rPr>
      </w:pPr>
    </w:p>
    <w:p>
      <w:pPr>
        <w:ind w:left="1520" w:right="819" w:hanging="410"/>
        <w:spacing w:after="0" w:line="262" w:lineRule="auto"/>
        <w:tabs>
          <w:tab w:leader="none" w:pos="1476"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has been no change, as of the date of the filing of this semi-annual report on Form N-CSR, to any of the portfolio managers identified in response to paragraph (a)(1) of this item in the Registrant’s most recent annual report on Form N-CSR.</w:t>
      </w:r>
    </w:p>
    <w:p>
      <w:pPr>
        <w:spacing w:after="0" w:line="166" w:lineRule="exact"/>
        <w:rPr>
          <w:sz w:val="20"/>
          <w:szCs w:val="20"/>
          <w:color w:val="auto"/>
        </w:rPr>
      </w:pPr>
    </w:p>
    <w:p>
      <w:pPr>
        <w:ind w:left="700" w:right="839"/>
        <w:spacing w:after="0" w:line="281" w:lineRule="auto"/>
        <w:rPr>
          <w:sz w:val="20"/>
          <w:szCs w:val="20"/>
          <w:color w:val="auto"/>
        </w:rPr>
      </w:pPr>
      <w:r>
        <w:rPr>
          <w:rFonts w:ascii="Times New Roman" w:cs="Times New Roman" w:eastAsia="Times New Roman" w:hAnsi="Times New Roman"/>
          <w:sz w:val="17"/>
          <w:szCs w:val="17"/>
          <w:b w:val="1"/>
          <w:bCs w:val="1"/>
          <w:color w:val="auto"/>
        </w:rPr>
        <w:t>Item 9. Purchases of Equity Securities by Closed-End Management Investment Company and Affiliated Purchasers.</w:t>
      </w:r>
    </w:p>
    <w:p>
      <w:pPr>
        <w:spacing w:after="0" w:line="9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7"/>
          <w:szCs w:val="17"/>
          <w:color w:val="auto"/>
        </w:rPr>
        <w:t>None.</w:t>
      </w:r>
    </w:p>
    <w:p>
      <w:pPr>
        <w:spacing w:after="0" w:line="20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Item 10. Submission of Matters to a Vote of Security Holders.</w:t>
      </w:r>
    </w:p>
    <w:p>
      <w:pPr>
        <w:spacing w:after="0" w:line="138"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7"/>
          <w:szCs w:val="17"/>
          <w:color w:val="auto"/>
        </w:rPr>
        <w:t>None.</w:t>
      </w:r>
    </w:p>
    <w:p>
      <w:pPr>
        <w:spacing w:after="0" w:line="20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Item 11. Controls and Procedures.</w:t>
      </w:r>
    </w:p>
    <w:p>
      <w:pPr>
        <w:spacing w:after="0" w:line="150" w:lineRule="exact"/>
        <w:rPr>
          <w:sz w:val="20"/>
          <w:szCs w:val="20"/>
          <w:color w:val="auto"/>
        </w:rPr>
      </w:pPr>
    </w:p>
    <w:p>
      <w:pPr>
        <w:ind w:left="1520" w:hanging="410"/>
        <w:spacing w:after="0"/>
        <w:tabs>
          <w:tab w:leader="none" w:pos="152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an evaluation of the Disclosure Controls and Procedures (as defined in Rule 30a-</w:t>
      </w:r>
    </w:p>
    <w:p>
      <w:pPr>
        <w:spacing w:after="0" w:line="22" w:lineRule="exact"/>
        <w:rPr>
          <w:rFonts w:ascii="Times New Roman" w:cs="Times New Roman" w:eastAsia="Times New Roman" w:hAnsi="Times New Roman"/>
          <w:sz w:val="17"/>
          <w:szCs w:val="17"/>
          <w:color w:val="auto"/>
        </w:rPr>
      </w:pPr>
    </w:p>
    <w:p>
      <w:pPr>
        <w:ind w:left="1520" w:right="739"/>
        <w:spacing w:after="0" w:line="24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3(c) under the Investment Company Act of 1940, the “Disclosure Controls”) as of a date within 90 days of the filing date (the “Filing Date”) of this Form N-CSR (the “Report”), the Chief Executive Officer (its principal executive officer) and Chief Financial Officer (its principal financial officer) have concluded that the Disclosure Controls are reasonably designed to ensure that information required to be disclosed by the Registrant in the Report is recorded, processed, summarized and reported by the Filing Date, including ensuring that information required to be disclosed in the Report is accumulated and communicated to the Registrant’s management, including the Registrant’s principal executive officer and principal financial officer, as appropriate to allow timely decisions regarding required disclosure.</w:t>
      </w:r>
    </w:p>
    <w:p>
      <w:pPr>
        <w:spacing w:after="0" w:line="121" w:lineRule="exact"/>
        <w:rPr>
          <w:rFonts w:ascii="Times New Roman" w:cs="Times New Roman" w:eastAsia="Times New Roman" w:hAnsi="Times New Roman"/>
          <w:sz w:val="17"/>
          <w:szCs w:val="17"/>
          <w:color w:val="auto"/>
        </w:rPr>
      </w:pPr>
    </w:p>
    <w:p>
      <w:pPr>
        <w:ind w:left="1520" w:right="779" w:hanging="410"/>
        <w:spacing w:after="0" w:line="258" w:lineRule="auto"/>
        <w:tabs>
          <w:tab w:leader="none" w:pos="1476"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were no changes in the Registrant’s internal control over financial reporting (as defined in Rule 30a-3(d) under the Investment Company Act of 1940) that occurred during the period covered by this report that have materially affected or are reasonably likely to materially affect the Registrant’s internal control over financial reporting.</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15240</wp:posOffset>
            </wp:positionV>
            <wp:extent cx="482473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4824730"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71" w:name="page72"/>
    <w:bookmarkEnd w:id="71"/>
    <w:p>
      <w:pPr>
        <w:ind w:left="7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Item 12. Disclosure of Securities Lending Activities for Closed-End Management Investment Companies</w:t>
      </w:r>
    </w:p>
    <w:p>
      <w:pPr>
        <w:spacing w:after="0" w:line="14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7"/>
          <w:szCs w:val="17"/>
          <w:color w:val="auto"/>
        </w:rPr>
        <w:t>None.</w:t>
      </w:r>
    </w:p>
    <w:p>
      <w:pPr>
        <w:spacing w:after="0" w:line="20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Item 13. Exhibits.</w:t>
      </w:r>
    </w:p>
    <w:p>
      <w:pPr>
        <w:spacing w:after="0" w:line="150" w:lineRule="exact"/>
        <w:rPr>
          <w:sz w:val="20"/>
          <w:szCs w:val="20"/>
          <w:color w:val="auto"/>
        </w:rPr>
      </w:pPr>
    </w:p>
    <w:p>
      <w:pPr>
        <w:ind w:left="1120"/>
        <w:spacing w:after="0"/>
        <w:tabs>
          <w:tab w:leader="none" w:pos="1680" w:val="left"/>
        </w:tabs>
        <w:rPr>
          <w:sz w:val="20"/>
          <w:szCs w:val="20"/>
          <w:color w:val="auto"/>
        </w:rPr>
      </w:pPr>
      <w:r>
        <w:rPr>
          <w:rFonts w:ascii="Times New Roman" w:cs="Times New Roman" w:eastAsia="Times New Roman" w:hAnsi="Times New Roman"/>
          <w:sz w:val="17"/>
          <w:szCs w:val="17"/>
          <w:color w:val="auto"/>
        </w:rPr>
        <w:t>(a)(1)</w:t>
        <w:tab/>
        <w:t>Not applicable.</w:t>
      </w:r>
    </w:p>
    <w:p>
      <w:pPr>
        <w:spacing w:after="0" w:line="146" w:lineRule="exact"/>
        <w:rPr>
          <w:sz w:val="20"/>
          <w:szCs w:val="20"/>
          <w:color w:val="auto"/>
        </w:rPr>
      </w:pPr>
    </w:p>
    <w:p>
      <w:pPr>
        <w:ind w:left="1700" w:right="1339" w:hanging="607"/>
        <w:spacing w:after="0" w:line="276" w:lineRule="auto"/>
        <w:tabs>
          <w:tab w:leader="none" w:pos="1680" w:val="left"/>
        </w:tabs>
        <w:rPr>
          <w:sz w:val="20"/>
          <w:szCs w:val="20"/>
          <w:color w:val="auto"/>
        </w:rPr>
      </w:pPr>
      <w:r>
        <w:rPr>
          <w:rFonts w:ascii="Times New Roman" w:cs="Times New Roman" w:eastAsia="Times New Roman" w:hAnsi="Times New Roman"/>
          <w:sz w:val="17"/>
          <w:szCs w:val="17"/>
          <w:color w:val="auto"/>
        </w:rPr>
        <w:t>(a)(2)</w:t>
      </w:r>
      <w:r>
        <w:rPr>
          <w:sz w:val="20"/>
          <w:szCs w:val="20"/>
          <w:color w:val="auto"/>
        </w:rPr>
        <w:tab/>
      </w:r>
      <w:r>
        <w:rPr>
          <w:rFonts w:ascii="Times New Roman" w:cs="Times New Roman" w:eastAsia="Times New Roman" w:hAnsi="Times New Roman"/>
          <w:sz w:val="17"/>
          <w:szCs w:val="17"/>
          <w:u w:val="single" w:color="auto"/>
          <w:color w:val="0000EE"/>
        </w:rPr>
        <w:t>Certifications of principal executive officer and principal financial officer as required by Rule 30a-2(a) under the Investment Company Act of 1940.</w:t>
      </w:r>
    </w:p>
    <w:p>
      <w:pPr>
        <w:spacing w:after="0" w:line="82" w:lineRule="exact"/>
        <w:rPr>
          <w:sz w:val="20"/>
          <w:szCs w:val="20"/>
          <w:color w:val="auto"/>
        </w:rPr>
      </w:pPr>
    </w:p>
    <w:p>
      <w:pPr>
        <w:ind w:left="1120"/>
        <w:spacing w:after="0"/>
        <w:tabs>
          <w:tab w:leader="none" w:pos="1680" w:val="left"/>
        </w:tabs>
        <w:rPr>
          <w:sz w:val="20"/>
          <w:szCs w:val="20"/>
          <w:color w:val="auto"/>
        </w:rPr>
      </w:pPr>
      <w:r>
        <w:rPr>
          <w:rFonts w:ascii="Times New Roman" w:cs="Times New Roman" w:eastAsia="Times New Roman" w:hAnsi="Times New Roman"/>
          <w:sz w:val="17"/>
          <w:szCs w:val="17"/>
          <w:color w:val="auto"/>
        </w:rPr>
        <w:t>(a)(3)</w:t>
        <w:tab/>
        <w:t>Not applicable.</w:t>
      </w:r>
    </w:p>
    <w:p>
      <w:pPr>
        <w:spacing w:after="0" w:line="146" w:lineRule="exact"/>
        <w:rPr>
          <w:sz w:val="20"/>
          <w:szCs w:val="20"/>
          <w:color w:val="auto"/>
        </w:rPr>
      </w:pPr>
    </w:p>
    <w:p>
      <w:pPr>
        <w:ind w:left="1120"/>
        <w:spacing w:after="0"/>
        <w:tabs>
          <w:tab w:leader="none" w:pos="1680" w:val="left"/>
        </w:tabs>
        <w:rPr>
          <w:sz w:val="20"/>
          <w:szCs w:val="20"/>
          <w:color w:val="auto"/>
        </w:rPr>
      </w:pPr>
      <w:r>
        <w:rPr>
          <w:rFonts w:ascii="Times New Roman" w:cs="Times New Roman" w:eastAsia="Times New Roman" w:hAnsi="Times New Roman"/>
          <w:sz w:val="17"/>
          <w:szCs w:val="17"/>
          <w:color w:val="auto"/>
        </w:rPr>
        <w:t>(a)(4)</w:t>
        <w:tab/>
        <w:t>Not applicable.</w:t>
      </w:r>
    </w:p>
    <w:p>
      <w:pPr>
        <w:spacing w:after="0" w:line="146" w:lineRule="exact"/>
        <w:rPr>
          <w:sz w:val="20"/>
          <w:szCs w:val="20"/>
          <w:color w:val="auto"/>
        </w:rPr>
      </w:pPr>
    </w:p>
    <w:p>
      <w:pPr>
        <w:ind w:left="1720" w:right="1039" w:hanging="610"/>
        <w:spacing w:after="0" w:line="276" w:lineRule="auto"/>
        <w:tabs>
          <w:tab w:leader="none" w:pos="1689"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0000EE"/>
        </w:rPr>
        <w:t>Certifications of chief executive officer and chief accounting officer as required by Rule 30a-2(b) under the Investment Company Act of 1940.</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15240</wp:posOffset>
            </wp:positionV>
            <wp:extent cx="482473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4824730"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72" w:name="page73"/>
    <w:bookmarkEnd w:id="72"/>
    <w:p>
      <w:pPr>
        <w:ind w:left="7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3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Pursuant to the requirements of the Securities Exchange Act of 1934 and the Investment Company</w:t>
      </w:r>
    </w:p>
    <w:p>
      <w:pPr>
        <w:spacing w:after="0" w:line="23" w:lineRule="exact"/>
        <w:rPr>
          <w:sz w:val="20"/>
          <w:szCs w:val="20"/>
          <w:color w:val="auto"/>
        </w:rPr>
      </w:pPr>
    </w:p>
    <w:p>
      <w:pPr>
        <w:ind w:left="700" w:right="859"/>
        <w:spacing w:after="0" w:line="257" w:lineRule="auto"/>
        <w:rPr>
          <w:sz w:val="20"/>
          <w:szCs w:val="20"/>
          <w:color w:val="auto"/>
        </w:rPr>
      </w:pPr>
      <w:r>
        <w:rPr>
          <w:rFonts w:ascii="Times New Roman" w:cs="Times New Roman" w:eastAsia="Times New Roman" w:hAnsi="Times New Roman"/>
          <w:sz w:val="17"/>
          <w:szCs w:val="17"/>
          <w:color w:val="auto"/>
        </w:rPr>
        <w:t>Act of 1940, the Registrant has duly caused this report to be signed on its behalf by the undersigned, thereunto duly authorized.</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OXFORD LANE CAPITAL CORP.</w:t>
      </w:r>
    </w:p>
    <w:p>
      <w:pPr>
        <w:spacing w:after="0" w:line="214" w:lineRule="exact"/>
        <w:rPr>
          <w:sz w:val="20"/>
          <w:szCs w:val="20"/>
          <w:color w:val="auto"/>
        </w:rPr>
      </w:pPr>
    </w:p>
    <w:p>
      <w:pPr>
        <w:ind w:left="5240"/>
        <w:spacing w:after="0"/>
        <w:tabs>
          <w:tab w:leader="none" w:pos="560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6"/>
          <w:szCs w:val="16"/>
          <w:color w:val="auto"/>
        </w:rPr>
        <w:t>/s/ Jonathan H. Cohen</w:t>
      </w:r>
    </w:p>
    <w:p>
      <w:pPr>
        <w:spacing w:after="0" w:line="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Jonathan H.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3567430</wp:posOffset>
            </wp:positionH>
            <wp:positionV relativeFrom="paragraph">
              <wp:posOffset>-121285</wp:posOffset>
            </wp:positionV>
            <wp:extent cx="170497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704975"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Date: November 1, 2022</w:t>
      </w:r>
    </w:p>
    <w:p>
      <w:pPr>
        <w:spacing w:after="0" w:line="19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7"/>
          <w:szCs w:val="17"/>
          <w:color w:val="auto"/>
        </w:rPr>
        <w:t>Pursuant to the requirements of the Securities Exchange Act of 1934 and the Investment Company</w:t>
      </w:r>
    </w:p>
    <w:p>
      <w:pPr>
        <w:spacing w:after="0" w:line="2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Act of 1940, this report has been signed below by the following persons on behalf of the Registrant and in the</w:t>
      </w:r>
    </w:p>
    <w:p>
      <w:pPr>
        <w:spacing w:after="0" w:line="1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capacities and on the dates indicated.</w:t>
      </w:r>
    </w:p>
    <w:p>
      <w:pPr>
        <w:spacing w:after="0" w:line="181" w:lineRule="exact"/>
        <w:rPr>
          <w:sz w:val="20"/>
          <w:szCs w:val="20"/>
          <w:color w:val="auto"/>
        </w:rPr>
      </w:pPr>
    </w:p>
    <w:p>
      <w:pPr>
        <w:ind w:left="5240"/>
        <w:spacing w:after="0"/>
        <w:tabs>
          <w:tab w:leader="none" w:pos="562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6"/>
          <w:szCs w:val="16"/>
          <w:color w:val="auto"/>
        </w:rPr>
        <w:t>/s/ Jonathan H. Cohen</w:t>
      </w:r>
    </w:p>
    <w:p>
      <w:pPr>
        <w:spacing w:after="0" w:line="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Jonathan H.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-121285</wp:posOffset>
            </wp:positionV>
            <wp:extent cx="169672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69672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Date: November 1, 2022</w:t>
      </w:r>
    </w:p>
    <w:p>
      <w:pPr>
        <w:spacing w:after="0" w:line="232" w:lineRule="exact"/>
        <w:rPr>
          <w:sz w:val="20"/>
          <w:szCs w:val="20"/>
          <w:color w:val="auto"/>
        </w:rPr>
      </w:pPr>
    </w:p>
    <w:p>
      <w:pPr>
        <w:ind w:left="5240"/>
        <w:spacing w:after="0"/>
        <w:tabs>
          <w:tab w:leader="none" w:pos="562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6"/>
          <w:szCs w:val="16"/>
          <w:color w:val="auto"/>
        </w:rPr>
        <w:t>/s/ Bruce L. Rubin</w:t>
      </w:r>
    </w:p>
    <w:p>
      <w:pPr>
        <w:spacing w:after="0" w:line="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Bruce L.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-121285</wp:posOffset>
            </wp:positionV>
            <wp:extent cx="169672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69672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Date: November 1, 2022</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15240</wp:posOffset>
            </wp:positionV>
            <wp:extent cx="482473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4824730" cy="825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73" w:name="page74"/>
    <w:bookmarkEnd w:id="73"/>
    <w:p>
      <w:pPr>
        <w:jc w:val="right"/>
        <w:ind w:right="719"/>
        <w:spacing w:after="0"/>
        <w:rPr>
          <w:sz w:val="20"/>
          <w:szCs w:val="20"/>
          <w:color w:val="auto"/>
        </w:rPr>
      </w:pPr>
      <w:r>
        <w:rPr>
          <w:rFonts w:ascii="Times New Roman" w:cs="Times New Roman" w:eastAsia="Times New Roman" w:hAnsi="Times New Roman"/>
          <w:sz w:val="17"/>
          <w:szCs w:val="17"/>
          <w:b w:val="1"/>
          <w:bCs w:val="1"/>
          <w:color w:val="auto"/>
        </w:rPr>
        <w:t>Exhibit 99.CERT</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Exhibit 13(a)(2)</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Rule 30a-2(a) Certification</w:t>
      </w:r>
    </w:p>
    <w:p>
      <w:pPr>
        <w:spacing w:after="0" w:line="1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I, Jonathan H. Cohen, Chief Executive Officer of Oxford Lane Capital Corp., certify that:</w:t>
      </w:r>
    </w:p>
    <w:p>
      <w:pPr>
        <w:spacing w:after="0" w:line="134" w:lineRule="exact"/>
        <w:rPr>
          <w:sz w:val="20"/>
          <w:szCs w:val="20"/>
          <w:color w:val="auto"/>
        </w:rPr>
      </w:pPr>
    </w:p>
    <w:p>
      <w:pPr>
        <w:ind w:left="1480" w:hanging="370"/>
        <w:spacing w:after="0"/>
        <w:tabs>
          <w:tab w:leader="none" w:pos="148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report on Form N-CSR of Oxford Lane Capital Corp.;</w:t>
      </w:r>
    </w:p>
    <w:p>
      <w:pPr>
        <w:spacing w:after="0" w:line="146" w:lineRule="exact"/>
        <w:rPr>
          <w:rFonts w:ascii="Times New Roman" w:cs="Times New Roman" w:eastAsia="Times New Roman" w:hAnsi="Times New Roman"/>
          <w:sz w:val="17"/>
          <w:szCs w:val="17"/>
          <w:color w:val="auto"/>
        </w:rPr>
      </w:pPr>
    </w:p>
    <w:p>
      <w:pPr>
        <w:ind w:left="1520" w:right="779" w:hanging="410"/>
        <w:spacing w:after="0" w:line="286" w:lineRule="auto"/>
        <w:tabs>
          <w:tab w:leader="none" w:pos="1494"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Times New Roman" w:cs="Times New Roman" w:eastAsia="Times New Roman" w:hAnsi="Times New Roman"/>
          <w:sz w:val="16"/>
          <w:szCs w:val="16"/>
          <w:color w:val="auto"/>
        </w:rPr>
      </w:pPr>
    </w:p>
    <w:p>
      <w:pPr>
        <w:ind w:left="1520" w:right="739" w:hanging="410"/>
        <w:spacing w:after="0" w:line="258" w:lineRule="auto"/>
        <w:tabs>
          <w:tab w:leader="none" w:pos="1494"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changes in net assets, and cash flows (if the financial statements are required to include a statement of cash flows) of the registrant as of, and for, the periods presented in this report;</w:t>
      </w:r>
    </w:p>
    <w:p>
      <w:pPr>
        <w:spacing w:after="0" w:line="96" w:lineRule="exact"/>
        <w:rPr>
          <w:rFonts w:ascii="Times New Roman" w:cs="Times New Roman" w:eastAsia="Times New Roman" w:hAnsi="Times New Roman"/>
          <w:sz w:val="17"/>
          <w:szCs w:val="17"/>
          <w:color w:val="auto"/>
        </w:rPr>
      </w:pPr>
    </w:p>
    <w:p>
      <w:pPr>
        <w:ind w:left="1520" w:right="1019" w:hanging="410"/>
        <w:spacing w:after="0" w:line="258" w:lineRule="auto"/>
        <w:tabs>
          <w:tab w:leader="none" w:pos="1494"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Rule 30a-3(c) under the Investment Company Act of 1940) and internal control over financial reporting (as defined in Rule 30a-3(d) under the Investment Company Act of 1940) for the registrant and have:</w:t>
      </w:r>
    </w:p>
    <w:p>
      <w:pPr>
        <w:spacing w:after="0" w:line="109" w:lineRule="exact"/>
        <w:rPr>
          <w:rFonts w:ascii="Times New Roman" w:cs="Times New Roman" w:eastAsia="Times New Roman" w:hAnsi="Times New Roman"/>
          <w:sz w:val="17"/>
          <w:szCs w:val="17"/>
          <w:color w:val="auto"/>
        </w:rPr>
      </w:pPr>
    </w:p>
    <w:p>
      <w:pPr>
        <w:ind w:left="1920" w:right="779" w:hanging="405"/>
        <w:spacing w:after="0" w:line="258" w:lineRule="auto"/>
        <w:tabs>
          <w:tab w:leader="none" w:pos="1899"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Times New Roman" w:cs="Times New Roman" w:eastAsia="Times New Roman" w:hAnsi="Times New Roman"/>
          <w:sz w:val="17"/>
          <w:szCs w:val="17"/>
          <w:color w:val="auto"/>
        </w:rPr>
      </w:pPr>
    </w:p>
    <w:p>
      <w:pPr>
        <w:ind w:left="1920" w:right="879" w:hanging="405"/>
        <w:spacing w:after="0" w:line="258" w:lineRule="auto"/>
        <w:tabs>
          <w:tab w:leader="none" w:pos="1909"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6" w:lineRule="exact"/>
        <w:rPr>
          <w:rFonts w:ascii="Times New Roman" w:cs="Times New Roman" w:eastAsia="Times New Roman" w:hAnsi="Times New Roman"/>
          <w:sz w:val="17"/>
          <w:szCs w:val="17"/>
          <w:color w:val="auto"/>
        </w:rPr>
      </w:pPr>
    </w:p>
    <w:p>
      <w:pPr>
        <w:ind w:left="1920" w:right="719" w:hanging="405"/>
        <w:spacing w:after="0" w:line="258" w:lineRule="auto"/>
        <w:tabs>
          <w:tab w:leader="none" w:pos="1899"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a date within 90 days prior to the filing date of this report based on such evaluation;</w:t>
      </w:r>
    </w:p>
    <w:p>
      <w:pPr>
        <w:spacing w:after="0" w:line="109" w:lineRule="exact"/>
        <w:rPr>
          <w:rFonts w:ascii="Times New Roman" w:cs="Times New Roman" w:eastAsia="Times New Roman" w:hAnsi="Times New Roman"/>
          <w:sz w:val="17"/>
          <w:szCs w:val="17"/>
          <w:color w:val="auto"/>
        </w:rPr>
      </w:pPr>
    </w:p>
    <w:p>
      <w:pPr>
        <w:ind w:left="1920" w:right="779" w:hanging="405"/>
        <w:spacing w:after="0" w:line="258" w:lineRule="auto"/>
        <w:tabs>
          <w:tab w:leader="none" w:pos="1909"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period covered by this report that has materially affected, or is reasonably likely to materially affect, the registrant’s internal control over financial reporting; and</w:t>
      </w:r>
    </w:p>
    <w:p>
      <w:pPr>
        <w:spacing w:after="0" w:line="109" w:lineRule="exact"/>
        <w:rPr>
          <w:rFonts w:ascii="Times New Roman" w:cs="Times New Roman" w:eastAsia="Times New Roman" w:hAnsi="Times New Roman"/>
          <w:sz w:val="17"/>
          <w:szCs w:val="17"/>
          <w:color w:val="auto"/>
        </w:rPr>
      </w:pPr>
    </w:p>
    <w:p>
      <w:pPr>
        <w:ind w:left="1520" w:right="759" w:hanging="410"/>
        <w:spacing w:after="0" w:line="309" w:lineRule="auto"/>
        <w:tabs>
          <w:tab w:leader="none" w:pos="1494"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to the registrant’s auditors and the audit committee of the registrant’s board of directors (or persons performing the equivalent functions):</w:t>
      </w:r>
    </w:p>
    <w:p>
      <w:pPr>
        <w:spacing w:after="0" w:line="58" w:lineRule="exact"/>
        <w:rPr>
          <w:rFonts w:ascii="Times New Roman" w:cs="Times New Roman" w:eastAsia="Times New Roman" w:hAnsi="Times New Roman"/>
          <w:sz w:val="16"/>
          <w:szCs w:val="16"/>
          <w:color w:val="auto"/>
        </w:rPr>
      </w:pPr>
    </w:p>
    <w:p>
      <w:pPr>
        <w:ind w:left="1920" w:right="759" w:hanging="405"/>
        <w:spacing w:after="0" w:line="262" w:lineRule="auto"/>
        <w:tabs>
          <w:tab w:leader="none" w:pos="1899"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6" w:lineRule="exact"/>
        <w:rPr>
          <w:rFonts w:ascii="Times New Roman" w:cs="Times New Roman" w:eastAsia="Times New Roman" w:hAnsi="Times New Roman"/>
          <w:sz w:val="17"/>
          <w:szCs w:val="17"/>
          <w:color w:val="auto"/>
        </w:rPr>
      </w:pPr>
    </w:p>
    <w:p>
      <w:pPr>
        <w:ind w:left="1920" w:right="799" w:hanging="405"/>
        <w:spacing w:after="0" w:line="276" w:lineRule="auto"/>
        <w:tabs>
          <w:tab w:leader="none" w:pos="1909"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9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Dated this 1</w:t>
      </w:r>
      <w:r>
        <w:rPr>
          <w:rFonts w:ascii="Times New Roman" w:cs="Times New Roman" w:eastAsia="Times New Roman" w:hAnsi="Times New Roman"/>
          <w:sz w:val="19"/>
          <w:szCs w:val="19"/>
          <w:color w:val="auto"/>
          <w:vertAlign w:val="superscript"/>
        </w:rPr>
        <w:t>st</w:t>
      </w:r>
      <w:r>
        <w:rPr>
          <w:rFonts w:ascii="Times New Roman" w:cs="Times New Roman" w:eastAsia="Times New Roman" w:hAnsi="Times New Roman"/>
          <w:sz w:val="17"/>
          <w:szCs w:val="17"/>
          <w:color w:val="auto"/>
        </w:rPr>
        <w:t xml:space="preserve"> day of November, 2022</w:t>
      </w:r>
    </w:p>
    <w:p>
      <w:pPr>
        <w:spacing w:after="0" w:line="288"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7"/>
          <w:szCs w:val="17"/>
          <w:color w:val="auto"/>
        </w:rPr>
        <w:t>/s/ JONATHAN H. COHEN</w:t>
      </w:r>
    </w:p>
    <w:p>
      <w:pPr>
        <w:spacing w:after="0" w:line="58"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7"/>
          <w:szCs w:val="17"/>
          <w:color w:val="auto"/>
        </w:rPr>
        <w:t>Jonathan H.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3109595</wp:posOffset>
            </wp:positionH>
            <wp:positionV relativeFrom="paragraph">
              <wp:posOffset>-121285</wp:posOffset>
            </wp:positionV>
            <wp:extent cx="216344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2163445" cy="8255"/>
                    </a:xfrm>
                    <a:prstGeom prst="rect">
                      <a:avLst/>
                    </a:prstGeom>
                    <a:noFill/>
                  </pic:spPr>
                </pic:pic>
              </a:graphicData>
            </a:graphic>
          </wp:anchor>
        </w:drawing>
      </w:r>
    </w:p>
    <w:p>
      <w:pPr>
        <w:spacing w:after="0" w:line="38"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288290</wp:posOffset>
            </wp:positionV>
            <wp:extent cx="482473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4824730" cy="8255"/>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7"/>
          <w:szCs w:val="17"/>
          <w:b w:val="1"/>
          <w:bCs w:val="1"/>
          <w:color w:val="auto"/>
        </w:rPr>
        <w:t>Exhibit 13(a)(2)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Rule 30a-2(a) Certification</w:t>
      </w:r>
    </w:p>
    <w:p>
      <w:pPr>
        <w:spacing w:after="0" w:line="13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I, Bruce L. Rubin, Chief Financial Officer of Oxford Lane Capital Corp., certify that:</w:t>
      </w:r>
    </w:p>
    <w:p>
      <w:pPr>
        <w:spacing w:after="0" w:line="134" w:lineRule="exact"/>
        <w:rPr>
          <w:sz w:val="20"/>
          <w:szCs w:val="20"/>
          <w:color w:val="auto"/>
        </w:rPr>
      </w:pPr>
    </w:p>
    <w:p>
      <w:pPr>
        <w:ind w:left="1480" w:hanging="370"/>
        <w:spacing w:after="0"/>
        <w:tabs>
          <w:tab w:leader="none" w:pos="148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report on Form N-CSR of Oxford Lane Capital Corp.;</w:t>
      </w:r>
    </w:p>
    <w:p>
      <w:pPr>
        <w:spacing w:after="0" w:line="146" w:lineRule="exact"/>
        <w:rPr>
          <w:rFonts w:ascii="Times New Roman" w:cs="Times New Roman" w:eastAsia="Times New Roman" w:hAnsi="Times New Roman"/>
          <w:sz w:val="17"/>
          <w:szCs w:val="17"/>
          <w:color w:val="auto"/>
        </w:rPr>
      </w:pPr>
    </w:p>
    <w:p>
      <w:pPr>
        <w:ind w:left="1520" w:right="779" w:hanging="410"/>
        <w:spacing w:after="0" w:line="286" w:lineRule="auto"/>
        <w:tabs>
          <w:tab w:leader="none" w:pos="1494"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Times New Roman" w:cs="Times New Roman" w:eastAsia="Times New Roman" w:hAnsi="Times New Roman"/>
          <w:sz w:val="16"/>
          <w:szCs w:val="16"/>
          <w:color w:val="auto"/>
        </w:rPr>
      </w:pPr>
    </w:p>
    <w:p>
      <w:pPr>
        <w:ind w:left="1520" w:right="739" w:hanging="410"/>
        <w:spacing w:after="0" w:line="258" w:lineRule="auto"/>
        <w:tabs>
          <w:tab w:leader="none" w:pos="1494"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changes in net assets, and cash flows (if the financial statements are required to include a statement of cash flows) of the registrant as of, and for, the periods presented in this report;</w:t>
      </w:r>
    </w:p>
    <w:p>
      <w:pPr>
        <w:spacing w:after="0" w:line="96" w:lineRule="exact"/>
        <w:rPr>
          <w:rFonts w:ascii="Times New Roman" w:cs="Times New Roman" w:eastAsia="Times New Roman" w:hAnsi="Times New Roman"/>
          <w:sz w:val="17"/>
          <w:szCs w:val="17"/>
          <w:color w:val="auto"/>
        </w:rPr>
      </w:pPr>
    </w:p>
    <w:p>
      <w:pPr>
        <w:ind w:left="1520" w:right="1019" w:hanging="410"/>
        <w:spacing w:after="0" w:line="258" w:lineRule="auto"/>
        <w:tabs>
          <w:tab w:leader="none" w:pos="1494"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Rule 30a-3(c) under the Investment Company Act of 1940) and internal control over financial reporting (as defined in Rule 30a-3(d) under the Investment Company Act of 1940) for the registrant and have:</w:t>
      </w:r>
    </w:p>
    <w:p>
      <w:pPr>
        <w:spacing w:after="0" w:line="109" w:lineRule="exact"/>
        <w:rPr>
          <w:rFonts w:ascii="Times New Roman" w:cs="Times New Roman" w:eastAsia="Times New Roman" w:hAnsi="Times New Roman"/>
          <w:sz w:val="17"/>
          <w:szCs w:val="17"/>
          <w:color w:val="auto"/>
        </w:rPr>
      </w:pPr>
    </w:p>
    <w:p>
      <w:pPr>
        <w:ind w:left="1920" w:right="779" w:hanging="405"/>
        <w:spacing w:after="0" w:line="258" w:lineRule="auto"/>
        <w:tabs>
          <w:tab w:leader="none" w:pos="1899"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Times New Roman" w:cs="Times New Roman" w:eastAsia="Times New Roman" w:hAnsi="Times New Roman"/>
          <w:sz w:val="17"/>
          <w:szCs w:val="17"/>
          <w:color w:val="auto"/>
        </w:rPr>
      </w:pPr>
    </w:p>
    <w:p>
      <w:pPr>
        <w:ind w:left="1920" w:right="879" w:hanging="405"/>
        <w:spacing w:after="0" w:line="258" w:lineRule="auto"/>
        <w:tabs>
          <w:tab w:leader="none" w:pos="1909"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6" w:lineRule="exact"/>
        <w:rPr>
          <w:rFonts w:ascii="Times New Roman" w:cs="Times New Roman" w:eastAsia="Times New Roman" w:hAnsi="Times New Roman"/>
          <w:sz w:val="17"/>
          <w:szCs w:val="17"/>
          <w:color w:val="auto"/>
        </w:rPr>
      </w:pPr>
    </w:p>
    <w:p>
      <w:pPr>
        <w:ind w:left="1920" w:right="719" w:hanging="405"/>
        <w:spacing w:after="0" w:line="258" w:lineRule="auto"/>
        <w:tabs>
          <w:tab w:leader="none" w:pos="1899"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a date within 90 days prior to the filing date of this report based on such evaluation;</w:t>
      </w:r>
    </w:p>
    <w:p>
      <w:pPr>
        <w:spacing w:after="0" w:line="109" w:lineRule="exact"/>
        <w:rPr>
          <w:rFonts w:ascii="Times New Roman" w:cs="Times New Roman" w:eastAsia="Times New Roman" w:hAnsi="Times New Roman"/>
          <w:sz w:val="17"/>
          <w:szCs w:val="17"/>
          <w:color w:val="auto"/>
        </w:rPr>
      </w:pPr>
    </w:p>
    <w:p>
      <w:pPr>
        <w:ind w:left="1920" w:right="779" w:hanging="405"/>
        <w:spacing w:after="0" w:line="258" w:lineRule="auto"/>
        <w:tabs>
          <w:tab w:leader="none" w:pos="1909"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period covered by this report that has materially affected, or is reasonably likely to materially affect, the registrant’s internal control over financial reporting; and</w:t>
      </w:r>
    </w:p>
    <w:p>
      <w:pPr>
        <w:spacing w:after="0" w:line="109" w:lineRule="exact"/>
        <w:rPr>
          <w:rFonts w:ascii="Times New Roman" w:cs="Times New Roman" w:eastAsia="Times New Roman" w:hAnsi="Times New Roman"/>
          <w:sz w:val="17"/>
          <w:szCs w:val="17"/>
          <w:color w:val="auto"/>
        </w:rPr>
      </w:pPr>
    </w:p>
    <w:p>
      <w:pPr>
        <w:ind w:left="1520" w:right="759" w:hanging="410"/>
        <w:spacing w:after="0" w:line="309" w:lineRule="auto"/>
        <w:tabs>
          <w:tab w:leader="none" w:pos="1494"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to the registrant’s auditors and the audit committee of the registrant’s board of directors (or persons performing the equivalent functions):</w:t>
      </w:r>
    </w:p>
    <w:p>
      <w:pPr>
        <w:spacing w:after="0" w:line="58" w:lineRule="exact"/>
        <w:rPr>
          <w:rFonts w:ascii="Times New Roman" w:cs="Times New Roman" w:eastAsia="Times New Roman" w:hAnsi="Times New Roman"/>
          <w:sz w:val="16"/>
          <w:szCs w:val="16"/>
          <w:color w:val="auto"/>
        </w:rPr>
      </w:pPr>
    </w:p>
    <w:p>
      <w:pPr>
        <w:ind w:left="1920" w:right="759" w:hanging="405"/>
        <w:spacing w:after="0" w:line="262" w:lineRule="auto"/>
        <w:tabs>
          <w:tab w:leader="none" w:pos="1899"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6" w:lineRule="exact"/>
        <w:rPr>
          <w:rFonts w:ascii="Times New Roman" w:cs="Times New Roman" w:eastAsia="Times New Roman" w:hAnsi="Times New Roman"/>
          <w:sz w:val="17"/>
          <w:szCs w:val="17"/>
          <w:color w:val="auto"/>
        </w:rPr>
      </w:pPr>
    </w:p>
    <w:p>
      <w:pPr>
        <w:ind w:left="1920" w:right="799" w:hanging="405"/>
        <w:spacing w:after="0" w:line="276" w:lineRule="auto"/>
        <w:tabs>
          <w:tab w:leader="none" w:pos="1909"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9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Dated this 1</w:t>
      </w:r>
      <w:r>
        <w:rPr>
          <w:rFonts w:ascii="Times New Roman" w:cs="Times New Roman" w:eastAsia="Times New Roman" w:hAnsi="Times New Roman"/>
          <w:sz w:val="19"/>
          <w:szCs w:val="19"/>
          <w:color w:val="auto"/>
          <w:vertAlign w:val="superscript"/>
        </w:rPr>
        <w:t>st</w:t>
      </w:r>
      <w:r>
        <w:rPr>
          <w:rFonts w:ascii="Times New Roman" w:cs="Times New Roman" w:eastAsia="Times New Roman" w:hAnsi="Times New Roman"/>
          <w:sz w:val="17"/>
          <w:szCs w:val="17"/>
          <w:color w:val="auto"/>
        </w:rPr>
        <w:t xml:space="preserve"> day of November, 2022</w:t>
      </w:r>
    </w:p>
    <w:p>
      <w:pPr>
        <w:spacing w:after="0" w:line="288"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7"/>
          <w:szCs w:val="17"/>
          <w:color w:val="auto"/>
        </w:rPr>
        <w:t>/s/ BRUCE L. RUBIN</w:t>
      </w:r>
    </w:p>
    <w:p>
      <w:pPr>
        <w:spacing w:after="0" w:line="58"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7"/>
          <w:szCs w:val="17"/>
          <w:color w:val="auto"/>
        </w:rPr>
        <w:t>Bruce L.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3109595</wp:posOffset>
            </wp:positionH>
            <wp:positionV relativeFrom="paragraph">
              <wp:posOffset>-121285</wp:posOffset>
            </wp:positionV>
            <wp:extent cx="216344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163445" cy="8255"/>
                    </a:xfrm>
                    <a:prstGeom prst="rect">
                      <a:avLst/>
                    </a:prstGeom>
                    <a:noFill/>
                  </pic:spPr>
                </pic:pic>
              </a:graphicData>
            </a:graphic>
          </wp:anchor>
        </w:drawing>
      </w:r>
    </w:p>
    <w:p>
      <w:pPr>
        <w:spacing w:after="0" w:line="38"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288290</wp:posOffset>
            </wp:positionV>
            <wp:extent cx="482473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4824730" cy="8255"/>
                    </a:xfrm>
                    <a:prstGeom prst="rect">
                      <a:avLst/>
                    </a:prstGeom>
                    <a:noFill/>
                  </pic:spPr>
                </pic:pic>
              </a:graphicData>
            </a:graphic>
          </wp:anchor>
        </w:drawing>
      </w:r>
    </w:p>
    <w:p>
      <w:pPr>
        <w:sectPr>
          <w:pgSz w:w="11900" w:h="16838" w:orient="portrait"/>
          <w:cols w:equalWidth="0" w:num="1">
            <w:col w:w="9019"/>
          </w:cols>
          <w:pgMar w:left="1440" w:top="322" w:right="1440" w:bottom="1440" w:gutter="0" w:footer="0" w:header="0"/>
        </w:sectPr>
      </w:pPr>
    </w:p>
    <w:bookmarkStart w:id="75" w:name="page76"/>
    <w:bookmarkEnd w:id="75"/>
    <w:p>
      <w:pPr>
        <w:jc w:val="right"/>
        <w:ind w:right="719"/>
        <w:spacing w:after="0"/>
        <w:rPr>
          <w:sz w:val="20"/>
          <w:szCs w:val="20"/>
          <w:color w:val="auto"/>
        </w:rPr>
      </w:pPr>
      <w:r>
        <w:rPr>
          <w:rFonts w:ascii="Times New Roman" w:cs="Times New Roman" w:eastAsia="Times New Roman" w:hAnsi="Times New Roman"/>
          <w:sz w:val="17"/>
          <w:szCs w:val="17"/>
          <w:b w:val="1"/>
          <w:bCs w:val="1"/>
          <w:color w:val="auto"/>
        </w:rPr>
        <w:t>Exhibit 99.906 CERT</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Exhibit 13(b)</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Rule 30a-2(b) Certification</w:t>
      </w:r>
    </w:p>
    <w:p>
      <w:pPr>
        <w:spacing w:after="0" w:line="131" w:lineRule="exact"/>
        <w:rPr>
          <w:sz w:val="20"/>
          <w:szCs w:val="20"/>
          <w:color w:val="auto"/>
        </w:rPr>
      </w:pPr>
    </w:p>
    <w:p>
      <w:pPr>
        <w:ind w:left="700" w:right="739" w:firstLine="405"/>
        <w:spacing w:after="0" w:line="258" w:lineRule="auto"/>
        <w:rPr>
          <w:sz w:val="20"/>
          <w:szCs w:val="20"/>
          <w:color w:val="auto"/>
        </w:rPr>
      </w:pPr>
      <w:r>
        <w:rPr>
          <w:rFonts w:ascii="Times New Roman" w:cs="Times New Roman" w:eastAsia="Times New Roman" w:hAnsi="Times New Roman"/>
          <w:sz w:val="17"/>
          <w:szCs w:val="17"/>
          <w:color w:val="auto"/>
        </w:rPr>
        <w:t>In connection with the Report on Form N-CSR for the period ended September 30, 2022 (the “Report”) of Oxford Lane Capital Corp. (the “Registrant”), as filed with the Securities and Exchange Commission on the date hereof, I, Jonathan H. Cohen, the Chief Executive Officer of the Registrant, hereby certify, to the best of my knowledge, that:</w:t>
      </w:r>
    </w:p>
    <w:p>
      <w:pPr>
        <w:spacing w:after="0" w:line="97" w:lineRule="exact"/>
        <w:rPr>
          <w:sz w:val="20"/>
          <w:szCs w:val="20"/>
          <w:color w:val="auto"/>
        </w:rPr>
      </w:pPr>
    </w:p>
    <w:p>
      <w:pPr>
        <w:ind w:left="1520" w:right="1399" w:hanging="410"/>
        <w:spacing w:after="0" w:line="276" w:lineRule="auto"/>
        <w:tabs>
          <w:tab w:leader="none" w:pos="1476"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as amended; and</w:t>
      </w:r>
    </w:p>
    <w:p>
      <w:pPr>
        <w:spacing w:after="0" w:line="94" w:lineRule="exact"/>
        <w:rPr>
          <w:rFonts w:ascii="Times New Roman" w:cs="Times New Roman" w:eastAsia="Times New Roman" w:hAnsi="Times New Roman"/>
          <w:sz w:val="17"/>
          <w:szCs w:val="17"/>
          <w:color w:val="auto"/>
        </w:rPr>
      </w:pPr>
    </w:p>
    <w:p>
      <w:pPr>
        <w:ind w:left="1520" w:right="1299" w:hanging="410"/>
        <w:spacing w:after="0" w:line="276" w:lineRule="auto"/>
        <w:tabs>
          <w:tab w:leader="none" w:pos="1476"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Registrant.</w:t>
      </w:r>
    </w:p>
    <w:p>
      <w:pPr>
        <w:spacing w:after="0" w:line="120"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7"/>
          <w:szCs w:val="17"/>
          <w:color w:val="auto"/>
        </w:rPr>
        <w:t>/s/ JONATHAN H. COHEN</w:t>
      </w:r>
    </w:p>
    <w:p>
      <w:pPr>
        <w:spacing w:after="0" w:line="8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7"/>
          <w:szCs w:val="17"/>
          <w:color w:val="auto"/>
        </w:rPr>
        <w:t>Name: Jonathan H.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3294380</wp:posOffset>
            </wp:positionH>
            <wp:positionV relativeFrom="paragraph">
              <wp:posOffset>-121285</wp:posOffset>
            </wp:positionV>
            <wp:extent cx="197802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978025" cy="8255"/>
                    </a:xfrm>
                    <a:prstGeom prst="rect">
                      <a:avLst/>
                    </a:prstGeom>
                    <a:noFill/>
                  </pic:spPr>
                </pic:pic>
              </a:graphicData>
            </a:graphic>
          </wp:anchor>
        </w:drawing>
      </w:r>
    </w:p>
    <w:p>
      <w:pPr>
        <w:spacing w:after="0" w:line="38"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7"/>
          <w:szCs w:val="17"/>
          <w:color w:val="auto"/>
        </w:rPr>
        <w:t>Date: November 1</w:t>
      </w:r>
      <w:r>
        <w:rPr>
          <w:rFonts w:ascii="Times New Roman" w:cs="Times New Roman" w:eastAsia="Times New Roman" w:hAnsi="Times New Roman"/>
          <w:sz w:val="19"/>
          <w:szCs w:val="19"/>
          <w:color w:val="auto"/>
          <w:vertAlign w:val="superscript"/>
        </w:rPr>
        <w:t>st</w:t>
      </w:r>
      <w:r>
        <w:rPr>
          <w:rFonts w:ascii="Times New Roman" w:cs="Times New Roman" w:eastAsia="Times New Roman" w:hAnsi="Times New Roman"/>
          <w:sz w:val="17"/>
          <w:szCs w:val="17"/>
          <w:color w:val="auto"/>
        </w:rPr>
        <w:t>,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281940</wp:posOffset>
            </wp:positionV>
            <wp:extent cx="482473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4824730" cy="8255"/>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76" w:name="page77"/>
    <w:bookmarkEnd w:id="76"/>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Exhibit 13(b)</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Rule 30a-2(b) Certification</w:t>
      </w:r>
    </w:p>
    <w:p>
      <w:pPr>
        <w:spacing w:after="0" w:line="131" w:lineRule="exact"/>
        <w:rPr>
          <w:sz w:val="20"/>
          <w:szCs w:val="20"/>
          <w:color w:val="auto"/>
        </w:rPr>
      </w:pPr>
    </w:p>
    <w:p>
      <w:pPr>
        <w:ind w:left="700" w:right="739" w:firstLine="405"/>
        <w:spacing w:after="0" w:line="258" w:lineRule="auto"/>
        <w:rPr>
          <w:sz w:val="20"/>
          <w:szCs w:val="20"/>
          <w:color w:val="auto"/>
        </w:rPr>
      </w:pPr>
      <w:r>
        <w:rPr>
          <w:rFonts w:ascii="Times New Roman" w:cs="Times New Roman" w:eastAsia="Times New Roman" w:hAnsi="Times New Roman"/>
          <w:sz w:val="17"/>
          <w:szCs w:val="17"/>
          <w:color w:val="auto"/>
        </w:rPr>
        <w:t>In connection with the Report on Form N-CSR for the period ended September 30, 2022 (the “Report”) of Oxford Lane Capital Corp. (the “Registrant”), as filed with the Securities and Exchange Commission on the date hereof, I, Bruce L. Rubin, the Chief Financial Officer of the Registrant, hereby certify, to the best of my knowledge, that:</w:t>
      </w:r>
    </w:p>
    <w:p>
      <w:pPr>
        <w:spacing w:after="0" w:line="97" w:lineRule="exact"/>
        <w:rPr>
          <w:sz w:val="20"/>
          <w:szCs w:val="20"/>
          <w:color w:val="auto"/>
        </w:rPr>
      </w:pPr>
    </w:p>
    <w:p>
      <w:pPr>
        <w:ind w:left="1520" w:right="1399" w:hanging="410"/>
        <w:spacing w:after="0" w:line="276" w:lineRule="auto"/>
        <w:tabs>
          <w:tab w:leader="none" w:pos="1476"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as amended; and</w:t>
      </w:r>
    </w:p>
    <w:p>
      <w:pPr>
        <w:spacing w:after="0" w:line="94" w:lineRule="exact"/>
        <w:rPr>
          <w:rFonts w:ascii="Times New Roman" w:cs="Times New Roman" w:eastAsia="Times New Roman" w:hAnsi="Times New Roman"/>
          <w:sz w:val="17"/>
          <w:szCs w:val="17"/>
          <w:color w:val="auto"/>
        </w:rPr>
      </w:pPr>
    </w:p>
    <w:p>
      <w:pPr>
        <w:ind w:left="1520" w:right="1299" w:hanging="410"/>
        <w:spacing w:after="0" w:line="276" w:lineRule="auto"/>
        <w:tabs>
          <w:tab w:leader="none" w:pos="1476"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Registrant.</w:t>
      </w:r>
    </w:p>
    <w:p>
      <w:pPr>
        <w:spacing w:after="0" w:line="120"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7"/>
          <w:szCs w:val="17"/>
          <w:color w:val="auto"/>
        </w:rPr>
        <w:t>/s/ BRUCE L. RUBIN</w:t>
      </w:r>
    </w:p>
    <w:p>
      <w:pPr>
        <w:spacing w:after="0" w:line="8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7"/>
          <w:szCs w:val="17"/>
          <w:color w:val="auto"/>
        </w:rPr>
        <w:t>Name: Bruce L.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3294380</wp:posOffset>
            </wp:positionH>
            <wp:positionV relativeFrom="paragraph">
              <wp:posOffset>-121285</wp:posOffset>
            </wp:positionV>
            <wp:extent cx="197802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978025" cy="8255"/>
                    </a:xfrm>
                    <a:prstGeom prst="rect">
                      <a:avLst/>
                    </a:prstGeom>
                    <a:noFill/>
                  </pic:spPr>
                </pic:pic>
              </a:graphicData>
            </a:graphic>
          </wp:anchor>
        </w:drawing>
      </w:r>
    </w:p>
    <w:p>
      <w:pPr>
        <w:spacing w:after="0" w:line="38"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7"/>
          <w:szCs w:val="17"/>
          <w:color w:val="auto"/>
        </w:rPr>
        <w:t>Date: November 1</w:t>
      </w:r>
      <w:r>
        <w:rPr>
          <w:rFonts w:ascii="Times New Roman" w:cs="Times New Roman" w:eastAsia="Times New Roman" w:hAnsi="Times New Roman"/>
          <w:sz w:val="19"/>
          <w:szCs w:val="19"/>
          <w:color w:val="auto"/>
          <w:vertAlign w:val="superscript"/>
        </w:rPr>
        <w:t>st</w:t>
      </w:r>
      <w:r>
        <w:rPr>
          <w:rFonts w:ascii="Times New Roman" w:cs="Times New Roman" w:eastAsia="Times New Roman" w:hAnsi="Times New Roman"/>
          <w:sz w:val="17"/>
          <w:szCs w:val="17"/>
          <w:color w:val="auto"/>
        </w:rPr>
        <w:t>,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281940</wp:posOffset>
            </wp:positionV>
            <wp:extent cx="482473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4824730" cy="8255"/>
                    </a:xfrm>
                    <a:prstGeom prst="rect">
                      <a:avLst/>
                    </a:prstGeom>
                    <a:noFill/>
                  </pic:spPr>
                </pic:pic>
              </a:graphicData>
            </a:graphic>
          </wp:anchor>
        </w:drawing>
      </w:r>
    </w:p>
    <w:p>
      <w:pPr>
        <w:sectPr>
          <w:pgSz w:w="11900" w:h="16838" w:orient="portrait"/>
          <w:cols w:equalWidth="0" w:num="1">
            <w:col w:w="9019"/>
          </w:cols>
          <w:pgMar w:left="1440" w:top="322" w:right="1440" w:bottom="1440" w:gutter="0" w:footer="0" w:header="0"/>
        </w:sectPr>
      </w:pPr>
    </w:p>
    <w:bookmarkStart w:id="77" w:name="page78"/>
    <w:bookmarkEnd w:id="7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89A769B"/>
    <w:multiLevelType w:val="hybridMultilevel"/>
    <w:lvl w:ilvl="0">
      <w:lvlJc w:val="left"/>
      <w:lvlText w:val="%1."/>
      <w:numFmt w:val="decimal"/>
      <w:start w:val="1"/>
    </w:lvl>
  </w:abstractNum>
  <w:abstractNum w:abstractNumId="1">
    <w:nsid w:val="54E49EB4"/>
    <w:multiLevelType w:val="hybridMultilevel"/>
    <w:lvl w:ilvl="0">
      <w:lvlJc w:val="left"/>
      <w:lvlText w:val="(%1)"/>
      <w:numFmt w:val="decimal"/>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1)"/>
      <w:numFmt w:val="decimal"/>
      <w:start w:val="6"/>
    </w:lvl>
  </w:abstractNum>
  <w:abstractNum w:abstractNumId="4">
    <w:nsid w:val="836C40E"/>
    <w:multiLevelType w:val="hybridMultilevel"/>
    <w:lvl w:ilvl="0">
      <w:lvlJc w:val="left"/>
      <w:lvlText w:val="(%1)"/>
      <w:numFmt w:val="decimal"/>
      <w:start w:val="19"/>
    </w:lvl>
  </w:abstractNum>
  <w:abstractNum w:abstractNumId="5">
    <w:nsid w:val="2901D82"/>
    <w:multiLevelType w:val="hybridMultilevel"/>
    <w:lvl w:ilvl="0">
      <w:lvlJc w:val="left"/>
      <w:lvlText w:val="(%1)"/>
      <w:numFmt w:val="decimal"/>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1)"/>
      <w:numFmt w:val="decimal"/>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1)"/>
      <w:numFmt w:val="decimal"/>
      <w:start w:val="1"/>
    </w:lvl>
  </w:abstractNum>
  <w:abstractNum w:abstractNumId="22">
    <w:nsid w:val="7724C67E"/>
    <w:multiLevelType w:val="hybridMultilevel"/>
    <w:lvl w:ilvl="0">
      <w:lvlJc w:val="left"/>
      <w:lvlText w:val="(%1)"/>
      <w:numFmt w:val="decimal"/>
      <w:start w:val="1"/>
    </w:lvl>
  </w:abstractNum>
  <w:abstractNum w:abstractNumId="23">
    <w:nsid w:val="5C482A97"/>
    <w:multiLevelType w:val="hybridMultilevel"/>
    <w:lvl w:ilvl="0">
      <w:lvlJc w:val="left"/>
      <w:lvlText w:val="(%1)"/>
      <w:numFmt w:val="decimal"/>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1)"/>
      <w:numFmt w:val="decimal"/>
      <w:start w:val="1"/>
    </w:lvl>
  </w:abstractNum>
  <w:abstractNum w:abstractNumId="27">
    <w:nsid w:val="2D517796"/>
    <w:multiLevelType w:val="hybridMultilevel"/>
    <w:lvl w:ilvl="0">
      <w:lvlJc w:val="left"/>
      <w:lvlText w:val="(%1)"/>
      <w:numFmt w:val="decimal"/>
      <w:start w:val="1"/>
    </w:lvl>
  </w:abstractNum>
  <w:abstractNum w:abstractNumId="28">
    <w:nsid w:val="580BD78F"/>
    <w:multiLevelType w:val="hybridMultilevel"/>
    <w:lvl w:ilvl="0">
      <w:lvlJc w:val="left"/>
      <w:lvlText w:val="(%1)"/>
      <w:numFmt w:val="decimal"/>
      <w:start w:val="1"/>
    </w:lvl>
  </w:abstractNum>
  <w:abstractNum w:abstractNumId="29">
    <w:nsid w:val="153EA438"/>
    <w:multiLevelType w:val="hybridMultilevel"/>
    <w:lvl w:ilvl="0">
      <w:lvlJc w:val="left"/>
      <w:lvlText w:val="(%1)"/>
      <w:numFmt w:val="decimal"/>
      <w:start w:val="2"/>
    </w:lvl>
  </w:abstractNum>
  <w:abstractNum w:abstractNumId="30">
    <w:nsid w:val="3855585C"/>
    <w:multiLevelType w:val="hybridMultilevel"/>
    <w:lvl w:ilvl="0">
      <w:lvlJc w:val="left"/>
      <w:lvlText w:val="(%1)"/>
      <w:numFmt w:val="decimal"/>
      <w:start w:val="1"/>
    </w:lvl>
  </w:abstractNum>
  <w:abstractNum w:abstractNumId="31">
    <w:nsid w:val="70A64E2A"/>
    <w:multiLevelType w:val="hybridMultilevel"/>
    <w:lvl w:ilvl="0">
      <w:lvlJc w:val="left"/>
      <w:lvlText w:val="(%1)"/>
      <w:numFmt w:val="decimal"/>
      <w:start w:val="3"/>
    </w:lvl>
  </w:abstractNum>
  <w:abstractNum w:abstractNumId="32">
    <w:nsid w:val="6A2342EC"/>
    <w:multiLevelType w:val="hybridMultilevel"/>
    <w:lvl w:ilvl="0">
      <w:lvlJc w:val="left"/>
      <w:lvlText w:val="(%1)"/>
      <w:numFmt w:val="lowerRoman"/>
      <w:start w:val="1"/>
    </w:lvl>
  </w:abstractNum>
  <w:abstractNum w:abstractNumId="33">
    <w:nsid w:val="2A487CB0"/>
    <w:multiLevelType w:val="hybridMultilevel"/>
    <w:lvl w:ilvl="0">
      <w:lvlJc w:val="left"/>
      <w:lvlText w:val="(%1)"/>
      <w:numFmt w:val="lowerRoman"/>
      <w:start w:val="4"/>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1)"/>
      <w:numFmt w:val="decimal"/>
      <w:start w:val="1"/>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1)"/>
      <w:numFmt w:val="decimal"/>
      <w:start w:val="19"/>
    </w:lvl>
  </w:abstractNum>
  <w:abstractNum w:abstractNumId="39">
    <w:nsid w:val="4B588F54"/>
    <w:multiLevelType w:val="hybridMultilevel"/>
    <w:lvl w:ilvl="0">
      <w:lvlJc w:val="left"/>
      <w:lvlText w:val="(%1)"/>
      <w:numFmt w:val="decimal"/>
      <w:start w:val="1"/>
    </w:lvl>
  </w:abstractNum>
  <w:abstractNum w:abstractNumId="40">
    <w:nsid w:val="542289EC"/>
    <w:multiLevelType w:val="hybridMultilevel"/>
    <w:lvl w:ilvl="0">
      <w:lvlJc w:val="left"/>
      <w:lvlText w:val="•"/>
      <w:numFmt w:val="bullet"/>
      <w:start w:val="1"/>
    </w:lvl>
  </w:abstractNum>
  <w:abstractNum w:abstractNumId="41">
    <w:nsid w:val="6DE91B18"/>
    <w:multiLevelType w:val="hybridMultilevel"/>
    <w:lvl w:ilvl="0">
      <w:lvlJc w:val="left"/>
      <w:lvlText w:val="(%1)"/>
      <w:numFmt w:val="decimal"/>
      <w:start w:val="1"/>
    </w:lvl>
  </w:abstractNum>
  <w:abstractNum w:abstractNumId="42">
    <w:nsid w:val="38437FDB"/>
    <w:multiLevelType w:val="hybridMultilevel"/>
    <w:lvl w:ilvl="0">
      <w:lvlJc w:val="left"/>
      <w:lvlText w:val="(%1)"/>
      <w:numFmt w:val="decimal"/>
      <w:start w:val="203"/>
    </w:lvl>
  </w:abstractNum>
  <w:abstractNum w:abstractNumId="43">
    <w:nsid w:val="7644A45C"/>
    <w:multiLevelType w:val="hybridMultilevel"/>
    <w:lvl w:ilvl="0">
      <w:lvlJc w:val="left"/>
      <w:lvlText w:val="•"/>
      <w:numFmt w:val="bullet"/>
      <w:start w:val="1"/>
    </w:lvl>
  </w:abstractNum>
  <w:abstractNum w:abstractNumId="44">
    <w:nsid w:val="32FFF902"/>
    <w:multiLevelType w:val="hybridMultilevel"/>
    <w:lvl w:ilvl="0">
      <w:lvlJc w:val="left"/>
      <w:lvlText w:val="(%1)"/>
      <w:numFmt w:val="decimal"/>
      <w:start w:val="1"/>
    </w:lvl>
  </w:abstractNum>
  <w:abstractNum w:abstractNumId="45">
    <w:nsid w:val="684A481A"/>
    <w:multiLevelType w:val="hybridMultilevel"/>
    <w:lvl w:ilvl="0">
      <w:lvlJc w:val="left"/>
      <w:lvlText w:val="(%1)"/>
      <w:numFmt w:val="lowerLetter"/>
      <w:start w:val="1"/>
    </w:lvl>
  </w:abstractNum>
  <w:abstractNum w:abstractNumId="46">
    <w:nsid w:val="579478FE"/>
    <w:multiLevelType w:val="hybridMultilevel"/>
    <w:lvl w:ilvl="0">
      <w:lvlJc w:val="left"/>
      <w:lvlText w:val="(%1)"/>
      <w:numFmt w:val="lowerLetter"/>
      <w:start w:val="1"/>
    </w:lvl>
  </w:abstractNum>
  <w:abstractNum w:abstractNumId="47">
    <w:nsid w:val="749ABB43"/>
    <w:multiLevelType w:val="hybridMultilevel"/>
    <w:lvl w:ilvl="0">
      <w:lvlJc w:val="left"/>
      <w:lvlText w:val="(%1)"/>
      <w:numFmt w:val="lowerLetter"/>
      <w:start w:val="2"/>
    </w:lvl>
  </w:abstractNum>
  <w:abstractNum w:abstractNumId="48">
    <w:nsid w:val="3DC240FB"/>
    <w:multiLevelType w:val="hybridMultilevel"/>
    <w:lvl w:ilvl="0">
      <w:lvlJc w:val="left"/>
      <w:lvlText w:val="%1."/>
      <w:numFmt w:val="decimal"/>
      <w:start w:val="1"/>
    </w:lvl>
    <w:lvl w:ilvl="1">
      <w:lvlJc w:val="left"/>
      <w:lvlText w:val="%2)"/>
      <w:numFmt w:val="lowerLetter"/>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2022-11-01T17:17:46Z</dcterms:created>
  <dcterms:modified xsi:type="dcterms:W3CDTF">2022-11-01T17:17:46Z</dcterms:modified>
</cp:coreProperties>
</file>