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337820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380365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N-CSR</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CERTIFIED SHAREHOLDER REPORT OF REGISTERED MANAGEMENT</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COMPANIES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Company Act file number 811-22432</w:t>
      </w:r>
    </w:p>
    <w:p>
      <w:pPr>
        <w:spacing w:after="0" w:line="27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Oxford Lane Capital Corp.</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Jonathan H. Cohen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983-5275</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fiscal year end: March 31</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reporting period: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611505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654050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937260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27"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b w:val="1"/>
          <w:bCs w:val="1"/>
          <w:color w:val="auto"/>
        </w:rPr>
        <w:t>Item 1. Reports to Stockholders.</w:t>
      </w:r>
    </w:p>
    <w:p>
      <w:pPr>
        <w:spacing w:after="0" w:line="14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The semi-annual report to stockholders for the six months ended September 30, 2020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Semi-Annual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oxfordlanecapital.com</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ELECTRONIC DELIVERY</w:t>
      </w:r>
    </w:p>
    <w:p>
      <w:pPr>
        <w:spacing w:after="0" w:line="200"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Beginning in May 2021, as permitted by regulations adopted by the Securities and Exchange Commission, paper copies of shareholder reports for Oxford Lane Capital Corp. (the “Company”) such as this report will no longer be sent by mail, unless you specifically request paper copies of the reports from the Company or from your financial intermediary, such as a broker-dealer or bank. Instead, the reports will be made available on the Company’s website, and you will be notified each time a report is posted and provided with a website link to access the report.</w:t>
      </w:r>
    </w:p>
    <w:p>
      <w:pPr>
        <w:spacing w:after="0" w:line="14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If you already elected to receive shareholder reports electronically, you will not be affected by this change and you do not need to take any action. For shareholder reports and other communications from the Company issued prior to May 2021, you may elect to receive such reports and other communications electronically. If you own shares of the Company through a financial intermediary, you may contact your financial intermediary to elect to receive materials electronically. This information is available free of charge by contacting us by mail at 8 Sound Shore Drive, Suite 255, Greenwich, CT 06830, by telephone at (203) 983-5275 or on our website at http://www.oxfordlanecapital.com.</w:t>
      </w:r>
    </w:p>
    <w:p>
      <w:pPr>
        <w:spacing w:after="0" w:line="14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You may elect to receive all future reports in paper, free of charge. If you own shares of the Company through a financial intermediary, you may contact your financial intermediary to elect to continue to receive paper copies of your shareholder reports after May 2021. This information is available free of charge by contacting us by mail at 8 Sound Shore Drive, Suite 255, Greenwich, CT 06830, by telephone at (203) 983-5275 or on our website at http://www.oxfordlanecapital.com. If you make such an election through your financial intermediary, your election to receive reports in paper may apply to all funds held through your financial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248920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 w:name="page3"/>
    <w:bookmarkEnd w:id="2"/>
    <w:tbl>
      <w:tblPr>
        <w:tblLayout w:type="fixed"/>
        <w:tblInd w:w="460" w:type="dxa"/>
        <w:tblCellMar>
          <w:top w:w="0" w:type="dxa"/>
          <w:left w:w="0" w:type="dxa"/>
          <w:bottom w:w="0" w:type="dxa"/>
          <w:right w:w="0" w:type="dxa"/>
        </w:tblCellMar>
      </w:tblPr>
      <w:tr>
        <w:trPr>
          <w:trHeight w:val="238"/>
        </w:trPr>
        <w:tc>
          <w:tcPr>
            <w:tcW w:w="762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OXFORD LANE CAPITAL CORP.</w:t>
            </w:r>
          </w:p>
        </w:tc>
        <w:tc>
          <w:tcPr>
            <w:tcW w:w="480" w:type="dxa"/>
            <w:vAlign w:val="bottom"/>
          </w:tcPr>
          <w:p>
            <w:pPr>
              <w:spacing w:after="0"/>
              <w:rPr>
                <w:sz w:val="20"/>
                <w:szCs w:val="20"/>
                <w:color w:val="auto"/>
              </w:rPr>
            </w:pPr>
          </w:p>
        </w:tc>
      </w:tr>
      <w:tr>
        <w:trPr>
          <w:trHeight w:val="432"/>
        </w:trPr>
        <w:tc>
          <w:tcPr>
            <w:tcW w:w="762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r>
      <w:tr>
        <w:trPr>
          <w:trHeight w:val="413"/>
        </w:trPr>
        <w:tc>
          <w:tcPr>
            <w:tcW w:w="7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6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43"/>
        </w:trPr>
        <w:tc>
          <w:tcPr>
            <w:tcW w:w="76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Letter to Stockholders</w:t>
              </w:r>
            </w:hyperlink>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62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Important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
        </w:trPr>
        <w:tc>
          <w:tcPr>
            <w:tcW w:w="76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Top Ten Holdings</w:t>
              </w:r>
            </w:hyperlink>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62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Statement of Assets and Liabilities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
        </w:trPr>
        <w:tc>
          <w:tcPr>
            <w:tcW w:w="76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Schedule of Investments</w:t>
              </w:r>
            </w:hyperlink>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62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Statement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0"/>
        </w:trPr>
        <w:tc>
          <w:tcPr>
            <w:tcW w:w="76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Statement of Changes in Net Assets</w:t>
              </w:r>
            </w:hyperlink>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620" w:type="dxa"/>
            <w:vAlign w:val="bottom"/>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Statement of Cash Flows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
        </w:trPr>
        <w:tc>
          <w:tcPr>
            <w:tcW w:w="76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Notes to Financial Statements</w:t>
              </w:r>
            </w:hyperlink>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62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Supplemental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
        </w:trPr>
        <w:tc>
          <w:tcPr>
            <w:tcW w:w="76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Distribution Reinvestment Plan</w:t>
              </w:r>
            </w:hyperlink>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762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Management</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0"/>
        </w:trPr>
        <w:tc>
          <w:tcPr>
            <w:tcW w:w="76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Board Approval of the Investment Advisory Agreement</w:t>
              </w:r>
            </w:hyperlink>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62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Submission of Matters to a Vote of Stockholders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0"/>
        </w:trPr>
        <w:tc>
          <w:tcPr>
            <w:tcW w:w="76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43"/>
        </w:trPr>
        <w:tc>
          <w:tcPr>
            <w:tcW w:w="762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Additional Information</w:t>
              </w:r>
            </w:hyperlink>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
        </w:trPr>
        <w:tc>
          <w:tcPr>
            <w:tcW w:w="76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November 3, 2020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26"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We are pleased to submit to you the report of Oxford Lane Capital Corp. (“we”, “us”, “our”, the “Fund” or “Oxford Lane”) for the six months ended September 30, 2020. The net asset value of our shares at that date was $3.88 per common share. The Fund’s common stock is traded on the NASDAQ Global Select Market and its share price can differ from its net asset value. The Fund’s closing price at September 30, 2020 was $4.40 compared to $4.17 at March 31, 2020. The total return based on market value for Oxford Lane, for the six months ended September 30, 2020, as reflected in the Fund’s financial highlights, was 21.93%. This return reflects the change in market price for the six months ended September 30, 2020, as well as the impact of $0.6075 per share in distributions declared and paid. The total return based on net asset value (“NAV”) for the six months ended September 30, 2020, as reflected in the Fund’s financial highlights, was 25.35%. Please refer to “Note 13. Financial Highlights” for further details. On November 2, 2020, the last reported sale price of the Fund’s common stock was $4.57.</w:t>
      </w:r>
    </w:p>
    <w:p>
      <w:pPr>
        <w:spacing w:after="0" w:line="12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revenue from our CLO equity investments for the six months ended September 30, 2020 was approximately $55.7 million, we received or were entitled to receive approximately $59.1 million in distributions from our CLO equity investments.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Review</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The recent global outbreak of COVID-19 has disrupted and continues to disrupt economic markets and the prolonged economic impact of the outbreak is uncertain. The operational and financial performance of our investments depends on future developments, including the duration and spread of the outbreak, and such uncertainty may in turn impact the valuation of our investments.</w:t>
      </w:r>
    </w:p>
    <w:p>
      <w:pPr>
        <w:spacing w:after="0" w:line="99" w:lineRule="exact"/>
        <w:rPr>
          <w:sz w:val="20"/>
          <w:szCs w:val="20"/>
          <w:color w:val="auto"/>
        </w:rPr>
      </w:pPr>
    </w:p>
    <w:p>
      <w:pPr>
        <w:ind w:left="460" w:right="479" w:firstLine="432"/>
        <w:spacing w:after="0" w:line="250" w:lineRule="auto"/>
        <w:rPr>
          <w:sz w:val="20"/>
          <w:szCs w:val="20"/>
          <w:color w:val="auto"/>
        </w:rPr>
      </w:pPr>
      <w:r>
        <w:rPr>
          <w:rFonts w:ascii="Times New Roman" w:cs="Times New Roman" w:eastAsia="Times New Roman" w:hAnsi="Times New Roman"/>
          <w:sz w:val="18"/>
          <w:szCs w:val="18"/>
          <w:color w:val="auto"/>
        </w:rPr>
        <w:t>The Fund’s investment objective is to maximize its portfolio’s risk-adjusted total return over its investment horizon. Our current focus is to seek that return by investing in equity and junior debt tranches of CLO vehicles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which are collateralized primarily by diverse portfolios of senior loans made to companies whose debt is unrated or is rated below investment grade. Such CLO vehicles generally have little to no exposure to real estate loans, mortgage loans or pools of consumer-based debt, such as credit card receivables or auto loans. Our investment strategy also includes investing in warehouse facilities, which are financing structures intended to aggregate senior loans that may be used to form the basis of a CLO vehicle. As of September 30, 2020, we held debt investments in approximately 20 different CLO structures, and equity investments in approximately 110 different CLO structures.</w:t>
      </w:r>
    </w:p>
    <w:p>
      <w:pPr>
        <w:spacing w:after="0" w:line="12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Structurally, CLO vehicles are entities formed to originate and manage a portfolio of loans. The loans within a CLO vehicle are limited to those which, on an aggregated basis, have met established credit criteria and are subject to concentration limitations in order to limit a CLO vehicle’s exposure to a single credit or industry.</w:t>
      </w:r>
    </w:p>
    <w:p>
      <w:pPr>
        <w:spacing w:after="0" w:line="90" w:lineRule="exact"/>
        <w:rPr>
          <w:sz w:val="20"/>
          <w:szCs w:val="20"/>
          <w:color w:val="auto"/>
        </w:rPr>
      </w:pPr>
    </w:p>
    <w:p>
      <w:pPr>
        <w:ind w:left="460" w:right="659" w:firstLine="432"/>
        <w:spacing w:after="0" w:line="257" w:lineRule="auto"/>
        <w:rPr>
          <w:sz w:val="20"/>
          <w:szCs w:val="20"/>
          <w:color w:val="auto"/>
        </w:rPr>
      </w:pPr>
      <w:r>
        <w:rPr>
          <w:rFonts w:ascii="Times New Roman" w:cs="Times New Roman" w:eastAsia="Times New Roman" w:hAnsi="Times New Roman"/>
          <w:sz w:val="18"/>
          <w:szCs w:val="18"/>
          <w:color w:val="auto"/>
        </w:rPr>
        <w:t>An investment in our Fund carries with it a significant number of meaningful risks, certain of which are discussed in the notes to our financial statements. Investors should read “Note 14. Risks and Uncertainties” carefully.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86" w:lineRule="exact"/>
        <w:rPr>
          <w:sz w:val="20"/>
          <w:szCs w:val="20"/>
          <w:color w:val="auto"/>
        </w:rPr>
      </w:pPr>
    </w:p>
    <w:p>
      <w:pPr>
        <w:ind w:left="880" w:right="479" w:hanging="426"/>
        <w:spacing w:after="0" w:line="272" w:lineRule="auto"/>
        <w:tabs>
          <w:tab w:leader="none" w:pos="84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Outlook</w:t>
      </w:r>
    </w:p>
    <w:p>
      <w:pPr>
        <w:spacing w:after="0" w:line="162"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investments in CLOs and their underlying collateral. For example, in December 2019, a novel strain of coronavirus (also known as “COVID-19”) surfaced in China and has since spread to other countries, including the United States, which has resulted in restrictions on travel and the temporary closure of many corporate offices, retail stores, and manufacturing facilities and factories in the affected jurisdictions. While several countries, as well as certain states in the United States, have begun to lift public health restrictions with the view to reopening their economies, recurring COVID-19 outbreaks have led to the re-introduction of such restrictions in certain states in the United States and globally and could continue to lead to the re-introduction of such restrictions elsewhere.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Additionally, the absence of viable treatment options or a vaccine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1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addition to these developments having adverse consequences for us and our investments in CLOs and their underlying collateral, those investments and their collateral have been and could continue to be adversely impacted, including through quarantine measures and travel restrictions imposed on their personnel or service providers based or temporarily located in affected countries, including the United States, or any related health issues of such personnel or service providers. As the potential duration of the impact of COVID-19 is difficult to predict, the extent to which COVID-19 will negatively affect the Fund’s investments and operating results or the duration of any potential business or supply-chain disruption, is uncertain. The extent and duration of the impact to our results of operations will depend to a large extent on future developments and new information that will emerge regarding the duration and severity of COVID-19 and the actions taken by authorities and other entities to contain COVID-19 or treat its impact, all of which are beyond our control.</w:t>
      </w:r>
    </w:p>
    <w:p>
      <w:pPr>
        <w:spacing w:after="0" w:line="127" w:lineRule="exact"/>
        <w:rPr>
          <w:sz w:val="20"/>
          <w:szCs w:val="20"/>
          <w:color w:val="auto"/>
        </w:rPr>
      </w:pPr>
    </w:p>
    <w:p>
      <w:pPr>
        <w:ind w:left="460" w:right="499" w:firstLine="432"/>
        <w:spacing w:after="0" w:line="271" w:lineRule="auto"/>
        <w:rPr>
          <w:sz w:val="20"/>
          <w:szCs w:val="20"/>
          <w:color w:val="auto"/>
        </w:rPr>
      </w:pPr>
      <w:r>
        <w:rPr>
          <w:rFonts w:ascii="Times New Roman" w:cs="Times New Roman" w:eastAsia="Times New Roman" w:hAnsi="Times New Roman"/>
          <w:sz w:val="17"/>
          <w:szCs w:val="17"/>
          <w:color w:val="auto"/>
        </w:rPr>
        <w:t>Some economists and major investment banks have expressed concern that the continued spread of the virus globally could lead to a world-wide economic downturn. Disruptions in the U.S.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the Fund. These events could affect our ability to repay our indebtedness when due, limit our investment purchases, limit the Fund’s ability to grow and have a negative impact on the Fund’s operating results and the fair values of our CLO debt and CLO equity investments.</w:t>
      </w:r>
    </w:p>
    <w:p>
      <w:pPr>
        <w:spacing w:after="0" w:line="106"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Finally, the information included in this semi-annual report on Form N-CSR and our other reports filed with the SEC includes information regarding our business, results of operations, financial condition and liquidity as of dates and for periods before the impact of the COVID 19 pandemic and related containment measures (including quarantines and governmental orders requiring the closure of certain businesses, limiting travel, requiring that individuals stay at home or shelter in place and closing borders). The historical information included in this semi-annual report on Form N-CSR and in our other reports filed with the SEC that is as of dates and for periods before the impact of the COVID-19 pandemic does not reflect the adverse impacts of the COVID-19 pandemic and related containment measures. Accordingly, investors are cautioned not to unduly rely on historical information regarding our business, results of operations, financial condition or liquidity, as that data does not reflect the adverse impact of the COVID-19 pandemic and therefore does not purport to be representative of the future results of operations, financial condition, liquidity or other financial or operating results of us, or our business.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24"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This letter is intended to assist stockholders in understanding the Fund’s performance during the six months ended September 30, 2020. The views and opinions in this letter were current as of November 3, 2020. Statements other than those of historical facts included herein may constitute forward-looking statements and are not guarantees of future performance or results and involve a number of risks and uncertainties. Actual results may differ materially from those in the forward-looking statements as a result of a number of factors. The Fund undertakes no duty to update any forward-looking statement made herein. Information contained on our website is not incorporated by reference into this stockholder letter and you should not consider information contained on our website to be part of this stockholder letter or any other report we file with the Securities and Exchange Commission.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62"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frequently trade at a discount from their net asset value (“NAV”), which may increase investors’ risk of loss. Past performance is not indicative of, or a guarantee of, future performance. The performance and certain other portfolio information quoted herein represents information as of September 30, 2020.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About Oxford Lane Capital Corp.</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Oxford Lane Capital Corp. is a publicly-traded registered closed-end management investment company. It currently seeks to achieve its investment objective of maximizing risk-adjusted total return by investing in debt and equity tranches of CLO vehicles. CLO investments may also include warehouse facilities, which are financing structures intended to aggregate loans that may be used to form the basis of a CLO vehicle.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the Private Securities Litigation Reform Act of 1995. Statements other than statements of historical facts included in this report may constitute forward-looking statements and are not guarantees of future performance or results and involve a number of risks and uncertainties, including the impact of COVID-19 and related changes in the base interest rates and significant market volatility on our business, our CLO investments, our industry and the global economy.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TOP TEN HOLDINGS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3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0"/>
        </w:trPr>
        <w:tc>
          <w:tcPr>
            <w:tcW w:w="48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Octagon Investment Partners 40, Ltd. – CLO subordinated notes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20, 2031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32,130,000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Elevation CLO 2020-11, Ltd. – CLO subordinated notes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15, 2033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22,560,000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Anchorage Capital CLO 5-R, Ltd. – CLO subordinated notes</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January 15, 2030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14,141,672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Madison Park Fund XLI, Ltd. (fka: Atrium XII CLO) – CLO</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22, 2027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13,905,000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XL CLO Ltd. – CLO subordinated notes</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January 15, 2029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13,515,993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Atrium XV – CLO subordinated notes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January 23, 2031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13,230,000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XXXVII CLO Ltd. – CLO subordinated notes</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October 15, 2030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12,821,924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East West Investment Management CLO 2019-1, Ltd. – CLO</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January 20, 2033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11,874,500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Madison Park Funding XXIX, Ltd. – CLO subordinated notes</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October 18, 2047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11,730,000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OZLM XIV, Ltd. – CLO subordinated notes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January 15, 2029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10,849,754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Investment Breakdown as of September 30, 2020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(Excludes cash equivalents and other assets)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91440</wp:posOffset>
            </wp:positionV>
            <wp:extent cx="4217670" cy="3789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767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center"/>
        <w:ind w:left="202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594360</wp:posOffset>
            </wp:positionV>
            <wp:extent cx="514350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at fair value (cost: $869,365,462)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Distributions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Deferred offering costs on common stock</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receivable, including accrued interest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Fee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54" w:lineRule="exact"/>
        <w:rPr>
          <w:sz w:val="20"/>
          <w:szCs w:val="20"/>
          <w:color w:val="auto"/>
        </w:rPr>
      </w:pPr>
    </w:p>
    <w:p>
      <w:pPr>
        <w:ind w:left="820" w:hanging="179"/>
        <w:spacing w:after="0" w:line="266" w:lineRule="auto"/>
        <w:rPr>
          <w:sz w:val="20"/>
          <w:szCs w:val="20"/>
          <w:color w:val="auto"/>
        </w:rPr>
      </w:pPr>
      <w:r>
        <w:rPr>
          <w:rFonts w:ascii="Times New Roman" w:cs="Times New Roman" w:eastAsia="Times New Roman" w:hAnsi="Times New Roman"/>
          <w:sz w:val="18"/>
          <w:szCs w:val="18"/>
          <w:color w:val="auto"/>
        </w:rPr>
        <w:t>Mandatorily redeemable preferred stock, net of unamortized deferred issuance costs and discount of $4,620,206 and $658,791, respectively (50,000,000 shares authorized, 8,531,216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12065</wp:posOffset>
            </wp:positionV>
            <wp:extent cx="514350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Securities purchased not settled</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Incentive fees payable to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 advisory fee payable to affiliate</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offering costs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Directors’ fees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Administrator expense payable</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9"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8"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6"/>
          <w:szCs w:val="16"/>
          <w:b w:val="1"/>
          <w:bCs w:val="1"/>
          <w:color w:val="auto"/>
        </w:rPr>
        <w:t>2020</w:t>
      </w:r>
    </w:p>
    <w:p>
      <w:pPr>
        <w:spacing w:after="0" w:line="371" w:lineRule="exact"/>
        <w:rPr>
          <w:sz w:val="20"/>
          <w:szCs w:val="20"/>
          <w:color w:val="auto"/>
        </w:rPr>
      </w:pPr>
    </w:p>
    <w:p>
      <w:pPr>
        <w:ind w:left="242" w:hanging="242"/>
        <w:spacing w:after="0"/>
        <w:tabs>
          <w:tab w:leader="none" w:pos="2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525,717,716</w:t>
      </w:r>
    </w:p>
    <w:p>
      <w:pPr>
        <w:spacing w:after="0" w:line="76" w:lineRule="exact"/>
        <w:rPr>
          <w:rFonts w:ascii="Times New Roman" w:cs="Times New Roman" w:eastAsia="Times New Roman" w:hAnsi="Times New Roman"/>
          <w:sz w:val="18"/>
          <w:szCs w:val="18"/>
          <w:color w:val="auto"/>
        </w:rPr>
      </w:pPr>
    </w:p>
    <w:p>
      <w:pPr>
        <w:ind w:left="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29,894,262</w:t>
      </w:r>
    </w:p>
    <w:p>
      <w:pPr>
        <w:spacing w:after="0" w:line="76" w:lineRule="exact"/>
        <w:rPr>
          <w:rFonts w:ascii="Times New Roman" w:cs="Times New Roman" w:eastAsia="Times New Roman" w:hAnsi="Times New Roman"/>
          <w:sz w:val="18"/>
          <w:szCs w:val="18"/>
          <w:color w:val="auto"/>
        </w:rPr>
      </w:pPr>
    </w:p>
    <w:p>
      <w:pPr>
        <w:ind w:left="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11,839,188</w:t>
      </w:r>
    </w:p>
    <w:p>
      <w:pPr>
        <w:spacing w:after="0" w:line="76" w:lineRule="exact"/>
        <w:rPr>
          <w:rFonts w:ascii="Times New Roman" w:cs="Times New Roman" w:eastAsia="Times New Roman" w:hAnsi="Times New Roman"/>
          <w:sz w:val="18"/>
          <w:szCs w:val="18"/>
          <w:color w:val="auto"/>
        </w:rPr>
      </w:pPr>
    </w:p>
    <w:p>
      <w:pPr>
        <w:ind w:left="5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562,055</w:t>
      </w:r>
    </w:p>
    <w:p>
      <w:pPr>
        <w:spacing w:after="0" w:line="76" w:lineRule="exact"/>
        <w:rPr>
          <w:rFonts w:ascii="Times New Roman" w:cs="Times New Roman" w:eastAsia="Times New Roman" w:hAnsi="Times New Roman"/>
          <w:sz w:val="18"/>
          <w:szCs w:val="18"/>
          <w:color w:val="auto"/>
        </w:rPr>
      </w:pPr>
    </w:p>
    <w:p>
      <w:pPr>
        <w:ind w:left="4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1,181,204</w:t>
      </w:r>
    </w:p>
    <w:p>
      <w:pPr>
        <w:spacing w:after="0" w:line="76" w:lineRule="exact"/>
        <w:rPr>
          <w:rFonts w:ascii="Times New Roman" w:cs="Times New Roman" w:eastAsia="Times New Roman" w:hAnsi="Times New Roman"/>
          <w:sz w:val="18"/>
          <w:szCs w:val="18"/>
          <w:color w:val="auto"/>
        </w:rPr>
      </w:pPr>
    </w:p>
    <w:p>
      <w:pPr>
        <w:ind w:left="6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63,219</w:t>
      </w:r>
    </w:p>
    <w:p>
      <w:pPr>
        <w:spacing w:after="0" w:line="90"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59,861</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569,317,505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200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208,001,403</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12,967,500</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4,561,611</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2,413,932</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536,588</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12,027</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70,000</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23,450</w:t>
      </w:r>
    </w:p>
    <w:p>
      <w:pPr>
        <w:spacing w:after="0" w:line="90"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3,837</w:t>
      </w:r>
    </w:p>
    <w:p>
      <w:pPr>
        <w:spacing w:after="0" w:line="7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228,590,348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20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762" w:lineRule="exact"/>
        <w:rPr>
          <w:sz w:val="20"/>
          <w:szCs w:val="20"/>
          <w:color w:val="auto"/>
        </w:rPr>
      </w:pPr>
    </w:p>
    <w:p>
      <w:pPr>
        <w:sectPr>
          <w:pgSz w:w="11900" w:h="16838" w:orient="portrait"/>
          <w:cols w:equalWidth="0" w:num="2">
            <w:col w:w="6980" w:space="278"/>
            <w:col w:w="1761"/>
          </w:cols>
          <w:pgMar w:left="1440" w:top="333" w:right="1440" w:bottom="1078" w:gutter="0" w:footer="0" w:header="0"/>
        </w:sectPr>
      </w:pP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applicable to common stock, $0.01 par value, 450,000,000 shares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authorized, 87,725,344 shares issued and outstanding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340,727,157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consist of:</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 in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772,342,464</w:t>
            </w:r>
          </w:p>
        </w:tc>
        <w:tc>
          <w:tcPr>
            <w:tcW w:w="0" w:type="dxa"/>
            <w:vAlign w:val="bottom"/>
          </w:tcPr>
          <w:p>
            <w:pPr>
              <w:spacing w:after="0"/>
              <w:rPr>
                <w:sz w:val="1"/>
                <w:szCs w:val="1"/>
                <w:color w:val="auto"/>
              </w:rPr>
            </w:pPr>
          </w:p>
        </w:tc>
      </w:tr>
      <w:tr>
        <w:trPr>
          <w:trHeight w:val="40"/>
        </w:trPr>
        <w:tc>
          <w:tcPr>
            <w:tcW w:w="6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distributable earnings/(accumulated losses)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(431,615,307)</w:t>
            </w:r>
          </w:p>
        </w:tc>
        <w:tc>
          <w:tcPr>
            <w:tcW w:w="0" w:type="dxa"/>
            <w:vAlign w:val="bottom"/>
          </w:tcPr>
          <w:p>
            <w:pPr>
              <w:spacing w:after="0"/>
              <w:rPr>
                <w:sz w:val="1"/>
                <w:szCs w:val="1"/>
                <w:color w:val="auto"/>
              </w:rPr>
            </w:pPr>
          </w:p>
        </w:tc>
      </w:tr>
      <w:tr>
        <w:trPr>
          <w:trHeight w:val="283"/>
        </w:trPr>
        <w:tc>
          <w:tcPr>
            <w:tcW w:w="68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340,727,157</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80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asset value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0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Percentage of market price premium to net asset value per share</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60" w:type="dxa"/>
            <w:vAlign w:val="bottom"/>
            <w:tcBorders>
              <w:bottom w:val="single" w:sz="8" w:color="CCEEFF"/>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078" w:gutter="0" w:footer="0" w:header="0"/>
          <w:type w:val="continuous"/>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078" w:gutter="0" w:footer="0" w:header="0"/>
          <w:type w:val="continuous"/>
        </w:sectPr>
      </w:pPr>
    </w:p>
    <w:bookmarkStart w:id="8" w:name="page9"/>
    <w:bookmarkEnd w:id="8"/>
    <w:p>
      <w:pPr>
        <w:ind w:left="312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100" w:type="dxa"/>
            <w:vAlign w:val="bottom"/>
            <w:vMerge w:val="restart"/>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PRINCIPAL</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w w:val="92"/>
              </w:rPr>
              <w:t>VALUE</w:t>
            </w:r>
            <w:r>
              <w:rPr>
                <w:rFonts w:ascii="Times New Roman" w:cs="Times New Roman" w:eastAsia="Times New Roman" w:hAnsi="Times New Roman"/>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229"/>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Collateralized Loan Obligation – Debt Investments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Structured Finance – Debt Investments</w:t>
            </w:r>
            <w:r>
              <w:rPr>
                <w:rFonts w:ascii="Times New Roman" w:cs="Times New Roman" w:eastAsia="Times New Roman" w:hAnsi="Times New Roman"/>
                <w:sz w:val="21"/>
                <w:szCs w:val="21"/>
                <w:b w:val="1"/>
                <w:bCs w:val="1"/>
                <w:color w:val="auto"/>
                <w:vertAlign w:val="superscript"/>
              </w:rPr>
              <w:t>(3)(6)</w:t>
            </w:r>
          </w:p>
        </w:tc>
        <w:tc>
          <w:tcPr>
            <w:tcW w:w="64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Allegro CLO II-S, Ltd.</w:t>
            </w:r>
          </w:p>
        </w:tc>
        <w:tc>
          <w:tcPr>
            <w:tcW w:w="13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CLO secured notes – Class E, 8.09% (LIBOR + 7.82%, due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06/24/2020</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  2,000,000</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1,269,098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1,351,600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October 21, 2028)</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AMMC CLO XII,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secured notes – Class FR</w:t>
            </w: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4"/>
                <w:szCs w:val="14"/>
                <w:color w:val="auto"/>
              </w:rPr>
              <w:t>, 8.61% (LIBOR + 8.36%,</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07/29/2020</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877,677</w:t>
            </w:r>
          </w:p>
        </w:tc>
        <w:tc>
          <w:tcPr>
            <w:tcW w:w="160" w:type="dxa"/>
            <w:vAlign w:val="bottom"/>
          </w:tcPr>
          <w:p>
            <w:pPr>
              <w:spacing w:after="0"/>
              <w:rPr>
                <w:sz w:val="16"/>
                <w:szCs w:val="16"/>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594,684</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594,977</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due November 10, 2030)</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BlueMountain CLO 2018-1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secured notes – Class F</w:t>
            </w: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4"/>
                <w:szCs w:val="14"/>
                <w:color w:val="auto"/>
              </w:rPr>
              <w:t>, 8.48% (LIBOR + 8.21%,</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11/18/2019</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8,912,016</w:t>
            </w:r>
          </w:p>
        </w:tc>
        <w:tc>
          <w:tcPr>
            <w:tcW w:w="160" w:type="dxa"/>
            <w:vAlign w:val="bottom"/>
          </w:tcPr>
          <w:p>
            <w:pPr>
              <w:spacing w:after="0"/>
              <w:rPr>
                <w:sz w:val="16"/>
                <w:szCs w:val="16"/>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6,121,145</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5,420,288</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due July 30, 2030)</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Cathedral Lake II,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secured notes – Class E1R</w:t>
            </w: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4"/>
                <w:szCs w:val="14"/>
                <w:color w:val="auto"/>
              </w:rPr>
              <w:t>, 7.53% (LIBOR +</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11/19/2019</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4,500,000</w:t>
            </w:r>
          </w:p>
        </w:tc>
        <w:tc>
          <w:tcPr>
            <w:tcW w:w="160" w:type="dxa"/>
            <w:vAlign w:val="bottom"/>
          </w:tcPr>
          <w:p>
            <w:pPr>
              <w:spacing w:after="0"/>
              <w:rPr>
                <w:sz w:val="16"/>
                <w:szCs w:val="16"/>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3,808,484</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3,297,150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7.25%, due July 16, 2029)</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2014,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CLO secured notes – Class FR2, 8.17% (LIBOR + 7.90%,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11/18/2019</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4,000,000</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3,049,833</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2,867,200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due January 18, 2031)</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Dryden XXVIII Senior Loan Fund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CLO secured notes – Class B3LR, 8.03% (LIBOR + 7.75%,</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08/07/2020</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2,950,000</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2,336,233</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2,343,775</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due August 15, 2030)</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Elevation CLO 2020-11,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CLO secured notes – Class E, 8.84% (LIBOR + 7.52%, due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02/21/2020</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6,181,818</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5,825,312</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5,406,000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April 15, 2033)</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Longfellow Place CLO,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CLO secured notes – Class FRR, 8.78% (LIBOR + 8.50%,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03/26/2019</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814,776</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685,954</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181,206</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due April 15, 2029)</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CLO secured notes – Class E, 5.07% (LIBOR + 4.80%, due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03/08/2017</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9,000,000</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8,033,889</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4,305,600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July 22, 2024)</w:t>
            </w: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-5050790</wp:posOffset>
            </wp:positionV>
            <wp:extent cx="514350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-4656455</wp:posOffset>
            </wp:positionV>
            <wp:extent cx="514350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-4296410</wp:posOffset>
            </wp:positionV>
            <wp:extent cx="514350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-3876040</wp:posOffset>
            </wp:positionV>
            <wp:extent cx="514350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-3456305</wp:posOffset>
            </wp:positionV>
            <wp:extent cx="514350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-3096260</wp:posOffset>
            </wp:positionV>
            <wp:extent cx="514350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-2676525</wp:posOffset>
            </wp:positionV>
            <wp:extent cx="514350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-2282190</wp:posOffset>
            </wp:positionV>
            <wp:extent cx="514350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-1922145</wp:posOffset>
            </wp:positionV>
            <wp:extent cx="514350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-1527810</wp:posOffset>
            </wp:positionV>
            <wp:extent cx="514350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-1133475</wp:posOffset>
            </wp:positionV>
            <wp:extent cx="514350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-773430</wp:posOffset>
            </wp:positionV>
            <wp:extent cx="514350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-379095</wp:posOffset>
            </wp:positionV>
            <wp:extent cx="514350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-5419090</wp:posOffset>
            </wp:positionV>
            <wp:extent cx="514350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80" w:right="659" w:hanging="32"/>
        <w:spacing w:after="0" w:line="248" w:lineRule="auto"/>
        <w:tabs>
          <w:tab w:leader="none" w:pos="201"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8777" w:lineRule="exact"/>
        <w:rPr>
          <w:sz w:val="20"/>
          <w:szCs w:val="20"/>
          <w:color w:val="auto"/>
        </w:rPr>
      </w:pPr>
    </w:p>
    <w:p>
      <w:pPr>
        <w:sectPr>
          <w:pgSz w:w="11900" w:h="16838" w:orient="portrait"/>
          <w:cols w:equalWidth="0" w:num="2">
            <w:col w:w="7780" w:space="200"/>
            <w:col w:w="1039"/>
          </w:cols>
          <w:pgMar w:left="1440" w:top="333" w:right="1440" w:bottom="1440" w:gutter="0" w:footer="0" w:header="0"/>
        </w:sectPr>
      </w:pP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OFSI Fund VII, Ltd.</w:t>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CLO secured notes – Class ER, 6.52% (LIBOR + 6.25%,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-86995</wp:posOffset>
            </wp:positionV>
            <wp:extent cx="514350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21463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73"/>
        </w:trPr>
        <w:tc>
          <w:tcPr>
            <w:tcW w:w="1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due October 18,</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08/17/2020</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2,500,000</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2,343,669</w:t>
            </w:r>
          </w:p>
        </w:tc>
        <w:tc>
          <w:tcPr>
            <w:tcW w:w="152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2,418,750</w:t>
            </w:r>
          </w:p>
        </w:tc>
        <w:tc>
          <w:tcPr>
            <w:tcW w:w="0" w:type="dxa"/>
            <w:vAlign w:val="bottom"/>
          </w:tcPr>
          <w:p>
            <w:pPr>
              <w:spacing w:after="0"/>
              <w:rPr>
                <w:sz w:val="1"/>
                <w:szCs w:val="1"/>
                <w:color w:val="auto"/>
              </w:rPr>
            </w:pPr>
          </w:p>
        </w:tc>
      </w:tr>
      <w:tr>
        <w:trPr>
          <w:trHeight w:val="148"/>
        </w:trPr>
        <w:tc>
          <w:tcPr>
            <w:tcW w:w="37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CLO secured notes – Class F, 5.92% (LIBOR + 5.65%, due</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01/31/2020</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5,200,000</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4,107,557</w:t>
            </w:r>
          </w:p>
        </w:tc>
        <w:tc>
          <w:tcPr>
            <w:tcW w:w="152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rPr>
              <w:t>3,762,200</w:t>
            </w:r>
          </w:p>
        </w:tc>
        <w:tc>
          <w:tcPr>
            <w:tcW w:w="0" w:type="dxa"/>
            <w:vAlign w:val="bottom"/>
          </w:tcPr>
          <w:p>
            <w:pPr>
              <w:spacing w:after="0"/>
              <w:rPr>
                <w:sz w:val="1"/>
                <w:szCs w:val="1"/>
                <w:color w:val="auto"/>
              </w:rPr>
            </w:pPr>
          </w:p>
        </w:tc>
      </w:tr>
      <w:tr>
        <w:trPr>
          <w:trHeight w:val="188"/>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October 18, 2026)</w:t>
            </w: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3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OZLM VII, Ltd.</w:t>
            </w:r>
          </w:p>
        </w:tc>
        <w:tc>
          <w:tcPr>
            <w:tcW w:w="2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37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 – Class DR, 6.38% (LIBOR + 6.11%,</w:t>
            </w:r>
          </w:p>
        </w:tc>
        <w:tc>
          <w:tcPr>
            <w:tcW w:w="9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06/18/2020</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1,785,151</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1,170,748</w:t>
            </w:r>
          </w:p>
        </w:tc>
        <w:tc>
          <w:tcPr>
            <w:tcW w:w="1520" w:type="dxa"/>
            <w:vAlign w:val="bottom"/>
            <w:vMerge w:val="restart"/>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1,204,977</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July 17, 2029)</w:t>
            </w: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VIII, Ltd.</w:t>
            </w:r>
          </w:p>
        </w:tc>
        <w:tc>
          <w:tcPr>
            <w:tcW w:w="2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7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 – Class DRR, 6.35% (LIBOR + 6.08%,</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06/10/2020</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1,000,000</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801,665</w:t>
            </w:r>
          </w:p>
        </w:tc>
        <w:tc>
          <w:tcPr>
            <w:tcW w:w="1520" w:type="dxa"/>
            <w:vAlign w:val="bottom"/>
            <w:vMerge w:val="restart"/>
          </w:tcPr>
          <w:p>
            <w:pPr>
              <w:jc w:val="right"/>
              <w:ind w:right="708"/>
              <w:spacing w:after="0"/>
              <w:rPr>
                <w:sz w:val="20"/>
                <w:szCs w:val="20"/>
                <w:color w:val="auto"/>
              </w:rPr>
            </w:pPr>
            <w:r>
              <w:rPr>
                <w:rFonts w:ascii="Times New Roman" w:cs="Times New Roman" w:eastAsia="Times New Roman" w:hAnsi="Times New Roman"/>
                <w:sz w:val="14"/>
                <w:szCs w:val="14"/>
                <w:color w:val="auto"/>
              </w:rPr>
              <w:t>796,300</w:t>
            </w:r>
          </w:p>
        </w:tc>
        <w:tc>
          <w:tcPr>
            <w:tcW w:w="0" w:type="dxa"/>
            <w:vAlign w:val="bottom"/>
          </w:tcPr>
          <w:p>
            <w:pPr>
              <w:spacing w:after="0"/>
              <w:rPr>
                <w:sz w:val="1"/>
                <w:szCs w:val="1"/>
                <w:color w:val="auto"/>
              </w:rPr>
            </w:pPr>
          </w:p>
        </w:tc>
      </w:tr>
      <w:tr>
        <w:trPr>
          <w:trHeight w:val="188"/>
        </w:trPr>
        <w:tc>
          <w:tcPr>
            <w:tcW w:w="1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due October 17,</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3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w:t>
            </w:r>
          </w:p>
        </w:tc>
        <w:tc>
          <w:tcPr>
            <w:tcW w:w="24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 Class ERR, 8.44% (LIBOR + 8.17%,</w:t>
            </w:r>
          </w:p>
        </w:tc>
        <w:tc>
          <w:tcPr>
            <w:tcW w:w="9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06/11/2020</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1,469,172</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891,046</w:t>
            </w:r>
          </w:p>
        </w:tc>
        <w:tc>
          <w:tcPr>
            <w:tcW w:w="1520" w:type="dxa"/>
            <w:vAlign w:val="bottom"/>
            <w:vMerge w:val="restart"/>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903,982</w:t>
            </w:r>
          </w:p>
        </w:tc>
        <w:tc>
          <w:tcPr>
            <w:tcW w:w="0" w:type="dxa"/>
            <w:vAlign w:val="bottom"/>
          </w:tcPr>
          <w:p>
            <w:pPr>
              <w:spacing w:after="0"/>
              <w:rPr>
                <w:sz w:val="1"/>
                <w:szCs w:val="1"/>
                <w:color w:val="auto"/>
              </w:rPr>
            </w:pPr>
          </w:p>
        </w:tc>
      </w:tr>
      <w:tr>
        <w:trPr>
          <w:trHeight w:val="188"/>
        </w:trPr>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October 17,</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type w:val="continuous"/>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76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vMerge w:val="continue"/>
          </w:tcPr>
          <w:p>
            <w:pPr>
              <w:spacing w:after="0"/>
              <w:rPr>
                <w:sz w:val="11"/>
                <w:szCs w:val="11"/>
                <w:color w:val="auto"/>
              </w:rPr>
            </w:pPr>
          </w:p>
        </w:tc>
        <w:tc>
          <w:tcPr>
            <w:tcW w:w="880" w:type="dxa"/>
            <w:vAlign w:val="bottom"/>
            <w:gridSpan w:val="3"/>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760" w:type="dxa"/>
            <w:vAlign w:val="bottom"/>
            <w:gridSpan w:val="6"/>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AMOUNT</w:t>
            </w: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Debt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gridSpan w:val="6"/>
          </w:tcPr>
          <w:p>
            <w:pPr>
              <w:spacing w:after="0" w:line="230" w:lineRule="exact"/>
              <w:rPr>
                <w:sz w:val="20"/>
                <w:szCs w:val="20"/>
                <w:color w:val="auto"/>
              </w:rPr>
            </w:pPr>
            <w:r>
              <w:rPr>
                <w:rFonts w:ascii="Times New Roman" w:cs="Times New Roman" w:eastAsia="Times New Roman" w:hAnsi="Times New Roman"/>
                <w:sz w:val="14"/>
                <w:szCs w:val="14"/>
                <w:b w:val="1"/>
                <w:bCs w:val="1"/>
                <w:color w:val="auto"/>
              </w:rPr>
              <w:t>Structured Finance – Debt Investments</w:t>
            </w:r>
            <w:r>
              <w:rPr>
                <w:rFonts w:ascii="Times New Roman" w:cs="Times New Roman" w:eastAsia="Times New Roman" w:hAnsi="Times New Roman"/>
                <w:sz w:val="21"/>
                <w:szCs w:val="21"/>
                <w:b w:val="1"/>
                <w:bCs w:val="1"/>
                <w:color w:val="auto"/>
                <w:vertAlign w:val="superscript"/>
              </w:rPr>
              <w:t>(3)(6)</w:t>
            </w:r>
            <w:r>
              <w:rPr>
                <w:rFonts w:ascii="Times New Roman" w:cs="Times New Roman" w:eastAsia="Times New Roman" w:hAnsi="Times New Roman"/>
                <w:sz w:val="14"/>
                <w:szCs w:val="14"/>
                <w:b w:val="1"/>
                <w:bCs w:val="1"/>
                <w:color w:val="auto"/>
              </w:rPr>
              <w:t xml:space="preserve">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XIII,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760" w:type="dxa"/>
            <w:vAlign w:val="bottom"/>
            <w:gridSpan w:val="6"/>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 – Class D, 5.72% (LIBOR + 5.45%, due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04/15/2019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9,500,000</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8,913,014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7,151,600</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76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July 30, 2027)</w:t>
            </w:r>
          </w:p>
        </w:tc>
        <w:tc>
          <w:tcPr>
            <w:tcW w:w="96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60" w:type="dxa"/>
            <w:vAlign w:val="bottom"/>
            <w:gridSpan w:val="6"/>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 – Class E, 6.77% (LIBOR + 6.50%, due</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09/26/2019</w:t>
            </w:r>
          </w:p>
        </w:tc>
        <w:tc>
          <w:tcPr>
            <w:tcW w:w="80" w:type="dxa"/>
            <w:vAlign w:val="bottom"/>
            <w:shd w:val="clear" w:color="auto" w:fill="CCEEFF"/>
          </w:tcPr>
          <w:p>
            <w:pPr>
              <w:spacing w:after="0"/>
              <w:rPr>
                <w:sz w:val="10"/>
                <w:szCs w:val="10"/>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1,542,904</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1,081,200</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July 30, 2027)</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XXII,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760" w:type="dxa"/>
            <w:vAlign w:val="bottom"/>
            <w:gridSpan w:val="6"/>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 – Class E, 7.66% (LIBOR + 7.39%, due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01/31/2018</w:t>
            </w: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2,670,000</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2,595,430</w:t>
            </w:r>
          </w:p>
        </w:tc>
        <w:tc>
          <w:tcPr>
            <w:tcW w:w="12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1,559,280</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76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January 17, 2031)</w:t>
            </w: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Saranac CLO VIII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60" w:type="dxa"/>
            <w:vAlign w:val="bottom"/>
            <w:gridSpan w:val="6"/>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 – Class E, 8.37% (LIBOR + 8.12%, due</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02/05/2020</w:t>
            </w:r>
          </w:p>
        </w:tc>
        <w:tc>
          <w:tcPr>
            <w:tcW w:w="80" w:type="dxa"/>
            <w:vAlign w:val="bottom"/>
            <w:shd w:val="clear" w:color="auto" w:fill="CCEEFF"/>
          </w:tcPr>
          <w:p>
            <w:pPr>
              <w:spacing w:after="0"/>
              <w:rPr>
                <w:sz w:val="10"/>
                <w:szCs w:val="10"/>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4,000,000</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3,732,813</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3,342,400</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February 20, 2033)</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Shackleton 2017-X CLO,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760" w:type="dxa"/>
            <w:vAlign w:val="bottom"/>
            <w:gridSpan w:val="6"/>
          </w:tcPr>
          <w:p>
            <w:pPr>
              <w:ind w:left="180"/>
              <w:spacing w:after="0" w:line="126" w:lineRule="exact"/>
              <w:rPr>
                <w:sz w:val="20"/>
                <w:szCs w:val="20"/>
                <w:color w:val="auto"/>
              </w:rPr>
            </w:pPr>
            <w:r>
              <w:rPr>
                <w:rFonts w:ascii="Times New Roman" w:cs="Times New Roman" w:eastAsia="Times New Roman" w:hAnsi="Times New Roman"/>
                <w:sz w:val="14"/>
                <w:szCs w:val="14"/>
                <w:color w:val="auto"/>
              </w:rPr>
              <w:t>CLO secured notes – Class E, 6.49% (LIBOR + 6.22%, due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11/07/2019</w:t>
            </w: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2,683,856</w:t>
            </w:r>
          </w:p>
        </w:tc>
        <w:tc>
          <w:tcPr>
            <w:tcW w:w="12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2,307,000</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76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April 20, 2029)</w:t>
            </w: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Thacher Park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6"/>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secured notes – Class E1</w:t>
            </w: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3"/>
                <w:szCs w:val="13"/>
                <w:color w:val="auto"/>
              </w:rPr>
              <w:t>, 5.22% (LIBOR + 4.95%,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08/18/2020</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1,080,000</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955,467</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946,512</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October 20, 2026)</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XV,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6"/>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secured notes – Class ER2</w:t>
            </w: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3"/>
                <w:szCs w:val="13"/>
                <w:color w:val="auto"/>
              </w:rPr>
              <w:t>, 7.47% (LIBOR +</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6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7.19%, due July 15, 2032)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07/03/2019</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2,250,000</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2,086,829</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1,293,300</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gridSpan w:val="6"/>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Structured Finance – Debt Investments</w:t>
            </w: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760" w:type="dxa"/>
            <w:vAlign w:val="bottom"/>
            <w:gridSpan w:val="6"/>
            <w:vMerge w:val="continue"/>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63,549,630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52,535,297</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15.42%</w:t>
            </w:r>
          </w:p>
        </w:tc>
        <w:tc>
          <w:tcPr>
            <w:tcW w:w="0" w:type="dxa"/>
            <w:vAlign w:val="bottom"/>
          </w:tcPr>
          <w:p>
            <w:pPr>
              <w:spacing w:after="0"/>
              <w:rPr>
                <w:sz w:val="1"/>
                <w:szCs w:val="1"/>
                <w:color w:val="auto"/>
              </w:rPr>
            </w:pPr>
          </w:p>
        </w:tc>
      </w:tr>
      <w:tr>
        <w:trPr>
          <w:trHeight w:val="20"/>
        </w:trPr>
        <w:tc>
          <w:tcPr>
            <w:tcW w:w="376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Collateralized Loan Obligation – Debt Investments</w:t>
            </w: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760" w:type="dxa"/>
            <w:vAlign w:val="bottom"/>
            <w:gridSpan w:val="6"/>
            <w:vMerge w:val="continue"/>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63,549,630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52,535,297</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15.42%</w:t>
            </w:r>
          </w:p>
        </w:tc>
        <w:tc>
          <w:tcPr>
            <w:tcW w:w="0" w:type="dxa"/>
            <w:vAlign w:val="bottom"/>
          </w:tcPr>
          <w:p>
            <w:pPr>
              <w:spacing w:after="0"/>
              <w:rPr>
                <w:sz w:val="1"/>
                <w:szCs w:val="1"/>
                <w:color w:val="auto"/>
              </w:rPr>
            </w:pPr>
          </w:p>
        </w:tc>
      </w:tr>
      <w:tr>
        <w:trPr>
          <w:trHeight w:val="282"/>
        </w:trPr>
        <w:tc>
          <w:tcPr>
            <w:tcW w:w="24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4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w:t>
            </w: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5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Allegro CLO II-S, Ltd.</w:t>
            </w:r>
          </w:p>
        </w:tc>
        <w:tc>
          <w:tcPr>
            <w:tcW w:w="1240" w:type="dxa"/>
            <w:vAlign w:val="bottom"/>
            <w:tcBorders>
              <w:top w:val="single" w:sz="8" w:color="CCEEFF"/>
            </w:tcBorders>
            <w:gridSpan w:val="4"/>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6"/>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19.39%,</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02/06/2020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20,800,000</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9,117,348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6,240,000</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October 21, 2028)</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ALM XVII,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6"/>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9.24%,</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03/04/2019</w:t>
            </w:r>
          </w:p>
        </w:tc>
        <w:tc>
          <w:tcPr>
            <w:tcW w:w="8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6,500,000</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3,548,405</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1,670,196</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maturity January 15, 2028)</w:t>
            </w: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AMMC CLO XI,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6"/>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14.34%,</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05/15/2018</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2,100,000</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1,275,853</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840,000</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30,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AMMC CLO XII,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6"/>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9.96%,</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05/14/2018</w:t>
            </w:r>
          </w:p>
        </w:tc>
        <w:tc>
          <w:tcPr>
            <w:tcW w:w="8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11,428,571</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5,917,892</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3,542,857</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maturity November 10, 2030)</w:t>
            </w: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Anchorage Capital CLO 1-R,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6"/>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26.54%,</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08/13/2020</w:t>
            </w: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6,037,151</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5,994,539</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13, 2031)</w:t>
            </w: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605"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605"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vMerge w:val="continue"/>
          </w:tcPr>
          <w:p>
            <w:pPr>
              <w:spacing w:after="0"/>
              <w:rPr>
                <w:sz w:val="11"/>
                <w:szCs w:val="11"/>
                <w:color w:val="auto"/>
              </w:rPr>
            </w:pPr>
          </w:p>
        </w:tc>
        <w:tc>
          <w:tcPr>
            <w:tcW w:w="8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760" w:type="dxa"/>
            <w:vAlign w:val="bottom"/>
            <w:gridSpan w:val="4"/>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Anchorage Capital CLO 4-R,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16.32%,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05/20/2019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6,000,000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4,770,215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3,600,000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28,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Anchorage Capital CLO 5-R,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19.45%,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07/16/2019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25,500,000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18,996,204</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14,141,672</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15, 2030)</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Anchorage Capital CLO 7,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30.36%,</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06/02/2020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12,750,000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5,965,715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6,375,000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15, 2027)</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Anchorage Capital CLO 8,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14.51%,</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03/18/2019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4,637,240</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28, 2028)</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Anchorage Capital CLO 13,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20.50%,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08/24/2020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6,416,855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6,474,921</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15, 2032)</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760" w:type="dxa"/>
            <w:vAlign w:val="bottom"/>
            <w:gridSpan w:val="4"/>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Apex Credit CLO 2015-II, Ltd. (fka: JFIN CLO 2015-II</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Ltd.)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11/22/2016</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5,750,000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4,452,403</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632,500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October 17, 2026)</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Apex Credit CLO 2018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17.45%,</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03/14/2018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11,750,000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7,790,880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4,849,960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25,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Apex Credit CLO 2019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19.64%,</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05/13/2019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12,431,169</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8,840,227</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18, 2032)</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Arch Street CLO,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03/20/2019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5,250,000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2,773,087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472,500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20, 2028)</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Ares XXVII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12.61%,</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03/06/2019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8,386,434</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4,172,442</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28,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Ares XXXVII CLO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23.28%,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02/12/2019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16,988,143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12,821,924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15,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Ares XL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18.17%,</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11/30/2017</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37,433,000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20,143,362</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13,515,993</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15,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Atrium XV</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18.86%,</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09/17/2019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15,039,551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13,230,000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23,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0" w:gutter="0" w:footer="0" w:header="0"/>
          <w:type w:val="continuous"/>
        </w:sectPr>
      </w:pPr>
    </w:p>
    <w:bookmarkStart w:id="11" w:name="page12"/>
    <w:bookmarkEnd w:id="11"/>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PRINCIPAL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96"/>
        </w:trPr>
        <w:tc>
          <w:tcPr>
            <w:tcW w:w="3760" w:type="dxa"/>
            <w:vAlign w:val="bottom"/>
            <w:gridSpan w:val="4"/>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7"/>
                <w:szCs w:val="17"/>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2"/>
              </w:rPr>
              <w:t>VALUE</w:t>
            </w:r>
            <w:r>
              <w:rPr>
                <w:rFonts w:ascii="Times New Roman" w:cs="Times New Roman" w:eastAsia="Times New Roman" w:hAnsi="Times New Roman"/>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2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52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2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Battalion CLO VI Ltd.</w:t>
            </w:r>
          </w:p>
        </w:tc>
        <w:tc>
          <w:tcPr>
            <w:tcW w:w="124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(5)(7)(10)</w:t>
            </w:r>
            <w:r>
              <w:rPr>
                <w:rFonts w:ascii="Times New Roman" w:cs="Times New Roman" w:eastAsia="Times New Roman" w:hAnsi="Times New Roman"/>
                <w:sz w:val="14"/>
                <w:szCs w:val="14"/>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01/24/2018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5,000,000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400,486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17, 2026)</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Battalion CLO VII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4"/>
                <w:szCs w:val="14"/>
                <w:color w:val="auto"/>
              </w:rPr>
              <w:t>, (Estimated yield 10.21%,</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07/03/2018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26,900,000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15,363,762</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7,801,000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17, 2028)</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Benefit Street Partners CLO V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preference shares</w:t>
            </w:r>
            <w:r>
              <w:rPr>
                <w:rFonts w:ascii="Times New Roman" w:cs="Times New Roman" w:eastAsia="Times New Roman" w:hAnsi="Times New Roman"/>
                <w:sz w:val="21"/>
                <w:szCs w:val="21"/>
                <w:color w:val="auto"/>
                <w:vertAlign w:val="superscript"/>
              </w:rPr>
              <w:t>(5)(7)(10)</w:t>
            </w:r>
            <w:r>
              <w:rPr>
                <w:rFonts w:ascii="Times New Roman" w:cs="Times New Roman" w:eastAsia="Times New Roman" w:hAnsi="Times New Roman"/>
                <w:sz w:val="14"/>
                <w:szCs w:val="14"/>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07/27/2015</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11,500,000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664,781</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20, 2026)</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BlueMountain Fuji US CLO II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4"/>
                <w:szCs w:val="14"/>
                <w:color w:val="auto"/>
              </w:rPr>
              <w:t>, (Estimated yield 22.57%,</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02/13/2020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5,000,000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3,302,437</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2,650,000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20,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BlueMountain CLO 2015-4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4"/>
                <w:szCs w:val="14"/>
                <w:color w:val="auto"/>
              </w:rPr>
              <w:t>, (Estimated yield 48.47%,</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07/22/2020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5,824,700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2,342,396</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2,679,362</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20,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BlueMountain CLO 2016-3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(5)(7)(11)</w:t>
            </w:r>
            <w:r>
              <w:rPr>
                <w:rFonts w:ascii="Times New Roman" w:cs="Times New Roman" w:eastAsia="Times New Roman" w:hAnsi="Times New Roman"/>
                <w:sz w:val="14"/>
                <w:szCs w:val="14"/>
                <w:color w:val="auto"/>
              </w:rPr>
              <w:t>, (Estimated yield 38.73%,</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08/18/2020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3,172,500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1,255,191</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1,269,000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November 15,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BlueMountain CLO 2018-1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4"/>
                <w:szCs w:val="14"/>
                <w:color w:val="auto"/>
              </w:rPr>
              <w:t>, (Estimated yield 22.92%,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01/14/2020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13,000,000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6,980,607</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4,030,000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30,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BlueMountain CLO 2018-2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(5)(7)(11)</w:t>
            </w:r>
            <w:r>
              <w:rPr>
                <w:rFonts w:ascii="Times New Roman" w:cs="Times New Roman" w:eastAsia="Times New Roman" w:hAnsi="Times New Roman"/>
                <w:sz w:val="14"/>
                <w:szCs w:val="14"/>
                <w:color w:val="auto"/>
              </w:rPr>
              <w:t>, (Estimated yield 31.09%,</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02/21/2020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6,675,000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3,501,130</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2,269,500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August 15,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BlueMountain CLO 2018-3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4"/>
                <w:szCs w:val="14"/>
                <w:color w:val="auto"/>
              </w:rPr>
              <w:t>, (Estimated yield 44.44%,</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06/11/2020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18,200,000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7,899,297</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8,008,000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25,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B&amp;M CLO 2014-1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4"/>
                <w:szCs w:val="14"/>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10/30/2014</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22,000,000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1,872,796</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16, 2026)</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Carlyle Global Market Strategies CLO 2013-2,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(5)(7)(11)</w:t>
            </w:r>
            <w:r>
              <w:rPr>
                <w:rFonts w:ascii="Times New Roman" w:cs="Times New Roman" w:eastAsia="Times New Roman" w:hAnsi="Times New Roman"/>
                <w:sz w:val="14"/>
                <w:szCs w:val="14"/>
                <w:color w:val="auto"/>
              </w:rPr>
              <w:t>, (Estimated yield 11.97%,</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03/19/2013</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16,098,067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9,497,322</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4,420,419</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18, 2029)</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Carlyle Global Market Strategies CLO 2014-5,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w:t>
            </w:r>
            <w:r>
              <w:rPr>
                <w:rFonts w:ascii="Times New Roman" w:cs="Times New Roman" w:eastAsia="Times New Roman" w:hAnsi="Times New Roman"/>
                <w:sz w:val="14"/>
                <w:szCs w:val="14"/>
                <w:color w:val="auto"/>
              </w:rPr>
              <w:t>, (Estimated yield 17.82%,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03/27/2019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7,134,333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3,865,819</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1,926,270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15,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Cathedral Lake CLO 2013,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(5)(7)(11)</w:t>
            </w:r>
            <w:r>
              <w:rPr>
                <w:rFonts w:ascii="Times New Roman" w:cs="Times New Roman" w:eastAsia="Times New Roman" w:hAnsi="Times New Roman"/>
                <w:sz w:val="14"/>
                <w:szCs w:val="14"/>
                <w:color w:val="auto"/>
              </w:rPr>
              <w:t>, (Estimated yield 5.38%,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05/31/2018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6,350,000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2,661,798</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1,270,000</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15, 2029)</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Cathedral Lake II, Ltd.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60" w:type="dxa"/>
            <w:vAlign w:val="bottom"/>
            <w:gridSpan w:val="4"/>
          </w:tcPr>
          <w:p>
            <w:pPr>
              <w:ind w:left="180"/>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1"/>
                <w:szCs w:val="21"/>
                <w:color w:val="auto"/>
                <w:vertAlign w:val="superscript"/>
              </w:rPr>
              <w:t>(5)(7)(11)</w:t>
            </w:r>
            <w:r>
              <w:rPr>
                <w:rFonts w:ascii="Times New Roman" w:cs="Times New Roman" w:eastAsia="Times New Roman" w:hAnsi="Times New Roman"/>
                <w:sz w:val="14"/>
                <w:szCs w:val="14"/>
                <w:color w:val="auto"/>
              </w:rPr>
              <w:t>, (Estimated yield 8.55%,</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05/31/2018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14,862,200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8,917,578</w:t>
            </w:r>
          </w:p>
        </w:tc>
        <w:tc>
          <w:tcPr>
            <w:tcW w:w="1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3,418,306</w:t>
            </w: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16, 2029)</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-8205470</wp:posOffset>
            </wp:positionV>
            <wp:extent cx="514350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-7785100</wp:posOffset>
            </wp:positionV>
            <wp:extent cx="514350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-7425055</wp:posOffset>
            </wp:positionV>
            <wp:extent cx="514350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-7005320</wp:posOffset>
            </wp:positionV>
            <wp:extent cx="514350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-6584950</wp:posOffset>
            </wp:positionV>
            <wp:extent cx="514350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-6224905</wp:posOffset>
            </wp:positionV>
            <wp:extent cx="514350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-5805170</wp:posOffset>
            </wp:positionV>
            <wp:extent cx="514350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-5384800</wp:posOffset>
            </wp:positionV>
            <wp:extent cx="514350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-5024755</wp:posOffset>
            </wp:positionV>
            <wp:extent cx="514350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-4605020</wp:posOffset>
            </wp:positionV>
            <wp:extent cx="514350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-4184650</wp:posOffset>
            </wp:positionV>
            <wp:extent cx="514350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-3824605</wp:posOffset>
            </wp:positionV>
            <wp:extent cx="514350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-3404870</wp:posOffset>
            </wp:positionV>
            <wp:extent cx="514350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-2984500</wp:posOffset>
            </wp:positionV>
            <wp:extent cx="514350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-2624455</wp:posOffset>
            </wp:positionV>
            <wp:extent cx="514350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-2204720</wp:posOffset>
            </wp:positionV>
            <wp:extent cx="514350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-1784350</wp:posOffset>
            </wp:positionV>
            <wp:extent cx="514350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-1424305</wp:posOffset>
            </wp:positionV>
            <wp:extent cx="514350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-1004570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-584200</wp:posOffset>
            </wp:positionV>
            <wp:extent cx="514350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-224155</wp:posOffset>
            </wp:positionV>
            <wp:extent cx="514350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2400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-8608060</wp:posOffset>
            </wp:positionV>
            <wp:extent cx="514350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80" w:right="659" w:hanging="32"/>
        <w:spacing w:after="0" w:line="248" w:lineRule="auto"/>
        <w:tabs>
          <w:tab w:leader="none" w:pos="201"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w:t>
      </w:r>
    </w:p>
    <w:p>
      <w:pPr>
        <w:sectPr>
          <w:pgSz w:w="11900" w:h="16838" w:orient="portrait"/>
          <w:cols w:equalWidth="0" w:num="2">
            <w:col w:w="7780" w:space="200"/>
            <w:col w:w="1039"/>
          </w:cols>
          <w:pgMar w:left="1440" w:top="333" w:right="1440" w:bottom="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vMerge w:val="continue"/>
          </w:tcPr>
          <w:p>
            <w:pPr>
              <w:spacing w:after="0"/>
              <w:rPr>
                <w:sz w:val="11"/>
                <w:szCs w:val="11"/>
                <w:color w:val="auto"/>
              </w:rPr>
            </w:pPr>
          </w:p>
        </w:tc>
        <w:tc>
          <w:tcPr>
            <w:tcW w:w="8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760" w:type="dxa"/>
            <w:vAlign w:val="bottom"/>
            <w:gridSpan w:val="4"/>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2013-III-R,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12.32%,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03/19/2019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4,900,000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2,462,901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1,813,000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24,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2014,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8.41%, maturity</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02/01/2018</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3,567,178</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2,100,000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January 18,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2014-III,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11.82%,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03/06/2018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18,225,000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10,037,379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6,743,250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22,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East West Investment Management CLO 2019-1,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22.95%,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11/20/2019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13,970,000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12,314,607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11,874,500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20, 2033)</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Elevation CLO 2015-4,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15.22%,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09/05/2019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19,350,000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7,203,962</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3,676,500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18, 2027)</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Elevation CLO 2020-11,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(4)(5)(7)(9)(11)</w:t>
            </w:r>
            <w:r>
              <w:rPr>
                <w:rFonts w:ascii="Times New Roman" w:cs="Times New Roman" w:eastAsia="Times New Roman" w:hAnsi="Times New Roman"/>
                <w:sz w:val="13"/>
                <w:szCs w:val="13"/>
                <w:color w:val="auto"/>
              </w:rPr>
              <w:t>, (Estimated yield</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02/21/2020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22,496,225</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22,560,000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25.49%, maturity April 15, 2033)</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Halcyon Loan Advisors Funding 2018-1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10.82%,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05/11/2018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7,750,000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6,615,248</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3,875,000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20,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Highbridge Loan Management 3-2014,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49.35%,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06/19/2020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929,417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18,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ICG US CLO 2016-1,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02/01/2018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4,750,000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3,883,519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1,579,945</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29, 2028)</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Jamestown CLO IV,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11/16/2017</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2,446,315</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15, 2026)</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KVK CLO 2013-1,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44.93%,</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09/22/2020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285,150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282,025</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14, 2028)</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Longfellow Place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01/11/2018</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19,640,000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7,192,061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392,800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15,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XIII,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26.43%,</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09/17/2019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10,549,447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8,600,000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19,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XV,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10.49%,</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03/07/2019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12,050,000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4,979,896</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2,916,100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27, 2026)</w:t>
            </w:r>
          </w:p>
        </w:tc>
        <w:tc>
          <w:tcPr>
            <w:tcW w:w="9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vMerge w:val="continue"/>
          </w:tcPr>
          <w:p>
            <w:pPr>
              <w:spacing w:after="0"/>
              <w:rPr>
                <w:sz w:val="11"/>
                <w:szCs w:val="11"/>
                <w:color w:val="auto"/>
              </w:rPr>
            </w:pPr>
          </w:p>
        </w:tc>
        <w:tc>
          <w:tcPr>
            <w:tcW w:w="8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760" w:type="dxa"/>
            <w:vAlign w:val="bottom"/>
            <w:gridSpan w:val="4"/>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XVII,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26.95%,</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01/07/2020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5,000,000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2,441,584</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2,250,000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21,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30.07%,</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07/30/2020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2,008,343</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2,135,000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27, 2030)</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22.01%,</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06/25/2019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11,125,249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10,200,000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15, 2033)</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XXIV,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6.69%,</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03/28/2019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3,568,750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2,457,478</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1,570,250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October 20,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XXIX,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18.24%,</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09/28/2018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14,436,303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11,730,000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18, 2047)</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XXX,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16.50%,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02/23/2018</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17,550,000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14,385,233</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9,977,088</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15, 2047)</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Funding XXXII,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21.99%,</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10/08/2019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12,250,000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8,798,907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8,207,500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22, 2048)</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Madison Park Fund XLI, Ltd. (fka: Atrium XII CLO)</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19.49%,</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10/08/2015</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34,762,500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19,669,920</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13,905,000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22, 2027)</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Marble Point CLO XI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11.69%, maturity</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05/07/2019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8,500,000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5,522,246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2,890,000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December 18, 2047)</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Midocean Credit CLO III</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5.36%, maturity</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04/24/2019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16,650,000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7,356,303</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832,500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April 21,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Midocean Credit CLO VI</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 maturity</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11/08/2016</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29,700,000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24,376,369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9,801,000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January 20, 2029)</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secured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 maturity</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11/15/2013</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25,670,000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3,298,925</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2,567</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July 20, 2024)</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Mountain View CLO 2014-1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08/08/2018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2,506,803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15, 2026)</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Mountain View CLO 2017-2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07/27/2020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2,304,931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2,450,000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16, 2031)</w:t>
            </w:r>
          </w:p>
        </w:tc>
        <w:tc>
          <w:tcPr>
            <w:tcW w:w="9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vMerge w:val="continue"/>
          </w:tcPr>
          <w:p>
            <w:pPr>
              <w:spacing w:after="0"/>
              <w:rPr>
                <w:sz w:val="11"/>
                <w:szCs w:val="11"/>
                <w:color w:val="auto"/>
              </w:rPr>
            </w:pPr>
          </w:p>
        </w:tc>
        <w:tc>
          <w:tcPr>
            <w:tcW w:w="8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760" w:type="dxa"/>
            <w:vAlign w:val="bottom"/>
            <w:gridSpan w:val="4"/>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Nassau 2017-II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7.21%,</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09/17/2019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$ 24,400,000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$ 15,406,770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5,856,000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15,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NorthWoods Capital XII-B,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29.55%,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02/06/2020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10,000,000</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6,531,588</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4,700,000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June 15,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3"/>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NorthWoods Capital XIV-B,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31.78%,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12/18/2019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4,250,000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2,639,559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1,870,000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November 13,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Ocean Trails CLO VI</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10/30/2018</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4,000,000</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3,328,321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1,395,751</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15, 2028)</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3"/>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XXII,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24.49%,</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06/07/2018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13,000,000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6,657,167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4,680,000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November 25, 2025)</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29,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23.31%,</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08/24/2020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7,300,000</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5,028,403</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5,110,000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24, 2033)</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3"/>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Investment Partners 40,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(4)(5)(7)</w:t>
            </w:r>
            <w:r>
              <w:rPr>
                <w:rFonts w:ascii="Times New Roman" w:cs="Times New Roman" w:eastAsia="Times New Roman" w:hAnsi="Times New Roman"/>
                <w:sz w:val="13"/>
                <w:szCs w:val="13"/>
                <w:color w:val="auto"/>
              </w:rPr>
              <w:t>, (Estimated yield 18.44%,</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02/14/2019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47,250,000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41,195,193</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32,130,000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20,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Octagon Loan Funding,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17.73%,</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02/28/2019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1,774,526</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980,777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674,320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November 18,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3"/>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OFSI Fund VII,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08/05/2014</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28,840,000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14,631,335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2,018,800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18, 2026)</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OFSI BSL VIII,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14.42%,</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04/26/2019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8,500,000</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6,072,719</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3,145,000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August 16,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3"/>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OFSI BSL IX,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15.76%,</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06/21/2018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11,480,000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9,903,800</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6,199,200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31, 2118)</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OHA Loan Funding 2012-1,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04/03/2019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7,400,000</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24,417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495,800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23, 2025)</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3"/>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Funding III,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7.61%,</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08/24/2018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12,000,000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7,354,909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2,640,000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22, 2029)</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OZLM VII,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37.25%,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01/29/2020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21,891,673</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4,913,074</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1,751,334</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17, 2029)</w:t>
            </w:r>
          </w:p>
        </w:tc>
        <w:tc>
          <w:tcPr>
            <w:tcW w:w="9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vMerge w:val="continue"/>
          </w:tcPr>
          <w:p>
            <w:pPr>
              <w:spacing w:after="0"/>
              <w:rPr>
                <w:sz w:val="11"/>
                <w:szCs w:val="11"/>
                <w:color w:val="auto"/>
              </w:rPr>
            </w:pPr>
          </w:p>
        </w:tc>
        <w:tc>
          <w:tcPr>
            <w:tcW w:w="8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760" w:type="dxa"/>
            <w:vAlign w:val="bottom"/>
            <w:gridSpan w:val="4"/>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VIII,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01/18/2019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$ 10,000,000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3,470,367</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1,300,000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17, 2029)</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OZLM XIII,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03/19/2018</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11,042,059</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2,300,000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30, 2027)</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OZLM XIV,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17.22%,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12/07/2015</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36,920,000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21,404,689</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10,849,754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15, 2029)</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OZLM XVIII,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59.28%,</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06/10/2020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1,287,399</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1,856,310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15,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Parallel 2018-1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44.79%,</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06/25/2020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570,271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630,000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20,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Park Avenue Institutional Advisers CLO Ltd 2018-1</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20.19%,</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10/11/2019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4,663,261</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3,300,000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October 20,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Rockford Tower CLO 2019-2,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23.19%,</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09/11/2020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3,362,185</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3,350,000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August 20, 2032)</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Seneca Park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04/23/2019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793,610</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17, 2026)</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Shackleton 2013-IV-R CLO,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22.72%,</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08/14/2018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24,500,000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11,577,306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6,185,288</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April 13,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Shackleton 2014-V-R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24.61%,</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09/17/2019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19,500,000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11,081,416</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May 07,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Sound Point CLO 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40.47%,</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06/16/2020</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839,491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770,000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26, 2031)</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Sound Point CLO VI-R,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11.47%,</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05/01/2018</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24,656,983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9,634,397</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4,438,257</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October 20,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Sound Point CLO XXII,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17.24%,</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09/19/2019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4,880,000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3,355,996</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2,293,600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20, 2032)</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Symphony CLO XVIII,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19.74%,</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01/23/2020</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11,668,095</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8,250,000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23, 2028)</w:t>
            </w:r>
          </w:p>
        </w:tc>
        <w:tc>
          <w:tcPr>
            <w:tcW w:w="9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ACQUISITION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960" w:type="dxa"/>
            <w:vAlign w:val="bottom"/>
            <w:gridSpan w:val="2"/>
            <w:vMerge w:val="continue"/>
          </w:tcPr>
          <w:p>
            <w:pPr>
              <w:spacing w:after="0"/>
              <w:rPr>
                <w:sz w:val="11"/>
                <w:szCs w:val="11"/>
                <w:color w:val="auto"/>
              </w:rPr>
            </w:pPr>
          </w:p>
        </w:tc>
        <w:tc>
          <w:tcPr>
            <w:tcW w:w="8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760" w:type="dxa"/>
            <w:vAlign w:val="bottom"/>
            <w:gridSpan w:val="4"/>
            <w:vMerge w:val="continue"/>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14"/>
                <w:szCs w:val="14"/>
                <w:b w:val="1"/>
                <w:bCs w:val="1"/>
                <w:color w:val="auto"/>
                <w:vertAlign w:val="superscript"/>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2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Telos CLO 2013-3,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01/25/2013</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$ 14,332,210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6,296,614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1,433</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17, 2026)</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Telos CLO 2013-4,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07/11/2013</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14,350,000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7,120,863</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1,064,936</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17, 2030)</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Telos CLO 2014-6,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11/08/2017</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21,400,000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9,166,640</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2,140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17, 2027)</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Thacher Park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13.99%,</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04/23/2019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1,240,740</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405,000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October 20, 2026)</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THL Credit Wind River 2015-1 CLO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16.97%,</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06/12/2019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806,801</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559,000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October 20,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THL Credit Wind River 2017-1 CLO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02/02/2017</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8,952,760</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4,920,000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18,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THL Credit Wind River 2017-4 CLO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15.78%,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10/30/2018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7,000,000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5,919,580</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5,040,000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November 20,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Tralee CLO 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06/06/2018</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2,151,851</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315,000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20,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Tralee CLO IV,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12/21/2017</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13,270,000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10,640,413</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3,184,800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January 20, 2030)</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Trinitas CLO VII, Ltd.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20.33%,</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09/18/2019</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1,158,132</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January 25, 2031)</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Trinitas CLO VIII, Ltd.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25.30%,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03/12/2019</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8,050,000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5,652,887</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4,669,000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20, 2117)</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XIV CLO, Limited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09/12/2017</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9,250,000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4,538,646</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1,480,000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August 28, 2029)</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XV CLO, Limited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4"/>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01/31/2018</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9,450,126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5,632,551</w:t>
            </w:r>
          </w:p>
        </w:tc>
        <w:tc>
          <w:tcPr>
            <w:tcW w:w="12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1,417,519</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maturity July 15, 2032)</w:t>
            </w: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XVII CLO, Limited</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gridSpan w:val="4"/>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01/09/2017</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17,000,000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10,120,935</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1,251,980</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April 15, 2027)</w:t>
            </w:r>
          </w:p>
        </w:tc>
        <w:tc>
          <w:tcPr>
            <w:tcW w:w="9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ACQUISITION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 OF</w:t>
            </w:r>
          </w:p>
        </w:tc>
        <w:tc>
          <w:tcPr>
            <w:tcW w:w="0" w:type="dxa"/>
            <w:vAlign w:val="bottom"/>
          </w:tcPr>
          <w:p>
            <w:pPr>
              <w:spacing w:after="0"/>
              <w:rPr>
                <w:sz w:val="1"/>
                <w:szCs w:val="1"/>
                <w:color w:val="auto"/>
              </w:rPr>
            </w:pPr>
          </w:p>
        </w:tc>
      </w:tr>
      <w:tr>
        <w:trPr>
          <w:trHeight w:val="128"/>
        </w:trPr>
        <w:tc>
          <w:tcPr>
            <w:tcW w:w="360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(1)(13)(14)</w:t>
            </w:r>
          </w:p>
        </w:tc>
        <w:tc>
          <w:tcPr>
            <w:tcW w:w="1020" w:type="dxa"/>
            <w:vAlign w:val="bottom"/>
            <w:gridSpan w:val="2"/>
            <w:vMerge w:val="continue"/>
          </w:tcPr>
          <w:p>
            <w:pPr>
              <w:spacing w:after="0"/>
              <w:rPr>
                <w:sz w:val="11"/>
                <w:szCs w:val="11"/>
                <w:color w:val="auto"/>
              </w:rPr>
            </w:pPr>
          </w:p>
        </w:tc>
        <w:tc>
          <w:tcPr>
            <w:tcW w:w="86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0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NET</w:t>
            </w:r>
          </w:p>
        </w:tc>
        <w:tc>
          <w:tcPr>
            <w:tcW w:w="0" w:type="dxa"/>
            <w:vAlign w:val="bottom"/>
          </w:tcPr>
          <w:p>
            <w:pPr>
              <w:spacing w:after="0"/>
              <w:rPr>
                <w:sz w:val="1"/>
                <w:szCs w:val="1"/>
                <w:color w:val="auto"/>
              </w:rPr>
            </w:pPr>
          </w:p>
        </w:tc>
      </w:tr>
      <w:tr>
        <w:trPr>
          <w:trHeight w:val="196"/>
        </w:trPr>
        <w:tc>
          <w:tcPr>
            <w:tcW w:w="3600" w:type="dxa"/>
            <w:vAlign w:val="bottom"/>
            <w:gridSpan w:val="5"/>
            <w:vMerge w:val="continue"/>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8"/>
              </w:rPr>
              <w:t>DATE</w:t>
            </w:r>
            <w:r>
              <w:rPr>
                <w:rFonts w:ascii="Times New Roman" w:cs="Times New Roman" w:eastAsia="Times New Roman" w:hAnsi="Times New Roman"/>
                <w:sz w:val="14"/>
                <w:szCs w:val="14"/>
                <w:b w:val="1"/>
                <w:bCs w:val="1"/>
                <w:color w:val="auto"/>
                <w:w w:val="88"/>
                <w:vertAlign w:val="superscript"/>
              </w:rPr>
              <w:t>(15)</w:t>
            </w: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AMOUNT</w:t>
            </w:r>
          </w:p>
        </w:tc>
        <w:tc>
          <w:tcPr>
            <w:tcW w:w="1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VALUE</w:t>
            </w:r>
            <w:r>
              <w:rPr>
                <w:rFonts w:ascii="Times New Roman" w:cs="Times New Roman" w:eastAsia="Times New Roman" w:hAnsi="Times New Roman"/>
                <w:sz w:val="14"/>
                <w:szCs w:val="14"/>
                <w:b w:val="1"/>
                <w:bCs w:val="1"/>
                <w:color w:val="auto"/>
                <w:w w:val="92"/>
                <w:vertAlign w:val="superscript"/>
              </w:rPr>
              <w:t>(2)</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0" w:type="dxa"/>
            <w:vAlign w:val="bottom"/>
          </w:tcPr>
          <w:p>
            <w:pPr>
              <w:spacing w:after="0"/>
              <w:rPr>
                <w:sz w:val="1"/>
                <w:szCs w:val="1"/>
                <w:color w:val="auto"/>
              </w:rPr>
            </w:pPr>
          </w:p>
        </w:tc>
      </w:tr>
      <w:tr>
        <w:trPr>
          <w:trHeight w:val="135"/>
        </w:trPr>
        <w:tc>
          <w:tcPr>
            <w:tcW w:w="3500" w:type="dxa"/>
            <w:vAlign w:val="bottom"/>
            <w:tcBorders>
              <w:top w:val="single" w:sz="8" w:color="auto"/>
            </w:tcBorders>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360" w:type="dxa"/>
            <w:vAlign w:val="bottom"/>
            <w:tcBorders>
              <w:top w:val="single" w:sz="8" w:color="CCEEFF"/>
            </w:tcBorders>
            <w:gridSpan w:val="2"/>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Structured Finance – Equity Investments (continued)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6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XX CLO, Limited</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00" w:type="dxa"/>
            <w:vAlign w:val="bottom"/>
            <w:gridSpan w:val="5"/>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07/27/2018</w:t>
            </w:r>
          </w:p>
        </w:tc>
        <w:tc>
          <w:tcPr>
            <w:tcW w:w="10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6,000,000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2,437,326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maturity April 15, 2027)</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0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XXI CLO, Limited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gridSpan w:val="5"/>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2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08/16/2017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30,000,000</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16,329,149</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2,100,000</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15, 2027)</w:t>
            </w: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XXV CLO, Limited</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00" w:type="dxa"/>
            <w:vAlign w:val="bottom"/>
            <w:gridSpan w:val="5"/>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47.59%,</w:t>
            </w: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09/25/2020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12,500,000</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3,448,401</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3,421,625</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maturity April 20, 2029)</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0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32 CLO, Limited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gridSpan w:val="5"/>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11.36%,</w:t>
            </w:r>
          </w:p>
        </w:tc>
        <w:tc>
          <w:tcPr>
            <w:tcW w:w="92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02/20/2019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3,500,000</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3,019,006</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1,645,000</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18, 2031)</w:t>
            </w: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37 CLO, Limited</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00" w:type="dxa"/>
            <w:vAlign w:val="bottom"/>
            <w:gridSpan w:val="5"/>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16.99%,</w:t>
            </w: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05/28/2019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7,000,000</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5,900,092</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3,920,000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maturity July 15, 2032)</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0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Vibrant CLO III, Ltd.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gridSpan w:val="5"/>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31.59%,</w:t>
            </w:r>
          </w:p>
        </w:tc>
        <w:tc>
          <w:tcPr>
            <w:tcW w:w="92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02/05/2019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26,250,000</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9,497,739</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6,465,375</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October 20, 2031)</w:t>
            </w: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Wellfleet 2016-2 CLO, Ltd.</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00" w:type="dxa"/>
            <w:vAlign w:val="bottom"/>
            <w:gridSpan w:val="5"/>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09/28/2016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7,786,794</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2,400,000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maturity October 20, 2028)</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0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West CLO 2014-1, Ltd.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gridSpan w:val="5"/>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2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11/16/2018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20,250,000</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8,435,757</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3,037,500</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18, 2026)</w:t>
            </w: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Zais CLO 8, Limited</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00" w:type="dxa"/>
            <w:vAlign w:val="bottom"/>
            <w:gridSpan w:val="5"/>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0.00%,</w:t>
            </w: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02/23/2018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2,117,862</w:t>
            </w:r>
          </w:p>
        </w:tc>
        <w:tc>
          <w:tcPr>
            <w:tcW w:w="12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390,000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maturity April 15, 2029)</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0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Zais CLO 9, Limited</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600" w:type="dxa"/>
            <w:vAlign w:val="bottom"/>
            <w:gridSpan w:val="5"/>
            <w:shd w:val="clear" w:color="auto" w:fill="CCEEFF"/>
          </w:tcPr>
          <w:p>
            <w:pPr>
              <w:ind w:left="180"/>
              <w:spacing w:after="0" w:line="166"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0.00%,</w:t>
            </w:r>
          </w:p>
        </w:tc>
        <w:tc>
          <w:tcPr>
            <w:tcW w:w="92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06/19/2018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10,700,000</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8,788,288</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1,926,000</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maturity July 20, 2031)</w:t>
            </w: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Other CLO equity related investments</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60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4"/>
                <w:szCs w:val="14"/>
                <w:color w:val="auto"/>
              </w:rPr>
              <w:t>CLO other</w:t>
            </w:r>
            <w:r>
              <w:rPr>
                <w:rFonts w:ascii="Times New Roman" w:cs="Times New Roman" w:eastAsia="Times New Roman" w:hAnsi="Times New Roman"/>
                <w:sz w:val="21"/>
                <w:szCs w:val="21"/>
                <w:color w:val="auto"/>
                <w:vertAlign w:val="superscript"/>
              </w:rPr>
              <w:t>(8)</w:t>
            </w:r>
          </w:p>
        </w:tc>
        <w:tc>
          <w:tcPr>
            <w:tcW w:w="10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Various</w:t>
            </w:r>
            <w:r>
              <w:rPr>
                <w:rFonts w:ascii="Times New Roman" w:cs="Times New Roman" w:eastAsia="Times New Roman" w:hAnsi="Times New Roman"/>
                <w:sz w:val="21"/>
                <w:szCs w:val="21"/>
                <w:color w:val="auto"/>
                <w:vertAlign w:val="superscript"/>
              </w:rPr>
              <w:t>(16)</w:t>
            </w: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372,225</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1,690,384</w:t>
            </w: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Structured Finance – Equity Investments</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805,815,832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473,182,419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138.87%</w:t>
            </w:r>
          </w:p>
        </w:tc>
        <w:tc>
          <w:tcPr>
            <w:tcW w:w="0" w:type="dxa"/>
            <w:vAlign w:val="bottom"/>
          </w:tcPr>
          <w:p>
            <w:pPr>
              <w:spacing w:after="0"/>
              <w:rPr>
                <w:sz w:val="1"/>
                <w:szCs w:val="1"/>
                <w:color w:val="auto"/>
              </w:rPr>
            </w:pPr>
          </w:p>
        </w:tc>
      </w:tr>
      <w:tr>
        <w:trPr>
          <w:trHeight w:val="104"/>
        </w:trPr>
        <w:tc>
          <w:tcPr>
            <w:tcW w:w="3600" w:type="dxa"/>
            <w:vAlign w:val="bottom"/>
            <w:gridSpan w:val="5"/>
          </w:tcPr>
          <w:p>
            <w:pPr>
              <w:ind w:left="180"/>
              <w:spacing w:after="0" w:line="104" w:lineRule="exact"/>
              <w:rPr>
                <w:sz w:val="20"/>
                <w:szCs w:val="20"/>
                <w:color w:val="auto"/>
              </w:rPr>
            </w:pPr>
            <w:r>
              <w:rPr>
                <w:rFonts w:ascii="Times New Roman" w:cs="Times New Roman" w:eastAsia="Times New Roman" w:hAnsi="Times New Roman"/>
                <w:sz w:val="12"/>
                <w:szCs w:val="12"/>
                <w:b w:val="1"/>
                <w:bCs w:val="1"/>
                <w:color w:val="auto"/>
              </w:rPr>
              <w:t>Total Collateralized Loan Obligation – Equity</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6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805,815,832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473,182,419</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138.87%</w:t>
            </w: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6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869,365,462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525,717,716</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154.29%</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60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4"/>
                <w:szCs w:val="14"/>
                <w:color w:val="auto"/>
              </w:rPr>
              <w:t>First American Government Obligations Fund</w:t>
            </w:r>
            <w:r>
              <w:rPr>
                <w:rFonts w:ascii="Times New Roman" w:cs="Times New Roman" w:eastAsia="Times New Roman" w:hAnsi="Times New Roman"/>
                <w:sz w:val="21"/>
                <w:szCs w:val="21"/>
                <w:color w:val="auto"/>
                <w:vertAlign w:val="superscript"/>
              </w:rPr>
              <w:t>(12)</w:t>
            </w: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29,894,262</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29,894,262</w:t>
            </w: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29,894,262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29,894,262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8.77%</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 and Cash Equivalents</w:t>
            </w: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899,259,724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555,611,978</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163.06%</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6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719" w:hanging="426"/>
        <w:spacing w:after="0" w:line="275" w:lineRule="auto"/>
        <w:tabs>
          <w:tab w:leader="none" w:pos="87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“control” and are not an “affiliate” of any of our portfolio companies, each as defined in the Investment Company Act of 1940, as amended (the “1940 Act”). In general, under the 1940 Act, we would be presumed to “control” a portfolio company if we owned more than 25% of its voting securities and would be an “affiliate” of a portfolio company if we owned 5% or more of its voting securities.</w:t>
      </w:r>
    </w:p>
    <w:p>
      <w:pPr>
        <w:sectPr>
          <w:pgSz w:w="11900" w:h="16838" w:orient="portrait"/>
          <w:cols w:equalWidth="0" w:num="1">
            <w:col w:w="9019"/>
          </w:cols>
          <w:pgMar w:left="1440" w:top="333" w:right="1440" w:bottom="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12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is determined in good faith by the Board of Directors of the Fund.</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reflects accretion of original issue discount or market discount.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represents greater than 5% of net assets.</w:t>
      </w:r>
    </w:p>
    <w:p>
      <w:pPr>
        <w:spacing w:after="0" w:line="18" w:lineRule="exact"/>
        <w:rPr>
          <w:rFonts w:ascii="Times New Roman" w:cs="Times New Roman" w:eastAsia="Times New Roman" w:hAnsi="Times New Roman"/>
          <w:sz w:val="16"/>
          <w:szCs w:val="16"/>
          <w:color w:val="auto"/>
        </w:rPr>
      </w:pPr>
    </w:p>
    <w:p>
      <w:pPr>
        <w:ind w:left="880" w:right="839" w:hanging="426"/>
        <w:spacing w:after="0" w:line="264"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reflects accretion of effective yield less any cash distributions received or entitled to be received from CLO equity investments.</w:t>
      </w:r>
    </w:p>
    <w:p>
      <w:pPr>
        <w:ind w:left="880" w:right="579" w:hanging="426"/>
        <w:spacing w:after="0" w:line="264" w:lineRule="auto"/>
        <w:tabs>
          <w:tab w:leader="none" w:pos="87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 secured notes generally bear interest at a rate determined by reference to three-month LIBOR which resets quarterly. For each CLO debt investment, the rate provided is as of September 30, 2020.</w:t>
      </w:r>
    </w:p>
    <w:p>
      <w:pPr>
        <w:ind w:left="880" w:right="499" w:hanging="426"/>
        <w:spacing w:after="0" w:line="264" w:lineRule="auto"/>
        <w:tabs>
          <w:tab w:leader="none" w:pos="87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 subordinated notes, preferred shares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represents discounted cash flows associated with fees earned from CLO equity investments</w:t>
      </w:r>
    </w:p>
    <w:p>
      <w:pPr>
        <w:spacing w:after="0" w:line="18" w:lineRule="exact"/>
        <w:rPr>
          <w:rFonts w:ascii="Times New Roman" w:cs="Times New Roman" w:eastAsia="Times New Roman" w:hAnsi="Times New Roman"/>
          <w:sz w:val="16"/>
          <w:szCs w:val="16"/>
          <w:color w:val="auto"/>
        </w:rPr>
      </w:pPr>
    </w:p>
    <w:p>
      <w:pPr>
        <w:ind w:left="880" w:right="1059" w:hanging="426"/>
        <w:spacing w:after="0" w:line="264"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has not made inaugural distribution for relevant period end. See “Note 3. Summary of Significant Accounting Policies — Investment Income.”</w:t>
      </w:r>
    </w:p>
    <w:p>
      <w:pPr>
        <w:ind w:left="880" w:right="599" w:hanging="426"/>
        <w:spacing w:after="0" w:line="264" w:lineRule="auto"/>
        <w:tabs>
          <w:tab w:leader="none" w:pos="87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 equity investment was optionally redeemed. See “Note 3. Summary of Significant Accounting Policies — Securities Transactions.”</w:t>
      </w: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co-invested with the Fund’s affiliates. See “Note 5. Related Party Transactions.”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equivalents held in a money market account as of September 30, 2020.</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investment was determined using significant unobservable inputs. See “Note 4. Fair Value.”</w:t>
      </w:r>
    </w:p>
    <w:p>
      <w:pPr>
        <w:spacing w:after="0" w:line="18"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7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generally acquires its investments in private transactions exempt from registration under the Securities Act of 1933, as amended (the “Securities Act”). Unless otherwise noted, all of the Fund’s investments are deemed to be “restricted securities” under the Securities Act.</w:t>
      </w: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date represents the initial date of purchase.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date includes multiple investments purchased from August 2014 through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ind w:left="312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8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Six Months</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securitization vehicles and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55,732,678</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 debt investments</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3,411,547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59,812,439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8,158,961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advisory fees</w:t>
            </w: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4,949,503</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fees</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8,969,177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589,472</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Administrator expense</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337,327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572,079</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fees</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179,000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expense</w:t>
            </w: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75,522</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agent and custodian fees</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104,690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3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23,935,731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35,876,708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appreciation on investments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96,544,636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on the redemption of mandatorily redeemable preferred stock</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389,386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0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(60,843,803)</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and net change in unrealized appreciation</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36,090,219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71,966,927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CHANGES IN NET ASSETS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assets from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35,876,708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72,938,948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(60,843,803)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(4,663,231)</w:t>
            </w: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realized gains (losses) on the redemption of mandatorily redeemable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389,386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(1,491,359)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96,544,636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(357,917,071)</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71,966,927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(291,132,713</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of net investment income</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(42,508,895)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(58,147,135)</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of return of capital</w:t>
            </w: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(6,351,904)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(37,316,428)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distributions to stockholders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(48,860,799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(95,463,563</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share transactions: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(net of underwriting fees and offering costs of</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$889,099 and $3,973,158, respectively)</w:t>
            </w: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42,594,385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290,082,225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Reinvestment of distributions</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6,238,275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11,470,330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in net assets from capital share transactions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48,832,660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301,552,555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10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71,938,788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(85,043,721)</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year</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268,788,369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353,832,090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340,727,157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268,788,369</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share activity:</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w:t>
            </w:r>
          </w:p>
        </w:tc>
        <w:tc>
          <w:tcPr>
            <w:tcW w:w="10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10,964,515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31,131,899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from distribution reinvestment plan</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1,577,676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1,503,453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increase in capital share activity</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12,542,191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32,635,352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8" w:name="page29"/>
    <w:bookmarkEnd w:id="28"/>
    <w:p>
      <w:pPr>
        <w:ind w:left="312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8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71,966,927</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increase in net assets resulting from operations to net cash provided by</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7"/>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discounts on investments</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(636,216)</w:t>
            </w:r>
          </w:p>
        </w:tc>
      </w:tr>
      <w:tr>
        <w:trPr>
          <w:trHeight w:val="47"/>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deferred issuance costs on mandatorily redeemable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498,670</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deferred costs from repurchase of mandatorily redeemable preferred stock</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576,110</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Accretion of discount on mandatorily redeemable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120,727</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offering costs on common stock</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269,884</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interest income due to PIK</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(464,296)</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(76,332,788)</w:t>
            </w:r>
          </w:p>
        </w:tc>
      </w:tr>
      <w:tr>
        <w:trPr>
          <w:trHeight w:val="47"/>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of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105,455,145</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change in unrealized appreciation on investments</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(96,544,636)</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Expired 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54,653</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60,843,803</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realized gains on the redemption of mandatorily redeemable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(389,386)</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reductions to CLO equity cost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3,409,416</w:t>
            </w:r>
          </w:p>
        </w:tc>
      </w:tr>
      <w:tr>
        <w:trPr>
          <w:trHeight w:val="47"/>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distributions receivable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(1,684,856)</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 fee receivable</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645</w:t>
            </w:r>
          </w:p>
        </w:tc>
      </w:tr>
      <w:tr>
        <w:trPr>
          <w:trHeight w:val="47"/>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interest receivable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(247,145)</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136,265</w:t>
            </w:r>
          </w:p>
        </w:tc>
      </w:tr>
      <w:tr>
        <w:trPr>
          <w:trHeight w:val="47"/>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investment advisory fee payable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(735,613)</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 incentive fee payable</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(534,518)</w:t>
            </w:r>
          </w:p>
        </w:tc>
      </w:tr>
      <w:tr>
        <w:trPr>
          <w:trHeight w:val="47"/>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interest payable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(9,794)</w:t>
            </w: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 administrator expense payable</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(18,011)</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accrued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(98,234)</w:t>
            </w:r>
          </w:p>
        </w:tc>
      </w:tr>
      <w:tr>
        <w:trPr>
          <w:trHeight w:val="250"/>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accrued expenses</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147,425</w:t>
            </w:r>
          </w:p>
        </w:tc>
      </w:tr>
      <w:tr>
        <w:trPr>
          <w:trHeight w:val="33"/>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65,784,177</w:t>
            </w:r>
          </w:p>
        </w:tc>
      </w:tr>
      <w:tr>
        <w:trPr>
          <w:trHeight w:val="277"/>
        </w:trPr>
        <w:tc>
          <w:tcPr>
            <w:tcW w:w="6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paid (net of distribution reinvestment plan of $6,238,275)</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(42,622,524)</w:t>
            </w:r>
          </w:p>
        </w:tc>
      </w:tr>
      <w:tr>
        <w:trPr>
          <w:trHeight w:val="47"/>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43,483,484</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Underwriting fees and offering costs for the issuance of common stock</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(889,099)</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(340,226)</w:t>
            </w:r>
          </w:p>
        </w:tc>
      </w:tr>
      <w:tr>
        <w:trPr>
          <w:trHeight w:val="237"/>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mandatorily redeemable preferred stock</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(6,955,000)</w:t>
            </w:r>
          </w:p>
        </w:tc>
      </w:tr>
      <w:tr>
        <w:trPr>
          <w:trHeight w:val="46"/>
        </w:trPr>
        <w:tc>
          <w:tcPr>
            <w:tcW w:w="6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issuance costs for the issuance of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(10,639)</w:t>
            </w:r>
          </w:p>
        </w:tc>
      </w:tr>
      <w:tr>
        <w:trPr>
          <w:trHeight w:val="250"/>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borrowings related to securities sold under agreement to repurchase</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(40,218,481)</w:t>
            </w:r>
          </w:p>
        </w:tc>
      </w:tr>
      <w:tr>
        <w:trPr>
          <w:trHeight w:val="33"/>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(47,552,485)</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333" w:right="1440" w:bottom="0" w:gutter="0" w:footer="0" w:header="0"/>
        </w:sectPr>
      </w:pP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6"/>
          <w:szCs w:val="16"/>
          <w:color w:val="auto"/>
        </w:rPr>
        <w:t>18,231,692</w:t>
      </w:r>
    </w:p>
    <w:p>
      <w:pPr>
        <w:spacing w:after="0" w:line="11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6"/>
          <w:szCs w:val="16"/>
          <w:color w:val="auto"/>
        </w:rPr>
        <w:t>11,662,570</w:t>
      </w:r>
    </w:p>
    <w:p>
      <w:pPr>
        <w:spacing w:after="0" w:line="100" w:lineRule="exact"/>
        <w:rPr>
          <w:sz w:val="20"/>
          <w:szCs w:val="20"/>
          <w:color w:val="auto"/>
        </w:rPr>
      </w:pPr>
    </w:p>
    <w:p>
      <w:pPr>
        <w:ind w:left="388" w:hanging="388"/>
        <w:spacing w:after="0"/>
        <w:tabs>
          <w:tab w:leader="none" w:pos="38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29,894,262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029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92" w:space="720"/>
            <w:col w:w="1707"/>
          </w:cols>
          <w:pgMar w:left="1440" w:top="333" w:right="1440" w:bottom="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w:t>
            </w:r>
          </w:p>
        </w:tc>
        <w:tc>
          <w:tcPr>
            <w:tcW w:w="1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7,549,358</w:t>
            </w:r>
          </w:p>
        </w:tc>
      </w:tr>
      <w:tr>
        <w:trPr>
          <w:trHeight w:val="46"/>
        </w:trPr>
        <w:tc>
          <w:tcPr>
            <w:tcW w:w="5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84"/>
        </w:trPr>
        <w:tc>
          <w:tcPr>
            <w:tcW w:w="57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NON-CASH ACTIVITIES</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6"/>
        </w:trPr>
        <w:tc>
          <w:tcPr>
            <w:tcW w:w="5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64"/>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Value of shares issued in connection with dividend reinvestment plan</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6,238,275</w:t>
            </w:r>
          </w:p>
        </w:tc>
      </w:tr>
      <w:tr>
        <w:trPr>
          <w:trHeight w:val="237"/>
        </w:trPr>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securities purchased not settled</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12,967,500</w:t>
            </w:r>
          </w:p>
        </w:tc>
      </w:tr>
      <w:tr>
        <w:trPr>
          <w:trHeight w:val="46"/>
        </w:trPr>
        <w:tc>
          <w:tcPr>
            <w:tcW w:w="5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7"/>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interest income due to PIK</w:t>
            </w:r>
          </w:p>
        </w:tc>
        <w:tc>
          <w:tcPr>
            <w:tcW w:w="1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464,296</w:t>
            </w:r>
          </w:p>
        </w:tc>
      </w:tr>
      <w:tr>
        <w:trPr>
          <w:trHeight w:val="47"/>
        </w:trPr>
        <w:tc>
          <w:tcPr>
            <w:tcW w:w="576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333" w:right="1440" w:bottom="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UNAUDITED INTERIM FINANCIAL STATEMENTS</w:t>
      </w:r>
    </w:p>
    <w:p>
      <w:pPr>
        <w:spacing w:after="0" w:line="16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N-CSR. Accordingly, certain disclosures accompanying annual financial statements prepared in accordance with GAAP are omitted. In the opinion of management, all adjustments, consisting of normal recurring accruals, necessary for the fair statement of financial results for the interim periods have been included.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2020, as filed with the Securities and Exchange Commission (“SEC”).</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ORGANIZATION</w:t>
      </w:r>
    </w:p>
    <w:p>
      <w:pPr>
        <w:spacing w:after="0" w:line="162"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OXLC was incorporated under the General Corporation Laws of the State of Maryland on June 9, 2010. The Fund is a non-diversified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is rated below investment grade (the “Senior Loans”). Such CLO vehicles generally have very little or no exposure to real estate loans, or mortgage loans or to pools of consumer-based debt, such as credit card receivables or auto loans. OXLC’s investment activities are managed by Oxford Lane Management, LLC (“OXLC Management”), a registered investment adviser under the Investment Advisers Act of 1940, as amended (the “Advisers Act.”) Oxford Funds, LLC (“Oxford Funds”), is the managing member of OXLC Management and serves as the administrator of OXLC. Under the investment advisory agreement with OXLC Management (the “Investment Advisory Agreement”), OXLC has agreed to pay OXLC Management an annual base management fee based on gross assets as well as an incentive fee based on its performance. For further detail please refer to “Note 5. Related Party Transactions.”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Times New Roman" w:cs="Times New Roman" w:eastAsia="Times New Roman" w:hAnsi="Times New Roman"/>
          <w:sz w:val="18"/>
          <w:szCs w:val="18"/>
          <w:i w:val="1"/>
          <w:iCs w:val="1"/>
          <w:color w:val="auto"/>
        </w:rPr>
        <w:t>Financial Services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Companies</w:t>
      </w:r>
      <w:r>
        <w:rPr>
          <w:rFonts w:ascii="Times New Roman" w:cs="Times New Roman" w:eastAsia="Times New Roman" w:hAnsi="Times New Roman"/>
          <w:sz w:val="18"/>
          <w:szCs w:val="18"/>
          <w:color w:val="auto"/>
        </w:rPr>
        <w:t>. Certain prior period figures have been reclassified from those originally published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 to conform to the current period presentation for comparative purposes. The Fund maintains its accounting records in U.S. dollars.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spacing w:after="0" w:line="108"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62" w:lineRule="exact"/>
        <w:rPr>
          <w:sz w:val="20"/>
          <w:szCs w:val="20"/>
          <w:color w:val="auto"/>
        </w:rPr>
      </w:pPr>
    </w:p>
    <w:p>
      <w:pPr>
        <w:ind w:left="460" w:right="519" w:firstLine="432"/>
        <w:spacing w:after="0" w:line="277" w:lineRule="auto"/>
        <w:rPr>
          <w:sz w:val="20"/>
          <w:szCs w:val="20"/>
          <w:color w:val="auto"/>
        </w:rPr>
      </w:pPr>
      <w:r>
        <w:rPr>
          <w:rFonts w:ascii="Times New Roman" w:cs="Times New Roman" w:eastAsia="Times New Roman" w:hAnsi="Times New Roman"/>
          <w:sz w:val="17"/>
          <w:szCs w:val="17"/>
          <w:color w:val="auto"/>
        </w:rPr>
        <w:t>Cash equivalents consist of demand deposits and cash held in a money market fund which contain investments with original maturities of three months or less.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62" w:lineRule="exact"/>
        <w:rPr>
          <w:sz w:val="20"/>
          <w:szCs w:val="20"/>
          <w:color w:val="auto"/>
        </w:rPr>
      </w:pPr>
    </w:p>
    <w:p>
      <w:pPr>
        <w:ind w:left="460" w:right="539" w:firstLine="432"/>
        <w:spacing w:after="0" w:line="273" w:lineRule="auto"/>
        <w:rPr>
          <w:sz w:val="20"/>
          <w:szCs w:val="20"/>
          <w:color w:val="auto"/>
        </w:rPr>
      </w:pPr>
      <w:r>
        <w:rPr>
          <w:rFonts w:ascii="Times New Roman" w:cs="Times New Roman" w:eastAsia="Times New Roman" w:hAnsi="Times New Roman"/>
          <w:sz w:val="17"/>
          <w:szCs w:val="17"/>
          <w:color w:val="auto"/>
        </w:rPr>
        <w:t xml:space="preserve">The Fund determines the fair values of its investment portfolio in accordance with the provisions of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Estimates made in the preparation of OXLC’s financial statements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9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 Obligations — Debt and Equity</w:t>
      </w:r>
    </w:p>
    <w:p>
      <w:pPr>
        <w:spacing w:after="0" w:line="16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OXLC has acquired debt and equity positions in CLO investment vehicles.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In periods of illiquidity and volatility, the Fund may rely more heavily on other qualities and metrics, including, but not limited to, the collateral manager, time left in the reinvestment period, and expected cash flows and overcollateralization ratios, instead of the Fund’s generated valuation yields. OXLC Management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OXLC Management. If a third-party valuation firm is engaged by the Fund, it will provide the Board of Directors with a written report with respect to each investment it has reviewed. The Valuation Committee will evaluate the impact of such additional information, and factor it into its consideration of fair value.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Securities Sold Under Agreement to Repurchase</w:t>
      </w:r>
    </w:p>
    <w:p>
      <w:pPr>
        <w:spacing w:after="0" w:line="162"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The Fund may enter into an agreement whereby it sells securities to be repurchased at an agreed-upon price and date. Under this agreement, the Fund would account for this transaction as a collateralized financing transaction which is recorded at the contracted repurchase amount plus interest. The Fund’s securities sold under the agreement to repurchase are carried at cost. Refer to “Note 9. Borrowings Related to Securities Sold Under Agreement to Repurchase” for further details.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was no share repurchase program authorized on the Fund’s common stock for the six months ended September 30, 2020.</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Fund carries its mandatorily redeemable preferred stock at accreted cost on the Statement of Assets and Liabilities, and not fair value. Refer to “Note 8. Mandatorily Redeemable Preferred Stock” for further details.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Prepaid expenses and other assets generally consists primarily of insurance costs.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from securitization vehicles and investments</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w:cs="Times New Roman" w:eastAsia="Times New Roman" w:hAnsi="Times New Roman"/>
          <w:sz w:val="18"/>
          <w:szCs w:val="18"/>
          <w:i w:val="1"/>
          <w:iCs w:val="1"/>
          <w:color w:val="auto"/>
        </w:rPr>
        <w:t>Beneficial Interests in Securitized Financial Assets</w:t>
      </w:r>
      <w:r>
        <w:rPr>
          <w:rFonts w:ascii="Times New Roman" w:cs="Times New Roman" w:eastAsia="Times New Roman" w:hAnsi="Times New Roman"/>
          <w:sz w:val="18"/>
          <w:szCs w:val="18"/>
          <w:color w:val="auto"/>
        </w:rPr>
        <w:t>, based upon estimated cash flows, their expected timing, and expected redemption,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11"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Fund also records income on its investments in certain securitization vehicles (or “CLO warehouse facilities”) based on a stated rate per the underlying note purchase agreement or, if there is no stated rate, then an estimated rate is calculated using a base case model projecting the timing of the ramp-up of the CLO warehouse facility.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 Debt Investments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2020, the Fund had no non-accrual investments in its portfolio.</w:t>
      </w:r>
    </w:p>
    <w:p>
      <w:pPr>
        <w:spacing w:after="0" w:line="108"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Interest income also includes a payment-in-kind (“PIK”) provision on certain investments in the Fund’s portfolio. Refer to the section below, “Payment-In-Kind,” for a description of the PIK provision and its impact on interest income.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Payment-In-Kind</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Fund has debt investments in its portfolio which contain a contractual PIK provision. Certain PIK investments offer issuers the option at each payment date of making payments in cash or additional securities. PIK interest is computed at the contractual rate and is accrued into income and recorded as interest income. The PIK amounts is added to the principal balance on the capitalization date. Upon capitalization, the PIK component is subject to the fair value estimates associated with their related investments. At the point the Fund believes PIK is not fully expected to be realized, the PIK investment will be placed on non-accrual status. When a PIK investment is placed on non-accrual status, the accrued, uncapitalized interest is reversed from the related receivable through interest income. PIK investments on non-accrual status are restored to accrual status once it becomes probable that PIK will be realized.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2" w:lineRule="exact"/>
        <w:rPr>
          <w:sz w:val="20"/>
          <w:szCs w:val="20"/>
          <w:color w:val="auto"/>
        </w:rPr>
      </w:pPr>
    </w:p>
    <w:p>
      <w:pPr>
        <w:ind w:left="460" w:right="599" w:firstLine="432"/>
        <w:spacing w:after="0" w:line="277" w:lineRule="auto"/>
        <w:rPr>
          <w:sz w:val="20"/>
          <w:szCs w:val="20"/>
          <w:color w:val="auto"/>
        </w:rPr>
      </w:pPr>
      <w:r>
        <w:rPr>
          <w:rFonts w:ascii="Times New Roman" w:cs="Times New Roman" w:eastAsia="Times New Roman" w:hAnsi="Times New Roman"/>
          <w:sz w:val="17"/>
          <w:szCs w:val="17"/>
          <w:color w:val="auto"/>
        </w:rPr>
        <w:t>Other income includes distributions from fee letters and success fees associated with portfolio investments. Distributions from fee letters are based upon a percentage of the collateral manager’s fees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TAXES</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Fund intends to operate so as to continue to qualify to be taxed as a RIC under Subchapter M of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20"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3. SUMMARY OF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99"/>
        <w:spacing w:after="0" w:line="266" w:lineRule="auto"/>
        <w:rPr>
          <w:sz w:val="20"/>
          <w:szCs w:val="20"/>
          <w:color w:val="auto"/>
        </w:rPr>
      </w:pPr>
      <w:r>
        <w:rPr>
          <w:rFonts w:ascii="Times New Roman" w:cs="Times New Roman" w:eastAsia="Times New Roman" w:hAnsi="Times New Roman"/>
          <w:sz w:val="18"/>
          <w:szCs w:val="18"/>
          <w:color w:val="auto"/>
        </w:rPr>
        <w:t>expected to be taken in the Fund’s fiscal 2021 tax returns. The Fund identifies its major tax jurisdictions as U.S Federal and Connecticut State. The Fund is not aware of any tax position for which it is reasonably possible that the total amounts of unrecognized tax benefits will change materially in the next six months.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Our distribution policy is based upon our estimate of our taxable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spacing w:after="0" w:line="121"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Amounts required to be distributed reflect estimates made by the Fund. Distributions paid by the Fund in accordance with RIC requirements are subject to re-characterization for tax purposes.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Securities transactions are recorded on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 ON COMMON STOCK</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costs are periodically reviewed and expensed if the related registration statement is no longer active or if the offering is unsuccessful.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ISSUANCE COSTS ON MANDATORILY REDEEMABLE PREFERRED STOCK</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Deferred issuance costs on mandatorily redeemable preferred stock consist of fees and expenses incurred in connection with the closing of preferred stock offerings and are capitalized at the time of payment. These costs are amortized using the straight-line method over the term of the respective preferred stock series. This amortization expense is included in interest expense in the Fund’s financial statements. Upon early termination of preferred stock, the remaining balance of unamortized fees related to such debt is accelerated into realized loss on redemption of mandatorily redeemable preferred stock on the Fund’s Statement of Operations. Deferred issuance costs are presented on the Statement of Assets and Liabilities as a direct deduction from the related series of mandatorily redeemable preferred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Fund’s assets measured at fair value on a recurring basis subject to the disclosure requirements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ASC 820-10 at September 30, 2020,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 Date Using</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120" w:type="dxa"/>
            <w:vAlign w:val="bottom"/>
          </w:tcPr>
          <w:p>
            <w:pPr>
              <w:spacing w:after="0"/>
              <w:rPr>
                <w:sz w:val="15"/>
                <w:szCs w:val="15"/>
                <w:color w:val="auto"/>
              </w:rPr>
            </w:pPr>
          </w:p>
        </w:tc>
        <w:tc>
          <w:tcPr>
            <w:tcW w:w="11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 ($ 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debt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CLO equity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471.5</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CLO equity related investments</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36"/>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160"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Fund’s financial liabilities disclosed, but not carried at fair value as of September 30, 2020 and the level of each financial liability within the fair value hierarchy:</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2023 Term Preferred Shares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Series 2024 Term Preferred Shares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2027 Term Preferred Shares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619" w:hanging="426"/>
        <w:spacing w:after="0" w:line="281"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21, 2020, the Fund authorized a program for the purpose of repurchasing up to $40 million worth of the outstanding shares of the Fund’s 7.50% Series 2023 Term Preferred Stock, 6.75% Series 2024 Term Preferred Stock and 6.25% Series 2027 Term Preferred Stock.</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FAIR VALUE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Significant Unobservable Inputs for Level 3 Investments</w:t>
      </w:r>
    </w:p>
    <w:p>
      <w:pPr>
        <w:spacing w:after="0" w:line="160"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accordance with ASC 820-10, the following table provides quantitative information about the Fund’s Level 3 fair value measurements as of September 30, 2020.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to</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14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Range/Weighted</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Valuation from</w:t>
            </w:r>
          </w:p>
        </w:tc>
        <w:tc>
          <w:tcPr>
            <w:tcW w:w="0" w:type="dxa"/>
            <w:vAlign w:val="bottom"/>
          </w:tcPr>
          <w:p>
            <w:pPr>
              <w:spacing w:after="0"/>
              <w:rPr>
                <w:sz w:val="1"/>
                <w:szCs w:val="1"/>
                <w:color w:val="auto"/>
              </w:rPr>
            </w:pPr>
          </w:p>
        </w:tc>
      </w:tr>
      <w:tr>
        <w:trPr>
          <w:trHeight w:val="148"/>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vMerge w:val="restart"/>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Techniques/</w:t>
            </w:r>
          </w:p>
        </w:tc>
        <w:tc>
          <w:tcPr>
            <w:tcW w:w="11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 Increase in</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Methodologies</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Average</w:t>
            </w:r>
            <w:r>
              <w:rPr>
                <w:rFonts w:ascii="Times New Roman" w:cs="Times New Roman" w:eastAsia="Times New Roman" w:hAnsi="Times New Roman"/>
                <w:sz w:val="21"/>
                <w:szCs w:val="21"/>
                <w:b w:val="1"/>
                <w:bCs w:val="1"/>
                <w:color w:val="auto"/>
                <w:w w:val="96"/>
                <w:vertAlign w:val="superscript"/>
              </w:rPr>
              <w:t>(3)</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Input</w:t>
            </w:r>
            <w:r>
              <w:rPr>
                <w:rFonts w:ascii="Times New Roman" w:cs="Times New Roman" w:eastAsia="Times New Roman" w:hAnsi="Times New Roman"/>
                <w:sz w:val="21"/>
                <w:szCs w:val="21"/>
                <w:b w:val="1"/>
                <w:bCs w:val="1"/>
                <w:color w:val="auto"/>
                <w:w w:val="96"/>
                <w:vertAlign w:val="superscript"/>
              </w:rPr>
              <w:t>(4)</w:t>
            </w:r>
          </w:p>
        </w:tc>
        <w:tc>
          <w:tcPr>
            <w:tcW w:w="0" w:type="dxa"/>
            <w:vAlign w:val="bottom"/>
          </w:tcPr>
          <w:p>
            <w:pPr>
              <w:spacing w:after="0"/>
              <w:rPr>
                <w:sz w:val="1"/>
                <w:szCs w:val="1"/>
                <w:color w:val="auto"/>
              </w:rPr>
            </w:pPr>
          </w:p>
        </w:tc>
      </w:tr>
      <w:tr>
        <w:trPr>
          <w:trHeight w:val="253"/>
        </w:trPr>
        <w:tc>
          <w:tcPr>
            <w:tcW w:w="1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 in millions)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debt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Market Quotes</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2"/>
              </w:rPr>
              <w:t>NBIB</w:t>
            </w:r>
            <w:r>
              <w:rPr>
                <w:rFonts w:ascii="Times New Roman" w:cs="Times New Roman" w:eastAsia="Times New Roman" w:hAnsi="Times New Roman"/>
                <w:sz w:val="21"/>
                <w:szCs w:val="21"/>
                <w:color w:val="auto"/>
                <w:w w:val="92"/>
                <w:vertAlign w:val="superscript"/>
              </w:rPr>
              <w:t>(1)</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22.2% – 96.8% / 69.4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283"/>
        </w:trPr>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equity</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457.8</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Market Quotes</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2"/>
              </w:rPr>
              <w:t>NBIB</w:t>
            </w:r>
            <w:r>
              <w:rPr>
                <w:rFonts w:ascii="Times New Roman" w:cs="Times New Roman" w:eastAsia="Times New Roman" w:hAnsi="Times New Roman"/>
                <w:sz w:val="21"/>
                <w:szCs w:val="21"/>
                <w:color w:val="auto"/>
                <w:w w:val="92"/>
                <w:vertAlign w:val="superscript"/>
              </w:rPr>
              <w:t>(1)</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0.0% – 94.0% / 33.2%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12.9</w:t>
            </w:r>
          </w:p>
        </w:tc>
        <w:tc>
          <w:tcPr>
            <w:tcW w:w="114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Recent</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Actual trade</w:t>
            </w:r>
            <w:r>
              <w:rPr>
                <w:rFonts w:ascii="Times New Roman" w:cs="Times New Roman" w:eastAsia="Times New Roman" w:hAnsi="Times New Roman"/>
                <w:sz w:val="21"/>
                <w:szCs w:val="21"/>
                <w:color w:val="auto"/>
                <w:w w:val="98"/>
                <w:vertAlign w:val="superscript"/>
              </w:rPr>
              <w:t>(5)</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15.0% – 41.3% / 27.3%</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Transaction</w:t>
            </w:r>
          </w:p>
        </w:tc>
        <w:tc>
          <w:tcPr>
            <w:tcW w:w="11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Liquidation</w:t>
            </w: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rPr>
              <w:t>Net Asset</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8"/>
              </w:rPr>
              <w:t>Value</w:t>
            </w:r>
            <w:r>
              <w:rPr>
                <w:rFonts w:ascii="Times New Roman" w:cs="Times New Roman" w:eastAsia="Times New Roman" w:hAnsi="Times New Roman"/>
                <w:sz w:val="21"/>
                <w:szCs w:val="21"/>
                <w:color w:val="auto"/>
                <w:w w:val="88"/>
                <w:vertAlign w:val="superscript"/>
              </w:rPr>
              <w:t>(6)</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2"/>
              </w:rPr>
              <w:t>NBIB</w:t>
            </w:r>
            <w:r>
              <w:rPr>
                <w:rFonts w:ascii="Times New Roman" w:cs="Times New Roman" w:eastAsia="Times New Roman" w:hAnsi="Times New Roman"/>
                <w:sz w:val="21"/>
                <w:szCs w:val="21"/>
                <w:color w:val="auto"/>
                <w:w w:val="92"/>
                <w:vertAlign w:val="superscript"/>
              </w:rPr>
              <w:t>(1)</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1.1% – 6.7% / 3.2%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162"/>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CLO equity related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Discounted cash</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Discount rate</w:t>
            </w:r>
            <w:r>
              <w:rPr>
                <w:rFonts w:ascii="Times New Roman" w:cs="Times New Roman" w:eastAsia="Times New Roman" w:hAnsi="Times New Roman"/>
                <w:sz w:val="21"/>
                <w:szCs w:val="21"/>
                <w:color w:val="auto"/>
                <w:w w:val="98"/>
                <w:vertAlign w:val="superscript"/>
              </w:rPr>
              <w:t>(2)</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11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4"/>
                <w:szCs w:val="14"/>
                <w:color w:val="auto"/>
                <w:w w:val="95"/>
              </w:rPr>
              <w:t>flow</w:t>
            </w:r>
            <w:r>
              <w:rPr>
                <w:rFonts w:ascii="Times New Roman" w:cs="Times New Roman" w:eastAsia="Times New Roman" w:hAnsi="Times New Roman"/>
                <w:sz w:val="21"/>
                <w:szCs w:val="21"/>
                <w:color w:val="auto"/>
                <w:w w:val="95"/>
                <w:vertAlign w:val="superscript"/>
              </w:rPr>
              <w:t>(2)</w:t>
            </w:r>
          </w:p>
        </w:tc>
        <w:tc>
          <w:tcPr>
            <w:tcW w:w="1120" w:type="dxa"/>
            <w:vAlign w:val="bottom"/>
            <w:gridSpan w:val="2"/>
            <w:vMerge w:val="continue"/>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6.4% – 36.0% / 23.3%</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06"/>
        </w:trPr>
        <w:tc>
          <w:tcPr>
            <w:tcW w:w="2040" w:type="dxa"/>
            <w:vAlign w:val="bottom"/>
            <w:tcBorders>
              <w:top w:val="single" w:sz="8" w:color="CCEEFF"/>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Fair Value for Level 3</w:t>
            </w:r>
          </w:p>
        </w:tc>
        <w:tc>
          <w:tcPr>
            <w:tcW w:w="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525.7</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65" w:lineRule="auto"/>
        <w:tabs>
          <w:tab w:leader="none" w:pos="8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generally uses non-binding indicative bid prices (“NBIB”)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Times New Roman" w:cs="Times New Roman" w:eastAsia="Times New Roman" w:hAnsi="Times New Roman"/>
          <w:sz w:val="16"/>
          <w:szCs w:val="16"/>
          <w:color w:val="auto"/>
        </w:rPr>
      </w:pPr>
    </w:p>
    <w:p>
      <w:pPr>
        <w:ind w:left="880" w:right="659" w:hanging="426"/>
        <w:spacing w:after="0" w:line="264" w:lineRule="auto"/>
        <w:tabs>
          <w:tab w:leader="none" w:pos="8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will calculate the fair value of CLO equity side letters based upon the net present value of expected contractual payment streams discounted using estimated market yields for the equity tranche of the respective CLO vehicle.</w:t>
      </w:r>
    </w:p>
    <w:p>
      <w:pPr>
        <w:ind w:left="880" w:hanging="426"/>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averages are calculated based on fair value of investments.</w:t>
      </w:r>
    </w:p>
    <w:p>
      <w:pPr>
        <w:spacing w:after="0" w:line="18" w:lineRule="exact"/>
        <w:rPr>
          <w:rFonts w:ascii="Times New Roman" w:cs="Times New Roman" w:eastAsia="Times New Roman" w:hAnsi="Times New Roman"/>
          <w:sz w:val="16"/>
          <w:szCs w:val="16"/>
          <w:color w:val="auto"/>
        </w:rPr>
      </w:pPr>
    </w:p>
    <w:p>
      <w:pPr>
        <w:ind w:left="880" w:right="659" w:hanging="426"/>
        <w:spacing w:after="0" w:line="264" w:lineRule="auto"/>
        <w:tabs>
          <w:tab w:leader="none" w:pos="8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ind w:left="880" w:right="479" w:hanging="426"/>
        <w:spacing w:after="0" w:line="264"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Prices provided by independent pricing services are evaluated in conjunction with actual trades and payoffs and, in certain cases, the value represented by actual trades or payoffs may be more representative of fair value as determined by the Board of Directors.</w:t>
      </w:r>
    </w:p>
    <w:p>
      <w:pPr>
        <w:ind w:left="880" w:right="659" w:hanging="426"/>
        <w:spacing w:after="0" w:line="276" w:lineRule="auto"/>
        <w:tabs>
          <w:tab w:leader="none" w:pos="8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those CLO equity positions which have been optionally redeemed are generally valued using a liquidation net asset value basis which represents the estimated expected residual value of the CLO as of the end of the period.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FAIR VALUE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A reconciliation of the fair value of investments for the six months ended September 30, 2020, utilizing significant unobservable inputs, is as follows: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Collateralized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Collateralized</w:t>
            </w:r>
          </w:p>
        </w:tc>
        <w:tc>
          <w:tcPr>
            <w:tcW w:w="100" w:type="dxa"/>
            <w:vAlign w:val="bottom"/>
          </w:tcPr>
          <w:p>
            <w:pPr>
              <w:spacing w:after="0"/>
              <w:rPr>
                <w:sz w:val="13"/>
                <w:szCs w:val="13"/>
                <w:color w:val="auto"/>
              </w:rPr>
            </w:pPr>
          </w:p>
        </w:tc>
        <w:tc>
          <w:tcPr>
            <w:tcW w:w="11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CLO</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Loan Obligation</w:t>
            </w:r>
          </w:p>
        </w:tc>
        <w:tc>
          <w:tcPr>
            <w:tcW w:w="100" w:type="dxa"/>
            <w:vAlign w:val="bottom"/>
          </w:tcPr>
          <w:p>
            <w:pPr>
              <w:spacing w:after="0"/>
              <w:rPr>
                <w:sz w:val="12"/>
                <w:szCs w:val="12"/>
                <w:color w:val="auto"/>
              </w:rPr>
            </w:pPr>
          </w:p>
        </w:tc>
        <w:tc>
          <w:tcPr>
            <w:tcW w:w="12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Loan Obligation</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Related</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38.3</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Realized losses included in earnings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46"/>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appreciation included in earnings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Accretion of discounts</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47"/>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Reductions to CLO equity cost value</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7"/>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 in Kind income</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in and/or out of level 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Balance at September 30, 2020</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12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The amount of total gains for the period</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included in earnings attributable to the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unrealized gains or losses related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our Level 3 assets still held at the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reporting date and reported within the net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unrealized gains or losses 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our Statement of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w:t>
            </w:r>
          </w:p>
        </w:tc>
        <w:tc>
          <w:tcPr>
            <w:tcW w:w="20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(333.9)</w:t>
            </w:r>
          </w:p>
        </w:tc>
        <w:tc>
          <w:tcPr>
            <w:tcW w:w="10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(343.6)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99" w:hanging="426"/>
        <w:spacing w:after="0" w:line="281" w:lineRule="auto"/>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to cost value on OXLC’s CLO equity investments represents the difference between distributions received, or entitled to be received, for the six months ended September 30, 2020, of approximately $59.1 million and the effective yield interest income of approximately $55.7 million.</w:t>
      </w:r>
    </w:p>
    <w:p>
      <w:pPr>
        <w:spacing w:after="0" w:line="91"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transfers in or out of Level 3 during the six months ended September 30, 2020.</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6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September 9, 2010, the Fund entered into the Investment Advisory Agreement with OXLC Management, a registered investment adviser under the Advisers Act. Oxford Funds is the managing member of OXLC Management and serves as the administrator of OXLC.</w:t>
      </w:r>
    </w:p>
    <w:p>
      <w:pPr>
        <w:spacing w:after="0" w:line="108"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Effective September 9, 2010, the Fund entered into an agreement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10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the Fund has agreed to pay OXLC Management a fee for advisory and management services consisting of two components — a base management fee (or “Investment Advisory Fee”) and an incentive fee.</w:t>
      </w:r>
    </w:p>
    <w:p>
      <w:pPr>
        <w:spacing w:after="0" w:line="108"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Investment Advisory Fee is calculated at an annual rate of 2.00% of the Fund’s gross assets. For services rendered under the Investment Advisory Agreement, the investment advisory fee is payable quarterly in arrears. The investment advisory fee is calculated based on the average value of the Fund’s gross assets, at the end of the two most recently completed calendar quarters, and appropriately adjusted for any share issuances or repurchases during the current calendar quarter. Investment advisory fees for any partial month or quarter will be appropriately</w:t>
      </w:r>
    </w:p>
    <w:p>
      <w:pPr>
        <w:sectPr>
          <w:pgSz w:w="11900" w:h="16838" w:orient="portrait"/>
          <w:cols w:equalWidth="0" w:num="1">
            <w:col w:w="9019"/>
          </w:cols>
          <w:pgMar w:left="1440" w:top="266"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979"/>
        <w:spacing w:after="0" w:line="266" w:lineRule="auto"/>
        <w:rPr>
          <w:sz w:val="20"/>
          <w:szCs w:val="20"/>
          <w:color w:val="auto"/>
        </w:rPr>
      </w:pPr>
      <w:r>
        <w:rPr>
          <w:rFonts w:ascii="Times New Roman" w:cs="Times New Roman" w:eastAsia="Times New Roman" w:hAnsi="Times New Roman"/>
          <w:sz w:val="18"/>
          <w:szCs w:val="18"/>
          <w:color w:val="auto"/>
        </w:rPr>
        <w:t>pro-rated. For the six months ended September 30, 2020, the Fund recognized an investment advisory fee expense of approximately $5.0 million. At September 30, 2020, the Fund had an investment advisory fee payable of approximately $2.4 million.</w:t>
      </w:r>
    </w:p>
    <w:p>
      <w:pPr>
        <w:spacing w:after="0" w:line="9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Investment Advisory Fee, expenses payable under the Administration Agreement to Oxford Funds, and any interest expense and dividends paid on any issued and outstanding preferred stock, but excluding the incentive fee). Pre-incentive fee net investment income includes accrued income that OXLC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our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OXLC’s pre-incentive fee net investment income used to calculate the incentive fee is also included in the amount of its gross assets used to calculate the 2.00% Investment Advisory Fee. The Fund pays OXLC Management an incentive fee with respect to the Fund’s pre-incentive fee net investment income in each calendar quarter as follows:</w:t>
      </w:r>
    </w:p>
    <w:p>
      <w:pPr>
        <w:spacing w:after="0" w:line="123" w:lineRule="exact"/>
        <w:rPr>
          <w:sz w:val="20"/>
          <w:szCs w:val="20"/>
          <w:color w:val="auto"/>
        </w:rPr>
      </w:pPr>
    </w:p>
    <w:p>
      <w:pPr>
        <w:ind w:left="1320" w:right="999" w:hanging="434"/>
        <w:spacing w:after="0" w:line="282" w:lineRule="auto"/>
        <w:tabs>
          <w:tab w:leader="none" w:pos="1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Fund’s pre-incentive fee net investment income does not exceed the hurdle of 1.75%;</w:t>
      </w:r>
    </w:p>
    <w:p>
      <w:pPr>
        <w:spacing w:after="0" w:line="94" w:lineRule="exact"/>
        <w:rPr>
          <w:rFonts w:ascii="Times New Roman" w:cs="Times New Roman" w:eastAsia="Times New Roman" w:hAnsi="Times New Roman"/>
          <w:sz w:val="18"/>
          <w:szCs w:val="18"/>
          <w:color w:val="auto"/>
        </w:rPr>
      </w:pPr>
    </w:p>
    <w:p>
      <w:pPr>
        <w:ind w:left="1320" w:right="499" w:hanging="434"/>
        <w:spacing w:after="0" w:line="274" w:lineRule="auto"/>
        <w:tabs>
          <w:tab w:leader="none" w:pos="131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pre-incentive fee net investment income with respect to that portion of such pre-incentive fee net investment income, if any, that exceeds the hurdle but is less than 2.1875% in any calendar quarter (8.75% annualized). The Fund refers to this portion of the pre-incentive fee net investment income (which exceeds the hurdle but is less than 2.1875%) as the “catch-up”. The “catch-up” is meant to provide the investment adviser with 20% of the pre-incentive fee net investment income as if a hurdle did not apply if the net investment income exceeds 2.1875% in any calendar quarter; and</w:t>
      </w:r>
    </w:p>
    <w:p>
      <w:pPr>
        <w:spacing w:after="0" w:line="91" w:lineRule="exact"/>
        <w:rPr>
          <w:rFonts w:ascii="Times New Roman" w:cs="Times New Roman" w:eastAsia="Times New Roman" w:hAnsi="Times New Roman"/>
          <w:sz w:val="17"/>
          <w:szCs w:val="17"/>
          <w:color w:val="auto"/>
        </w:rPr>
      </w:pPr>
    </w:p>
    <w:p>
      <w:pPr>
        <w:ind w:left="1320" w:right="559" w:hanging="434"/>
        <w:spacing w:after="0" w:line="261" w:lineRule="auto"/>
        <w:tabs>
          <w:tab w:leader="none" w:pos="1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pre-incentive fee net investment income, if any, that exceeds 2.1875% in any calendar quarter (8.75% annualized) is payable to OXLC Management (once the hurdle is reached and the “catch-up” is achieved, 20% of all pre-incentive fee net investment income thereafter is allocated to OXLC Management).</w:t>
      </w:r>
    </w:p>
    <w:p>
      <w:pPr>
        <w:spacing w:after="0" w:line="112"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There is no offset in subsequent quarters for any quarter in which an incentive fee is not earned. For the six months ended September 30, 2020, the Fund recognized incentive fee expense of approximately $9.0 million. At September 30, 2020, the Fund had an incentive fee payable of approximately $4.6 million.</w:t>
      </w:r>
    </w:p>
    <w:p>
      <w:pPr>
        <w:spacing w:after="0" w:line="10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Oxford Funds assists the Fund in determining and publishing the Fund’s net asset value,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Other expenses that are paid by the Fund include legal, compliance, audit and tax services, market data services, excise taxes, if any, and miscellaneous office expenses. The Administration Agreement may be terminated by either party without penalty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RELATED PARTY TRANSACTIONS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659"/>
        <w:spacing w:after="0" w:line="266" w:lineRule="auto"/>
        <w:rPr>
          <w:sz w:val="20"/>
          <w:szCs w:val="20"/>
          <w:color w:val="auto"/>
        </w:rPr>
      </w:pPr>
      <w:r>
        <w:rPr>
          <w:rFonts w:ascii="Times New Roman" w:cs="Times New Roman" w:eastAsia="Times New Roman" w:hAnsi="Times New Roman"/>
          <w:sz w:val="18"/>
          <w:szCs w:val="18"/>
          <w:color w:val="auto"/>
        </w:rPr>
        <w:t>upon 60 days’ written notice to the other party. The costs associated with the functions performed by OXLC’s chief compliance officer are paid indirectly by the Fund pursuant to the terms of an agreement between the Fund and Alaric Compliance Services, LLC.</w:t>
      </w:r>
    </w:p>
    <w:p>
      <w:pPr>
        <w:spacing w:after="0" w:line="95"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Independent directors receive an annual fee of $90,000.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the 1940 Act.</w:t>
      </w:r>
    </w:p>
    <w:p>
      <w:pPr>
        <w:spacing w:after="0" w:line="12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Certain directors, officers and other related parties, including members of OXLC Management, owned, directly or indirectly, an aggregate 0.9% of the common stock of the Fund at September 30,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Co-Investment Exemptive Relief</w:t>
      </w:r>
    </w:p>
    <w:p>
      <w:pPr>
        <w:spacing w:after="0" w:line="162"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On June 14, 2017, the Securities and Exchange Commission (the “SEC”) issued an order permitting OXLC and certain of its affiliates to complete negotiated co-investment transactions in portfolio companies, subject to certain conditions (the “Order”). Subject to satisfaction of certain conditions to the Order, OXLC and certain of its affiliates are now permitted, together with any future business development companies, registered closed-end funds and certain private funds, each of whose investment adviser is OXLC’s investment adviser or an investment adviser controlling, controlled by, or under common control with OXLC’s investment adviser, to co-invest in negotiated investment opportunities where doing so would otherwise be prohibited under the 1940 Act, providing OXLC’s stockholders with access to a broader array of investment opportunities.</w:t>
      </w:r>
    </w:p>
    <w:p>
      <w:pPr>
        <w:spacing w:after="0" w:line="9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Pursuant to the Order, OXLC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OXLC and its stockholders and do not involve overreaching in respect of OXLC or its stockholders on the part of any person concerned, and (2) the potential co-investment transaction is consistent with the interests of OXLC’s stockholders and is consistent with OXLC’s then-current investment objective and strategies.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CONCENTRATION OF CREDIT RISK</w:t>
      </w:r>
    </w:p>
    <w:p>
      <w:pPr>
        <w:spacing w:after="0" w:line="162" w:lineRule="exact"/>
        <w:rPr>
          <w:sz w:val="20"/>
          <w:szCs w:val="20"/>
          <w:color w:val="auto"/>
        </w:rPr>
      </w:pPr>
    </w:p>
    <w:p>
      <w:pPr>
        <w:jc w:val="both"/>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Fund places its cash in an overnight money market account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if those sectors experience a market downturn.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DISTRIBUTIONS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For the six months ended September 30, 2020, the Fund declared and paid distributions on common stock of $0.6075 per share, or $48,860,799. The Fund declared and paid distributions on common stock of $1.62 per share, or $95,463,563 for the year ended March 31, 2020. The tax character of distributions paid for the six months ended September 30, 2020 represented, on an estimated basis, $42,508,895 million from ordinary income and $6,351,904 million from tax return of capital. For the year ended March 31, 2020, the amounts and sources of distributions reported are only estimates. The tax character of distributions paid for the year ended March 31, 2020 represented, on an estimated basis, $58,147,135 from ordinary income and $37,316,428 from tax return of capital. The ultimate tax character of distributions is unknown until our tax return is filed. For the six months ended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DISTRIBUTIONS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8"/>
          <w:szCs w:val="18"/>
          <w:color w:val="auto"/>
        </w:rPr>
        <w:t>September 30, 2020 and for the year ended March 31, 2020 the Fund also declared and paid dividends on preferred stock of $7,276,572 and $12,046,376, respectively. The tax character of distributions paid on preferred stock represented ordinary income.</w:t>
      </w:r>
    </w:p>
    <w:p>
      <w:pPr>
        <w:spacing w:after="0" w:line="95"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For the fiscal year ended March 31, 2020, the Fund had available $44,137,294 of long-term capital losses, which can be used to offset future capital gains. For the fiscal year ended March 31, 2020, the Fund did not utilize its capital loss carryforward. Under the current law, capital losses related to securities realized after October 31 and prior to the Fund’s fiscal year end may be deferred as occurring the first day of the following fiscal year. For the fiscal year ended March 31, 2020, the Fund had no losses to defer.</w:t>
      </w:r>
    </w:p>
    <w:p>
      <w:pPr>
        <w:spacing w:after="0" w:line="116"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As of March 31, 2020, the estimated components of distributable earnings (accumulated losses) on a tax basis were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ordinary income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long-term capital gains (capital loss carry forward)</w:t>
            </w:r>
          </w:p>
        </w:tc>
        <w:tc>
          <w:tcPr>
            <w:tcW w:w="1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(44,137,294)</w:t>
            </w:r>
          </w:p>
        </w:tc>
      </w:tr>
      <w:tr>
        <w:trPr>
          <w:trHeight w:val="40"/>
        </w:trPr>
        <w:tc>
          <w:tcPr>
            <w:tcW w:w="5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on investments*</w:t>
            </w:r>
          </w:p>
        </w:tc>
        <w:tc>
          <w:tcPr>
            <w:tcW w:w="1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410,578,390</w:t>
            </w: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timing differences</w:t>
            </w:r>
          </w:p>
        </w:tc>
        <w:tc>
          <w:tcPr>
            <w:tcW w:w="1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1279" w:hanging="426"/>
        <w:spacing w:after="0" w:line="298" w:lineRule="auto"/>
        <w:tabs>
          <w:tab w:leader="none" w:pos="85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book basis and tax basis unrealized gains/(losses) is due to the Fund’s CLO equity investments.</w:t>
      </w:r>
    </w:p>
    <w:p>
      <w:pPr>
        <w:spacing w:after="0" w:line="9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As of March 31, 2020, the effect of permanent “book/tax” reclassifications resulted in the following increase/(decrease) to the components of net assets: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Investment Income</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5,749,840</w:t>
            </w: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Capital Gain</w:t>
            </w:r>
          </w:p>
        </w:tc>
        <w:tc>
          <w:tcPr>
            <w:tcW w:w="22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8,492,814</w:t>
            </w:r>
          </w:p>
        </w:tc>
      </w:tr>
      <w:tr>
        <w:trPr>
          <w:trHeight w:val="40"/>
        </w:trPr>
        <w:tc>
          <w:tcPr>
            <w:tcW w:w="47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Paid-In-Capital</w:t>
            </w:r>
          </w:p>
        </w:tc>
        <w:tc>
          <w:tcPr>
            <w:tcW w:w="2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(14,242,654)</w:t>
            </w:r>
          </w:p>
        </w:tc>
      </w:tr>
      <w:tr>
        <w:trPr>
          <w:trHeight w:val="40"/>
        </w:trPr>
        <w:tc>
          <w:tcPr>
            <w:tcW w:w="47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1279" w:firstLine="432"/>
        <w:spacing w:after="0" w:line="282" w:lineRule="auto"/>
        <w:rPr>
          <w:sz w:val="20"/>
          <w:szCs w:val="20"/>
          <w:color w:val="auto"/>
        </w:rPr>
      </w:pPr>
      <w:r>
        <w:rPr>
          <w:rFonts w:ascii="Times New Roman" w:cs="Times New Roman" w:eastAsia="Times New Roman" w:hAnsi="Times New Roman"/>
          <w:sz w:val="18"/>
          <w:szCs w:val="18"/>
          <w:color w:val="auto"/>
        </w:rPr>
        <w:t>These differences are primarily due to the CLO equity investments, prior year adjustments, and acceleration of unamortized deferred issuance costs on mandatorily redeemable preferred stock.</w:t>
      </w:r>
    </w:p>
    <w:p>
      <w:pPr>
        <w:spacing w:after="0" w:line="94"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2020, the aggregate gross unrealized appreciation for tax purposes was $14,505,825, and aggregate gross unrealized depreciation was $318,920,638. For tax purposes, the cost basis of the portfolio investments at September 30, 2020 was $830,132,529.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MANDATORILY REDEEMABLE PREFERRED STOCK</w:t>
      </w:r>
    </w:p>
    <w:p>
      <w:pPr>
        <w:spacing w:after="0" w:line="162"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Fund has authorized 50 million shares of mandatorily redeemable preferred stock, at a par value of $0.01 per share, and had 8,531,216 shares issued and outstanding at September 30, 2020. Since 2012 and through March 10, 2020, the Fund completed underwritten public offerings of its 7.50% Series 2023 Term Preferred Shares (the “Series 2023 Shares”); 6.75% Series 2024 Term Preferred Shares (the “Series 2024 Shares”); and 6.25% Series 2027 Term Preferred Shares (the “Series 2027 Shares”), collectively the “Term Preferred Shares” or “Term Shares”. The Fund is required to redeem all of the outstanding Term Preferred Shares on their respective redemption dates, at a redemption price equal to $25 per share plus an amount equal to accumulated but unpaid dividends, if any, to the date of the redemption. OXLC cannot effect any amendment, alteration, or repeal of the Fund’s obligation to redeem all of the Term Shares without the prior unanimous vote or consent of the holders of such Term Shares. At any time on or after the optional redemption date, at the Fund’s sole option, the Fund may redeem the Term Shares at a redemption price per share equal to the sum of the $25 liquidation preference per share plus an amount equal to accumulated but unpaid dividends, if any, on such Term Shares. The Fund, with the authorization by the Board of Directors, may repurchase any of the Term Preferred Shares from time to time in the open market and effectively extinguish the debt. As of September 30, 2020, there were no accumulated but unpaid dividends on our Term Preferred Shares.</w:t>
      </w:r>
    </w:p>
    <w:p>
      <w:pPr>
        <w:sectPr>
          <w:pgSz w:w="11900" w:h="16838" w:orient="portrait"/>
          <w:cols w:equalWidth="0" w:num="1">
            <w:col w:w="9019"/>
          </w:cols>
          <w:pgMar w:left="1440" w:top="266"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MANDATORILY REDEEMABLE PREFERRED STOCK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On February 11, 2020, the Fund completed an underwritten public offering of 3,500,000 shares of its newly designated Series 2027 Shares at a public offering price of $25 per share, raising approximately $87.5 million in gross proceeds. The Fund also granted the underwriters a 30-day over-allotment option to purchase additional shares of its Series 2027 Shares on the same terms and conditions to cover over-allotments, if any. On March 10, 2020, under this 30-day over-allotment option, the Fund issued 164,000 shares, raising $4.1 million in gross proceeds. The Series 2027 Shares are listed on the NASDAQ Global Select Market and trade under the symbol “OXLCP”.</w:t>
      </w:r>
    </w:p>
    <w:p>
      <w:pPr>
        <w:spacing w:after="0" w:line="81"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On March 12, 2020 (the “Redemption Date”), the Fund redeemed 1,200,000 of the issued and outstanding shares of the Fund’s Series 2023 Shares for a redemption price of $25 per share plus $0.0573 in accrued but unpaid dividends per Share to the Redemption Date, for an aggregate redemption price of $25.0573 per share. In connection with the March 12, 2020 redemption, the Fund incurred losses of approximately $1.5 million, which consisted of accelerated deferred issuance costs and accelerated original issue discount. These accelerated costs are recorded within net realized loss on the redemption of mandatorily redeemable preferred stock in the Statement of Operations.</w:t>
      </w:r>
    </w:p>
    <w:p>
      <w:pPr>
        <w:spacing w:after="0" w:line="8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On May 21, 2020, the Fund’s Board of Directors authorized a program for the purpose of repurchasing up to $40 million worth of the outstanding shares of the Fund’s 7.50% Series 2023 Term Preferred Stock, 6.75% Series 2024 Term Preferred Stock and 6.25% Series 2027 Term Preferred Stock. During the six months ended September 30, 2020, the Fund repurchased 134,606 shares of 7.50% Series 2023 Term Preferred Stock for a total of approximately $3.2 million, 4,400 shares of 6.75% Series 2024 Term Preferred Stock for a total of approximately $0.1 million, and 139,194 shares of 6.25% Series 2027 Term Preferred Stock, for a total of approximately $3.1 million.</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Fund’s Term Preferred Share activity for the six months ended September 30, 2020,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2027</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March 31, 2020</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2,416,001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2,729,415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3,664,000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8,809,416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r>
              <w:rPr>
                <w:rFonts w:ascii="Times New Roman" w:cs="Times New Roman" w:eastAsia="Times New Roman" w:hAnsi="Times New Roman"/>
                <w:sz w:val="20"/>
                <w:szCs w:val="20"/>
                <w:color w:val="auto"/>
                <w:vertAlign w:val="superscript"/>
              </w:rPr>
              <w:t>(1)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(134,606)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(139,194)</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(278,200)</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outstanding at September 30, 2020</w:t>
            </w: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vMerge w:val="continue"/>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2,725,015</w:t>
            </w: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3,524,806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8,531,216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619" w:hanging="426"/>
        <w:spacing w:after="0" w:line="281"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21, 2020, the Fund authorized a program for the purpose of repurchasing up to $40 million worth of the outstanding shares of the Fund’s 7.50% Series 2023 Term Preferred Stock, 6.75% Series 2024 Term Preferred Stock and 6.25% Series 2027 Term Preferred Stock.</w:t>
      </w:r>
    </w:p>
    <w:p>
      <w:pPr>
        <w:spacing w:after="0" w:line="64"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Fund’s Term Preferred Share balances as of September 30, 2020,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12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Series 2027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57,034,875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68,125,375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88,120,150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$ 213,280,400</w:t>
            </w: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Deferred issuance cost</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(605,944)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(2,764,989)</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(4,620,206)</w:t>
            </w: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(658,791)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(658,791)</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55,770,140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66,876,102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85,355,161</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$ 208,001,403</w:t>
            </w:r>
          </w:p>
        </w:tc>
        <w:tc>
          <w:tcPr>
            <w:tcW w:w="0" w:type="dxa"/>
            <w:vAlign w:val="bottom"/>
          </w:tcPr>
          <w:p>
            <w:pPr>
              <w:spacing w:after="0"/>
              <w:rPr>
                <w:sz w:val="1"/>
                <w:szCs w:val="1"/>
                <w:color w:val="auto"/>
              </w:rPr>
            </w:pPr>
          </w:p>
        </w:tc>
      </w:tr>
      <w:tr>
        <w:trPr>
          <w:trHeight w:val="243"/>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57,103,317</w:t>
            </w: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65,427,610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81,387,771</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$ 203,918,698</w:t>
            </w: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Fair value price per share</w:t>
            </w:r>
            <w:r>
              <w:rPr>
                <w:rFonts w:ascii="Times New Roman" w:cs="Times New Roman" w:eastAsia="Times New Roman" w:hAnsi="Times New Roman"/>
                <w:sz w:val="20"/>
                <w:szCs w:val="20"/>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59" w:hanging="426"/>
        <w:spacing w:after="0" w:line="298"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September 30, 2020 closing market price per share of each respective series of Term Preferred Shares on the NASDAQ Global Select Market.</w:t>
      </w:r>
    </w:p>
    <w:p>
      <w:pPr>
        <w:sectPr>
          <w:pgSz w:w="11900" w:h="16838" w:orient="portrait"/>
          <w:cols w:equalWidth="0" w:num="1">
            <w:col w:w="9019"/>
          </w:cols>
          <w:pgMar w:left="1440" w:top="266"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MANDATORILY REDEEMABLE PREFERRED STOCK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terms of the Fund’s Term Preferred Share offerings are as set forth in the table below:</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2027</w:t>
            </w:r>
          </w:p>
        </w:tc>
      </w:tr>
      <w:tr>
        <w:trPr>
          <w:trHeight w:val="203"/>
        </w:trPr>
        <w:tc>
          <w:tcPr>
            <w:tcW w:w="37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r>
      <w:tr>
        <w:trPr>
          <w:trHeight w:val="203"/>
        </w:trPr>
        <w:tc>
          <w:tcPr>
            <w:tcW w:w="37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Preferred</w:t>
            </w:r>
          </w:p>
        </w:tc>
      </w:tr>
      <w:tr>
        <w:trPr>
          <w:trHeight w:val="212"/>
        </w:trPr>
        <w:tc>
          <w:tcPr>
            <w:tcW w:w="378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47"/>
        </w:trPr>
        <w:tc>
          <w:tcPr>
            <w:tcW w:w="378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Term redemption date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30, 2023</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2027</w:t>
            </w:r>
          </w:p>
        </w:tc>
      </w:tr>
      <w:tr>
        <w:trPr>
          <w:trHeight w:val="40"/>
        </w:trPr>
        <w:tc>
          <w:tcPr>
            <w:tcW w:w="3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redemption price per share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date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30, 2016</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40"/>
        </w:trPr>
        <w:tc>
          <w:tcPr>
            <w:tcW w:w="3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4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41"/>
        </w:trPr>
        <w:tc>
          <w:tcPr>
            <w:tcW w:w="37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13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Fund’s Term Preferred Shares had no accrued interest payable at September 30, 2020. Deferred issuance costs represent underwriting fees and other direct costs incurred that are related to the Fund’s Term Preferred Shares. As of September 30, 2020, OXLC had a deferred debt issuance cost balance of approximately $4.6 million related to the issuance of the Term Preferred Shares. Aggregate net discount on the Series 2023 Shares at the time of issuance totaled approximately $5.3 million. As of September 30, 2020, OXLC had an unamortized discount balance of approximately $0.7 million. These amounts are amortized and are included in interest expense in the Statement of Operations over the term of the respective shares.</w:t>
      </w:r>
    </w:p>
    <w:p>
      <w:pPr>
        <w:spacing w:after="0" w:line="10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components of interest expense, effective interest rates and cash paid on the Term Preferred Shares for six months ended September 30, 2020:</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14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Series 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4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4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30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expense</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2,181,862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2,300,989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2,793,720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7,276,572</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issuance costs</w:t>
            </w: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218,860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498,670</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120,726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120,726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8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2,415,286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2,468,101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3,012,580</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7,895,968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interest rate</w:t>
            </w:r>
            <w:r>
              <w:rPr>
                <w:rFonts w:ascii="Times New Roman" w:cs="Times New Roman" w:eastAsia="Times New Roman" w:hAnsi="Times New Roman"/>
                <w:sz w:val="20"/>
                <w:szCs w:val="20"/>
                <w:color w:val="auto"/>
                <w:vertAlign w:val="superscript"/>
              </w:rPr>
              <w:t>(2)</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2,181,862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2,300,989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2,793,720</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7,276,571</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39" w:hanging="426"/>
        <w:spacing w:after="0" w:line="269" w:lineRule="auto"/>
        <w:tabs>
          <w:tab w:leader="none" w:pos="8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Stated interest is composed of distributions declared and paid of approximately $7.3 million for the six months ended September 30, 2020.</w:t>
      </w:r>
    </w:p>
    <w:p>
      <w:pPr>
        <w:ind w:left="880" w:hanging="426"/>
        <w:spacing w:after="0"/>
        <w:tabs>
          <w:tab w:leader="none" w:pos="8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 average effective rate for each respective series of Term Preferred Shares.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right="1459"/>
        <w:spacing w:after="0" w:line="286" w:lineRule="auto"/>
        <w:rPr>
          <w:sz w:val="20"/>
          <w:szCs w:val="20"/>
          <w:color w:val="auto"/>
        </w:rPr>
      </w:pPr>
      <w:r>
        <w:rPr>
          <w:rFonts w:ascii="Times New Roman" w:cs="Times New Roman" w:eastAsia="Times New Roman" w:hAnsi="Times New Roman"/>
          <w:sz w:val="18"/>
          <w:szCs w:val="18"/>
          <w:b w:val="1"/>
          <w:bCs w:val="1"/>
          <w:color w:val="auto"/>
        </w:rPr>
        <w:t>NOTE 9. BORROWINGS RELATED TO SECURITIES SOLD UNDER AGREEMENT TO REPURCHASE</w:t>
      </w:r>
    </w:p>
    <w:p>
      <w:pPr>
        <w:spacing w:after="0" w:line="91" w:lineRule="exact"/>
        <w:rPr>
          <w:sz w:val="20"/>
          <w:szCs w:val="20"/>
          <w:color w:val="auto"/>
        </w:rPr>
      </w:pPr>
    </w:p>
    <w:p>
      <w:pPr>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On January 2, 2018, the Fund entered into a Master Repurchase Agreement (“MRA”) with Nomura Securities International, Inc. (“Nomura”). Pursuant to the MRA and a transaction confirmation, the Fund entered into a repurchase transaction (the “Repo”) with Nomura pursuant to which the Fund sold CLO securities to Nomura with a market value of approximately $106.2 million, at January 2, 2018, for a purchase price of approximately $42.5 million. At the end of the Repo term, the Fund is obligated to repurchase those securities from Nomura, and Nomura is obligated to sell the securities to the Fund, for the original purchase price of $42.5 million plus accrued but unpaid funding costs. The Repo had a nine-month term, from trade date, that may be extended by mutual agreement. The Repo has a funding cost of 3-month LIBOR plus 3.15 percent per annum, which may be adjusted in the event of an extension of the Repo term. On October 11, 2018, the MRA was amended and restated to extend the Repo term. Under this agreement, the term of the Repo was extended until July 2, 2019. On May 1, 2019, the Fund amended the Repo with Nomura to (i) extend the maturity date of the Repo from July 2, 2019 to January 2, 2020, and (ii) reduce the funding cost of the Repo from 3-month LIBOR plus 3.15% per annum to 3-month LIBOR plus 2.90% per annum effective as of July 2, 2019. The Repo was partially paid down on May 15, 2019 from $42,493,500 to $35,000,000. The partial pay down on May 15, 2019 occurred with the Fund purchasing the securities within the Repo from Nomura at a price of $42,493,500 and selling the same securities to Nomura at a price of $35,000,000, the net effect being a $7,493,500 pay down of the Repo. On August 15, 2019, the Nomura Agreement was amended to extend the maturity date of the Repo from January 2, 2020 to April 2, 2020. On November 4, 2019, in light of market conditions, the Fund elected to post additional collateral with a market value of approximately $8.2 million. On December 26, 2019, the Fund amended the Nomura Agreement to extend the maturity date of the Repo from April 2, 2020 to October 2, 2020 and sold CLO securities to Nomura with a market value of approximately $50.0 million, resulting in an increase in the maximum facility size of the Repo from $35.0 million to $50.0 million. On March 17, 2020, in light of market conditions, the Fund elected to post additional collateral with a market value of approximately $20.9 million. In addition, the Repo was partially paid down on March 30, 2020 from $50,000,000 to $40,000,000. The Fund treats the transaction as a secured financing for financial reporting purposes in accordance with GAAP.</w:t>
      </w:r>
    </w:p>
    <w:p>
      <w:pPr>
        <w:spacing w:after="0" w:line="136" w:lineRule="exact"/>
        <w:rPr>
          <w:sz w:val="20"/>
          <w:szCs w:val="20"/>
          <w:color w:val="auto"/>
        </w:rPr>
      </w:pPr>
    </w:p>
    <w:p>
      <w:pPr>
        <w:jc w:val="both"/>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On May 15, 2020, the Fund elected, at its option, to repay and terminate its $40.0 million repurchase agreement with Nomura. The Fund repurchased all of the previously sold CLO securities from Nomura at a repurchase price of $40.0 million plus accrued funding costs.</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terms of the MRA with Nomura, the Fund had no interest payable as of September 30,</w:t>
      </w:r>
    </w:p>
    <w:p>
      <w:pPr>
        <w:spacing w:after="0" w:line="27" w:lineRule="exact"/>
        <w:rPr>
          <w:sz w:val="20"/>
          <w:szCs w:val="20"/>
          <w:color w:val="auto"/>
        </w:rPr>
      </w:pPr>
    </w:p>
    <w:p>
      <w:pPr>
        <w:ind w:left="460" w:right="1039"/>
        <w:spacing w:after="0" w:line="260" w:lineRule="auto"/>
        <w:rPr>
          <w:sz w:val="20"/>
          <w:szCs w:val="20"/>
          <w:color w:val="auto"/>
        </w:rPr>
      </w:pPr>
      <w:r>
        <w:rPr>
          <w:rFonts w:ascii="Times New Roman" w:cs="Times New Roman" w:eastAsia="Times New Roman" w:hAnsi="Times New Roman"/>
          <w:sz w:val="18"/>
          <w:szCs w:val="18"/>
          <w:color w:val="auto"/>
        </w:rPr>
        <w:t>2020. In connection with the Repo funding costs, the Fund recognized interest expense of approximately $218,000 for the six months ended September 30, 2020.</w:t>
      </w:r>
    </w:p>
    <w:p>
      <w:pPr>
        <w:spacing w:after="0" w:line="114"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On October 18, 2019, the Fund entered into a $12.5 million repurchase transaction facility (the “Repo Facility”) with Nomura. Pursuant to the MRA and a transaction facility confirmation, the Fund may sell securities to Nomura from time to time with a corresponding repurchase obligation at an agreed-upon price 30 to 60 days after the sale date (“Reverse Repo Facility”). The Repo Facility has a funding cost of 1-month LIBOR plus 2.05% per annum for each Reverse Repo transaction and is subject to a facility fee of 0.85% per annum on the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right="14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9. BORROWINGS RELATED TO SECURITIES SOLD UNDER AGREEMENT TO REPURCHASE </w:t>
      </w:r>
      <w:r>
        <w:rPr>
          <w:rFonts w:ascii="Times New Roman" w:cs="Times New Roman" w:eastAsia="Times New Roman" w:hAnsi="Times New Roman"/>
          <w:sz w:val="18"/>
          <w:szCs w:val="18"/>
          <w:color w:val="auto"/>
        </w:rPr>
        <w:t>(cont.)</w:t>
      </w:r>
    </w:p>
    <w:p>
      <w:pPr>
        <w:spacing w:after="0" w:line="132" w:lineRule="exact"/>
        <w:rPr>
          <w:sz w:val="20"/>
          <w:szCs w:val="20"/>
          <w:color w:val="auto"/>
        </w:rPr>
      </w:pPr>
    </w:p>
    <w:p>
      <w:pPr>
        <w:ind w:left="460" w:right="519"/>
        <w:spacing w:after="0" w:line="255" w:lineRule="auto"/>
        <w:rPr>
          <w:sz w:val="20"/>
          <w:szCs w:val="20"/>
          <w:color w:val="auto"/>
        </w:rPr>
      </w:pPr>
      <w:r>
        <w:rPr>
          <w:rFonts w:ascii="Times New Roman" w:cs="Times New Roman" w:eastAsia="Times New Roman" w:hAnsi="Times New Roman"/>
          <w:sz w:val="18"/>
          <w:szCs w:val="18"/>
          <w:color w:val="auto"/>
        </w:rPr>
        <w:t>full $12.5 million facility amount. The Repo Facility expired on October 18, 2020. In accordance with the Repo Facility agreement, the Fund had the option to extend or terminate the Repo Facility. The Fund did not extend and has terminated the Repo Facility. The Fund accounts for these Reverse Repo transactions as secured financings for financial reporting purposes in accordance with GAAP. As of September 30, 2020, there was no outstanding principal, or securities sold under the Repo Facility. The Fund had as interest payable approximately $3,800 in undrawn fees as of September 30, 2020. The Fund recognized interest expense of approximately $54,000 for the six months ended September 30, 2020.</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PURCHASES, SALES AND REPAYMENTS OF SECURITIES</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During the six months ended September 30, 2020, purchases of securities totaled approximately $89.2 million including approximately $13.0 million of unsettled purchases. In addition, during the six months ended September 30, 2020, the Fund’s sales of securities totaled approximately $105.5 million. The Fund did not have any repayments, excluding short-term investments, during the six months ended September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62"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Fund enters into a variety of undertakings containing a variety of warranties and indemnifications that may expose the Fund to some risk of loss. The risk of future loss arising from such undertakings, while not quantifiable, is expected to be remote.</w:t>
      </w:r>
    </w:p>
    <w:p>
      <w:pPr>
        <w:spacing w:after="0" w:line="108" w:lineRule="exact"/>
        <w:rPr>
          <w:sz w:val="20"/>
          <w:szCs w:val="20"/>
          <w:color w:val="auto"/>
        </w:rPr>
      </w:pPr>
    </w:p>
    <w:p>
      <w:pPr>
        <w:jc w:val="both"/>
        <w:ind w:left="460" w:right="125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2020, the Fund had no commitments outstanding to purchase, other than a commitment to fund approximately $7.5 million of Madison Park Funding XXXVIII, Ltd. Preference Warehouse Shares.</w:t>
      </w:r>
    </w:p>
    <w:p>
      <w:pPr>
        <w:spacing w:after="0" w:line="95"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INDEMNIFICATION</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Under the Fund’s organizational documents, its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FINANCIAL HIGHLIGHTS</w:t>
      </w:r>
    </w:p>
    <w:p>
      <w:pPr>
        <w:spacing w:after="0" w:line="162"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Financial highlights for the six months ended September 30, 2020 and years ended March 31, 2020, 2019, 2018, 2017, and 2016 are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60" w:type="dxa"/>
            <w:vAlign w:val="bottom"/>
          </w:tcPr>
          <w:p>
            <w:pPr>
              <w:spacing w:after="0"/>
              <w:rPr>
                <w:sz w:val="17"/>
                <w:szCs w:val="17"/>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7"/>
                <w:szCs w:val="17"/>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7"/>
                <w:szCs w:val="17"/>
                <w:color w:val="auto"/>
              </w:rPr>
            </w:pP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0" w:type="dxa"/>
            <w:vAlign w:val="bottom"/>
          </w:tcPr>
          <w:p>
            <w:pPr>
              <w:spacing w:after="0"/>
              <w:rPr>
                <w:sz w:val="17"/>
                <w:szCs w:val="17"/>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0" w:type="dxa"/>
            <w:vAlign w:val="bottom"/>
          </w:tcPr>
          <w:p>
            <w:pPr>
              <w:spacing w:after="0"/>
              <w:rPr>
                <w:sz w:val="17"/>
                <w:szCs w:val="17"/>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at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of</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period/year</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10.20</w:t>
            </w:r>
          </w:p>
        </w:tc>
        <w:tc>
          <w:tcPr>
            <w:tcW w:w="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7.04</w:t>
            </w: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33"/>
        </w:trPr>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income</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1.54</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and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169"/>
        </w:trPr>
        <w:tc>
          <w:tcPr>
            <w:tcW w:w="170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from investment</w:t>
            </w: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0.83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(0.51)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5.41</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169"/>
        </w:trPr>
        <w:tc>
          <w:tcPr>
            <w:tcW w:w="17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Distributions per share</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net investment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(0.53)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(0.99)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per share</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from realized gain 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of return of</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(0.63)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per share</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based on weighted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average share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impact</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(0.09)</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distributions</w:t>
            </w:r>
            <w:r>
              <w:rPr>
                <w:rFonts w:ascii="Times New Roman" w:cs="Times New Roman" w:eastAsia="Times New Roman" w:hAnsi="Times New Roman"/>
                <w:sz w:val="21"/>
                <w:szCs w:val="21"/>
                <w:color w:val="auto"/>
                <w:vertAlign w:val="superscript"/>
              </w:rPr>
              <w:t>(3)</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69"/>
        </w:trPr>
        <w:tc>
          <w:tcPr>
            <w:tcW w:w="170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Effect of shares</w:t>
            </w: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issued/repurchased,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of underwriting</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0.07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0.40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0.25</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Effect of offering costs</w:t>
            </w:r>
          </w:p>
        </w:tc>
        <w:tc>
          <w:tcPr>
            <w:tcW w:w="1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Effect of shares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issued/repurchased,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0.07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0.39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0.05</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69"/>
        </w:trPr>
        <w:tc>
          <w:tcPr>
            <w:tcW w:w="17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Net asset value at end of</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period/year</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3.88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10.08</w:t>
            </w:r>
          </w:p>
        </w:tc>
        <w:tc>
          <w:tcPr>
            <w:tcW w:w="4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10.20</w:t>
            </w:r>
          </w:p>
        </w:tc>
        <w:tc>
          <w:tcPr>
            <w:tcW w:w="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149"/>
        </w:trPr>
        <w:tc>
          <w:tcPr>
            <w:tcW w:w="17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Per share market value</w:t>
            </w: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at beginning of</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period/year</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9.84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10.13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Per share market value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 end of period/year</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10.13</w:t>
            </w: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11.13</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46"/>
        </w:trPr>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return based on</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 value</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21.93%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66.38%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Total return based on net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 value</w:t>
            </w:r>
            <w:r>
              <w:rPr>
                <w:rFonts w:ascii="Times New Roman" w:cs="Times New Roman" w:eastAsia="Times New Roman" w:hAnsi="Times New Roman"/>
                <w:sz w:val="21"/>
                <w:szCs w:val="21"/>
                <w:color w:val="auto"/>
                <w:vertAlign w:val="superscript"/>
              </w:rPr>
              <w:t>(5)</w:t>
            </w:r>
          </w:p>
        </w:tc>
        <w:tc>
          <w:tcPr>
            <w:tcW w:w="10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25.35%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14.56%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78.98%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at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 of period/year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87,725,344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75,183,153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42,547,801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28,768,899</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22,751,432</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18,751,696</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Ratios/Supplemental</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Data</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end of</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 (000’s)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340,727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268,788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353,832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289,930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232,048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131,950</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Average net assets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vMerge w:val="continue"/>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304,350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314,446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315,037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254,893</w:t>
            </w: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173,005</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185,211</w:t>
            </w: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Ratio of net investment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to average</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r>
              <w:rPr>
                <w:rFonts w:ascii="Times New Roman" w:cs="Times New Roman" w:eastAsia="Times New Roman" w:hAnsi="Times New Roman"/>
                <w:sz w:val="21"/>
                <w:szCs w:val="21"/>
                <w:color w:val="auto"/>
                <w:vertAlign w:val="superscript"/>
              </w:rPr>
              <w:t>(7)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daily net assets</w:t>
            </w:r>
          </w:p>
        </w:tc>
        <w:tc>
          <w:tcPr>
            <w:tcW w:w="10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Ratio of expenses to</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daily net</w:t>
            </w:r>
          </w:p>
        </w:tc>
        <w:tc>
          <w:tcPr>
            <w:tcW w:w="10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15.73%</w:t>
            </w:r>
            <w:r>
              <w:rPr>
                <w:rFonts w:ascii="Times New Roman" w:cs="Times New Roman" w:eastAsia="Times New Roman" w:hAnsi="Times New Roman"/>
                <w:sz w:val="21"/>
                <w:szCs w:val="21"/>
                <w:color w:val="auto"/>
                <w:vertAlign w:val="superscript"/>
              </w:rPr>
              <w:t>(7)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15.65%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13.52%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15.71%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16.60%</w:t>
            </w:r>
          </w:p>
        </w:tc>
        <w:tc>
          <w:tcPr>
            <w:tcW w:w="0" w:type="dxa"/>
            <w:vAlign w:val="bottom"/>
          </w:tcPr>
          <w:p>
            <w:pPr>
              <w:spacing w:after="0"/>
              <w:rPr>
                <w:sz w:val="1"/>
                <w:szCs w:val="1"/>
                <w:color w:val="auto"/>
              </w:rPr>
            </w:pPr>
          </w:p>
        </w:tc>
      </w:tr>
      <w:tr>
        <w:trPr>
          <w:trHeight w:val="28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turnover rate</w:t>
            </w:r>
            <w:r>
              <w:rPr>
                <w:rFonts w:ascii="Times New Roman" w:cs="Times New Roman" w:eastAsia="Times New Roman" w:hAnsi="Times New Roman"/>
                <w:sz w:val="21"/>
                <w:szCs w:val="21"/>
                <w:color w:val="auto"/>
                <w:vertAlign w:val="superscript"/>
              </w:rPr>
              <w:t>(6)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15.52%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17.56%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64.97%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53.42%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69.08%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32.02%</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6" w:right="1440" w:bottom="0" w:gutter="0" w:footer="0" w:header="0"/>
        </w:sectPr>
      </w:pPr>
    </w:p>
    <w:bookmarkStart w:id="46" w:name="page47"/>
    <w:bookmarkEnd w:id="46"/>
    <w:p>
      <w:pPr>
        <w:ind w:left="880" w:hanging="426"/>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net investment income per share for the period, based upon average shares outstanding.</w:t>
      </w:r>
    </w:p>
    <w:p>
      <w:pPr>
        <w:spacing w:after="0" w:line="26" w:lineRule="exact"/>
        <w:rPr>
          <w:rFonts w:ascii="Times New Roman" w:cs="Times New Roman" w:eastAsia="Times New Roman" w:hAnsi="Times New Roman"/>
          <w:sz w:val="16"/>
          <w:szCs w:val="16"/>
          <w:color w:val="auto"/>
        </w:rPr>
      </w:pPr>
    </w:p>
    <w:p>
      <w:pPr>
        <w:ind w:left="880" w:right="739" w:hanging="426"/>
        <w:spacing w:after="0" w:line="288"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realized and unrealized capital gains and losses based upon average shares outstanding include adjustments to reconcile change in net asset value per share.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13. FINANCIAL HIGHLIGHTS </w:t>
      </w:r>
      <w:r>
        <w:rPr>
          <w:rFonts w:ascii="Times New Roman" w:cs="Times New Roman" w:eastAsia="Times New Roman" w:hAnsi="Times New Roman"/>
          <w:sz w:val="18"/>
          <w:szCs w:val="18"/>
          <w:color w:val="auto"/>
        </w:rPr>
        <w:t>(cont.)</w:t>
      </w:r>
    </w:p>
    <w:p>
      <w:pPr>
        <w:spacing w:after="0" w:line="207" w:lineRule="exact"/>
        <w:rPr>
          <w:sz w:val="20"/>
          <w:szCs w:val="20"/>
          <w:color w:val="auto"/>
        </w:rPr>
      </w:pPr>
    </w:p>
    <w:p>
      <w:pPr>
        <w:ind w:left="880" w:right="519" w:hanging="426"/>
        <w:spacing w:after="0" w:line="265"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7. Distributions”.</w:t>
      </w:r>
    </w:p>
    <w:p>
      <w:pPr>
        <w:spacing w:after="0" w:line="3"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ind w:left="880" w:right="519" w:hanging="426"/>
        <w:spacing w:after="0" w:line="264" w:lineRule="auto"/>
        <w:tabs>
          <w:tab w:leader="none" w:pos="8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net asset value (“NAV”) is the change in ending NAV per share plus distributions per share paid during the period assuming participation in the Fund’s distribution reinvestment plan divided by the beginning NAV per share.</w:t>
      </w:r>
    </w:p>
    <w:p>
      <w:pPr>
        <w:ind w:left="880" w:right="519" w:hanging="426"/>
        <w:spacing w:after="0" w:line="26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turnover rate is calculated using the lesser of the year-to-date purchases or sales and repayments of investments divided by the monthly average of the fair value of total investments. Excluded from both numerator and denominator is the fair value of all investments whose maturity date was one year or less.</w:t>
      </w:r>
    </w:p>
    <w:p>
      <w:pPr>
        <w:ind w:left="880" w:hanging="426"/>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as of September 30, 2020.</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RISKS AND UNCERTAINTIES</w:t>
      </w:r>
    </w:p>
    <w:p>
      <w:pPr>
        <w:spacing w:after="0" w:line="14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Periods of market volatility have occurred and could continue to occur in response to pandemics or other events outside of our control. These types of events have adversely affected and could continue to adversely affect operating results for the Fund and for our investments in CLOs and their underlying collateral. For example, in December 2019, a novel strain of coronavirus (also known as “COVID-19”) surfaced in China and has since spread to other countries, including the United States, which has resulted in restrictions on travel and the temporary closure of many corporate offices, retail stores, and manufacturing facilities and factories in the affected jurisdictions, including the United States. While several countries, as well as certain states in the United States, have begun to lift public health restrictions with the view to reopening their economies, recurring COVID-19 outbreaks have led to the re-introduction of such restrictions in certain states in the United States and globally and could continue to lead to the re-introduction of such restrictions elsewhere.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Additionally, the absence of viable treatment options or a vaccine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24" w:lineRule="exact"/>
        <w:rPr>
          <w:sz w:val="20"/>
          <w:szCs w:val="20"/>
          <w:color w:val="auto"/>
        </w:rPr>
      </w:pPr>
    </w:p>
    <w:p>
      <w:pPr>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In addition to these developments having adverse consequences for the Fund and its investments in CLOs and their underlying collateral, those investments and their collateral have been and could continue to be adversely impacted, including through quarantine measures and travel restrictions imposed on their personnel or service providers based or temporarily located in affected countries, including the United States, or any related health issues of such personnel or service providers. As the duration of the impact of COVID-19 is difficult to predict, the extent to which COVID-19 will negatively affect the Fund’s investments and operating results or the duration of any potential business or supply-chain disruption, is uncertain. The extent and duration of the impact to the Fund’s results of operations will depend to a large extent on future developments and new information that will emerge regarding the duration and severity of COVID-19 and the actions taken by authorities and other entities to contain COVID-19 or treat its impact, all of which are beyond the Fund’s control.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Some economists and major investment banks have expressed concern that the continued spread of the virus globally could lead to a world-wide economic downturn. Disruptions in the U.S. capital markets have increased the spread between the yields realized on risk-free and higher risk securities, resulting in illiquidity in parts of the capital markets. These and future market disruptions and/or illiquidity would be expected to have an adverse effect on the Fund’s business, financial condition, results of operations and cash flows. Unfavorable economic conditions also would be expected to increase the Fund’s funding costs, limit its access to the capital markets or result in a decision by lenders not to extend credit to the Fund. These events could affect the Fund’s ability to repay indebtedness when due, limit its investment purchases, limit the Fund’s ability to grow and have a negative impact on the Fund’s operating results and the fair values of our CLO debt and CLO equity investments.</w:t>
      </w:r>
    </w:p>
    <w:p>
      <w:pPr>
        <w:spacing w:after="0" w:line="100"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OXLC Management’s investment team also presently manages the portfolios of Oxford Square Capital Corp., a publicly-traded business development company that invests principally in the debt of U.S.-based companies and CLOs. Additionally, OXLC Management’s investment team manages the portfolio of Oxford Bridge, LLC, Oxford Bridge II, LLC, and Oxford Gate Master Fund, LLC, limited liability companies that invest principally in the equity of CLOs. In certain instances, the Fund may co-invest on a concurrent basis with affiliates of its investment adviser, subject to compliance with applicable regulations and regulatory guidance and our written allocation policies. On June 14, 2017, the SEC issued the Order permitting us and certain of our affiliates to complete negotiated co-investment transactions in portfolio companies, subject to certain conditions. Subject to satisfaction of certain conditions to the Order, we and certain of our affiliates are now permitted, together with any future business development companies, registered closed-end funds and certain private funds, each of whose investment adviser is our investment adviser or an investment adviser controlling, controlled by, or under common control with our investment adviser, to co-invest in negotiated investment opportunities where doing so would otherwise be prohibited under the 1940 Act, providing our stockholders with access to a broader array of investment opportunities.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93"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Given the structure of the Fund’s Investment Advisory Agreement with OXLC Management, any general increase in interest rates will likely have the effect of making it easier for OXLC Management to meet the quarterly hurdle rate for payment of net investment income incentive fees under the Investment Advisory Agreement without any additional increase in relative performance on the part of the Fund’s investment adviser. In addition, in view of the catch-up provision applicable to income incentive fees under the Investment Advisory Agreement, OXLC Management could potentially receive a significant portion of the increase in the Fund’s investment income attributable to such a general increase in interest rates. If that were to occur, the Fund’s increase in net earnings, if any, would likely be significantly smaller than the relative increase in OXLC Management’s net investment income incentive fee resulting from such a general increase in interest rates.</w:t>
      </w:r>
    </w:p>
    <w:p>
      <w:pPr>
        <w:spacing w:after="0" w:line="10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Fund’s portfolio consists of equity and junior debt investments in CLO vehicles, which involve a number of significant risks. CLO vehicles are typically highly levered, and therefore the junior debt and equity tranches that the Fund invests in are subject to a higher degree of risk of total loss. As of September 30, 2020, the CLO vehicles in which the Fund was invested had average leverage of 10.2 times and ranged from approximately 3.4 times to 14.5 times levered. In particular, investors in CLO vehicles indirectly bear risks of the underlying debt investments held by such CLO vehicles.</w:t>
      </w:r>
    </w:p>
    <w:p>
      <w:pPr>
        <w:spacing w:after="0" w:line="93"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Fund generally has the right to receive payments only from the CLO vehicles, and generally does not have direct rights against the underlying borrowers or the entity that sponsored the CLO vehicle. While the CLO vehicles the Fund targets generally enable the investor to acquire interests in a pool of senior loans without the</w:t>
      </w:r>
    </w:p>
    <w:p>
      <w:pPr>
        <w:sectPr>
          <w:pgSz w:w="11900" w:h="16838" w:orient="portrait"/>
          <w:cols w:equalWidth="0" w:num="1">
            <w:col w:w="9019"/>
          </w:cols>
          <w:pgMar w:left="1440" w:top="266"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539"/>
        <w:spacing w:after="0" w:line="269" w:lineRule="auto"/>
        <w:rPr>
          <w:sz w:val="20"/>
          <w:szCs w:val="20"/>
          <w:color w:val="auto"/>
        </w:rPr>
      </w:pPr>
      <w:r>
        <w:rPr>
          <w:rFonts w:ascii="Times New Roman" w:cs="Times New Roman" w:eastAsia="Times New Roman" w:hAnsi="Times New Roman"/>
          <w:sz w:val="17"/>
          <w:szCs w:val="17"/>
          <w:color w:val="auto"/>
        </w:rPr>
        <w:t>expenses associated with directly holding the same investments, the Fund generally pays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with respect to adequate 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OXLC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101"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interests the Fund has acquired in CLO vehicles are generally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w:t>
      </w:r>
    </w:p>
    <w:p>
      <w:pPr>
        <w:spacing w:after="0" w:line="3" w:lineRule="exact"/>
        <w:rPr>
          <w:sz w:val="20"/>
          <w:szCs w:val="20"/>
          <w:color w:val="auto"/>
        </w:rPr>
      </w:pPr>
    </w:p>
    <w:p>
      <w:pPr>
        <w:ind w:left="460" w:right="859" w:hanging="6"/>
        <w:spacing w:after="0" w:line="265" w:lineRule="auto"/>
        <w:tabs>
          <w:tab w:leader="none" w:pos="67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distributions from collateral securities will not be adequate to make interest or other payments; (ii) the quality of the collateral may decline in value or default; (iii) the fact that the Fund’s investments in CLO tranches will likely be subordinate to other senior classes of note tranches thereof; and</w:t>
      </w:r>
    </w:p>
    <w:p>
      <w:pPr>
        <w:ind w:left="460" w:right="599" w:hanging="6"/>
        <w:spacing w:after="0" w:line="253"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 structure of the security may not be fully understood at the time of investment and may produce disputes with the CLO vehicle or unexpected investment results. The Fund’s net asset value may also decline over time if the Fund’s principal recovery with respect to CLO equity investments is less than the price that the Fund paid for those investments.</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Section 941 of the Dodd-Frank Wall Street Reform and Consumer Protection Act added a provision to the Securities Exchange Act of 1934, as amended (the “1934 Act”),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w:t>
      </w:r>
    </w:p>
    <w:p>
      <w:pPr>
        <w:spacing w:after="0" w:line="12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Although the final rules contain an exemption from such requirements for the asset manager of a CLO if, among other things, the originator or lead arranger of all of the loans acquired by the CLO retain such risk at the asset level and, at origination of such asset, takes a loan tranche of at least 20% of the aggregate principal balance, it is possible that the originators and lead arrangers of loans in this market will not agree to assume this risk or provide such retention at origination of the asset in a manner that would provide meaningful relief from the risk retention requirements for CLO managers.</w:t>
      </w:r>
    </w:p>
    <w:p>
      <w:pPr>
        <w:spacing w:after="0" w:line="10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Fund believes that the U.S. risk retention requirements imposed for CLO managers under Section 941 of the Dodd-Frank Wall Street Reform and Consumer Protection Act has created some uncertainty in the market in regard to future CLO issuance. Given that certain CLO managers may require capital provider partners to satisfy this requirement, the Fund believes that this may create opportunities and additional risks for the Fund in the future.</w:t>
      </w:r>
    </w:p>
    <w:p>
      <w:pPr>
        <w:spacing w:after="0" w:line="116"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On February 9, 2018, a panel of the United States Court of Appeals for the District of Columbia Circuit ruled that the federal agencies exceeded their authority under the Dodd-Frank Wall Street Reform and Consumer Protection Act in adopting the final rules as applied to asset managers of open-market CLOs. On April 5, 2018, the United States District Court for the District of Columbia entered an order implementing the D.C. Circuit Ruling and thereby vacated the U.S. Risk Retention Rules insofar as they apply to CLO managers of “open market CLOs”.</w:t>
      </w:r>
    </w:p>
    <w:p>
      <w:pPr>
        <w:sectPr>
          <w:pgSz w:w="11900" w:h="16838" w:orient="portrait"/>
          <w:cols w:equalWidth="0" w:num="1">
            <w:col w:w="9019"/>
          </w:cols>
          <w:pgMar w:left="1440" w:top="266"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type w:val="continuous"/>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Further, to the extent income from the Fund’s CLO equity investments (which the Fund expects to decline as those vehicles deleverage after the end of their respective reinvestment periods) declines or if the Fund transitions its portfolio into lower yielding investments, the Fund’s ability to pay future distributions may be harmed.</w:t>
      </w:r>
    </w:p>
    <w:p>
      <w:pPr>
        <w:spacing w:after="0" w:line="99"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which regulates LIBOR, announced that it intends to phase out LIBOR by the end of 2021. It is unclear if at that time whether or not LIBOR will cease to exist or if new methods of calculating LIBOR will be established such that it continues to exist after 2021. Additionally, on June 12, 2019 the Staff of the SEC’s Division of Corporate Finance, Division of Investment Management, Division of Trading and Markets, and Office of the Chief Accountant issued a statement about the potentially significant effects on financial markets and market participants when LIBOR is discontinued in 2021 and no longer available as a reference benchmark rate. The Staff encouraged all market participants to identify contracts that reference LIBOR and begin transitions to alternative rates.</w:t>
      </w:r>
    </w:p>
    <w:p>
      <w:pPr>
        <w:spacing w:after="0" w:line="124" w:lineRule="exact"/>
        <w:rPr>
          <w:sz w:val="20"/>
          <w:szCs w:val="20"/>
          <w:color w:val="auto"/>
        </w:rPr>
      </w:pPr>
    </w:p>
    <w:p>
      <w:pPr>
        <w:ind w:left="460" w:right="539" w:firstLine="432"/>
        <w:spacing w:after="0" w:line="268" w:lineRule="auto"/>
        <w:rPr>
          <w:sz w:val="20"/>
          <w:szCs w:val="20"/>
          <w:color w:val="auto"/>
        </w:rPr>
      </w:pPr>
      <w:r>
        <w:rPr>
          <w:rFonts w:ascii="Times New Roman" w:cs="Times New Roman" w:eastAsia="Times New Roman" w:hAnsi="Times New Roman"/>
          <w:sz w:val="17"/>
          <w:szCs w:val="17"/>
          <w:color w:val="auto"/>
        </w:rPr>
        <w:t>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The Federal Reserve Bank of New York began publishing SOFR in April 2018. Whether or not SOFR attains market traction as a LIBOR replacement remains a question and the future of LIBOR at this time is uncertain, including whether the COVID-19 pandemic will have further effect on LIBOR transition plans. In addition, on March 25, 2020, the U.K. Financial Conduct Authority reaffirmed the central assumption that firms cannot rely on LIBOR being published after the end of 2021. However, the outbreak of COVID-19 may adversely impact the timing of many firms’ transition planning, and we continue to assess the potential impact of the COVID-19 outbreak on our transition plans. Although SOFR appears to be the preferred replacement rate for U.S. dollar LIBOR, at this time, it is not possible to predict the effect of any such changes, any establishment of alternative reference rates, whether the COVID-19 outbreak will have further effect on LIBOR transition timelines or plans, or other reforms to LIBOR that may be enacted in the United States, United Kingdom or elsewhere.</w:t>
      </w:r>
    </w:p>
    <w:p>
      <w:pPr>
        <w:spacing w:after="0" w:line="114" w:lineRule="exact"/>
        <w:rPr>
          <w:sz w:val="20"/>
          <w:szCs w:val="20"/>
          <w:color w:val="auto"/>
        </w:rPr>
      </w:pPr>
    </w:p>
    <w:p>
      <w:pPr>
        <w:ind w:left="460" w:right="699" w:firstLine="432"/>
        <w:spacing w:after="0" w:line="257" w:lineRule="auto"/>
        <w:rPr>
          <w:sz w:val="20"/>
          <w:szCs w:val="20"/>
          <w:color w:val="auto"/>
        </w:rPr>
      </w:pPr>
      <w:r>
        <w:rPr>
          <w:rFonts w:ascii="Times New Roman" w:cs="Times New Roman" w:eastAsia="Times New Roman" w:hAnsi="Times New Roman"/>
          <w:sz w:val="18"/>
          <w:szCs w:val="18"/>
          <w:color w:val="auto"/>
        </w:rPr>
        <w:t>Recently, the CLOs we have invested in have included, or have been amended to include, language permitting the CLO investment manager, to implement a market replacement rate (like those proposed by the Alternative Reference Rates Committee of the Federal Reserve Board and the Federal Reserve Bank of</w:t>
      </w:r>
    </w:p>
    <w:p>
      <w:pPr>
        <w:spacing w:after="0" w:line="1" w:lineRule="exact"/>
        <w:rPr>
          <w:sz w:val="20"/>
          <w:szCs w:val="20"/>
          <w:color w:val="auto"/>
        </w:rPr>
      </w:pPr>
    </w:p>
    <w:p>
      <w:pPr>
        <w:ind w:left="460" w:right="519"/>
        <w:spacing w:after="0" w:line="251" w:lineRule="auto"/>
        <w:rPr>
          <w:sz w:val="20"/>
          <w:szCs w:val="20"/>
          <w:color w:val="auto"/>
        </w:rPr>
      </w:pPr>
      <w:r>
        <w:rPr>
          <w:rFonts w:ascii="Times New Roman" w:cs="Times New Roman" w:eastAsia="Times New Roman" w:hAnsi="Times New Roman"/>
          <w:sz w:val="18"/>
          <w:szCs w:val="18"/>
          <w:color w:val="auto"/>
        </w:rPr>
        <w:t>New York) upon the occurrence of certain material disruption events. However, we cannot ensure that all CLOs in which we are invested will have such provisions, nor can we ensure the CLO investment managers will undertake the suggested amendments when able. Our net investment income is affected by fluctuations in various interest rates, including LIBOR and prime rates.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 We believe that because CLO managers and other CLO market participants have been preparing for an eventual transition away from LIBOR, we do not anticipate such a transition to have a material impact on the liquidity or value of any of our LIBOR-referenced CLO investments. However, because the specific effects of a transition away from LIBOR cannot be determined with certainty as of the date of this report, a transition away from LIBOR could:</w:t>
      </w:r>
    </w:p>
    <w:p>
      <w:pPr>
        <w:spacing w:after="0" w:line="111" w:lineRule="exact"/>
        <w:rPr>
          <w:sz w:val="20"/>
          <w:szCs w:val="20"/>
          <w:color w:val="auto"/>
        </w:rPr>
      </w:pPr>
    </w:p>
    <w:p>
      <w:pPr>
        <w:ind w:left="1320" w:right="579" w:hanging="434"/>
        <w:spacing w:after="0" w:line="282" w:lineRule="auto"/>
        <w:tabs>
          <w:tab w:leader="none" w:pos="13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pricing, liquidity, value of, return on and trading for a broad array of financial products, including any LIBOR-linked CLO investments;</w:t>
      </w:r>
    </w:p>
    <w:p>
      <w:pPr>
        <w:spacing w:after="0" w:line="94" w:lineRule="exact"/>
        <w:rPr>
          <w:rFonts w:ascii="Times New Roman" w:cs="Times New Roman" w:eastAsia="Times New Roman" w:hAnsi="Times New Roman"/>
          <w:sz w:val="18"/>
          <w:szCs w:val="18"/>
          <w:color w:val="auto"/>
        </w:rPr>
      </w:pPr>
    </w:p>
    <w:p>
      <w:pPr>
        <w:ind w:left="1320" w:right="819" w:hanging="434"/>
        <w:spacing w:after="0" w:line="266" w:lineRule="auto"/>
        <w:tabs>
          <w:tab w:leader="none" w:pos="13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extensive changes to documentation that governs or references LIBOR or LIBOR-based products, including, for example, pursuant to time-consuming renegotiations of existing documentation to modify the terms of outstanding investments;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1320" w:right="499" w:hanging="434"/>
        <w:spacing w:after="0" w:line="282"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inquiries or other actions from regulators in respect of our preparation and readiness for the replacement of LIBOR with one or more alternative reference rates;</w:t>
      </w:r>
    </w:p>
    <w:p>
      <w:pPr>
        <w:spacing w:after="0" w:line="80" w:lineRule="exact"/>
        <w:rPr>
          <w:rFonts w:ascii="Times New Roman" w:cs="Times New Roman" w:eastAsia="Times New Roman" w:hAnsi="Times New Roman"/>
          <w:sz w:val="18"/>
          <w:szCs w:val="18"/>
          <w:color w:val="auto"/>
        </w:rPr>
      </w:pPr>
    </w:p>
    <w:p>
      <w:pPr>
        <w:ind w:left="1320" w:right="719" w:hanging="434"/>
        <w:spacing w:after="0" w:line="258"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disputes, litigation or other actions with CLO investment managers, regarding the interpretation and enforceability of provisions in our LIBOR-based CLO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115" w:lineRule="exact"/>
        <w:rPr>
          <w:rFonts w:ascii="Times New Roman" w:cs="Times New Roman" w:eastAsia="Times New Roman" w:hAnsi="Times New Roman"/>
          <w:sz w:val="18"/>
          <w:szCs w:val="18"/>
          <w:color w:val="auto"/>
        </w:rPr>
      </w:pPr>
    </w:p>
    <w:p>
      <w:pPr>
        <w:ind w:left="1320" w:right="819" w:hanging="434"/>
        <w:spacing w:after="0" w:line="261"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additional costs in relation to any of the above factors.</w:t>
      </w:r>
    </w:p>
    <w:p>
      <w:pPr>
        <w:spacing w:after="0" w:line="14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OXLC Management anticipates that the CLO vehicles in which the Fund invests may constitute “passive foreign investment companies” (“PFICs”). If the Fund acquires shares in a PFIC (including equity tranche investments in CLO vehicles that are PFICs), the Fund may be subject to U.S. federal income tax on a portion of any “excess distribution” or gain from the disposition of such shares even if such income is distributed as a taxable distribution by the Fund to its stockholders. Certain elections may be available to mitigate or eliminate such tax on excess distributions, but such elections (if available) will generally require the Fund to recognize its share of the PFIC’s income for each year regardless of whether the Fund receives any distributions from such PFIC. The Fund must nonetheless distribute such income to maintain its tax treatment as a RIC.</w:t>
      </w:r>
    </w:p>
    <w:p>
      <w:pPr>
        <w:spacing w:after="0" w:line="12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 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spacing w:after="0" w:line="121"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color w:val="auto"/>
        </w:rPr>
        <w:t>The Fund may be required to include in its income its proportionate share of the income of certain CLO investments to the extent that such CLOs are PFICs for which the Fund has made a qualifying electing fund (“QEF”) election or are CFCs. To qualify as a RIC, OXLC must, among other things, derive in each taxable year at least 90% of its gross income from certain sources specified in the Code (the “90% Income Test”). The income inclusions from a QEF or a CFC will be “good income” for purposes of this 90% Income Test provided that they are derived in connection with OXLC’s business of investing in stocks and securities or the QEF or the CFC distributes such income to OXLC in the same taxable year to which the income is included in its income.</w:t>
      </w:r>
    </w:p>
    <w:p>
      <w:pPr>
        <w:spacing w:after="0" w:line="90" w:lineRule="exact"/>
        <w:rPr>
          <w:sz w:val="20"/>
          <w:szCs w:val="20"/>
          <w:color w:val="auto"/>
        </w:rPr>
      </w:pPr>
    </w:p>
    <w:p>
      <w:pPr>
        <w:ind w:left="460" w:right="659" w:firstLine="432"/>
        <w:spacing w:after="0" w:line="253" w:lineRule="auto"/>
        <w:rPr>
          <w:sz w:val="20"/>
          <w:szCs w:val="20"/>
          <w:color w:val="auto"/>
        </w:rPr>
      </w:pPr>
      <w:r>
        <w:rPr>
          <w:rFonts w:ascii="Times New Roman" w:cs="Times New Roman" w:eastAsia="Times New Roman" w:hAnsi="Times New Roman"/>
          <w:sz w:val="18"/>
          <w:szCs w:val="18"/>
          <w:color w:val="auto"/>
        </w:rPr>
        <w:t>Our ability to pay distributions might be adversely affected by the impact of one or more of the risks discussed in this section, including the COVID-19 pandemic described above. We cannot assure you that we will achieve investment results that will allow us to make a specified level of cash distributions. We may also distribute taxable distributions that are payable in cash or shares of our common stock at the election of each stockholder. Under certain applicable IRS guidance, distributions by publicly offered RICs that are payable in cash or in shares of stock at the election of stockholders are treated as taxable distributions. The Internal Revenue Service has published a revenue procedure indicating that this rule will apply even where the total amount of cash to be distributed is not less than 20% (which has been temporarily reduced to 10% for distributions declared on or after April 1, 2020, and on or before December 31, 2020) of the total distribution. Under this revenue procedure, if too many stockholders elect to receive their distributions in cash, the cash available for distribution must be allocated among the stockholders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we decide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may be required to withhold U.S. tax with respect to such distributions, including in respect of all or a portion of such distribution that is payable in stock. In addition, if a significant number of our stockholders determine to sell shares of our stock in order to pay taxes owed on distributions, it may put downward pressure on the trading price of our stock.</w:t>
      </w:r>
    </w:p>
    <w:p>
      <w:pPr>
        <w:spacing w:after="0" w:line="11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OXLC invests will be treated as non-U.S. financial entities for this purpose, and therefore will be required to comply with these reporting requirements to avoid the 30% withholding tax. If a CLO vehicle in which OXLC invests fails to properly comply with these reporting requirements, it could reduce the amounts available to distribute to equity and junior debt holders in such CLO vehicle, which could materially and adversely affect OXLC’s operating results and cash flows.</w:t>
      </w:r>
    </w:p>
    <w:p>
      <w:pPr>
        <w:spacing w:after="0" w:line="12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the Fund is required to include amounts in income prior to receiving distributions representing such income, the Fund may have to sell some of its investments at times and/or at prices management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3. Summary of Significant Accounting Policies — U.S. Federal Income Taxes”.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Fund’s Term Shares pay dividends at a fixed dividend rate. Prices of fixed income investments vary inversely with changes in market yields. The market yields on securities comparable to the Term Shares may increase, which would likely result in a decline in the secondary market price of such shares prior to the term redemption date. The Fund may be unable to pay dividends on the Term Shares under some circumstances. The terms of any future indebtedness OXLC may incur could preclude the payment of dividends in respect of equity securities, including such shares, under certain conditions.</w:t>
      </w:r>
    </w:p>
    <w:p>
      <w:pPr>
        <w:spacing w:after="0" w:line="106" w:lineRule="exact"/>
        <w:rPr>
          <w:sz w:val="20"/>
          <w:szCs w:val="20"/>
          <w:color w:val="auto"/>
        </w:rPr>
      </w:pPr>
    </w:p>
    <w:p>
      <w:pPr>
        <w:jc w:val="both"/>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As a registered closed-end investment company, OXLC is required to comply with the asset coverage requirements of the 1940 Act and the Articles Supplementary governing OXLC’s Preferred Stock. Under the 1940 Act, the Fund may not issue additional Preferred Stock if immediately after such issuance the Fund will not have an asset coverage of at least 200% (defined as the ratio of the Fund’s gross assets (less all liabilities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14. RISKS AND UNCERTAINTIES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color w:val="auto"/>
        </w:rPr>
        <w:t>indebtedness not represented by senior securities) to its outstanding senior securities representing indebtedness, plus the aggregate involuntary liquidation preference of OXLC’s outstanding Preferred Stock). In addition, the Articles Supplementary governing OXLC’s Term Preferred Shares require that the Fund have an asset coverage of at least 200% as of the end of each fiscal quarter. If the asset coverage is not at least 200% as of such measurement dates, OXLC may not be able to incur additional debt or issue additional shares of Preferred Stock and could be forced to sell a portion of its investments to repurchase or redeem some shares of Preferred Stock when it is disadvantageous to do so, which could have a material adverse effect on the Fund’s operations. Further, OXLC may be restricted from making distributions to holders of the Fund’s common stock if the Fund does not have asset coverage of at least 200%.</w:t>
      </w:r>
    </w:p>
    <w:p>
      <w:pPr>
        <w:spacing w:after="0" w:line="10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Given the ten-year original terms, and potential for early redemption, of the Term Preferred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8. Mandatorily Redeemable Preferred Stock”.</w:t>
      </w:r>
    </w:p>
    <w:p>
      <w:pPr>
        <w:spacing w:after="0" w:line="116"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RECENT ACCOUNTING PRONOUNCEMENTS</w:t>
      </w:r>
    </w:p>
    <w:p>
      <w:pPr>
        <w:spacing w:after="0" w:line="16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w:t>
      </w:r>
      <w:r>
        <w:rPr>
          <w:rFonts w:ascii="Times New Roman" w:cs="Times New Roman" w:eastAsia="Times New Roman" w:hAnsi="Times New Roman"/>
          <w:sz w:val="18"/>
          <w:szCs w:val="18"/>
          <w:i w:val="1"/>
          <w:iCs w:val="1"/>
          <w:color w:val="auto"/>
        </w:rPr>
        <w:t xml:space="preserve">Financial Instruments-Credit Losses (Topic 326): Measurement of Credit Losses on Financial Instruments </w:t>
      </w:r>
      <w:r>
        <w:rPr>
          <w:rFonts w:ascii="Times New Roman" w:cs="Times New Roman" w:eastAsia="Times New Roman" w:hAnsi="Times New Roman"/>
          <w:sz w:val="18"/>
          <w:szCs w:val="18"/>
          <w:color w:val="auto"/>
        </w:rPr>
        <w:t>(“ASU 2016-13”),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the financial instruments impairment guidance so that an entity is required to measure expected credit losses for financial assets based on historical experience, current conditions and reasonable and supportable forecasts. As such, an entity will use forward-looking information to estimate credit losses. ASU 2016-13 also amends the guidance in FASB ASC Subtopic No. 325-40, Investments-Other, Beneficial Interests in Securitized Financial Assets, related to the subsequent measurement of accretable yield recognized as interest income over the life of a beneficial interest in securitized financial assets under the effective yield method. ASU 2016-13 is effective for financial statements issued for fiscal years beginning after December 15, 2019, including interim periods within those fiscal years. Early adoption is permitted as of the fiscal years beginning after December 15, 2018, including interim periods within those fiscal years. Management has adopted the amendments in ASU 2016-13 as of April 1, 2020.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16. ISSUANCES OF COMMON STOCK</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Fund sold a total of 10,964,515 shares of common stock pursuant to an “at-the-market” offering during the six months ended September 30, 2020. The total amount of capital raised under these issuances was approximately $43.5 million and net proceeds were approximately $42.6 million after deducting the sales agent’s commissions and offering expenses.</w:t>
      </w:r>
    </w:p>
    <w:p>
      <w:pPr>
        <w:spacing w:after="0" w:line="112" w:lineRule="exact"/>
        <w:rPr>
          <w:sz w:val="20"/>
          <w:szCs w:val="20"/>
          <w:color w:val="auto"/>
        </w:rPr>
      </w:pPr>
    </w:p>
    <w:p>
      <w:pPr>
        <w:ind w:left="460" w:right="799" w:firstLine="432"/>
        <w:spacing w:after="0" w:line="261" w:lineRule="auto"/>
        <w:rPr>
          <w:sz w:val="20"/>
          <w:szCs w:val="20"/>
          <w:color w:val="auto"/>
        </w:rPr>
      </w:pPr>
      <w:r>
        <w:rPr>
          <w:rFonts w:ascii="Times New Roman" w:cs="Times New Roman" w:eastAsia="Times New Roman" w:hAnsi="Times New Roman"/>
          <w:sz w:val="18"/>
          <w:szCs w:val="18"/>
          <w:color w:val="auto"/>
        </w:rPr>
        <w:t>The Fund sold a total of 31,131,899 shares of common stock pursuant to an “at-the-market” offering during the fiscal year ended March 31, 2020. The total amount of capital raised under these issuances was approximately $294.1 million and net proceeds were approximately $290.1 million after deducting the sales agent’s commissions and offering expenses.</w:t>
      </w:r>
    </w:p>
    <w:p>
      <w:pPr>
        <w:spacing w:after="0" w:line="112" w:lineRule="exact"/>
        <w:rPr>
          <w:sz w:val="20"/>
          <w:szCs w:val="20"/>
          <w:color w:val="auto"/>
        </w:rPr>
      </w:pPr>
    </w:p>
    <w:p>
      <w:pPr>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2020, the Fund issued 1,577,676 shares of common stock in connection with the distribution reinvestment plan. For the year ended March 31, 2020, the Fund issued 1,503,453 shares of common stock in connection with the distribution reinvestment plan.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6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Fund’s Repo Facility with Nomura expired on October 18, 2020. In accordance with the Repo Facility agreement, the Fund had the option to extend or terminate the Repo Facility. The Fund did not extend and has terminated the Repo Facility with Nomura.</w:t>
      </w:r>
    </w:p>
    <w:p>
      <w:pPr>
        <w:spacing w:after="0" w:line="108"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As previously announced by the Fund, our Board of Directors had declared monthly common stock distributions through December 31, 2020 (payment information is repeated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Month Ending</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 Per Share</w:t>
            </w:r>
          </w:p>
        </w:tc>
      </w:tr>
      <w:tr>
        <w:trPr>
          <w:trHeight w:val="46"/>
        </w:trPr>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43"/>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30, 2020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13, 2020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$0.0675</w:t>
            </w:r>
          </w:p>
        </w:tc>
      </w:tr>
      <w:tr>
        <w:trPr>
          <w:trHeight w:val="24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16, 2020</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2020</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$0.0675</w:t>
            </w:r>
          </w:p>
        </w:tc>
      </w:tr>
    </w:tbl>
    <w:p>
      <w:pPr>
        <w:spacing w:after="0" w:line="198"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On October 29, 2020, the Board of Directors declared monthly distributions $0.0675 per share on its common stock,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Month Ending</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 Per Share</w:t>
            </w:r>
          </w:p>
        </w:tc>
      </w:tr>
      <w:tr>
        <w:trPr>
          <w:trHeight w:val="46"/>
        </w:trPr>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43"/>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15, 2021</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29, 2021</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$0.0675</w:t>
            </w:r>
          </w:p>
        </w:tc>
      </w:tr>
      <w:tr>
        <w:trPr>
          <w:trHeight w:val="24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28, 2021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26, 2021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$0.0675</w:t>
            </w:r>
          </w:p>
        </w:tc>
      </w:tr>
      <w:tr>
        <w:trPr>
          <w:trHeight w:val="41"/>
        </w:trPr>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43"/>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17, 2021</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$0.0675</w:t>
            </w:r>
          </w:p>
        </w:tc>
      </w:tr>
      <w:tr>
        <w:trPr>
          <w:trHeight w:val="41"/>
        </w:trPr>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October 29, 2020, the Board of Directors declared the required monthly dividends on its Series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Series 2024, and Series 2027 Term Preferred Shares (each, a “Share”), as follows: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12"/>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Declared</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Record Dates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Payable Dates</w:t>
            </w:r>
          </w:p>
        </w:tc>
      </w:tr>
      <w:tr>
        <w:trPr>
          <w:trHeight w:val="46"/>
        </w:trPr>
        <w:tc>
          <w:tcPr>
            <w:tcW w:w="10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r>
      <w:tr>
        <w:trPr>
          <w:trHeight w:val="191"/>
        </w:trPr>
        <w:tc>
          <w:tcPr>
            <w:tcW w:w="1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Series 2023</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8"/>
              </w:rPr>
              <w:t>$ 0.15625000</w:t>
            </w:r>
          </w:p>
        </w:tc>
        <w:tc>
          <w:tcPr>
            <w:tcW w:w="100" w:type="dxa"/>
            <w:vAlign w:val="bottom"/>
            <w:shd w:val="clear" w:color="auto" w:fill="CCEEFF"/>
          </w:tcPr>
          <w:p>
            <w:pPr>
              <w:spacing w:after="0"/>
              <w:rPr>
                <w:sz w:val="16"/>
                <w:szCs w:val="16"/>
                <w:color w:val="auto"/>
              </w:rPr>
            </w:pPr>
          </w:p>
        </w:tc>
        <w:tc>
          <w:tcPr>
            <w:tcW w:w="28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December 16, 2020, January 15, 2021,</w:t>
            </w:r>
          </w:p>
        </w:tc>
        <w:tc>
          <w:tcPr>
            <w:tcW w:w="100" w:type="dxa"/>
            <w:vAlign w:val="bottom"/>
            <w:shd w:val="clear" w:color="auto" w:fill="CCEEFF"/>
          </w:tcPr>
          <w:p>
            <w:pPr>
              <w:spacing w:after="0"/>
              <w:rPr>
                <w:sz w:val="16"/>
                <w:szCs w:val="16"/>
                <w:color w:val="auto"/>
              </w:rPr>
            </w:pPr>
          </w:p>
        </w:tc>
        <w:tc>
          <w:tcPr>
            <w:tcW w:w="29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December 31, 2020, January 29, 2021,</w:t>
            </w:r>
          </w:p>
        </w:tc>
      </w:tr>
      <w:tr>
        <w:trPr>
          <w:trHeight w:val="255"/>
        </w:trPr>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26, 2021</w:t>
            </w: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Series 2024</w:t>
            </w:r>
          </w:p>
        </w:tc>
        <w:tc>
          <w:tcPr>
            <w:tcW w:w="124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$ 0.14062500</w:t>
            </w:r>
          </w:p>
        </w:tc>
        <w:tc>
          <w:tcPr>
            <w:tcW w:w="29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December 16, 2020, January 15, 2021,</w:t>
            </w:r>
          </w:p>
        </w:tc>
        <w:tc>
          <w:tcPr>
            <w:tcW w:w="2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December 31, 2020, January 29, 2021,</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2021</w:t>
            </w:r>
          </w:p>
        </w:tc>
      </w:tr>
      <w:tr>
        <w:trPr>
          <w:trHeight w:val="40"/>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Series 2027</w:t>
            </w:r>
          </w:p>
        </w:tc>
        <w:tc>
          <w:tcPr>
            <w:tcW w:w="124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$ 0.13020833</w:t>
            </w:r>
          </w:p>
        </w:tc>
        <w:tc>
          <w:tcPr>
            <w:tcW w:w="290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December 16, 2020, January 15, 2021,</w:t>
            </w:r>
          </w:p>
        </w:tc>
        <w:tc>
          <w:tcPr>
            <w:tcW w:w="29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December 31, 2020, January 29, 2021,</w:t>
            </w:r>
          </w:p>
        </w:tc>
      </w:tr>
      <w:tr>
        <w:trPr>
          <w:trHeight w:val="234"/>
        </w:trPr>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12, 2021</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26, 2021</w:t>
            </w:r>
          </w:p>
        </w:tc>
      </w:tr>
      <w:tr>
        <w:trPr>
          <w:trHeight w:val="40"/>
        </w:trPr>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Fund has evaluated subsequent events through the date of issuance and noted no other events that necessitate adjustments to or disclosure in the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Securities Table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4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Involuntary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Exclusive of</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Coverage</w:t>
            </w:r>
          </w:p>
        </w:tc>
        <w:tc>
          <w:tcPr>
            <w:tcW w:w="4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Ratio Per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4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w:t>
            </w:r>
          </w:p>
        </w:tc>
      </w:tr>
      <w:tr>
        <w:trPr>
          <w:trHeight w:val="255"/>
        </w:trPr>
        <w:tc>
          <w:tcPr>
            <w:tcW w:w="1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Securities</w:t>
            </w:r>
            <w:r>
              <w:rPr>
                <w:rFonts w:ascii="Times New Roman" w:cs="Times New Roman" w:eastAsia="Times New Roman" w:hAnsi="Times New Roman"/>
                <w:sz w:val="18"/>
                <w:szCs w:val="18"/>
                <w:b w:val="1"/>
                <w:bCs w:val="1"/>
                <w:color w:val="auto"/>
                <w:w w:val="96"/>
                <w:vertAlign w:val="superscript"/>
              </w:rPr>
              <w:t>(1)</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Unit</w:t>
            </w:r>
            <w:r>
              <w:rPr>
                <w:rFonts w:ascii="Times New Roman" w:cs="Times New Roman" w:eastAsia="Times New Roman" w:hAnsi="Times New Roman"/>
                <w:sz w:val="18"/>
                <w:szCs w:val="18"/>
                <w:b w:val="1"/>
                <w:bCs w:val="1"/>
                <w:color w:val="auto"/>
                <w:w w:val="94"/>
                <w:vertAlign w:val="superscript"/>
              </w:rPr>
              <w:t>(2)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Per Unit</w:t>
            </w:r>
            <w:r>
              <w:rPr>
                <w:rFonts w:ascii="Times New Roman" w:cs="Times New Roman" w:eastAsia="Times New Roman" w:hAnsi="Times New Roman"/>
                <w:sz w:val="18"/>
                <w:szCs w:val="18"/>
                <w:b w:val="1"/>
                <w:bCs w:val="1"/>
                <w:color w:val="auto"/>
                <w:w w:val="96"/>
                <w:vertAlign w:val="superscript"/>
              </w:rPr>
              <w:t>(3)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6"/>
              </w:rPr>
              <w:t>Per Unit</w:t>
            </w:r>
            <w:r>
              <w:rPr>
                <w:rFonts w:ascii="Times New Roman" w:cs="Times New Roman" w:eastAsia="Times New Roman" w:hAnsi="Times New Roman"/>
                <w:sz w:val="18"/>
                <w:szCs w:val="18"/>
                <w:b w:val="1"/>
                <w:bCs w:val="1"/>
                <w:color w:val="auto"/>
                <w:w w:val="96"/>
                <w:vertAlign w:val="superscript"/>
              </w:rPr>
              <w:t>(4)</w:t>
            </w:r>
          </w:p>
        </w:tc>
      </w:tr>
      <w:tr>
        <w:trPr>
          <w:trHeight w:val="261"/>
        </w:trPr>
        <w:tc>
          <w:tcPr>
            <w:tcW w:w="36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03"/>
        </w:trPr>
        <w:tc>
          <w:tcPr>
            <w:tcW w:w="368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u w:val="single" w:color="auto"/>
                <w:color w:val="auto"/>
              </w:rPr>
              <w:t>50%</w:t>
            </w:r>
            <w:r>
              <w:rPr>
                <w:rFonts w:ascii="Times New Roman" w:cs="Times New Roman" w:eastAsia="Times New Roman" w:hAnsi="Times New Roman"/>
                <w:sz w:val="18"/>
                <w:szCs w:val="18"/>
                <w:b w:val="1"/>
                <w:bCs w:val="1"/>
                <w:color w:val="auto"/>
              </w:rPr>
              <w:t xml:space="preserve"> Series 2017 Term Preferred Shares</w:t>
            </w:r>
            <w:r>
              <w:rPr>
                <w:rFonts w:ascii="Times New Roman" w:cs="Times New Roman" w:eastAsia="Times New Roman" w:hAnsi="Times New Roman"/>
                <w:sz w:val="20"/>
                <w:szCs w:val="20"/>
                <w:b w:val="1"/>
                <w:bCs w:val="1"/>
                <w:color w:val="auto"/>
                <w:vertAlign w:val="superscript"/>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1"/>
        </w:trPr>
        <w:tc>
          <w:tcPr>
            <w:tcW w:w="180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15,811,250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15,811,250</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15,811,250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1"/>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3"/>
        </w:trPr>
        <w:tc>
          <w:tcPr>
            <w:tcW w:w="368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b w:val="1"/>
                <w:bCs w:val="1"/>
                <w:u w:val="single" w:color="auto"/>
                <w:color w:val="auto"/>
              </w:rPr>
              <w:t>50%</w:t>
            </w:r>
            <w:r>
              <w:rPr>
                <w:rFonts w:ascii="Times New Roman" w:cs="Times New Roman" w:eastAsia="Times New Roman" w:hAnsi="Times New Roman"/>
                <w:sz w:val="18"/>
                <w:szCs w:val="18"/>
                <w:b w:val="1"/>
                <w:bCs w:val="1"/>
                <w:color w:val="auto"/>
              </w:rPr>
              <w:t xml:space="preserve"> Series 2023 Term Preferred Shares</w:t>
            </w:r>
            <w:r>
              <w:rPr>
                <w:rFonts w:ascii="Times New Roman" w:cs="Times New Roman" w:eastAsia="Times New Roman" w:hAnsi="Times New Roman"/>
                <w:sz w:val="20"/>
                <w:szCs w:val="20"/>
                <w:b w:val="1"/>
                <w:bCs w:val="1"/>
                <w:color w:val="auto"/>
                <w:vertAlign w:val="superscript"/>
              </w:rPr>
              <w:t>(6) (10)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1"/>
        </w:trPr>
        <w:tc>
          <w:tcPr>
            <w:tcW w:w="180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43"/>
        </w:trPr>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2021 (As of September 30, 2020)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57,034,875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60,400,025</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90,400,025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90,400,025</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90,400,025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1"/>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90,638,450</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73,869,250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65,744,250</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03"/>
        </w:trPr>
        <w:tc>
          <w:tcPr>
            <w:tcW w:w="368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u w:val="single" w:color="auto"/>
                <w:color w:val="auto"/>
              </w:rPr>
              <w:t>125%</w:t>
            </w:r>
            <w:r>
              <w:rPr>
                <w:rFonts w:ascii="Times New Roman" w:cs="Times New Roman" w:eastAsia="Times New Roman" w:hAnsi="Times New Roman"/>
                <w:sz w:val="18"/>
                <w:szCs w:val="18"/>
                <w:b w:val="1"/>
                <w:bCs w:val="1"/>
                <w:color w:val="auto"/>
              </w:rPr>
              <w:t xml:space="preserve"> Series 2024 Term Preferred Shares</w:t>
            </w:r>
            <w:r>
              <w:rPr>
                <w:rFonts w:ascii="Times New Roman" w:cs="Times New Roman" w:eastAsia="Times New Roman" w:hAnsi="Times New Roman"/>
                <w:sz w:val="20"/>
                <w:szCs w:val="20"/>
                <w:b w:val="1"/>
                <w:bCs w:val="1"/>
                <w:color w:val="auto"/>
                <w:vertAlign w:val="superscript"/>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1"/>
        </w:trPr>
        <w:tc>
          <w:tcPr>
            <w:tcW w:w="180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50,504,475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50,539,775</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60,687,500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3"/>
        </w:trPr>
        <w:tc>
          <w:tcPr>
            <w:tcW w:w="368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b w:val="1"/>
                <w:bCs w:val="1"/>
                <w:u w:val="single" w:color="auto"/>
                <w:color w:val="auto"/>
              </w:rPr>
              <w:t>75%</w:t>
            </w:r>
            <w:r>
              <w:rPr>
                <w:rFonts w:ascii="Times New Roman" w:cs="Times New Roman" w:eastAsia="Times New Roman" w:hAnsi="Times New Roman"/>
                <w:sz w:val="18"/>
                <w:szCs w:val="18"/>
                <w:b w:val="1"/>
                <w:bCs w:val="1"/>
                <w:color w:val="auto"/>
              </w:rPr>
              <w:t xml:space="preserve"> Series 2024 Term Preferred Shares</w:t>
            </w:r>
            <w:r>
              <w:rPr>
                <w:rFonts w:ascii="Times New Roman" w:cs="Times New Roman" w:eastAsia="Times New Roman" w:hAnsi="Times New Roman"/>
                <w:sz w:val="20"/>
                <w:szCs w:val="20"/>
                <w:b w:val="1"/>
                <w:bCs w:val="1"/>
                <w:color w:val="auto"/>
                <w:vertAlign w:val="superscript"/>
              </w:rPr>
              <w:t>(8) (10)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1"/>
        </w:trPr>
        <w:tc>
          <w:tcPr>
            <w:tcW w:w="180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43"/>
        </w:trPr>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2021 (As of September 30, 2020)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68,125,375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68,235,375</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68,235,375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68,235,375</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3"/>
        </w:trPr>
        <w:tc>
          <w:tcPr>
            <w:tcW w:w="368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b w:val="1"/>
                <w:bCs w:val="1"/>
                <w:u w:val="single" w:color="auto"/>
                <w:color w:val="auto"/>
              </w:rPr>
              <w:t>25%</w:t>
            </w:r>
            <w:r>
              <w:rPr>
                <w:rFonts w:ascii="Times New Roman" w:cs="Times New Roman" w:eastAsia="Times New Roman" w:hAnsi="Times New Roman"/>
                <w:sz w:val="18"/>
                <w:szCs w:val="18"/>
                <w:b w:val="1"/>
                <w:bCs w:val="1"/>
                <w:color w:val="auto"/>
              </w:rPr>
              <w:t xml:space="preserve"> Series 2027 Term Preferred Shares</w:t>
            </w:r>
            <w:r>
              <w:rPr>
                <w:rFonts w:ascii="Times New Roman" w:cs="Times New Roman" w:eastAsia="Times New Roman" w:hAnsi="Times New Roman"/>
                <w:sz w:val="20"/>
                <w:szCs w:val="20"/>
                <w:b w:val="1"/>
                <w:bCs w:val="1"/>
                <w:color w:val="auto"/>
                <w:vertAlign w:val="superscript"/>
              </w:rPr>
              <w:t>(9) (10)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1"/>
        </w:trPr>
        <w:tc>
          <w:tcPr>
            <w:tcW w:w="180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64"/>
        </w:trPr>
        <w:tc>
          <w:tcPr>
            <w:tcW w:w="3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(As of September 30, 2020)</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88,120,150</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91,600,000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3"/>
        </w:trPr>
        <w:tc>
          <w:tcPr>
            <w:tcW w:w="368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Repurchase Agreement</w:t>
            </w:r>
            <w:r>
              <w:rPr>
                <w:rFonts w:ascii="Times New Roman" w:cs="Times New Roman" w:eastAsia="Times New Roman" w:hAnsi="Times New Roman"/>
                <w:sz w:val="20"/>
                <w:szCs w:val="20"/>
                <w:b w:val="1"/>
                <w:bCs w:val="1"/>
                <w:color w:val="auto"/>
                <w:vertAlign w:val="superscript"/>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1"/>
        </w:trPr>
        <w:tc>
          <w:tcPr>
            <w:tcW w:w="180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r>
      <w:tr>
        <w:trPr>
          <w:trHeight w:val="243"/>
        </w:trPr>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2021 (As of September 30, 2020)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40,000,000</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42,493,500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40"/>
        </w:trPr>
        <w:tc>
          <w:tcPr>
            <w:tcW w:w="1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42,493,500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40"/>
        </w:trPr>
        <w:tc>
          <w:tcPr>
            <w:tcW w:w="18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amount of each class of senior securities outstanding at the end of the period presented.</w:t>
      </w:r>
    </w:p>
    <w:p>
      <w:pPr>
        <w:spacing w:after="0" w:line="26"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7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coverage per unit is the ratio of the carrying value of our total consolidated assets, less all liabilities and indebtedness not represented by senior securities, to the aggregate amount of outstanding senior securities, as calculated separately for each of the Term Preferred Shares and the Nomura Agreement in accordance with section 18(h) of the 1940 Act. With respect to the Term Preferred Shares, the asset coverage per unit is expressed in terms of a ratio per share of outstanding Term Preferred Shares (when expressing in terms of dollar amounts per share, the asset coverage ratio per unit is multiplied by the involuntary liquidation preference per unit of $25). With respect to the Nomura Agreement, the asset coverage ratio per unit is expressed in terms of a ratio per unit of outstanding Nomura Agreement (when expressing in terms of dollar amounts per share, the asset coverage per unit is multiplied by $1,000 per principal amount).</w:t>
      </w:r>
    </w:p>
    <w:p>
      <w:pPr>
        <w:spacing w:after="0" w:line="1" w:lineRule="exact"/>
        <w:rPr>
          <w:rFonts w:ascii="Times New Roman" w:cs="Times New Roman" w:eastAsia="Times New Roman" w:hAnsi="Times New Roman"/>
          <w:sz w:val="16"/>
          <w:szCs w:val="16"/>
          <w:color w:val="auto"/>
        </w:rPr>
      </w:pPr>
    </w:p>
    <w:p>
      <w:pPr>
        <w:ind w:left="880" w:right="719" w:hanging="426"/>
        <w:spacing w:after="0" w:line="288" w:lineRule="auto"/>
        <w:tabs>
          <w:tab w:leader="none" w:pos="87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to which such class of senior security would be entitled upon the voluntary liquidation of the issuer in preference to any security junior to it.</w:t>
      </w:r>
    </w:p>
    <w:p>
      <w:pPr>
        <w:sectPr>
          <w:pgSz w:w="11900" w:h="16838" w:orient="portrait"/>
          <w:cols w:equalWidth="0" w:num="1">
            <w:col w:w="9019"/>
          </w:cols>
          <w:pgMar w:left="1440" w:top="333"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6" w:name="page57"/>
    <w:bookmarkEnd w:id="56"/>
    <w:p>
      <w:pPr>
        <w:ind w:left="880" w:right="519" w:hanging="426"/>
        <w:spacing w:after="0" w:line="266" w:lineRule="auto"/>
        <w:tabs>
          <w:tab w:leader="none" w:pos="87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Term Preferred Shares, the Average Market Value Per Unit is calculated by taking the daily average closing price of the security for the respective period and dividing it by $25 per share to determine a unit price per share consistent with Asset Coverage Per Unit. With respect to the Nomura Agreement, the Average Market Value is not applicable as there are no senior securities thereunder which are registered for public trading.</w:t>
      </w:r>
    </w:p>
    <w:p>
      <w:pPr>
        <w:spacing w:after="0" w:line="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24, 2015, OXLC redeemed all issued and outstanding Series 2017 Term Shares at the term redemption price.</w:t>
      </w:r>
    </w:p>
    <w:p>
      <w:pPr>
        <w:spacing w:after="0" w:line="18" w:lineRule="exact"/>
        <w:rPr>
          <w:rFonts w:ascii="Times New Roman" w:cs="Times New Roman" w:eastAsia="Times New Roman" w:hAnsi="Times New Roman"/>
          <w:sz w:val="16"/>
          <w:szCs w:val="16"/>
          <w:color w:val="auto"/>
        </w:rPr>
      </w:pPr>
    </w:p>
    <w:p>
      <w:pPr>
        <w:ind w:left="880" w:right="1099" w:hanging="426"/>
        <w:spacing w:after="0" w:line="264"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12, 2020, OXLC redeemed 1,200,000 shares of the Series 2023 Term Preferred Shares issued and outstanding at the term redemption price.</w:t>
      </w:r>
    </w:p>
    <w:p>
      <w:pPr>
        <w:ind w:left="880" w:right="779" w:hanging="426"/>
        <w:spacing w:after="0" w:line="264"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14, 2017, we redeemed all issued and outstanding 8.125% Series 2024 Term Preferred Shares at the term redemption price.</w:t>
      </w:r>
    </w:p>
    <w:p>
      <w:pPr>
        <w:ind w:left="880" w:hanging="426"/>
        <w:spacing w:after="0"/>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14, 2017, we issued 2,729,415 shares of our newly designated Series 2024 Term Preferred Shares.</w:t>
      </w:r>
    </w:p>
    <w:p>
      <w:pPr>
        <w:spacing w:after="0" w:line="18" w:lineRule="exact"/>
        <w:rPr>
          <w:rFonts w:ascii="Times New Roman" w:cs="Times New Roman" w:eastAsia="Times New Roman" w:hAnsi="Times New Roman"/>
          <w:sz w:val="16"/>
          <w:szCs w:val="16"/>
          <w:color w:val="auto"/>
        </w:rPr>
      </w:pPr>
    </w:p>
    <w:p>
      <w:pPr>
        <w:ind w:left="880" w:right="619" w:hanging="426"/>
        <w:spacing w:after="0" w:line="264"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11, 2020, we completed an underwritten public offering of 3,500,000 shares of our newly designated 6.25% Series 2027 Term Preferred Stock at a public offering price of $25 per share, raising approximately $84.7 million in net proceeds. On March 10, 2020, an additional 164,000 shares were issued pursuant to an exercise of the over-allotment option granted to the underwriters, resulting in net proceeds of approximately $4.0 million.</w:t>
      </w:r>
    </w:p>
    <w:p>
      <w:pPr>
        <w:ind w:left="880" w:right="619" w:hanging="426"/>
        <w:spacing w:after="0" w:line="264"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21, 2020, the Fund’s Board of Directors authorized a program for the purpose of repurchasing up to $40 million worth of the outstanding shares of the Fund’s 7.50% Series 2023 Term Preferred Stock, 6.75% Series 2024 Term Preferred Stock and 6.25% Series 2027 Term Preferred Stock. During the six months ended September 30, 2020, the Fund repurchased 134,606 shares of 7.50% Series 2023 Term Preferred Stock for a total of approximately $3.2 million, 4,400 shares of 6.75% Series 2024 Term Preferred Stock for a total of approximately $0.1 million, and 139,194 shares of 6.25% Series 2027 Term Preferred Stock, for a total of approximately $3.1 million.</w:t>
      </w:r>
    </w:p>
    <w:p>
      <w:pPr>
        <w:ind w:left="880" w:right="479" w:hanging="426"/>
        <w:spacing w:after="0" w:line="266" w:lineRule="auto"/>
        <w:tabs>
          <w:tab w:leader="none" w:pos="87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 2019, the Nomura Agreement was amended to (i) extend the maturity date of the Repo from July 2, 2019 to January 2, 2020, and (ii) reduce the funding cost of the Nomura Agreement from 3-month LIBOR plus 3.15% per annum to 3-month LIBOR plus 2.90% per annum effective as of July 2, 2019. In addition, the Nomura Agreement was partially paid down on May 15, 2019 from approximately $42.5 million to $35.0 million. On August 15, 2019, the Nomura Agreement was amended to extend the maturity date of the Repo from January 2, 2020 to April 2, 2020. On November 4, 2019, in light of market conditions, we elected to post additional collateral with a market value of approximately $8.2 million. On December 26, 2019, we amended the Nomura Agreement to extend the maturity date of the Repo from April 2, 2020 to October 2, 2020 and sold CLO securities to Nomura with a market value of approximately $50.0 million, resulting in an increase in the maximum facility size of the Repo from $35.0 million to $50.0 million. On March 17, 2020, in light of market conditions, we elected to post additional collateral with a market value of approximately $20.9 million. In addition, the Repo was partially paid down on March 30, 2020 from $50,000,000 to $40,000,000. On May 15, 2020, the Fund elected, at its option, to repay and terminate its $40.0 million repurchase agreement with Nomura. The Fund repurchased all of the previously sold CLO securities from Nomura at a repurchase price of $40.0 million plus accrued funding costs.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 REINVESTMENT PLAN</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102" w:lineRule="exact"/>
        <w:rPr>
          <w:sz w:val="20"/>
          <w:szCs w:val="20"/>
          <w:color w:val="auto"/>
        </w:rPr>
      </w:pPr>
    </w:p>
    <w:p>
      <w:pPr>
        <w:ind w:left="460" w:right="619" w:firstLine="432"/>
        <w:spacing w:after="0" w:line="270" w:lineRule="auto"/>
        <w:rPr>
          <w:sz w:val="20"/>
          <w:szCs w:val="20"/>
          <w:color w:val="auto"/>
        </w:rPr>
      </w:pPr>
      <w:r>
        <w:rPr>
          <w:rFonts w:ascii="Times New Roman" w:cs="Times New Roman" w:eastAsia="Times New Roman" w:hAnsi="Times New Roman"/>
          <w:sz w:val="17"/>
          <w:szCs w:val="17"/>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109" w:lineRule="exact"/>
        <w:rPr>
          <w:sz w:val="20"/>
          <w:szCs w:val="20"/>
          <w:color w:val="auto"/>
        </w:rPr>
      </w:pPr>
    </w:p>
    <w:p>
      <w:pPr>
        <w:ind w:left="460" w:right="1079" w:firstLine="432"/>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1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121"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16"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w:cs="Times New Roman" w:eastAsia="Times New Roman" w:hAnsi="Times New Roman"/>
          <w:sz w:val="18"/>
          <w:szCs w:val="18"/>
          <w:i w:val="1"/>
          <w:iCs w:val="1"/>
          <w:color w:val="auto"/>
        </w:rPr>
        <w:t>www.computershare/investor</w:t>
      </w:r>
      <w:r>
        <w:rPr>
          <w:rFonts w:ascii="Times New Roman" w:cs="Times New Roman" w:eastAsia="Times New Roman" w:hAnsi="Times New Roman"/>
          <w:sz w:val="18"/>
          <w:szCs w:val="18"/>
          <w:color w:val="auto"/>
        </w:rPr>
        <w:t>, telephone number is 1-800-426-5523 and written correspondence can be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Computershare Trust Company, N.A., P.O. Box 30170, College Station, TX 77845.</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62" w:lineRule="exact"/>
        <w:rPr>
          <w:sz w:val="20"/>
          <w:szCs w:val="20"/>
          <w:color w:val="auto"/>
        </w:rPr>
      </w:pPr>
    </w:p>
    <w:p>
      <w:pPr>
        <w:ind w:left="460" w:right="659" w:firstLine="432"/>
        <w:spacing w:after="0" w:line="276" w:lineRule="auto"/>
        <w:rPr>
          <w:sz w:val="20"/>
          <w:szCs w:val="20"/>
          <w:color w:val="auto"/>
        </w:rPr>
      </w:pPr>
      <w:r>
        <w:rPr>
          <w:rFonts w:ascii="Times New Roman" w:cs="Times New Roman" w:eastAsia="Times New Roman" w:hAnsi="Times New Roman"/>
          <w:sz w:val="17"/>
          <w:szCs w:val="17"/>
          <w:color w:val="auto"/>
        </w:rPr>
        <w:t>Our Board of Directors oversees our management. The Board of Directors currently consists of five members, three of whom are not “interested persons” of Oxford Lane Capital Corp. as defined in Section 2(a)</w:t>
      </w:r>
    </w:p>
    <w:p>
      <w:pPr>
        <w:spacing w:after="0" w:line="1" w:lineRule="exact"/>
        <w:rPr>
          <w:sz w:val="20"/>
          <w:szCs w:val="20"/>
          <w:color w:val="auto"/>
        </w:rPr>
      </w:pPr>
    </w:p>
    <w:p>
      <w:pPr>
        <w:ind w:left="460" w:right="499" w:hanging="6"/>
        <w:spacing w:after="0" w:line="253" w:lineRule="auto"/>
        <w:tabs>
          <w:tab w:leader="none" w:pos="8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106"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Information regarding the Board of Directors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of</w:t>
            </w:r>
          </w:p>
        </w:tc>
      </w:tr>
      <w:tr>
        <w:trPr>
          <w:trHeight w:val="212"/>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342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r>
      <w:tr>
        <w:trPr>
          <w:trHeight w:val="46"/>
        </w:trPr>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1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
        </w:trPr>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1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Director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83"/>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1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J. Ashenfelter</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
        </w:trPr>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1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Reardon</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 Shin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211"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address for each of our directors is c/o Oxford Lane Capital Corp., 8 Sound Shore Drive, Suite 255, Greenwich, CT 06830.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640" w:type="dxa"/>
            <w:vAlign w:val="bottom"/>
          </w:tcPr>
          <w:p>
            <w:pPr>
              <w:ind w:left="25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r>
      <w:tr>
        <w:trPr>
          <w:trHeight w:val="244"/>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L. Rubin</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tc>
      </w:tr>
      <w:tr>
        <w:trPr>
          <w:trHeight w:val="243"/>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Cummins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62"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Our directors have been divided into two groups — interested directors and independent directors. An interested director is an “interested person” as defined in Section 2(a)(19) of the 1940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146"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Messrs. Cohen and Rosenthal are “interested persons” of Oxford Lane Capital as defined in the 1940 Act due to their positions as Chief Executive Officer and President, respectively, of Oxford Lane Capital and Oxford Lane Management, Oxford Lane Capital’s investment adviser, and as the managing member and non-managing member, respectively, of Oxford Funds, the administrator for Oxford Lane Capital.</w:t>
      </w:r>
    </w:p>
    <w:p>
      <w:pPr>
        <w:spacing w:after="0" w:line="110"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H. Cohen </w:t>
      </w:r>
      <w:r>
        <w:rPr>
          <w:rFonts w:ascii="Times New Roman" w:cs="Times New Roman" w:eastAsia="Times New Roman" w:hAnsi="Times New Roman"/>
          <w:sz w:val="18"/>
          <w:szCs w:val="18"/>
          <w:color w:val="auto"/>
        </w:rPr>
        <w:t>has served as Chief Executive Officer of both Oxford Lane Capital Corp. and Oxford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Lane Management since 2010. Mr. Cohen has also served since 2003 as Chief Executive Officer of both Oxford Square Capital Corp. (NasdaqGS: OXSQ), a publicly traded business development company, and Oxford Square Management, LLC, Oxford Square Capital Corp.’s investment adviser, and as the managing member of Oxford Funds.</w:t>
      </w:r>
    </w:p>
    <w:p>
      <w:pPr>
        <w:sectPr>
          <w:pgSz w:w="11900" w:h="16838" w:orient="portrait"/>
          <w:cols w:equalWidth="0" w:num="1">
            <w:col w:w="9019"/>
          </w:cols>
          <w:pgMar w:left="1440" w:top="333"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9" w:name="page60"/>
    <w:bookmarkEnd w:id="59"/>
    <w:p>
      <w:pPr>
        <w:ind w:left="460" w:right="519"/>
        <w:spacing w:after="0" w:line="253" w:lineRule="auto"/>
        <w:rPr>
          <w:sz w:val="20"/>
          <w:szCs w:val="20"/>
          <w:color w:val="auto"/>
        </w:rPr>
      </w:pPr>
      <w:r>
        <w:rPr>
          <w:rFonts w:ascii="Times New Roman" w:cs="Times New Roman" w:eastAsia="Times New Roman" w:hAnsi="Times New Roman"/>
          <w:sz w:val="18"/>
          <w:szCs w:val="18"/>
          <w:color w:val="auto"/>
        </w:rPr>
        <w:t>Since 2015 and 2018, respectively, Mr. Cohen has also served as the Chief Executive Officer of each of Oxford Bridge Management, LLC, or “Oxford Bridge Management,” the investment adviser to Oxford Bridge, LLC and Oxford Bridge II, LLC (collectively, the “Oxford Bridge Funds”), and Oxford Gate Management, LLC, or “Oxford Gate Management,” the investment adviser to Oxford Gate Master Fund, LLC, Oxford Gate, LLC and Oxford Gate (Bermuda), LLC (collectively, the “Oxford Gate Funds”). The Oxford Bridge Funds and the Oxford Gate Funds are private investment funds. Mr. Cohen is also a member of the Board of Directors of Oxford Square Capital Corp. Previously, Mr. Cohen managed technology equity research groups at Wit Capital, Merrill Lynch, UBS and Smith Barney. Mr. Cohen is a member of the Board of Trustees of Connecticut College.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105"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Saul B. Rosenthal </w:t>
      </w:r>
      <w:r>
        <w:rPr>
          <w:rFonts w:ascii="Times New Roman" w:cs="Times New Roman" w:eastAsia="Times New Roman" w:hAnsi="Times New Roman"/>
          <w:sz w:val="18"/>
          <w:szCs w:val="18"/>
          <w:color w:val="auto"/>
        </w:rPr>
        <w:t>has served as President of both Oxford Lane Capital Corp. and Oxford Lane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since 2010. Mr. Rosenthal has also served as President since 2004 of Oxford Square Capital Corp. (NasdaqGS: OXSQ), a publicly traded business development company. Mr. Rosenthal has also served as President of Oxford Bridge Management, the investment adviser to the Oxford Bridge Funds and Oxford Gate Management, the investment adviser to the Oxford Gate Funds, since 2015 and 2018, respectively.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following directors are not “interested persons” of Oxford Lane Capital, as defined in the 1940 Act.</w:t>
      </w:r>
    </w:p>
    <w:p>
      <w:pPr>
        <w:spacing w:after="0" w:line="156"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J. Ashenfelter </w:t>
      </w:r>
      <w:r>
        <w:rPr>
          <w:rFonts w:ascii="Times New Roman" w:cs="Times New Roman" w:eastAsia="Times New Roman" w:hAnsi="Times New Roman"/>
          <w:sz w:val="18"/>
          <w:szCs w:val="18"/>
          <w:color w:val="auto"/>
        </w:rPr>
        <w:t>presently serves as a Senior Vice President and the General Counsel of Haebler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 private 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104" w:lineRule="exact"/>
        <w:rPr>
          <w:sz w:val="20"/>
          <w:szCs w:val="20"/>
          <w:color w:val="auto"/>
        </w:rPr>
      </w:pPr>
    </w:p>
    <w:p>
      <w:pPr>
        <w:ind w:left="460" w:right="639" w:firstLine="432"/>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Reardon </w:t>
      </w:r>
      <w:r>
        <w:rPr>
          <w:rFonts w:ascii="Times New Roman" w:cs="Times New Roman" w:eastAsia="Times New Roman" w:hAnsi="Times New Roman"/>
          <w:sz w:val="17"/>
          <w:szCs w:val="17"/>
          <w:color w:val="auto"/>
        </w:rPr>
        <w:t>is the Director of Business Strategy, Smart Cities, for American Infrastructure Partners,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LP, an infrastructure fund based in San Mateo, California. Mr. Reardon also serves as a Board Member and Audit Committee Member for Schurz Communications, Inc., a large, privately held broadband provider. Mr. Reardon recently was the Managing Director of Choctaw Telecom LLC. Previously, Mr. Reardon managed telecommunications companies in the mobile voice, data and engineering services markets as Chief Executive Officer and a member of the Board of Directors of Mobex Communications, Inc. from 2001 to 2005. From</w:t>
      </w:r>
    </w:p>
    <w:p>
      <w:pPr>
        <w:spacing w:after="0" w:line="4" w:lineRule="exact"/>
        <w:rPr>
          <w:sz w:val="20"/>
          <w:szCs w:val="20"/>
          <w:color w:val="auto"/>
        </w:rPr>
      </w:pPr>
    </w:p>
    <w:p>
      <w:pPr>
        <w:ind w:left="460" w:right="499"/>
        <w:spacing w:after="0" w:line="252" w:lineRule="auto"/>
        <w:rPr>
          <w:sz w:val="20"/>
          <w:szCs w:val="20"/>
          <w:color w:val="auto"/>
        </w:rPr>
      </w:pPr>
      <w:r>
        <w:rPr>
          <w:rFonts w:ascii="Times New Roman" w:cs="Times New Roman" w:eastAsia="Times New Roman" w:hAnsi="Times New Roman"/>
          <w:sz w:val="18"/>
          <w:szCs w:val="18"/>
          <w:color w:val="auto"/>
        </w:rPr>
        <w:t>1997 – 2001, he served as General Counsel and Secretary of the Board of Directors of Mobex Communications, Inc. Mr. Reardon began his career in telecom law at the boutique Washington, DC firm of Keller and Heckman, LLP. Mr. Reardon received a Bachelor of Arts degree, in Political Science, summa cum laude, from Boston University, and earned his J.D. from Columbia Law School. He is admitted to the New York State Bar and the Washington, DC Bar, and is the past president of the Columbia Law School Alumni Association of Washington, DC. Mr. Reardon’s extensive experience as a senior corporate executive provides our Board of Directors the perspective of a knowledgeable corporate leader.</w:t>
      </w:r>
    </w:p>
    <w:p>
      <w:pPr>
        <w:spacing w:after="0" w:line="117"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S. Shin </w:t>
      </w:r>
      <w:r>
        <w:rPr>
          <w:rFonts w:ascii="Times New Roman" w:cs="Times New Roman" w:eastAsia="Times New Roman" w:hAnsi="Times New Roman"/>
          <w:sz w:val="18"/>
          <w:szCs w:val="18"/>
          <w:color w:val="auto"/>
        </w:rPr>
        <w:t>presently serves as the Head of Business Development for the Infinity Transportation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division of Global Atlantic Financial Group. Prior to this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right="519"/>
        <w:spacing w:after="0" w:line="254" w:lineRule="auto"/>
        <w:rPr>
          <w:sz w:val="20"/>
          <w:szCs w:val="20"/>
          <w:color w:val="auto"/>
        </w:rPr>
      </w:pPr>
      <w:r>
        <w:rPr>
          <w:rFonts w:ascii="Times New Roman" w:cs="Times New Roman" w:eastAsia="Times New Roman" w:hAnsi="Times New Roman"/>
          <w:sz w:val="18"/>
          <w:szCs w:val="18"/>
          <w:color w:val="auto"/>
        </w:rPr>
        <w:t>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served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L. Rubin </w:t>
      </w:r>
      <w:r>
        <w:rPr>
          <w:rFonts w:ascii="Times New Roman" w:cs="Times New Roman" w:eastAsia="Times New Roman" w:hAnsi="Times New Roman"/>
          <w:sz w:val="18"/>
          <w:szCs w:val="18"/>
          <w:color w:val="auto"/>
        </w:rPr>
        <w:t>has served as our Chief Financial Officer and Corporate Secretary since August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our Treasurer and Controller since our initial public offering in 2011. Mr. Rubin has also served as Oxford Square Capital Corp.’s Controller since 2005, Oxford Square Capital Corp.’s Treasurer since 2009, and Oxford Square Capital Corp.’s Chief Financial Officer, Chief Accounting Officer and Corporate Secretary since August 2015. Mr. Rubin also currently serves as the Chief Financial Officer and Secretary of Oxford Lane Management, Oxford Square Management, LLC, Oxford Funds, Oxford Bridge Management, LLC, and Oxford Gate Management, LLC.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Cummins </w:t>
      </w:r>
      <w:r>
        <w:rPr>
          <w:rFonts w:ascii="Times New Roman" w:cs="Times New Roman" w:eastAsia="Times New Roman" w:hAnsi="Times New Roman"/>
          <w:sz w:val="18"/>
          <w:szCs w:val="18"/>
          <w:color w:val="auto"/>
        </w:rPr>
        <w:t>has served as our Chief Compliance Officer, as well as the Chief Compliance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Oxford Lane Management, Oxford Square Capital Corp., Oxford Square Management, LLC, since June 2015 pursuant to an agreement between us and Alaric Compliance Services, LLC (“Alaric”), a compliance consulting firm. Mr. Cummins also currently serves as the Chief Compliance Officer of Oxford Square Capital Corp., Oxford Square Management, Oxford Funds LLC, Oxford Bridge Management, LLC and Oxford Gate Management, LLC. Mr. Cummins has been a director of Alaric since June 2014 and in that capacity he also serves as the Chief Compliance Officer to a private equity firm. Prior to joining Alaric,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COO and the CCO for BroadArch Capital and from 2009 to 2011 the CFO and CCO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compensation of our directors for the six months ended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50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0" w:type="dxa"/>
            <w:vAlign w:val="bottom"/>
          </w:tcPr>
          <w:p>
            <w:pPr>
              <w:spacing w:after="0"/>
              <w:rPr>
                <w:sz w:val="17"/>
                <w:szCs w:val="17"/>
                <w:color w:val="auto"/>
              </w:rPr>
            </w:pPr>
          </w:p>
        </w:tc>
      </w:tr>
      <w:tr>
        <w:trPr>
          <w:trHeight w:val="25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5"/>
              </w:rPr>
              <w:t>Earned</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(2)</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1"/>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J. Ashenfelter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58,000</w:t>
            </w: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Reardon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58,000</w:t>
            </w:r>
          </w:p>
        </w:tc>
        <w:tc>
          <w:tcPr>
            <w:tcW w:w="15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Shin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87" w:lineRule="exact"/>
        <w:rPr>
          <w:sz w:val="20"/>
          <w:szCs w:val="20"/>
          <w:color w:val="auto"/>
        </w:rPr>
      </w:pPr>
    </w:p>
    <w:p>
      <w:pPr>
        <w:ind w:left="880" w:hanging="426"/>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discussion of the independent directors’ compensation, see below.</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maintain a stock option plan, non-equity incentive plan or pension plan for our directors.</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independent directors receive an annual fee of $90,000.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the 1940 Act.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Chief Executive Officer and Other Executive Officers</w:t>
      </w:r>
    </w:p>
    <w:p>
      <w:pPr>
        <w:spacing w:after="0" w:line="14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We do not have a compensation committee because our executive officers do not receive any direct compensation from Oxford Lane Capital.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2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compensation of Mr. Rubin, our Chief Financial Officer, Treasurer and Corporate Secretary, is paid by our administrator, Oxford Funds, subject to reimbursement by us of an allocable portion of such compensation for services rendered by Mr. Rubin to Oxford Lane Capital.</w:t>
      </w:r>
    </w:p>
    <w:p>
      <w:pPr>
        <w:spacing w:after="0" w:line="10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Mr. Cummins, our Chief Compliance Officer, is a director of Alaric, and performs his functions under the terms of an agreement between us and Alaric.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1560"/>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At an in-person meeting of our Board of Directors held on July 30, 2020, our Board of Directors unanimously voted to re-approve the Investment Advisory Agreement. In reaching a decision to approve the Investment Advisory Agreement, the Board of Directors reviewed a significant amount of information provided by Oxford Lane Management in response to questionnaires provided by counsel to the independent directors on behalf of the independent directors and considered and concluded, among other things:</w:t>
      </w:r>
    </w:p>
    <w:p>
      <w:pPr>
        <w:spacing w:after="0" w:line="102" w:lineRule="exact"/>
        <w:rPr>
          <w:sz w:val="20"/>
          <w:szCs w:val="20"/>
          <w:color w:val="auto"/>
        </w:rPr>
      </w:pPr>
    </w:p>
    <w:p>
      <w:pPr>
        <w:ind w:left="1320" w:right="479" w:hanging="434"/>
        <w:spacing w:after="0" w:line="25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Oxford Lane Management, including with respect to the investment process and Oxford Lane Management’s policies and guidelines currently in place to monitor and manage the risk and volatility associated with the Fund’s portfolio, and the qualifications and abilities of the professional personnel of Oxford Lane Management and the compensation structure for such personnel, and concluded that such services are satisfactory;</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OXLC and Oxford Lane Management including a comparison to the performance of OXLC’s peer group, and concluded that OXLC’s performance is reasonable in comparison to its peers;</w:t>
      </w:r>
    </w:p>
    <w:p>
      <w:pPr>
        <w:spacing w:after="0" w:line="108"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closed-end management investment companies with similar investment objectives, and concluded that the total advisory fees paid by OXLC to Oxford Lane Management were not unreasonable;</w:t>
      </w:r>
    </w:p>
    <w:p>
      <w:pPr>
        <w:spacing w:after="0" w:line="94" w:lineRule="exact"/>
        <w:rPr>
          <w:rFonts w:ascii="Times New Roman" w:cs="Times New Roman" w:eastAsia="Times New Roman" w:hAnsi="Times New Roman"/>
          <w:sz w:val="18"/>
          <w:szCs w:val="18"/>
          <w:color w:val="auto"/>
        </w:rPr>
      </w:pPr>
    </w:p>
    <w:p>
      <w:pPr>
        <w:ind w:left="1320" w:right="879" w:hanging="434"/>
        <w:spacing w:after="0" w:line="26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operating expenses and expense ratio compared to closed-end management investment companies with similar investment objectives, and concluded that our operating expenses were reasonable;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Oxford Lane Management or Oxford Funds from their relationships with OXLC and the profitability of those relationships, and concluded that Oxford Lane Management’s profitability was not excessive with respect to us;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94" w:lineRule="exact"/>
        <w:rPr>
          <w:rFonts w:ascii="Times New Roman" w:cs="Times New Roman" w:eastAsia="Times New Roman" w:hAnsi="Times New Roman"/>
          <w:sz w:val="18"/>
          <w:szCs w:val="18"/>
          <w:color w:val="auto"/>
        </w:rPr>
      </w:pPr>
    </w:p>
    <w:p>
      <w:pPr>
        <w:ind w:left="1320" w:right="519" w:hanging="434"/>
        <w:spacing w:after="0" w:line="26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Oxford Lane Management and its affiliates, and concluded that the organizational capability and financial condition of Oxford Lane Management were reasonable;</w:t>
      </w:r>
    </w:p>
    <w:p>
      <w:pPr>
        <w:spacing w:after="0" w:line="108"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diligence-related expenses, travel expenses, and expenses associated with investigating and monitoring investments, and concluded that such expenses were reasonable; and</w:t>
      </w:r>
    </w:p>
    <w:p>
      <w:pPr>
        <w:spacing w:after="0" w:line="94" w:lineRule="exact"/>
        <w:rPr>
          <w:rFonts w:ascii="Times New Roman" w:cs="Times New Roman" w:eastAsia="Times New Roman" w:hAnsi="Times New Roman"/>
          <w:sz w:val="18"/>
          <w:szCs w:val="18"/>
          <w:color w:val="auto"/>
        </w:rPr>
      </w:pPr>
    </w:p>
    <w:p>
      <w:pPr>
        <w:ind w:left="1320" w:right="639" w:hanging="434"/>
        <w:spacing w:after="0" w:line="266"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 party service providers or through an internally managed structure, and concluded that our current externally managed structure with Oxford Lane Management as our investment advisor was satisfactory.</w:t>
      </w:r>
    </w:p>
    <w:p>
      <w:pPr>
        <w:spacing w:after="0" w:line="95"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Based on the information reviewed and the discussions detailed above, the Board of Directors, including all of the directors who are not “interested persons” as defined in the 1940 Act, and assisted by independent counsel, concluded that the fees payable to Oxford Lane Management pursuant to the Investment Advisory Agreement were not unreasonable,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STOCKHOLDERS</w:t>
      </w:r>
    </w:p>
    <w:p>
      <w:pPr>
        <w:spacing w:after="0" w:line="162" w:lineRule="exact"/>
        <w:rPr>
          <w:sz w:val="20"/>
          <w:szCs w:val="20"/>
          <w:color w:val="auto"/>
        </w:rPr>
      </w:pPr>
    </w:p>
    <w:p>
      <w:pPr>
        <w:ind w:left="460" w:right="579" w:firstLine="432"/>
        <w:spacing w:after="0" w:line="289" w:lineRule="auto"/>
        <w:rPr>
          <w:sz w:val="20"/>
          <w:szCs w:val="20"/>
          <w:color w:val="auto"/>
        </w:rPr>
      </w:pPr>
      <w:r>
        <w:rPr>
          <w:rFonts w:ascii="Times New Roman" w:cs="Times New Roman" w:eastAsia="Times New Roman" w:hAnsi="Times New Roman"/>
          <w:sz w:val="17"/>
          <w:szCs w:val="17"/>
          <w:color w:val="auto"/>
        </w:rPr>
        <w:t>The Fund held its Annual Meeting of Stockholders (the ‘‘Meeting’’) on October 23, 2020 and submitted one matter to the vote of the stockholders. At the Meeting, stockholders elected one nominee for director, to serve for a three-year term to expire at the 2023 Annual Meeting of Stockholders based on the following votes: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Votes Withheld</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Reardon</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65,350,273</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4,417,137</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2,906,432</w:t>
            </w:r>
          </w:p>
        </w:tc>
      </w:tr>
      <w:tr>
        <w:trPr>
          <w:trHeight w:val="25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87" w:lineRule="exact"/>
        <w:rPr>
          <w:sz w:val="20"/>
          <w:szCs w:val="20"/>
          <w:color w:val="auto"/>
        </w:rPr>
      </w:pPr>
    </w:p>
    <w:p>
      <w:pPr>
        <w:ind w:left="880" w:hanging="426"/>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Reardon was elected by the holders of our common stock and preferred stock, voting together as a single class.</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Portfolio Information</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Fund prepares Form N-PORT, which contains a complete schedule of the Fund’s portfolio holdings, on a monthly basis, and makes its N-PORT filings with the SEC on a quarterly basis within 60 days after the end of each quarter. The Fund’s N-PORT filings for the third month of each quarter are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Information</w:t>
      </w:r>
    </w:p>
    <w:p>
      <w:pPr>
        <w:spacing w:after="0" w:line="148" w:lineRule="exact"/>
        <w:rPr>
          <w:sz w:val="20"/>
          <w:szCs w:val="20"/>
          <w:color w:val="auto"/>
        </w:rPr>
      </w:pPr>
    </w:p>
    <w:p>
      <w:pPr>
        <w:ind w:left="460" w:right="599" w:firstLine="432"/>
        <w:spacing w:after="0" w:line="276" w:lineRule="auto"/>
        <w:rPr>
          <w:sz w:val="20"/>
          <w:szCs w:val="20"/>
          <w:color w:val="auto"/>
        </w:rPr>
      </w:pPr>
      <w:r>
        <w:rPr>
          <w:rFonts w:ascii="Times New Roman" w:cs="Times New Roman" w:eastAsia="Times New Roman" w:hAnsi="Times New Roman"/>
          <w:sz w:val="17"/>
          <w:szCs w:val="17"/>
          <w:color w:val="auto"/>
        </w:rPr>
        <w:t>A description of the policies and procedures that the Fund’s investment adviser uses to determine how to vote proxies relating to the Fund’s portfolio securities is available (i) without charge, upon request, by calling</w:t>
      </w:r>
    </w:p>
    <w:p>
      <w:pPr>
        <w:spacing w:after="0" w:line="1" w:lineRule="exact"/>
        <w:rPr>
          <w:sz w:val="20"/>
          <w:szCs w:val="20"/>
          <w:color w:val="auto"/>
        </w:rPr>
      </w:pPr>
    </w:p>
    <w:p>
      <w:pPr>
        <w:ind w:left="460" w:right="699" w:hanging="6"/>
        <w:spacing w:after="0" w:line="265" w:lineRule="auto"/>
        <w:tabs>
          <w:tab w:leader="none" w:pos="89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983-5275; (ii) on the Fund’s website at </w:t>
      </w:r>
      <w:r>
        <w:rPr>
          <w:rFonts w:ascii="Times New Roman" w:cs="Times New Roman" w:eastAsia="Times New Roman" w:hAnsi="Times New Roman"/>
          <w:sz w:val="17"/>
          <w:szCs w:val="17"/>
          <w:i w:val="1"/>
          <w:iCs w:val="1"/>
          <w:color w:val="auto"/>
        </w:rPr>
        <w:t>http://www.oxfordlanecapital.com</w:t>
      </w:r>
      <w:r>
        <w:rPr>
          <w:rFonts w:ascii="Times New Roman" w:cs="Times New Roman" w:eastAsia="Times New Roman" w:hAnsi="Times New Roman"/>
          <w:sz w:val="17"/>
          <w:szCs w:val="17"/>
          <w:color w:val="auto"/>
        </w:rPr>
        <w:t>. Information about how the Fund’s investment adviser voted proxies with respect to the Fund’s portfolio securities during the most recent</w:t>
      </w:r>
    </w:p>
    <w:p>
      <w:pPr>
        <w:ind w:left="460" w:right="499"/>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Information</w:t>
      </w:r>
    </w:p>
    <w:p>
      <w:pPr>
        <w:spacing w:after="0" w:line="162"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For tax purposes, distributions to stockholders during the six months ended September 30, 2020 were approximately $48.9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Privacy Policy</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99"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10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108" w:lineRule="exact"/>
        <w:rPr>
          <w:sz w:val="20"/>
          <w:szCs w:val="20"/>
          <w:color w:val="auto"/>
        </w:rPr>
      </w:pPr>
    </w:p>
    <w:p>
      <w:pPr>
        <w:ind w:left="460" w:right="639" w:firstLine="432"/>
        <w:spacing w:after="0" w:line="312" w:lineRule="auto"/>
        <w:rPr>
          <w:sz w:val="20"/>
          <w:szCs w:val="20"/>
          <w:color w:val="auto"/>
        </w:rPr>
      </w:pPr>
      <w:r>
        <w:rPr>
          <w:rFonts w:ascii="Times New Roman" w:cs="Times New Roman" w:eastAsia="Times New Roman" w:hAnsi="Times New Roman"/>
          <w:sz w:val="17"/>
          <w:szCs w:val="17"/>
          <w:color w:val="auto"/>
        </w:rPr>
        <w:t>This information is used only so that we can send you annual and semi-annual reports, proxy statements and other information required by law, and to send you information we believe may be of interest to you.</w:t>
      </w:r>
    </w:p>
    <w:p>
      <w:pPr>
        <w:spacing w:after="0" w:line="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share such information with any non-affiliated third party except as described below:</w:t>
      </w:r>
    </w:p>
    <w:p>
      <w:pPr>
        <w:spacing w:after="0" w:line="158" w:lineRule="exact"/>
        <w:rPr>
          <w:sz w:val="20"/>
          <w:szCs w:val="20"/>
          <w:color w:val="auto"/>
        </w:rPr>
      </w:pPr>
    </w:p>
    <w:p>
      <w:pPr>
        <w:ind w:left="1320" w:right="1399" w:hanging="434"/>
        <w:spacing w:after="0" w:line="282" w:lineRule="auto"/>
        <w:tabs>
          <w:tab w:leader="none" w:pos="13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our policy that only authorized employees of our investment adviser, Oxford Lane Management, LLC, who need to know your personal information will have access to it.</w:t>
      </w:r>
    </w:p>
    <w:p>
      <w:pPr>
        <w:spacing w:after="0" w:line="94" w:lineRule="exact"/>
        <w:rPr>
          <w:rFonts w:ascii="Times New Roman" w:cs="Times New Roman" w:eastAsia="Times New Roman" w:hAnsi="Times New Roman"/>
          <w:sz w:val="18"/>
          <w:szCs w:val="18"/>
          <w:color w:val="auto"/>
        </w:rPr>
      </w:pPr>
    </w:p>
    <w:p>
      <w:pPr>
        <w:jc w:val="both"/>
        <w:ind w:left="1320" w:right="579" w:hanging="434"/>
        <w:spacing w:after="0" w:line="289" w:lineRule="auto"/>
        <w:tabs>
          <w:tab w:leader="none" w:pos="131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76" w:lineRule="exact"/>
        <w:rPr>
          <w:rFonts w:ascii="Times New Roman" w:cs="Times New Roman" w:eastAsia="Times New Roman" w:hAnsi="Times New Roman"/>
          <w:sz w:val="17"/>
          <w:szCs w:val="17"/>
          <w:color w:val="auto"/>
        </w:rPr>
      </w:pPr>
    </w:p>
    <w:p>
      <w:pPr>
        <w:ind w:left="1320" w:right="619" w:hanging="434"/>
        <w:spacing w:after="0" w:line="266" w:lineRule="auto"/>
        <w:tabs>
          <w:tab w:leader="none" w:pos="13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10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Our privacy policy is available on our website at https://www.oxfordfunds.com/privacy-policy/. If you have any questions or concerns about the policy, please contact by calling (203) 983-5275.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Independent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 J. Ashenfelter, Chairman of the Board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John Reardon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David S. Shin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Interested Directors</w:t>
      </w:r>
      <w:r>
        <w:rPr>
          <w:rFonts w:ascii="Times New Roman" w:cs="Times New Roman" w:eastAsia="Times New Roman" w:hAnsi="Times New Roman"/>
          <w:sz w:val="20"/>
          <w:szCs w:val="20"/>
          <w:color w:val="auto"/>
          <w:vertAlign w:val="superscript"/>
        </w:rPr>
        <w:t>(1)</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Jonathan H. Cohen</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Saul B. Rosenthal</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OFFICERS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Jonathan H. Cohen, 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Saul B. Rosenthal, President</w:t>
      </w:r>
    </w:p>
    <w:p>
      <w:pPr>
        <w:spacing w:after="0" w:line="9" w:lineRule="exact"/>
        <w:rPr>
          <w:sz w:val="20"/>
          <w:szCs w:val="20"/>
          <w:color w:val="auto"/>
        </w:rPr>
      </w:pPr>
    </w:p>
    <w:p>
      <w:pPr>
        <w:ind w:left="460" w:right="2699"/>
        <w:spacing w:after="0" w:line="260" w:lineRule="auto"/>
        <w:rPr>
          <w:sz w:val="20"/>
          <w:szCs w:val="20"/>
          <w:color w:val="auto"/>
        </w:rPr>
      </w:pPr>
      <w:r>
        <w:rPr>
          <w:rFonts w:ascii="Times New Roman" w:cs="Times New Roman" w:eastAsia="Times New Roman" w:hAnsi="Times New Roman"/>
          <w:sz w:val="18"/>
          <w:szCs w:val="18"/>
          <w:b w:val="1"/>
          <w:bCs w:val="1"/>
          <w:color w:val="auto"/>
        </w:rPr>
        <w:t>Bruce L. Rubin, Chief Financial Officer, Corporate Secretary and Treasurer Gerald Cummins, Chief Compliance Officer</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Oxford Lane Management,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86"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Interested directors are “interested persons,” as defined in the Investment Company Act of 1940, as amended.</w:t>
      </w:r>
    </w:p>
    <w:p>
      <w:pPr>
        <w:spacing w:after="0" w:line="203"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8 Sound Shore Drive, Suite 255 | Greenwich, CT 06830 | </w:t>
      </w:r>
      <w:r>
        <w:rPr>
          <w:rFonts w:ascii="Times New Roman" w:cs="Times New Roman" w:eastAsia="Times New Roman" w:hAnsi="Times New Roman"/>
          <w:sz w:val="17"/>
          <w:szCs w:val="17"/>
          <w:i w:val="1"/>
          <w:iCs w:val="1"/>
          <w:color w:val="auto"/>
        </w:rPr>
        <w:t>oxfordlanecapital.com</w:t>
      </w:r>
      <w:r>
        <w:rPr>
          <w:rFonts w:ascii="Times New Roman" w:cs="Times New Roman" w:eastAsia="Times New Roman" w:hAnsi="Times New Roman"/>
          <w:sz w:val="17"/>
          <w:szCs w:val="17"/>
          <w:color w:val="auto"/>
        </w:rPr>
        <w:t xml:space="preserve"> | (203) 983-5275</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b w:val="1"/>
          <w:bCs w:val="1"/>
          <w:color w:val="auto"/>
        </w:rPr>
        <w:t>Item 2. Code of Ethics.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3. Audit Committee Financial Expert.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4. Principal Accountant Fees and Services.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5. Audit Committee of Listed Registrant.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Investments.</w:t>
      </w:r>
    </w:p>
    <w:p>
      <w:pPr>
        <w:spacing w:after="0" w:line="14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Please see the schedule of investments contained in the Report to Stockholders included under Item 1 of this Form N-CSR.</w:t>
      </w:r>
    </w:p>
    <w:p>
      <w:pPr>
        <w:spacing w:after="0" w:line="158"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color w:val="auto"/>
        </w:rPr>
        <w:t>Item 7. Disclosure of Proxy Voting Policies and Procedures for Closed-End Management Investment Companies.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Portfolio Managers of Closed-End Investment Companies.</w:t>
      </w:r>
    </w:p>
    <w:p>
      <w:pPr>
        <w:spacing w:after="0" w:line="162" w:lineRule="exact"/>
        <w:rPr>
          <w:sz w:val="20"/>
          <w:szCs w:val="20"/>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144"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2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as of the date of the filing of this semi-annual report on Form N-CSR, to any of the portfolio managers identified in response to paragraph (a)(1) of this item in the Registrant’s most recent annual report on Form N-CSR.</w:t>
      </w:r>
    </w:p>
    <w:p>
      <w:pPr>
        <w:spacing w:after="0" w:line="17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color w:val="auto"/>
        </w:rPr>
        <w:t>Item 9. Purchases of Equity Securities by Closed-End Management Investment Company and Affiliated Purchasers.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10. Submission of Matters to a Vote of Security Holders.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11. Controls and Procedures.</w:t>
      </w:r>
    </w:p>
    <w:p>
      <w:pPr>
        <w:spacing w:after="0" w:line="148" w:lineRule="exact"/>
        <w:rPr>
          <w:sz w:val="20"/>
          <w:szCs w:val="20"/>
          <w:color w:val="auto"/>
        </w:rPr>
      </w:pPr>
    </w:p>
    <w:p>
      <w:pPr>
        <w:ind w:left="1320" w:right="479" w:hanging="434"/>
        <w:spacing w:after="0" w:line="253" w:lineRule="auto"/>
        <w:tabs>
          <w:tab w:leader="none" w:pos="13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evaluation of the Disclosure Controls and Procedures (as defined in Rule 30a-3(c) under the Investment Company Act of 1940, the “Disclosure Controls”) as of a date within 90 days prior to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26" w:lineRule="exact"/>
        <w:rPr>
          <w:rFonts w:ascii="Times New Roman" w:cs="Times New Roman" w:eastAsia="Times New Roman" w:hAnsi="Times New Roman"/>
          <w:sz w:val="18"/>
          <w:szCs w:val="18"/>
          <w:color w:val="auto"/>
        </w:rPr>
      </w:pPr>
    </w:p>
    <w:p>
      <w:pPr>
        <w:ind w:left="1320" w:right="499" w:hanging="434"/>
        <w:spacing w:after="0" w:line="261" w:lineRule="auto"/>
        <w:tabs>
          <w:tab w:leader="none" w:pos="127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Registrant’s internal control over financial reporting (as defined in Rule 30a-3(d) under the Investment Company Act of 1940) that occurred during the Registrant’s last fiscal quarter of the period covered by this report that have materially affected or are reasonably likely to materially affect the Registrant’s internal control over financial reporting.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b w:val="1"/>
          <w:bCs w:val="1"/>
          <w:color w:val="auto"/>
        </w:rPr>
        <w:t>Item 12. Disclosure of Securities Lending Activities for Closed-End Management Investment Companies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Exhibits.</w:t>
      </w:r>
    </w:p>
    <w:p>
      <w:pPr>
        <w:spacing w:after="0" w:line="148"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color w:val="auto"/>
        </w:rPr>
        <w:t>(a)(1)</w:t>
        <w:tab/>
        <w:t>Not applicable.</w:t>
      </w:r>
    </w:p>
    <w:p>
      <w:pPr>
        <w:spacing w:after="0" w:line="158" w:lineRule="exact"/>
        <w:rPr>
          <w:sz w:val="20"/>
          <w:szCs w:val="20"/>
          <w:color w:val="auto"/>
        </w:rPr>
      </w:pPr>
    </w:p>
    <w:p>
      <w:pPr>
        <w:ind w:left="1520" w:right="1139" w:hanging="647"/>
        <w:spacing w:after="0" w:line="282" w:lineRule="auto"/>
        <w:tabs>
          <w:tab w:leader="none" w:pos="15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(a)(2)</w:t>
      </w:r>
      <w:r>
        <w:rPr>
          <w:sz w:val="20"/>
          <w:szCs w:val="20"/>
          <w:color w:val="auto"/>
        </w:rPr>
        <w:tab/>
      </w:r>
      <w:hyperlink w:anchor="page71">
        <w:r>
          <w:rPr>
            <w:rFonts w:ascii="Times New Roman" w:cs="Times New Roman" w:eastAsia="Times New Roman" w:hAnsi="Times New Roman"/>
            <w:sz w:val="18"/>
            <w:szCs w:val="18"/>
            <w:u w:val="single" w:color="auto"/>
            <w:color w:val="0000EE"/>
          </w:rPr>
          <w:t>Certifications of principal executive officer and principal financial officer as required by</w:t>
        </w:r>
      </w:hyperlink>
      <w:r>
        <w:rPr>
          <w:rFonts w:ascii="Times New Roman" w:cs="Times New Roman" w:eastAsia="Times New Roman" w:hAnsi="Times New Roman"/>
          <w:sz w:val="18"/>
          <w:szCs w:val="18"/>
          <w:u w:val="single" w:color="auto"/>
          <w:color w:val="0000EE"/>
        </w:rPr>
        <w:t xml:space="preserve"> </w:t>
      </w:r>
      <w:hyperlink w:anchor="page71">
        <w:r>
          <w:rPr>
            <w:rFonts w:ascii="Times New Roman" w:cs="Times New Roman" w:eastAsia="Times New Roman" w:hAnsi="Times New Roman"/>
            <w:sz w:val="18"/>
            <w:szCs w:val="18"/>
            <w:u w:val="single" w:color="auto"/>
            <w:color w:val="0000EE"/>
          </w:rPr>
          <w:t>Rule 30a-2(a) under the Investment Company Act of 1940.</w:t>
        </w:r>
      </w:hyperlink>
    </w:p>
    <w:p>
      <w:pPr>
        <w:spacing w:after="0" w:line="94"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color w:val="auto"/>
        </w:rPr>
        <w:t>(a)(3)</w:t>
        <w:tab/>
        <w:t>Not applicable.</w:t>
      </w:r>
    </w:p>
    <w:p>
      <w:pPr>
        <w:spacing w:after="0" w:line="144"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18"/>
          <w:szCs w:val="18"/>
          <w:color w:val="auto"/>
        </w:rPr>
        <w:t>(a)(4)</w:t>
        <w:tab/>
        <w:t>Not applicable.</w:t>
      </w:r>
    </w:p>
    <w:p>
      <w:pPr>
        <w:spacing w:after="0" w:line="158" w:lineRule="exact"/>
        <w:rPr>
          <w:sz w:val="20"/>
          <w:szCs w:val="20"/>
          <w:color w:val="auto"/>
        </w:rPr>
      </w:pPr>
    </w:p>
    <w:p>
      <w:pPr>
        <w:ind w:left="1540" w:right="499" w:hanging="654"/>
        <w:spacing w:after="0" w:line="282" w:lineRule="auto"/>
        <w:tabs>
          <w:tab w:leader="none" w:pos="1506" w:val="left"/>
        </w:tabs>
        <w:numPr>
          <w:ilvl w:val="0"/>
          <w:numId w:val="33"/>
        </w:numPr>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Certifications of chief executive officer and chief accounting officer as required by Rule 30a-2(b)</w:t>
        </w:r>
      </w:hyperlink>
      <w:r>
        <w:rPr>
          <w:rFonts w:ascii="Times New Roman" w:cs="Times New Roman" w:eastAsia="Times New Roman" w:hAnsi="Times New Roman"/>
          <w:sz w:val="18"/>
          <w:szCs w:val="18"/>
          <w:u w:val="single" w:color="auto"/>
          <w:color w:val="0000EE"/>
        </w:rPr>
        <w:t xml:space="preserve"> </w:t>
      </w:r>
      <w:hyperlink w:anchor="page73">
        <w:r>
          <w:rPr>
            <w:rFonts w:ascii="Times New Roman" w:cs="Times New Roman" w:eastAsia="Times New Roman" w:hAnsi="Times New Roman"/>
            <w:sz w:val="18"/>
            <w:szCs w:val="18"/>
            <w:u w:val="single" w:color="auto"/>
            <w:color w:val="0000EE"/>
          </w:rPr>
          <w:t>under the Investment Company Act of 1940.</w:t>
        </w:r>
      </w:hyperlink>
    </w:p>
    <w:p>
      <w:pPr>
        <w:spacing w:after="0" w:line="12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Jonathan H. Cohen</w:t>
      </w:r>
    </w:p>
    <w:p>
      <w:pPr>
        <w:spacing w:after="0" w:line="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23660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07"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Jonathan H. Cohen</w:t>
      </w:r>
    </w:p>
    <w:p>
      <w:pPr>
        <w:spacing w:after="0" w:line="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23660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Bruce L. Rubin</w:t>
      </w:r>
    </w:p>
    <w:p>
      <w:pPr>
        <w:spacing w:after="0" w:line="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23660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0" w:name="page71"/>
    <w:bookmarkEnd w:id="7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13(a)(2)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30a-2(a) Certification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Jonathan H. Cohen, Chief Executive Officer of Oxford Lane Capital Corp., certify that:</w:t>
      </w:r>
    </w:p>
    <w:p>
      <w:pPr>
        <w:spacing w:after="0" w:line="144" w:lineRule="exact"/>
        <w:rPr>
          <w:sz w:val="20"/>
          <w:szCs w:val="20"/>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Oxford Lane Capital Corp.;</w:t>
      </w:r>
    </w:p>
    <w:p>
      <w:pPr>
        <w:spacing w:after="0" w:line="157" w:lineRule="exact"/>
        <w:rPr>
          <w:rFonts w:ascii="Times New Roman" w:cs="Times New Roman" w:eastAsia="Times New Roman" w:hAnsi="Times New Roman"/>
          <w:sz w:val="18"/>
          <w:szCs w:val="18"/>
          <w:color w:val="auto"/>
        </w:rPr>
      </w:pPr>
    </w:p>
    <w:p>
      <w:pPr>
        <w:ind w:left="1320" w:right="519" w:hanging="434"/>
        <w:spacing w:after="0" w:line="289" w:lineRule="auto"/>
        <w:tabs>
          <w:tab w:leader="none" w:pos="129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Times New Roman" w:cs="Times New Roman" w:eastAsia="Times New Roman" w:hAnsi="Times New Roman"/>
          <w:sz w:val="17"/>
          <w:szCs w:val="17"/>
          <w:color w:val="auto"/>
        </w:rPr>
      </w:pPr>
    </w:p>
    <w:p>
      <w:pPr>
        <w:ind w:left="1320" w:right="499" w:hanging="434"/>
        <w:spacing w:after="0" w:line="261" w:lineRule="auto"/>
        <w:tabs>
          <w:tab w:leader="none" w:pos="12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8" w:lineRule="exact"/>
        <w:rPr>
          <w:rFonts w:ascii="Times New Roman" w:cs="Times New Roman" w:eastAsia="Times New Roman" w:hAnsi="Times New Roman"/>
          <w:sz w:val="18"/>
          <w:szCs w:val="18"/>
          <w:color w:val="auto"/>
        </w:rPr>
      </w:pPr>
    </w:p>
    <w:p>
      <w:pPr>
        <w:ind w:left="1320" w:right="539" w:hanging="434"/>
        <w:spacing w:after="0" w:line="261" w:lineRule="auto"/>
        <w:tabs>
          <w:tab w:leader="none" w:pos="12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12" w:lineRule="exact"/>
        <w:rPr>
          <w:rFonts w:ascii="Times New Roman" w:cs="Times New Roman" w:eastAsia="Times New Roman" w:hAnsi="Times New Roman"/>
          <w:sz w:val="18"/>
          <w:szCs w:val="18"/>
          <w:color w:val="auto"/>
        </w:rPr>
      </w:pPr>
    </w:p>
    <w:p>
      <w:pPr>
        <w:ind w:left="1760" w:right="519" w:hanging="442"/>
        <w:spacing w:after="0" w:line="261" w:lineRule="auto"/>
        <w:tabs>
          <w:tab w:leader="none" w:pos="17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760" w:right="639" w:hanging="442"/>
        <w:spacing w:after="0" w:line="261" w:lineRule="auto"/>
        <w:tabs>
          <w:tab w:leader="none" w:pos="17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8"/>
          <w:szCs w:val="18"/>
          <w:color w:val="auto"/>
        </w:rPr>
      </w:pPr>
    </w:p>
    <w:p>
      <w:pPr>
        <w:ind w:left="1760" w:right="479" w:hanging="442"/>
        <w:spacing w:after="0" w:line="261" w:lineRule="auto"/>
        <w:tabs>
          <w:tab w:leader="none" w:pos="17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2" w:lineRule="exact"/>
        <w:rPr>
          <w:rFonts w:ascii="Times New Roman" w:cs="Times New Roman" w:eastAsia="Times New Roman" w:hAnsi="Times New Roman"/>
          <w:sz w:val="18"/>
          <w:szCs w:val="18"/>
          <w:color w:val="auto"/>
        </w:rPr>
      </w:pPr>
    </w:p>
    <w:p>
      <w:pPr>
        <w:ind w:left="1760" w:right="599" w:hanging="442"/>
        <w:spacing w:after="0" w:line="261" w:lineRule="auto"/>
        <w:tabs>
          <w:tab w:leader="none" w:pos="17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1320" w:right="519" w:hanging="434"/>
        <w:spacing w:after="0" w:line="312" w:lineRule="auto"/>
        <w:tabs>
          <w:tab w:leader="none" w:pos="129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760" w:right="499" w:hanging="442"/>
        <w:spacing w:after="0" w:line="266" w:lineRule="auto"/>
        <w:tabs>
          <w:tab w:leader="none" w:pos="17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760" w:right="559" w:hanging="442"/>
        <w:spacing w:after="0" w:line="282" w:lineRule="auto"/>
        <w:tabs>
          <w:tab w:leader="none" w:pos="17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this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day of November, 2020</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43180</wp:posOffset>
            </wp:positionV>
            <wp:extent cx="23056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13(a)(2)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30a-2(a) Certification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Bruce L. Rubin, Chief Financial Officer of Oxford Lane Capital Corp., certify that:</w:t>
      </w:r>
    </w:p>
    <w:p>
      <w:pPr>
        <w:spacing w:after="0" w:line="144" w:lineRule="exact"/>
        <w:rPr>
          <w:sz w:val="20"/>
          <w:szCs w:val="20"/>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Oxford Lane Capital Corp.;</w:t>
      </w:r>
    </w:p>
    <w:p>
      <w:pPr>
        <w:spacing w:after="0" w:line="157" w:lineRule="exact"/>
        <w:rPr>
          <w:rFonts w:ascii="Times New Roman" w:cs="Times New Roman" w:eastAsia="Times New Roman" w:hAnsi="Times New Roman"/>
          <w:sz w:val="18"/>
          <w:szCs w:val="18"/>
          <w:color w:val="auto"/>
        </w:rPr>
      </w:pPr>
    </w:p>
    <w:p>
      <w:pPr>
        <w:ind w:left="1320" w:right="519" w:hanging="434"/>
        <w:spacing w:after="0" w:line="289" w:lineRule="auto"/>
        <w:tabs>
          <w:tab w:leader="none" w:pos="129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Times New Roman" w:cs="Times New Roman" w:eastAsia="Times New Roman" w:hAnsi="Times New Roman"/>
          <w:sz w:val="17"/>
          <w:szCs w:val="17"/>
          <w:color w:val="auto"/>
        </w:rPr>
      </w:pPr>
    </w:p>
    <w:p>
      <w:pPr>
        <w:ind w:left="1320" w:right="499" w:hanging="434"/>
        <w:spacing w:after="0" w:line="261" w:lineRule="auto"/>
        <w:tabs>
          <w:tab w:leader="none" w:pos="12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8" w:lineRule="exact"/>
        <w:rPr>
          <w:rFonts w:ascii="Times New Roman" w:cs="Times New Roman" w:eastAsia="Times New Roman" w:hAnsi="Times New Roman"/>
          <w:sz w:val="18"/>
          <w:szCs w:val="18"/>
          <w:color w:val="auto"/>
        </w:rPr>
      </w:pPr>
    </w:p>
    <w:p>
      <w:pPr>
        <w:ind w:left="1320" w:right="539" w:hanging="434"/>
        <w:spacing w:after="0" w:line="261" w:lineRule="auto"/>
        <w:tabs>
          <w:tab w:leader="none" w:pos="12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12" w:lineRule="exact"/>
        <w:rPr>
          <w:rFonts w:ascii="Times New Roman" w:cs="Times New Roman" w:eastAsia="Times New Roman" w:hAnsi="Times New Roman"/>
          <w:sz w:val="18"/>
          <w:szCs w:val="18"/>
          <w:color w:val="auto"/>
        </w:rPr>
      </w:pPr>
    </w:p>
    <w:p>
      <w:pPr>
        <w:ind w:left="1760" w:right="519" w:hanging="442"/>
        <w:spacing w:after="0" w:line="261" w:lineRule="auto"/>
        <w:tabs>
          <w:tab w:leader="none" w:pos="17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760" w:right="639" w:hanging="442"/>
        <w:spacing w:after="0" w:line="261" w:lineRule="auto"/>
        <w:tabs>
          <w:tab w:leader="none" w:pos="17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8"/>
          <w:szCs w:val="18"/>
          <w:color w:val="auto"/>
        </w:rPr>
      </w:pPr>
    </w:p>
    <w:p>
      <w:pPr>
        <w:ind w:left="1760" w:right="479" w:hanging="442"/>
        <w:spacing w:after="0" w:line="261" w:lineRule="auto"/>
        <w:tabs>
          <w:tab w:leader="none" w:pos="17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12" w:lineRule="exact"/>
        <w:rPr>
          <w:rFonts w:ascii="Times New Roman" w:cs="Times New Roman" w:eastAsia="Times New Roman" w:hAnsi="Times New Roman"/>
          <w:sz w:val="18"/>
          <w:szCs w:val="18"/>
          <w:color w:val="auto"/>
        </w:rPr>
      </w:pPr>
    </w:p>
    <w:p>
      <w:pPr>
        <w:ind w:left="1760" w:right="599" w:hanging="442"/>
        <w:spacing w:after="0" w:line="261" w:lineRule="auto"/>
        <w:tabs>
          <w:tab w:leader="none" w:pos="17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1320" w:right="519" w:hanging="434"/>
        <w:spacing w:after="0" w:line="312" w:lineRule="auto"/>
        <w:tabs>
          <w:tab w:leader="none" w:pos="129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760" w:right="499" w:hanging="442"/>
        <w:spacing w:after="0" w:line="266" w:lineRule="auto"/>
        <w:tabs>
          <w:tab w:leader="none" w:pos="17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760" w:right="559" w:hanging="442"/>
        <w:spacing w:after="0" w:line="282" w:lineRule="auto"/>
        <w:tabs>
          <w:tab w:leader="none" w:pos="17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this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day of November, 2020</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43180</wp:posOffset>
            </wp:positionV>
            <wp:extent cx="23056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Bruce L. Rubin</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2" w:name="page73"/>
    <w:bookmarkEnd w:id="72"/>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99.906 CERT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13(b)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30a-2(b) Certification</w:t>
      </w:r>
    </w:p>
    <w:p>
      <w:pPr>
        <w:spacing w:after="0" w:line="13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N-CSR for the period ended September 30, 2020 (the “Report”) of Oxford Lane Capital Corp. (the “Registrant”), as filed with the Securities and Exchange Commission on the date hereof, I, Jonathan H. Cohen, the Chief Executive Officer of the Registrant, hereby certify, to the best of my knowledge, that:</w:t>
      </w:r>
    </w:p>
    <w:p>
      <w:pPr>
        <w:spacing w:after="0" w:line="99" w:lineRule="exact"/>
        <w:rPr>
          <w:sz w:val="20"/>
          <w:szCs w:val="20"/>
          <w:color w:val="auto"/>
        </w:rPr>
      </w:pPr>
    </w:p>
    <w:p>
      <w:pPr>
        <w:ind w:left="1320" w:right="1199" w:hanging="434"/>
        <w:spacing w:after="0" w:line="282" w:lineRule="auto"/>
        <w:tabs>
          <w:tab w:leader="none" w:pos="12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4"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2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43180</wp:posOffset>
            </wp:positionV>
            <wp:extent cx="2194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Jonathan H. Cohen</w:t>
      </w:r>
    </w:p>
    <w:p>
      <w:pPr>
        <w:spacing w:after="0" w:line="7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Exhibit 13(b)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30a-2(b) Certification</w:t>
      </w:r>
    </w:p>
    <w:p>
      <w:pPr>
        <w:spacing w:after="0" w:line="13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N-CSR for the period ended September 30, 2020 (the “Report”) of Oxford Lane Capital Corp. (the “Registrant”), as filed with the Securities and Exchange Commission on the date hereof, I, Bruce L. Rubin, the Chief Financial Officer of the Registrant, hereby certify, to the best of my knowledge, that:</w:t>
      </w:r>
    </w:p>
    <w:p>
      <w:pPr>
        <w:spacing w:after="0" w:line="99" w:lineRule="exact"/>
        <w:rPr>
          <w:sz w:val="20"/>
          <w:szCs w:val="20"/>
          <w:color w:val="auto"/>
        </w:rPr>
      </w:pPr>
    </w:p>
    <w:p>
      <w:pPr>
        <w:ind w:left="1320" w:right="1199" w:hanging="434"/>
        <w:spacing w:after="0" w:line="282" w:lineRule="auto"/>
        <w:tabs>
          <w:tab w:leader="none" w:pos="12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4"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2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43180</wp:posOffset>
            </wp:positionV>
            <wp:extent cx="21945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Bruce L. Rubin</w:t>
      </w:r>
    </w:p>
    <w:p>
      <w:pPr>
        <w:spacing w:after="0" w:line="7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lowerRoman"/>
      <w:start w:val="1"/>
    </w:lvl>
  </w:abstractNum>
  <w:abstractNum w:abstractNumId="18">
    <w:nsid w:val="2CA88611"/>
    <w:multiLevelType w:val="hybridMultilevel"/>
    <w:lvl w:ilvl="0">
      <w:lvlJc w:val="left"/>
      <w:lvlText w:val="(%1)"/>
      <w:numFmt w:val="lowerRoman"/>
      <w:start w:val="4"/>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4"/>
    </w:lvl>
  </w:abstractNum>
  <w:abstractNum w:abstractNumId="23">
    <w:nsid w:val="1E7FF521"/>
    <w:multiLevelType w:val="hybridMultilevel"/>
    <w:lvl w:ilvl="0">
      <w:lvlJc w:val="left"/>
      <w:lvlText w:val="(%1)"/>
      <w:numFmt w:val="decimal"/>
      <w:start w:val="19"/>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203"/>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2020-11-03T16:24:32Z</dcterms:created>
  <dcterms:modified xsi:type="dcterms:W3CDTF">2020-11-03T16:24:32Z</dcterms:modified>
</cp:coreProperties>
</file>