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92" w:orient="portrait"/>
          <w:cols w:equalWidth="0" w:num="2">
            <w:col w:w="2180" w:space="28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Eagle Point Credit Management LLC</w:t>
              </w:r>
            </w:hyperlink>
          </w:p>
        </w:tc>
        <w:tc>
          <w:tcPr>
            <w:tcW w:w="80" w:type="dxa"/>
            <w:vAlign w:val="bottom"/>
          </w:tcPr>
          <w:p>
            <w:pPr>
              <w:spacing w:after="0"/>
              <w:rPr>
                <w:sz w:val="9"/>
                <w:szCs w:val="9"/>
                <w:color w:val="auto"/>
              </w:rPr>
            </w:pPr>
          </w:p>
        </w:tc>
        <w:tc>
          <w:tcPr>
            <w:tcW w:w="3820" w:type="dxa"/>
            <w:vAlign w:val="bottom"/>
            <w:gridSpan w:val="1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Oxford Lane Capital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OXLC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52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540" w:type="dxa"/>
            <w:vAlign w:val="bottom"/>
            <w:gridSpan w:val="2"/>
            <w:vMerge w:val="restart"/>
          </w:tcPr>
          <w:p>
            <w:pPr>
              <w:ind w:left="240"/>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20" w:type="dxa"/>
            <w:vAlign w:val="bottom"/>
            <w:gridSpan w:val="4"/>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302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4"/>
            <w:vMerge w:val="restart"/>
          </w:tcPr>
          <w:p>
            <w:pPr>
              <w:spacing w:after="0"/>
              <w:rPr>
                <w:sz w:val="20"/>
                <w:szCs w:val="20"/>
                <w:color w:val="auto"/>
              </w:rPr>
            </w:pPr>
            <w:r>
              <w:rPr>
                <w:rFonts w:ascii="Arial" w:cs="Arial" w:eastAsia="Arial" w:hAnsi="Arial"/>
                <w:sz w:val="17"/>
                <w:szCs w:val="17"/>
                <w:color w:val="0000FF"/>
              </w:rPr>
              <w:t>600 STEAMBOAT ROAD,</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6"/>
          </w:tcPr>
          <w:p>
            <w:pPr>
              <w:ind w:left="80"/>
              <w:spacing w:after="0"/>
              <w:rPr>
                <w:sz w:val="20"/>
                <w:szCs w:val="20"/>
                <w:color w:val="auto"/>
              </w:rPr>
            </w:pPr>
            <w:r>
              <w:rPr>
                <w:rFonts w:ascii="Arial" w:cs="Arial" w:eastAsia="Arial" w:hAnsi="Arial"/>
                <w:sz w:val="17"/>
                <w:szCs w:val="17"/>
                <w:color w:val="0000FF"/>
              </w:rPr>
              <w:t>06/29/2021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SUITE 202</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gridSpan w:val="1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gridSpan w:val="13"/>
            <w:vMerge w:val="continue"/>
          </w:tcPr>
          <w:p>
            <w:pPr>
              <w:spacing w:after="0"/>
              <w:rPr>
                <w:sz w:val="13"/>
                <w:szCs w:val="13"/>
                <w:color w:val="auto"/>
              </w:rPr>
            </w:pPr>
          </w:p>
        </w:tc>
        <w:tc>
          <w:tcPr>
            <w:tcW w:w="33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3"/>
          </w:tcPr>
          <w:p>
            <w:pPr>
              <w:spacing w:after="0" w:line="120" w:lineRule="exact"/>
              <w:rPr>
                <w:sz w:val="20"/>
                <w:szCs w:val="20"/>
                <w:color w:val="auto"/>
              </w:rPr>
            </w:pPr>
            <w:r>
              <w:rPr>
                <w:rFonts w:ascii="Arial" w:cs="Arial" w:eastAsia="Arial" w:hAnsi="Arial"/>
                <w:sz w:val="13"/>
                <w:szCs w:val="13"/>
                <w:color w:val="auto"/>
              </w:rPr>
              <w:t>Line)</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spacing w:after="0"/>
              <w:rPr>
                <w:sz w:val="20"/>
                <w:szCs w:val="20"/>
                <w:color w:val="auto"/>
              </w:rPr>
            </w:pPr>
            <w:r>
              <w:rPr>
                <w:rFonts w:ascii="Arial" w:cs="Arial" w:eastAsia="Arial" w:hAnsi="Arial"/>
                <w:sz w:val="17"/>
                <w:szCs w:val="17"/>
                <w:color w:val="0000FF"/>
              </w:rPr>
              <w:t>GREENWICH,  CT</w:t>
            </w:r>
          </w:p>
        </w:tc>
        <w:tc>
          <w:tcPr>
            <w:tcW w:w="800" w:type="dxa"/>
            <w:vAlign w:val="bottom"/>
          </w:tcPr>
          <w:p>
            <w:pPr>
              <w:ind w:left="40"/>
              <w:spacing w:after="0"/>
              <w:rPr>
                <w:sz w:val="20"/>
                <w:szCs w:val="20"/>
                <w:color w:val="auto"/>
              </w:rPr>
            </w:pPr>
            <w:r>
              <w:rPr>
                <w:rFonts w:ascii="Arial" w:cs="Arial" w:eastAsia="Arial" w:hAnsi="Arial"/>
                <w:sz w:val="17"/>
                <w:szCs w:val="17"/>
                <w:color w:val="0000FF"/>
              </w:rPr>
              <w:t>06830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restart"/>
          </w:tcPr>
          <w:p>
            <w:pPr>
              <w:ind w:left="80"/>
              <w:spacing w:after="0"/>
              <w:rPr>
                <w:sz w:val="20"/>
                <w:szCs w:val="20"/>
                <w:color w:val="auto"/>
              </w:rPr>
            </w:pPr>
            <w:r>
              <w:rPr>
                <w:rFonts w:ascii="Arial" w:cs="Arial" w:eastAsia="Arial" w:hAnsi="Arial"/>
                <w:sz w:val="17"/>
                <w:szCs w:val="17"/>
                <w:color w:val="0000FF"/>
                <w:w w:val="87"/>
              </w:rPr>
              <w:t>X</w:t>
            </w: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20" w:type="dxa"/>
            <w:vAlign w:val="bottom"/>
            <w:gridSpan w:val="4"/>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24"/>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20" w:type="dxa"/>
            <w:vAlign w:val="bottom"/>
            <w:gridSpan w:val="4"/>
          </w:tcPr>
          <w:p>
            <w:pPr>
              <w:ind w:left="2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3"/>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4"/>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8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3"/>
          </w:tcPr>
          <w:p>
            <w:pPr>
              <w:ind w:left="360"/>
              <w:spacing w:after="0" w:line="131" w:lineRule="exact"/>
              <w:rPr>
                <w:sz w:val="20"/>
                <w:szCs w:val="20"/>
                <w:color w:val="auto"/>
              </w:rPr>
            </w:pPr>
            <w:r>
              <w:rPr>
                <w:rFonts w:ascii="Arial" w:cs="Arial" w:eastAsia="Arial" w:hAnsi="Arial"/>
                <w:sz w:val="12"/>
                <w:szCs w:val="12"/>
                <w:b w:val="1"/>
                <w:bCs w:val="1"/>
                <w:color w:val="auto"/>
              </w:rPr>
              <w:t>Form: Direct</w:t>
            </w:r>
          </w:p>
        </w:tc>
        <w:tc>
          <w:tcPr>
            <w:tcW w:w="5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4"/>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 or</w:t>
            </w:r>
          </w:p>
        </w:tc>
        <w:tc>
          <w:tcPr>
            <w:tcW w:w="18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8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gridSpan w:val="2"/>
            <w:vMerge w:val="restart"/>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180" w:type="dxa"/>
            <w:vAlign w:val="bottom"/>
          </w:tcPr>
          <w:p>
            <w:pPr>
              <w:spacing w:after="0"/>
              <w:rPr>
                <w:sz w:val="6"/>
                <w:szCs w:val="6"/>
                <w:color w:val="auto"/>
              </w:rPr>
            </w:pPr>
          </w:p>
        </w:tc>
        <w:tc>
          <w:tcPr>
            <w:tcW w:w="1280" w:type="dxa"/>
            <w:vAlign w:val="bottom"/>
            <w:gridSpan w:val="4"/>
            <w:vMerge w:val="restart"/>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6"/>
                <w:szCs w:val="16"/>
                <w:color w:val="auto"/>
              </w:rPr>
            </w:pPr>
          </w:p>
        </w:tc>
        <w:tc>
          <w:tcPr>
            <w:tcW w:w="1480" w:type="dxa"/>
            <w:vAlign w:val="bottom"/>
            <w:gridSpan w:val="4"/>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jc w:val="right"/>
              <w:ind w:right="67"/>
              <w:spacing w:after="0"/>
              <w:rPr>
                <w:sz w:val="20"/>
                <w:szCs w:val="20"/>
                <w:color w:val="auto"/>
              </w:rPr>
            </w:pPr>
            <w:r>
              <w:rPr>
                <w:rFonts w:ascii="Arial" w:cs="Arial" w:eastAsia="Arial" w:hAnsi="Arial"/>
                <w:sz w:val="12"/>
                <w:szCs w:val="12"/>
                <w:b w:val="1"/>
                <w:bCs w:val="1"/>
                <w:color w:val="auto"/>
                <w:w w:val="95"/>
              </w:rPr>
              <w:t>(D)</w:t>
            </w: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w w:val="97"/>
              </w:rPr>
              <w:t>(Instr. 3 and 4)</w:t>
            </w:r>
          </w:p>
        </w:tc>
        <w:tc>
          <w:tcPr>
            <w:tcW w:w="6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w w:val="91"/>
              </w:rPr>
              <w:t>6.75% Series 2024 Term Preferred</w:t>
            </w:r>
          </w:p>
        </w:tc>
        <w:tc>
          <w:tcPr>
            <w:tcW w:w="1240" w:type="dxa"/>
            <w:vAlign w:val="bottom"/>
            <w:gridSpan w:val="2"/>
            <w:vMerge w:val="restart"/>
          </w:tcPr>
          <w:p>
            <w:pPr>
              <w:ind w:left="360"/>
              <w:spacing w:after="0"/>
              <w:rPr>
                <w:sz w:val="20"/>
                <w:szCs w:val="20"/>
                <w:color w:val="auto"/>
              </w:rPr>
            </w:pPr>
            <w:r>
              <w:rPr>
                <w:rFonts w:ascii="Arial" w:cs="Arial" w:eastAsia="Arial" w:hAnsi="Arial"/>
                <w:sz w:val="17"/>
                <w:szCs w:val="17"/>
                <w:color w:val="0000FF"/>
              </w:rPr>
              <w:t>06/29/2021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jc w:val="right"/>
              <w:ind w:right="78"/>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22"/>
                <w:szCs w:val="2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0000FF"/>
              </w:rPr>
              <w:t>3,543</w:t>
            </w:r>
            <w:r>
              <w:rPr>
                <w:rFonts w:ascii="Arial" w:cs="Arial" w:eastAsia="Arial" w:hAnsi="Arial"/>
                <w:sz w:val="22"/>
                <w:szCs w:val="22"/>
                <w:color w:val="008000"/>
                <w:vertAlign w:val="superscript"/>
              </w:rPr>
              <w:t>(1)</w:t>
            </w:r>
          </w:p>
        </w:tc>
        <w:tc>
          <w:tcPr>
            <w:tcW w:w="3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00" w:type="dxa"/>
            <w:vAlign w:val="bottom"/>
            <w:gridSpan w:val="2"/>
            <w:vMerge w:val="restart"/>
          </w:tcPr>
          <w:p>
            <w:pPr>
              <w:ind w:left="1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25.15</w:t>
            </w:r>
            <w:r>
              <w:rPr>
                <w:rFonts w:ascii="Arial" w:cs="Arial" w:eastAsia="Arial" w:hAnsi="Arial"/>
                <w:sz w:val="22"/>
                <w:szCs w:val="22"/>
                <w:color w:val="008000"/>
                <w:w w:val="91"/>
                <w:vertAlign w:val="superscript"/>
              </w:rPr>
              <w:t>(2)</w:t>
            </w:r>
          </w:p>
        </w:tc>
        <w:tc>
          <w:tcPr>
            <w:tcW w:w="1520" w:type="dxa"/>
            <w:vAlign w:val="bottom"/>
            <w:gridSpan w:val="5"/>
            <w:vMerge w:val="restart"/>
          </w:tcPr>
          <w:p>
            <w:pPr>
              <w:jc w:val="center"/>
              <w:ind w:right="200"/>
              <w:spacing w:after="0"/>
              <w:rPr>
                <w:sz w:val="20"/>
                <w:szCs w:val="20"/>
                <w:color w:val="auto"/>
              </w:rPr>
            </w:pPr>
            <w:r>
              <w:rPr>
                <w:rFonts w:ascii="Arial" w:cs="Arial" w:eastAsia="Arial" w:hAnsi="Arial"/>
                <w:sz w:val="17"/>
                <w:szCs w:val="17"/>
                <w:color w:val="0000FF"/>
                <w:w w:val="88"/>
              </w:rPr>
              <w:t>213,543</w:t>
            </w:r>
            <w:r>
              <w:rPr>
                <w:rFonts w:ascii="Arial" w:cs="Arial" w:eastAsia="Arial" w:hAnsi="Arial"/>
                <w:sz w:val="22"/>
                <w:szCs w:val="22"/>
                <w:color w:val="008000"/>
                <w:w w:val="88"/>
                <w:vertAlign w:val="superscript"/>
              </w:rPr>
              <w:t>(1)</w:t>
            </w:r>
          </w:p>
        </w:tc>
        <w:tc>
          <w:tcPr>
            <w:tcW w:w="3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180" w:type="dxa"/>
            <w:vAlign w:val="bottom"/>
          </w:tcPr>
          <w:p>
            <w:pPr>
              <w:spacing w:after="0"/>
              <w:rPr>
                <w:sz w:val="22"/>
                <w:szCs w:val="22"/>
                <w:color w:val="auto"/>
              </w:rPr>
            </w:pPr>
          </w:p>
        </w:tc>
        <w:tc>
          <w:tcPr>
            <w:tcW w:w="560" w:type="dxa"/>
            <w:vAlign w:val="bottom"/>
          </w:tcPr>
          <w:p>
            <w:pPr>
              <w:ind w:left="120"/>
              <w:spacing w:after="0"/>
              <w:rPr>
                <w:sz w:val="20"/>
                <w:szCs w:val="20"/>
                <w:color w:val="auto"/>
              </w:rPr>
            </w:pPr>
            <w:r>
              <w:rPr>
                <w:rFonts w:ascii="Arial" w:cs="Arial" w:eastAsia="Arial" w:hAnsi="Arial"/>
                <w:sz w:val="17"/>
                <w:szCs w:val="17"/>
                <w:color w:val="0000FF"/>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Stock (OXLCM)</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4"/>
            <w:vMerge w:val="restart"/>
          </w:tcPr>
          <w:p>
            <w:pPr>
              <w:ind w:left="120"/>
              <w:spacing w:after="0" w:line="275" w:lineRule="exact"/>
              <w:rPr>
                <w:sz w:val="20"/>
                <w:szCs w:val="20"/>
                <w:color w:val="auto"/>
              </w:rPr>
            </w:pPr>
            <w:r>
              <w:rPr>
                <w:rFonts w:ascii="Arial" w:cs="Arial" w:eastAsia="Arial" w:hAnsi="Arial"/>
                <w:sz w:val="31"/>
                <w:szCs w:val="31"/>
                <w:color w:val="0000FF"/>
                <w:w w:val="97"/>
                <w:vertAlign w:val="subscript"/>
              </w:rPr>
              <w:t>footnote</w:t>
            </w:r>
            <w:r>
              <w:rPr>
                <w:rFonts w:ascii="Arial" w:cs="Arial" w:eastAsia="Arial" w:hAnsi="Arial"/>
                <w:sz w:val="11"/>
                <w:szCs w:val="11"/>
                <w:color w:val="008000"/>
                <w:w w:val="97"/>
              </w:rPr>
              <w:t>(4)(5)(7)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0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w w:val="91"/>
              </w:rPr>
              <w:t>6.25% Series 2027 Term Preferred</w:t>
            </w:r>
          </w:p>
        </w:tc>
        <w:tc>
          <w:tcPr>
            <w:tcW w:w="1240" w:type="dxa"/>
            <w:vAlign w:val="bottom"/>
            <w:tcBorders>
              <w:top w:val="single" w:sz="8" w:color="2C2C2C"/>
            </w:tcBorders>
            <w:gridSpan w:val="2"/>
            <w:vMerge w:val="restart"/>
          </w:tcPr>
          <w:p>
            <w:pPr>
              <w:ind w:left="360"/>
              <w:spacing w:after="0"/>
              <w:rPr>
                <w:sz w:val="20"/>
                <w:szCs w:val="20"/>
                <w:color w:val="auto"/>
              </w:rPr>
            </w:pPr>
            <w:r>
              <w:rPr>
                <w:rFonts w:ascii="Arial" w:cs="Arial" w:eastAsia="Arial" w:hAnsi="Arial"/>
                <w:sz w:val="17"/>
                <w:szCs w:val="17"/>
                <w:color w:val="0000FF"/>
              </w:rPr>
              <w:t>06/29/2021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jc w:val="right"/>
              <w:ind w:right="78"/>
              <w:spacing w:after="0"/>
              <w:rPr>
                <w:sz w:val="20"/>
                <w:szCs w:val="20"/>
                <w:color w:val="auto"/>
              </w:rPr>
            </w:pPr>
            <w:r>
              <w:rPr>
                <w:rFonts w:ascii="Arial" w:cs="Arial" w:eastAsia="Arial" w:hAnsi="Arial"/>
                <w:sz w:val="13"/>
                <w:szCs w:val="13"/>
                <w:color w:val="0000FF"/>
              </w:rPr>
              <w:t>S</w:t>
            </w:r>
          </w:p>
        </w:tc>
        <w:tc>
          <w:tcPr>
            <w:tcW w:w="40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7"/>
              </w:rPr>
              <w:t>10,778</w:t>
            </w:r>
            <w:r>
              <w:rPr>
                <w:rFonts w:ascii="Arial" w:cs="Arial" w:eastAsia="Arial" w:hAnsi="Arial"/>
                <w:sz w:val="22"/>
                <w:szCs w:val="22"/>
                <w:color w:val="008000"/>
                <w:w w:val="97"/>
                <w:vertAlign w:val="superscript"/>
              </w:rPr>
              <w:t>(1)</w:t>
            </w:r>
          </w:p>
        </w:tc>
        <w:tc>
          <w:tcPr>
            <w:tcW w:w="3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24.91</w:t>
            </w:r>
            <w:r>
              <w:rPr>
                <w:rFonts w:ascii="Arial" w:cs="Arial" w:eastAsia="Arial" w:hAnsi="Arial"/>
                <w:sz w:val="22"/>
                <w:szCs w:val="22"/>
                <w:color w:val="008000"/>
                <w:w w:val="91"/>
                <w:vertAlign w:val="superscript"/>
              </w:rPr>
              <w:t>(3)</w:t>
            </w:r>
          </w:p>
        </w:tc>
        <w:tc>
          <w:tcPr>
            <w:tcW w:w="1520" w:type="dxa"/>
            <w:vAlign w:val="bottom"/>
            <w:tcBorders>
              <w:top w:val="single" w:sz="8" w:color="2C2C2C"/>
            </w:tcBorders>
            <w:gridSpan w:val="5"/>
            <w:vMerge w:val="restart"/>
          </w:tcPr>
          <w:p>
            <w:pPr>
              <w:jc w:val="center"/>
              <w:ind w:right="200"/>
              <w:spacing w:after="0"/>
              <w:rPr>
                <w:sz w:val="20"/>
                <w:szCs w:val="20"/>
                <w:color w:val="auto"/>
              </w:rPr>
            </w:pPr>
            <w:r>
              <w:rPr>
                <w:rFonts w:ascii="Arial" w:cs="Arial" w:eastAsia="Arial" w:hAnsi="Arial"/>
                <w:sz w:val="17"/>
                <w:szCs w:val="17"/>
                <w:color w:val="0000FF"/>
                <w:w w:val="88"/>
              </w:rPr>
              <w:t>380,145</w:t>
            </w:r>
            <w:r>
              <w:rPr>
                <w:rFonts w:ascii="Arial" w:cs="Arial" w:eastAsia="Arial" w:hAnsi="Arial"/>
                <w:sz w:val="22"/>
                <w:szCs w:val="22"/>
                <w:color w:val="008000"/>
                <w:w w:val="88"/>
                <w:vertAlign w:val="superscript"/>
              </w:rPr>
              <w:t>(1)</w:t>
            </w:r>
          </w:p>
        </w:tc>
        <w:tc>
          <w:tcPr>
            <w:tcW w:w="3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I</w:t>
            </w:r>
          </w:p>
        </w:tc>
        <w:tc>
          <w:tcPr>
            <w:tcW w:w="1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ind w:left="12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Stock (OXLCP)</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4"/>
            <w:vMerge w:val="restart"/>
          </w:tcPr>
          <w:p>
            <w:pPr>
              <w:ind w:left="120"/>
              <w:spacing w:after="0" w:line="275" w:lineRule="exact"/>
              <w:rPr>
                <w:sz w:val="20"/>
                <w:szCs w:val="20"/>
                <w:color w:val="auto"/>
              </w:rPr>
            </w:pPr>
            <w:r>
              <w:rPr>
                <w:rFonts w:ascii="Arial" w:cs="Arial" w:eastAsia="Arial" w:hAnsi="Arial"/>
                <w:sz w:val="31"/>
                <w:szCs w:val="31"/>
                <w:color w:val="0000FF"/>
                <w:w w:val="97"/>
                <w:vertAlign w:val="subscript"/>
              </w:rPr>
              <w:t>footnote</w:t>
            </w:r>
            <w:r>
              <w:rPr>
                <w:rFonts w:ascii="Arial" w:cs="Arial" w:eastAsia="Arial" w:hAnsi="Arial"/>
                <w:sz w:val="11"/>
                <w:szCs w:val="11"/>
                <w:color w:val="008000"/>
                <w:w w:val="97"/>
              </w:rPr>
              <w:t>(4)(5)(7)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0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rPr>
              <w:t>6.75% Notes due 2031, $25.00</w:t>
            </w:r>
          </w:p>
        </w:tc>
        <w:tc>
          <w:tcPr>
            <w:tcW w:w="8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gridSpan w:val="5"/>
            <w:vMerge w:val="restart"/>
          </w:tcPr>
          <w:p>
            <w:pPr>
              <w:jc w:val="center"/>
              <w:ind w:right="20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20,741,725</w:t>
            </w:r>
            <w:r>
              <w:rPr>
                <w:rFonts w:ascii="Arial" w:cs="Arial" w:eastAsia="Arial" w:hAnsi="Arial"/>
                <w:sz w:val="22"/>
                <w:szCs w:val="22"/>
                <w:color w:val="008000"/>
                <w:w w:val="90"/>
                <w:vertAlign w:val="superscript"/>
              </w:rPr>
              <w:t>(1)</w:t>
            </w:r>
          </w:p>
        </w:tc>
        <w:tc>
          <w:tcPr>
            <w:tcW w:w="3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I</w:t>
            </w:r>
          </w:p>
        </w:tc>
        <w:tc>
          <w:tcPr>
            <w:tcW w:w="1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ind w:left="12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denominations (OXLCL)</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4"/>
            <w:vMerge w:val="restart"/>
          </w:tcPr>
          <w:p>
            <w:pPr>
              <w:ind w:left="120"/>
              <w:spacing w:after="0" w:line="275" w:lineRule="exact"/>
              <w:rPr>
                <w:sz w:val="20"/>
                <w:szCs w:val="20"/>
                <w:color w:val="auto"/>
              </w:rPr>
            </w:pPr>
            <w:r>
              <w:rPr>
                <w:rFonts w:ascii="Arial" w:cs="Arial" w:eastAsia="Arial" w:hAnsi="Arial"/>
                <w:sz w:val="31"/>
                <w:szCs w:val="31"/>
                <w:color w:val="0000FF"/>
                <w:w w:val="97"/>
                <w:vertAlign w:val="subscript"/>
              </w:rPr>
              <w:t>footnote</w:t>
            </w:r>
            <w:r>
              <w:rPr>
                <w:rFonts w:ascii="Arial" w:cs="Arial" w:eastAsia="Arial" w:hAnsi="Arial"/>
                <w:sz w:val="11"/>
                <w:szCs w:val="11"/>
                <w:color w:val="008000"/>
                <w:w w:val="97"/>
              </w:rPr>
              <w:t>(5)(6)(7)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0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w w:val="91"/>
              </w:rPr>
              <w:t>6.75% Series 2024 Term Preferred</w:t>
            </w:r>
          </w:p>
        </w:tc>
        <w:tc>
          <w:tcPr>
            <w:tcW w:w="8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5"/>
              </w:rPr>
              <w:t>9,450</w:t>
            </w:r>
            <w:r>
              <w:rPr>
                <w:rFonts w:ascii="Arial" w:cs="Arial" w:eastAsia="Arial" w:hAnsi="Arial"/>
                <w:sz w:val="22"/>
                <w:szCs w:val="22"/>
                <w:color w:val="008000"/>
                <w:w w:val="85"/>
                <w:vertAlign w:val="superscript"/>
              </w:rPr>
              <w:t>(1)</w:t>
            </w:r>
          </w:p>
        </w:tc>
        <w:tc>
          <w:tcPr>
            <w:tcW w:w="6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(8)</w:t>
            </w:r>
          </w:p>
        </w:tc>
        <w:tc>
          <w:tcPr>
            <w:tcW w:w="1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Stock (OXLCM)</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w w:val="91"/>
              </w:rPr>
              <w:t>6.25% Series 2027 Term Preferred</w:t>
            </w: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540"/>
              <w:spacing w:after="0"/>
              <w:rPr>
                <w:sz w:val="20"/>
                <w:szCs w:val="20"/>
                <w:color w:val="auto"/>
              </w:rPr>
            </w:pPr>
            <w:r>
              <w:rPr>
                <w:rFonts w:ascii="Arial" w:cs="Arial" w:eastAsia="Arial" w:hAnsi="Arial"/>
                <w:sz w:val="17"/>
                <w:szCs w:val="17"/>
                <w:color w:val="0000FF"/>
                <w:w w:val="85"/>
              </w:rPr>
              <w:t>11,000</w:t>
            </w:r>
            <w:r>
              <w:rPr>
                <w:rFonts w:ascii="Arial" w:cs="Arial" w:eastAsia="Arial" w:hAnsi="Arial"/>
                <w:sz w:val="22"/>
                <w:szCs w:val="22"/>
                <w:color w:val="008000"/>
                <w:w w:val="85"/>
                <w:vertAlign w:val="superscript"/>
              </w:rPr>
              <w:t>(1)</w:t>
            </w:r>
          </w:p>
        </w:tc>
        <w:tc>
          <w:tcPr>
            <w:tcW w:w="360" w:type="dxa"/>
            <w:vAlign w:val="bottom"/>
            <w:vMerge w:val="restart"/>
          </w:tcPr>
          <w:p>
            <w:pPr>
              <w:jc w:val="center"/>
              <w:spacing w:after="0"/>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(8)</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Stock (OXLCP)</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4"/>
          </w:tcPr>
          <w:p>
            <w:pPr>
              <w:spacing w:after="0"/>
              <w:rPr>
                <w:sz w:val="8"/>
                <w:szCs w:val="8"/>
                <w:color w:val="auto"/>
              </w:rPr>
            </w:pPr>
          </w:p>
        </w:tc>
        <w:tc>
          <w:tcPr>
            <w:tcW w:w="158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4"/>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40" w:type="dxa"/>
            <w:vAlign w:val="bottom"/>
            <w:gridSpan w:val="2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4"/>
          </w:tcPr>
          <w:p>
            <w:pPr>
              <w:ind w:left="2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180" w:type="dxa"/>
            <w:vAlign w:val="bottom"/>
          </w:tcPr>
          <w:p>
            <w:pPr>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4"/>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5"/>
          </w:tcPr>
          <w:p>
            <w:pPr>
              <w:ind w:left="4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5"/>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740" w:type="dxa"/>
            <w:vAlign w:val="bottom"/>
            <w:gridSpan w:val="2"/>
          </w:tcPr>
          <w:p>
            <w:pPr>
              <w:jc w:val="right"/>
              <w:ind w:right="67"/>
              <w:spacing w:after="0" w:line="133" w:lineRule="exact"/>
              <w:rPr>
                <w:sz w:val="20"/>
                <w:szCs w:val="20"/>
                <w:color w:val="auto"/>
              </w:rPr>
            </w:pPr>
            <w:r>
              <w:rPr>
                <w:rFonts w:ascii="Arial" w:cs="Arial" w:eastAsia="Arial" w:hAnsi="Arial"/>
                <w:sz w:val="12"/>
                <w:szCs w:val="12"/>
                <w:b w:val="1"/>
                <w:bCs w:val="1"/>
                <w:color w:val="auto"/>
                <w:w w:val="98"/>
              </w:rPr>
              <w:t>Expiration</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jc w:val="right"/>
              <w:ind w:right="78"/>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Eagle Point Credit Management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20" w:type="dxa"/>
            <w:vAlign w:val="bottom"/>
            <w:gridSpan w:val="4"/>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Arial" w:cs="Arial" w:eastAsia="Arial" w:hAnsi="Arial"/>
                <w:sz w:val="17"/>
                <w:szCs w:val="17"/>
                <w:color w:val="0000FF"/>
              </w:rPr>
              <w:t>600 STEAMBOAT ROAD,</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202</w:t>
            </w: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GREENWICH,</w:t>
            </w:r>
          </w:p>
        </w:tc>
        <w:tc>
          <w:tcPr>
            <w:tcW w:w="1020" w:type="dxa"/>
            <w:vAlign w:val="bottom"/>
            <w:gridSpan w:val="2"/>
          </w:tcPr>
          <w:p>
            <w:pPr>
              <w:ind w:left="20"/>
              <w:spacing w:after="0"/>
              <w:rPr>
                <w:sz w:val="20"/>
                <w:szCs w:val="20"/>
                <w:color w:val="auto"/>
              </w:rPr>
            </w:pPr>
            <w:r>
              <w:rPr>
                <w:rFonts w:ascii="Arial" w:cs="Arial" w:eastAsia="Arial" w:hAnsi="Arial"/>
                <w:sz w:val="17"/>
                <w:szCs w:val="17"/>
                <w:color w:val="0000FF"/>
              </w:rPr>
              <w:t>CT</w:t>
            </w:r>
          </w:p>
        </w:tc>
        <w:tc>
          <w:tcPr>
            <w:tcW w:w="1240" w:type="dxa"/>
            <w:vAlign w:val="bottom"/>
            <w:gridSpan w:val="2"/>
          </w:tcPr>
          <w:p>
            <w:pPr>
              <w:ind w:left="400"/>
              <w:spacing w:after="0"/>
              <w:rPr>
                <w:sz w:val="20"/>
                <w:szCs w:val="20"/>
                <w:color w:val="auto"/>
              </w:rPr>
            </w:pPr>
            <w:r>
              <w:rPr>
                <w:rFonts w:ascii="Arial" w:cs="Arial" w:eastAsia="Arial" w:hAnsi="Arial"/>
                <w:sz w:val="17"/>
                <w:szCs w:val="17"/>
                <w:color w:val="0000FF"/>
              </w:rPr>
              <w:t>06830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20" w:type="dxa"/>
            <w:vAlign w:val="bottom"/>
            <w:gridSpan w:val="4"/>
          </w:tcPr>
          <w:p>
            <w:pPr>
              <w:ind w:left="4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4"/>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Majewski Thomas P.</w:t>
              </w:r>
            </w:hyperlink>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20" w:type="dxa"/>
            <w:vAlign w:val="bottom"/>
            <w:gridSpan w:val="4"/>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600 STEAMBOAT ROAD,</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202</w:t>
      </w:r>
    </w:p>
    <w:p>
      <w:pPr>
        <w:sectPr>
          <w:pgSz w:w="11900" w:h="16892"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92"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GREENWICH,</w:t>
            </w:r>
          </w:p>
        </w:tc>
        <w:tc>
          <w:tcPr>
            <w:tcW w:w="1420" w:type="dxa"/>
            <w:vAlign w:val="bottom"/>
            <w:gridSpan w:val="3"/>
          </w:tcPr>
          <w:p>
            <w:pPr>
              <w:ind w:left="160"/>
              <w:spacing w:after="0"/>
              <w:rPr>
                <w:sz w:val="20"/>
                <w:szCs w:val="20"/>
                <w:color w:val="auto"/>
              </w:rPr>
            </w:pPr>
            <w:r>
              <w:rPr>
                <w:rFonts w:ascii="Arial" w:cs="Arial" w:eastAsia="Arial" w:hAnsi="Arial"/>
                <w:sz w:val="17"/>
                <w:szCs w:val="17"/>
                <w:color w:val="0000FF"/>
              </w:rPr>
              <w:t>CT</w:t>
            </w:r>
          </w:p>
        </w:tc>
        <w:tc>
          <w:tcPr>
            <w:tcW w:w="1500" w:type="dxa"/>
            <w:vAlign w:val="bottom"/>
          </w:tcPr>
          <w:p>
            <w:pPr>
              <w:ind w:left="140"/>
              <w:spacing w:after="0"/>
              <w:rPr>
                <w:sz w:val="20"/>
                <w:szCs w:val="20"/>
                <w:color w:val="auto"/>
              </w:rPr>
            </w:pPr>
            <w:r>
              <w:rPr>
                <w:rFonts w:ascii="Arial" w:cs="Arial" w:eastAsia="Arial" w:hAnsi="Arial"/>
                <w:sz w:val="17"/>
                <w:szCs w:val="17"/>
                <w:color w:val="0000FF"/>
              </w:rPr>
              <w:t>06830</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Eagle Point Credit GP 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600 STEAMBOAT RD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SUITE 202</w:t>
            </w: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GREENWICH</w:t>
            </w:r>
          </w:p>
        </w:tc>
        <w:tc>
          <w:tcPr>
            <w:tcW w:w="1420" w:type="dxa"/>
            <w:vAlign w:val="bottom"/>
            <w:gridSpan w:val="3"/>
          </w:tcPr>
          <w:p>
            <w:pPr>
              <w:ind w:left="160"/>
              <w:spacing w:after="0"/>
              <w:rPr>
                <w:sz w:val="20"/>
                <w:szCs w:val="20"/>
                <w:color w:val="auto"/>
              </w:rPr>
            </w:pPr>
            <w:r>
              <w:rPr>
                <w:rFonts w:ascii="Arial" w:cs="Arial" w:eastAsia="Arial" w:hAnsi="Arial"/>
                <w:sz w:val="17"/>
                <w:szCs w:val="17"/>
                <w:color w:val="0000FF"/>
              </w:rPr>
              <w:t>CT</w:t>
            </w:r>
          </w:p>
        </w:tc>
        <w:tc>
          <w:tcPr>
            <w:tcW w:w="1500" w:type="dxa"/>
            <w:vAlign w:val="bottom"/>
          </w:tcPr>
          <w:p>
            <w:pPr>
              <w:ind w:left="140"/>
              <w:spacing w:after="0"/>
              <w:rPr>
                <w:sz w:val="20"/>
                <w:szCs w:val="20"/>
                <w:color w:val="auto"/>
              </w:rPr>
            </w:pPr>
            <w:r>
              <w:rPr>
                <w:rFonts w:ascii="Arial" w:cs="Arial" w:eastAsia="Arial" w:hAnsi="Arial"/>
                <w:sz w:val="17"/>
                <w:szCs w:val="17"/>
                <w:color w:val="0000FF"/>
              </w:rPr>
              <w:t>06830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Eagle Point DIF GP I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600 STEAMBOAT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SUITE 202</w:t>
            </w: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GREENWICH,</w:t>
            </w:r>
          </w:p>
        </w:tc>
        <w:tc>
          <w:tcPr>
            <w:tcW w:w="1420" w:type="dxa"/>
            <w:vAlign w:val="bottom"/>
            <w:gridSpan w:val="3"/>
          </w:tcPr>
          <w:p>
            <w:pPr>
              <w:ind w:left="160"/>
              <w:spacing w:after="0"/>
              <w:rPr>
                <w:sz w:val="20"/>
                <w:szCs w:val="20"/>
                <w:color w:val="auto"/>
              </w:rPr>
            </w:pPr>
            <w:r>
              <w:rPr>
                <w:rFonts w:ascii="Arial" w:cs="Arial" w:eastAsia="Arial" w:hAnsi="Arial"/>
                <w:sz w:val="17"/>
                <w:szCs w:val="17"/>
                <w:color w:val="0000FF"/>
              </w:rPr>
              <w:t>CT</w:t>
            </w:r>
          </w:p>
        </w:tc>
        <w:tc>
          <w:tcPr>
            <w:tcW w:w="1500" w:type="dxa"/>
            <w:vAlign w:val="bottom"/>
          </w:tcPr>
          <w:p>
            <w:pPr>
              <w:ind w:left="140"/>
              <w:spacing w:after="0"/>
              <w:rPr>
                <w:sz w:val="20"/>
                <w:szCs w:val="20"/>
                <w:color w:val="auto"/>
              </w:rPr>
            </w:pPr>
            <w:r>
              <w:rPr>
                <w:rFonts w:ascii="Arial" w:cs="Arial" w:eastAsia="Arial" w:hAnsi="Arial"/>
                <w:sz w:val="17"/>
                <w:szCs w:val="17"/>
                <w:color w:val="0000FF"/>
              </w:rPr>
              <w:t>06830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099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099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amount reported reflects the aggregate principal amount (based on face value), with respect to the notes, and the aggregate number of shares, with respect to the preferred stock.</w:t>
      </w:r>
    </w:p>
    <w:p>
      <w:pPr>
        <w:spacing w:after="0" w:line="50"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the weighted average sales price per share. These securities were sold in multiple transactions at prices ranging from $25.14 to $25.23 per share, inclusive. Upon request by the staff of the Securities and Exchange Commission, the Issuer or any security holder of the Issuer, the reporting person undertakes to provide full information regarding the number of shares sold at each separate price within the ranges set forth in this footnote and each of the other applicable footnotes contained in this Form 4.</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the weighted average sales price per share. These securities were sold in multiple transactions at prices ranging from $24.90 to $24.94 per share, inclusive.</w:t>
      </w:r>
    </w:p>
    <w:p>
      <w:pPr>
        <w:spacing w:after="0" w:line="50" w:lineRule="exact"/>
        <w:rPr>
          <w:rFonts w:ascii="Arial" w:cs="Arial" w:eastAsia="Arial" w:hAnsi="Arial"/>
          <w:sz w:val="13"/>
          <w:szCs w:val="13"/>
          <w:color w:val="008000"/>
        </w:rPr>
      </w:pPr>
    </w:p>
    <w:p>
      <w:pPr>
        <w:jc w:val="both"/>
        <w:ind w:left="20" w:righ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owned by certain private investment funds (the "Funds") managed by Eagle Point Credit Management ("EPCM"). Eagle Point Credit GP I LP and Eagle Point DIF GP I LLC (the "General Partners") serve as general partner to one or more of the Funds. Accordingly, EPCM and the General Partners could be deemed to have an indirect pecuniary interest in the securities held by the applicable Fund(s).</w:t>
      </w:r>
    </w:p>
    <w:p>
      <w:pPr>
        <w:spacing w:after="0" w:line="25" w:lineRule="exact"/>
        <w:rPr>
          <w:rFonts w:ascii="Arial" w:cs="Arial" w:eastAsia="Arial" w:hAnsi="Arial"/>
          <w:sz w:val="13"/>
          <w:szCs w:val="13"/>
          <w:color w:val="008000"/>
        </w:rPr>
      </w:pPr>
    </w:p>
    <w:p>
      <w:pPr>
        <w:ind w:left="20" w:right="2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Eagle Point Holdings LP ("EP Holdings") is the parent company of EPCM and each of the General Partners, and Thomas P. Majewski has certain economic rights with respect to EP Holdings (and EPCM) that could be deemed to give rise to an indirect pecuniary interest in the securities held by the Funds and the Accounts. Accordingly, each of the Reporting Persons could be deemed to have an indirect pecuniary interest in all or a portion of the securities sold that are reported herein.</w:t>
      </w:r>
    </w:p>
    <w:p>
      <w:pPr>
        <w:spacing w:after="0" w:line="25" w:lineRule="exact"/>
        <w:rPr>
          <w:rFonts w:ascii="Arial" w:cs="Arial" w:eastAsia="Arial" w:hAnsi="Arial"/>
          <w:sz w:val="13"/>
          <w:szCs w:val="13"/>
          <w:color w:val="008000"/>
        </w:rPr>
      </w:pPr>
    </w:p>
    <w:p>
      <w:pPr>
        <w:ind w:left="20" w:right="30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owned by the Funds and certain separately-managed client accounts (the "Accounts"). EPCM serves as investment manager to the Accounts and, due to the nature of the advisory relationship, could be deemed to have an indirect pecuniary interest in the securities held by each of the Accounts (as well as the securities held by the Funds).</w:t>
      </w:r>
    </w:p>
    <w:p>
      <w:pPr>
        <w:jc w:val="both"/>
        <w:ind w:left="20" w:right="2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hereby disclaims beneficial ownership of the securities described in this report pursuant to Rule 16a-1(a)(4) under the Securities Exchange Act of 1934 (except, with respect to Mr. Majewski, to the extent of his direct pecuniary interest therein) and the inclusion of these securities in this report shall not be deemed an admission of beneficial ownership of any of the reported securities for purposes of Section 16 or for any other purpose.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Thomas P. Majewski directly owns the securities in his personal capacity. None of the other Reporting Persons has a pecuniary interest in these securities.</w:t>
      </w:r>
    </w:p>
    <w:p>
      <w:pPr>
        <w:sectPr>
          <w:pgSz w:w="11900" w:h="16838" w:orient="portrait"/>
          <w:cols w:equalWidth="0" w:num="1">
            <w:col w:w="10880"/>
          </w:cols>
          <w:pgMar w:left="480" w:top="144" w:right="539" w:bottom="1440" w:gutter="0" w:footer="0" w:header="0"/>
        </w:sectPr>
      </w:pPr>
    </w:p>
    <w:p>
      <w:pPr>
        <w:spacing w:after="0" w:line="77"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Kenneth P. Onorio,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246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Financial Officer of Eagle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9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Point Credit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6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Kenneth P. Onorio,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2465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Financial Officer of Eagle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93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Point DIF GP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04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Kenneth P. Onorio,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2465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Financial Officer of Eagle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93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Point Credit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226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0000FF"/>
        </w:rPr>
        <w:t>06/29/2021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8540" w:space="220"/>
            <w:col w:w="2120"/>
          </w:cols>
          <w:pgMar w:left="480" w:top="144" w:right="539" w:bottom="144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Thomas P. Majewski</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06/29/2021</w:t>
            </w: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44"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2" Type="http://schemas.openxmlformats.org/officeDocument/2006/relationships/hyperlink" Target="http://www.sec.gov/cgi-bin/browse-edgar?action=getcompany&amp;CIK=0001607203" TargetMode="External"/><Relationship Id="rId13" Type="http://schemas.openxmlformats.org/officeDocument/2006/relationships/hyperlink" Target="http://www.sec.gov/cgi-bin/browse-edgar?action=getcompany&amp;CIK=0001495222" TargetMode="External"/><Relationship Id="rId14" Type="http://schemas.openxmlformats.org/officeDocument/2006/relationships/hyperlink" Target="http://www.sec.gov/cgi-bin/browse-edgar?action=getcompany&amp;CIK=0001617694" TargetMode="External"/><Relationship Id="rId16" Type="http://schemas.openxmlformats.org/officeDocument/2006/relationships/hyperlink" Target="http://www.sec.gov/cgi-bin/browse-edgar?action=getcompany&amp;CIK=0001607205" TargetMode="External"/><Relationship Id="rId17" Type="http://schemas.openxmlformats.org/officeDocument/2006/relationships/hyperlink" Target="http://www.sec.gov/cgi-bin/browse-edgar?action=getcompany&amp;CIK=00018366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2021-06-29T19:53:08Z</dcterms:created>
  <dcterms:modified xsi:type="dcterms:W3CDTF">2021-06-29T19:53:08Z</dcterms:modified>
</cp:coreProperties>
</file>