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N-Q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SCHEDULE OF PORTFOLIO HOLDINGS OF REGISTERED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MANAGEMENT INVESTMENT COMPANY</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820" w:type="dxa"/>
            <w:vAlign w:val="bottom"/>
            <w:gridSpan w:val="9"/>
          </w:tcPr>
          <w:p>
            <w:pPr>
              <w:spacing w:after="0"/>
              <w:rPr>
                <w:sz w:val="20"/>
                <w:szCs w:val="20"/>
                <w:color w:val="auto"/>
              </w:rPr>
            </w:pPr>
            <w:r>
              <w:rPr>
                <w:rFonts w:ascii="Arial" w:cs="Arial" w:eastAsia="Arial" w:hAnsi="Arial"/>
                <w:sz w:val="18"/>
                <w:szCs w:val="18"/>
                <w:color w:val="auto"/>
              </w:rPr>
              <w:t>Investment Company Act file number 811-22432</w:t>
            </w:r>
          </w:p>
        </w:tc>
        <w:tc>
          <w:tcPr>
            <w:tcW w:w="3600" w:type="dxa"/>
            <w:vAlign w:val="bottom"/>
          </w:tcPr>
          <w:p>
            <w:pPr>
              <w:spacing w:after="0"/>
              <w:rPr>
                <w:sz w:val="17"/>
                <w:szCs w:val="17"/>
                <w:color w:val="auto"/>
              </w:rPr>
            </w:pPr>
          </w:p>
        </w:tc>
      </w:tr>
      <w:tr>
        <w:trPr>
          <w:trHeight w:val="438"/>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24"/>
                <w:szCs w:val="24"/>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18"/>
        </w:trPr>
        <w:tc>
          <w:tcPr>
            <w:tcW w:w="7820" w:type="dxa"/>
            <w:vAlign w:val="bottom"/>
            <w:gridSpan w:val="9"/>
          </w:tcPr>
          <w:p>
            <w:pPr>
              <w:jc w:val="center"/>
              <w:ind w:right="20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24"/>
                <w:szCs w:val="24"/>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7"/>
          </w:tcPr>
          <w:p>
            <w:pPr>
              <w:jc w:val="center"/>
              <w:ind w:right="3850"/>
              <w:spacing w:after="0"/>
              <w:rPr>
                <w:sz w:val="20"/>
                <w:szCs w:val="20"/>
                <w:color w:val="auto"/>
              </w:rPr>
            </w:pPr>
            <w:r>
              <w:rPr>
                <w:rFonts w:ascii="Arial" w:cs="Arial" w:eastAsia="Arial" w:hAnsi="Arial"/>
                <w:sz w:val="18"/>
                <w:szCs w:val="18"/>
                <w:color w:val="auto"/>
                <w:w w:val="93"/>
              </w:rPr>
              <w:t>Greenwich, CT</w:t>
            </w:r>
          </w:p>
        </w:tc>
        <w:tc>
          <w:tcPr>
            <w:tcW w:w="36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06830</w:t>
            </w:r>
          </w:p>
        </w:tc>
      </w:tr>
      <w:tr>
        <w:trPr>
          <w:trHeight w:val="224"/>
        </w:trPr>
        <w:tc>
          <w:tcPr>
            <w:tcW w:w="7820" w:type="dxa"/>
            <w:vAlign w:val="bottom"/>
            <w:gridSpan w:val="9"/>
          </w:tcPr>
          <w:p>
            <w:pPr>
              <w:jc w:val="center"/>
              <w:ind w:right="199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right="2010"/>
              <w:spacing w:after="0"/>
              <w:rPr>
                <w:sz w:val="20"/>
                <w:szCs w:val="20"/>
                <w:color w:val="auto"/>
              </w:rPr>
            </w:pPr>
            <w:r>
              <w:rPr>
                <w:rFonts w:ascii="Arial" w:cs="Arial" w:eastAsia="Arial" w:hAnsi="Arial"/>
                <w:sz w:val="18"/>
                <w:szCs w:val="18"/>
                <w:color w:val="auto"/>
                <w:w w:val="91"/>
              </w:rPr>
              <w:t>(Zip code)</w:t>
            </w:r>
          </w:p>
        </w:tc>
      </w:tr>
      <w:tr>
        <w:trPr>
          <w:trHeight w:val="40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00" w:type="dxa"/>
            <w:vAlign w:val="bottom"/>
          </w:tcPr>
          <w:p>
            <w:pPr>
              <w:jc w:val="center"/>
              <w:ind w:right="1230"/>
              <w:spacing w:after="0"/>
              <w:rPr>
                <w:sz w:val="20"/>
                <w:szCs w:val="20"/>
                <w:color w:val="auto"/>
              </w:rPr>
            </w:pPr>
            <w:r>
              <w:rPr>
                <w:rFonts w:ascii="Arial" w:cs="Arial" w:eastAsia="Arial" w:hAnsi="Arial"/>
                <w:sz w:val="18"/>
                <w:szCs w:val="18"/>
                <w:color w:val="auto"/>
                <w:w w:val="88"/>
              </w:rPr>
              <w:t>Jonathan H. Cohen</w:t>
            </w:r>
          </w:p>
        </w:tc>
        <w:tc>
          <w:tcPr>
            <w:tcW w:w="360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3"/>
              </w:rPr>
              <w:t>Chief Executive Officer</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2"/>
              </w:rPr>
              <w:t>Oxford Lane Capital Corp.</w:t>
            </w:r>
          </w:p>
        </w:tc>
        <w:tc>
          <w:tcPr>
            <w:tcW w:w="36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8 Sound Shore Drive, Suite 255</w:t>
            </w:r>
          </w:p>
        </w:tc>
        <w:tc>
          <w:tcPr>
            <w:tcW w:w="3600" w:type="dxa"/>
            <w:vAlign w:val="bottom"/>
          </w:tcPr>
          <w:p>
            <w:pPr>
              <w:spacing w:after="0"/>
              <w:rPr>
                <w:sz w:val="18"/>
                <w:szCs w:val="18"/>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91"/>
              </w:rPr>
              <w:t>Greenwich, CT 06830</w:t>
            </w:r>
          </w:p>
        </w:tc>
        <w:tc>
          <w:tcPr>
            <w:tcW w:w="3600" w:type="dxa"/>
            <w:vAlign w:val="bottom"/>
            <w:tcBorders>
              <w:bottom w:val="single" w:sz="8" w:color="auto"/>
            </w:tcBorders>
          </w:tcPr>
          <w:p>
            <w:pPr>
              <w:spacing w:after="0"/>
              <w:rPr>
                <w:sz w:val="20"/>
                <w:szCs w:val="20"/>
                <w:color w:val="auto"/>
              </w:rPr>
            </w:pPr>
          </w:p>
        </w:tc>
      </w:tr>
      <w:tr>
        <w:trPr>
          <w:trHeight w:val="224"/>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(Name and address of agent for service)</w:t>
            </w:r>
          </w:p>
        </w:tc>
        <w:tc>
          <w:tcPr>
            <w:tcW w:w="3600" w:type="dxa"/>
            <w:vAlign w:val="bottom"/>
          </w:tcPr>
          <w:p>
            <w:pPr>
              <w:spacing w:after="0"/>
              <w:rPr>
                <w:sz w:val="19"/>
                <w:szCs w:val="19"/>
                <w:color w:val="auto"/>
              </w:rPr>
            </w:pPr>
          </w:p>
        </w:tc>
      </w:tr>
      <w:tr>
        <w:trPr>
          <w:trHeight w:val="377"/>
        </w:trPr>
        <w:tc>
          <w:tcPr>
            <w:tcW w:w="7820" w:type="dxa"/>
            <w:vAlign w:val="bottom"/>
            <w:gridSpan w:val="9"/>
          </w:tcPr>
          <w:p>
            <w:pPr>
              <w:spacing w:after="0"/>
              <w:rPr>
                <w:sz w:val="20"/>
                <w:szCs w:val="20"/>
                <w:color w:val="auto"/>
              </w:rPr>
            </w:pPr>
            <w:r>
              <w:rPr>
                <w:rFonts w:ascii="Arial" w:cs="Arial" w:eastAsia="Arial" w:hAnsi="Arial"/>
                <w:sz w:val="18"/>
                <w:szCs w:val="18"/>
                <w:color w:val="auto"/>
              </w:rPr>
              <w:t>Registrant’s telephone number, including area code: (203) 983-5275</w:t>
            </w:r>
          </w:p>
        </w:tc>
        <w:tc>
          <w:tcPr>
            <w:tcW w:w="3600" w:type="dxa"/>
            <w:vAlign w:val="bottom"/>
          </w:tcPr>
          <w:p>
            <w:pPr>
              <w:spacing w:after="0"/>
              <w:rPr>
                <w:sz w:val="24"/>
                <w:szCs w:val="24"/>
                <w:color w:val="auto"/>
              </w:rPr>
            </w:pPr>
          </w:p>
        </w:tc>
      </w:tr>
      <w:tr>
        <w:trPr>
          <w:trHeight w:val="412"/>
        </w:trPr>
        <w:tc>
          <w:tcPr>
            <w:tcW w:w="3800" w:type="dxa"/>
            <w:vAlign w:val="bottom"/>
            <w:gridSpan w:val="7"/>
          </w:tcPr>
          <w:p>
            <w:pPr>
              <w:spacing w:after="0"/>
              <w:rPr>
                <w:sz w:val="20"/>
                <w:szCs w:val="20"/>
                <w:color w:val="auto"/>
              </w:rPr>
            </w:pPr>
            <w:r>
              <w:rPr>
                <w:rFonts w:ascii="Arial" w:cs="Arial" w:eastAsia="Arial" w:hAnsi="Arial"/>
                <w:sz w:val="18"/>
                <w:szCs w:val="18"/>
                <w:color w:val="auto"/>
              </w:rPr>
              <w:t>Date of fiscal year end: March 31</w:t>
            </w:r>
          </w:p>
        </w:tc>
        <w:tc>
          <w:tcPr>
            <w:tcW w:w="11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12"/>
        </w:trPr>
        <w:tc>
          <w:tcPr>
            <w:tcW w:w="7820" w:type="dxa"/>
            <w:vAlign w:val="bottom"/>
            <w:gridSpan w:val="9"/>
          </w:tcPr>
          <w:p>
            <w:pPr>
              <w:spacing w:after="0"/>
              <w:rPr>
                <w:sz w:val="20"/>
                <w:szCs w:val="20"/>
                <w:color w:val="auto"/>
              </w:rPr>
            </w:pPr>
            <w:r>
              <w:rPr>
                <w:rFonts w:ascii="Arial" w:cs="Arial" w:eastAsia="Arial" w:hAnsi="Arial"/>
                <w:sz w:val="18"/>
                <w:szCs w:val="18"/>
                <w:color w:val="auto"/>
              </w:rPr>
              <w:t>Date of reporting period: December 31, 2019</w:t>
            </w:r>
          </w:p>
        </w:tc>
        <w:tc>
          <w:tcPr>
            <w:tcW w:w="3600" w:type="dxa"/>
            <w:vAlign w:val="bottom"/>
          </w:tcPr>
          <w:p>
            <w:pPr>
              <w:spacing w:after="0"/>
              <w:rPr>
                <w:sz w:val="24"/>
                <w:szCs w:val="24"/>
                <w:color w:val="auto"/>
              </w:rPr>
            </w:pPr>
          </w:p>
        </w:tc>
      </w:tr>
      <w:tr>
        <w:trPr>
          <w:trHeight w:val="703"/>
        </w:trPr>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 w:name="page2"/>
    <w:bookmarkEnd w:id="1"/>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Item 1. Schedule of Investments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PRINCIPAL</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6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Collateralized Loan Obligation - Debt Investments</w:t>
            </w:r>
          </w:p>
        </w:tc>
        <w:tc>
          <w:tcPr>
            <w:tcW w:w="6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Debt 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BlueMountain CLO 2018-1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7"/>
              </w:rPr>
              <w:t>CLO secured notes - Class F</w:t>
            </w:r>
            <w:r>
              <w:rPr>
                <w:rFonts w:ascii="Arial" w:cs="Arial" w:eastAsia="Arial" w:hAnsi="Arial"/>
                <w:sz w:val="28"/>
                <w:szCs w:val="28"/>
                <w:color w:val="auto"/>
                <w:w w:val="97"/>
                <w:vertAlign w:val="superscript"/>
              </w:rPr>
              <w:t>(3)(6)</w:t>
            </w:r>
            <w:r>
              <w:rPr>
                <w:rFonts w:ascii="Arial" w:cs="Arial" w:eastAsia="Arial" w:hAnsi="Arial"/>
                <w:sz w:val="17"/>
                <w:szCs w:val="17"/>
                <w:color w:val="auto"/>
                <w:w w:val="97"/>
              </w:rPr>
              <w:t>, 10.15% (LIBOR + 8.21%,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July 30, 2030)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4,174,844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4,627,800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Cathedral Lake 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9"/>
              </w:rPr>
              <w:t>CLO secured notes - Class E1R</w:t>
            </w:r>
            <w:r>
              <w:rPr>
                <w:rFonts w:ascii="Arial" w:cs="Arial" w:eastAsia="Arial" w:hAnsi="Arial"/>
                <w:sz w:val="28"/>
                <w:szCs w:val="28"/>
                <w:color w:val="auto"/>
                <w:w w:val="99"/>
                <w:vertAlign w:val="superscript"/>
              </w:rPr>
              <w:t>(3)(6)(12)</w:t>
            </w:r>
            <w:r>
              <w:rPr>
                <w:rFonts w:ascii="Arial" w:cs="Arial" w:eastAsia="Arial" w:hAnsi="Arial"/>
                <w:sz w:val="17"/>
                <w:szCs w:val="17"/>
                <w:color w:val="auto"/>
                <w:w w:val="99"/>
              </w:rPr>
              <w:t>, 9.25% (LIBOR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7.25%, due July 16,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3,749,457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4,346,100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CIFC Funding 2014,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4"/>
              </w:rPr>
              <w:t>CLO secured notes - Class FR2</w:t>
            </w:r>
            <w:r>
              <w:rPr>
                <w:rFonts w:ascii="Arial" w:cs="Arial" w:eastAsia="Arial" w:hAnsi="Arial"/>
                <w:sz w:val="28"/>
                <w:szCs w:val="28"/>
                <w:color w:val="auto"/>
                <w:w w:val="94"/>
                <w:vertAlign w:val="superscript"/>
              </w:rPr>
              <w:t>(3)(6)</w:t>
            </w:r>
            <w:r>
              <w:rPr>
                <w:rFonts w:ascii="Arial" w:cs="Arial" w:eastAsia="Arial" w:hAnsi="Arial"/>
                <w:sz w:val="17"/>
                <w:szCs w:val="17"/>
                <w:color w:val="auto"/>
                <w:w w:val="94"/>
              </w:rPr>
              <w:t>, 9.90% (LIBOR + 7.90%,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January 18,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2,980,611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3,242,000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Dryden 49 Senior Loan Fund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9"/>
              </w:rPr>
              <w:t>CLO secured notes - Class F</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9.55% (LIBOR + 7.55%,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July 18,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1,957,795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2,245,000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East West Investment Management CLO 2019-1,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9"/>
              </w:rPr>
              <w:t>CLO secured notes - Class E</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9.36% (LIBOR + 7.41%,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January 20, 2033)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2,340,109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2,340,000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Longfellow Place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secured notes - Class FRR</w:t>
            </w:r>
            <w:r>
              <w:rPr>
                <w:rFonts w:ascii="Arial" w:cs="Arial" w:eastAsia="Arial" w:hAnsi="Arial"/>
                <w:sz w:val="28"/>
                <w:szCs w:val="28"/>
                <w:color w:val="auto"/>
                <w:vertAlign w:val="superscript"/>
              </w:rPr>
              <w:t>(3)(6)</w:t>
            </w:r>
            <w:r>
              <w:rPr>
                <w:rFonts w:ascii="Arial" w:cs="Arial" w:eastAsia="Arial" w:hAnsi="Arial"/>
                <w:sz w:val="17"/>
                <w:szCs w:val="17"/>
                <w:color w:val="auto"/>
              </w:rPr>
              <w:t>, 10.50% (LIBOR +</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8.50%, due April 15,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775,000</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511,888</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Mountain Hawk II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9"/>
              </w:rPr>
              <w:t>CLO secured notes - Class E</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6.77% (LIBOR + 4.80%,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July 22,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7,843,447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6,232,500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OZLM XIII,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9"/>
              </w:rPr>
              <w:t>CLO secured notes - Class D</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7.39% (LIBOR + 5.45%,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July 30, 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8,848,500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8,577,550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OZLM XIII,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9"/>
              </w:rPr>
              <w:t>CLO secured notes - Class E</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8.44% (LIBOR + 6.50%,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July 30, 2027)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1,480,462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1,481,800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OZLM XXII,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9"/>
              </w:rPr>
              <w:t>CLO secured notes - Class E</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9.39% (LIBOR + 7.39%,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January 17,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2,589,996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2,032,671</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Shackleton 2017-X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4"/>
              </w:rPr>
              <w:t>CLO secured notes - Class FRR</w:t>
            </w:r>
            <w:r>
              <w:rPr>
                <w:rFonts w:ascii="Arial" w:cs="Arial" w:eastAsia="Arial" w:hAnsi="Arial"/>
                <w:sz w:val="28"/>
                <w:szCs w:val="28"/>
                <w:color w:val="auto"/>
                <w:w w:val="94"/>
                <w:vertAlign w:val="superscript"/>
              </w:rPr>
              <w:t>(3)(6)</w:t>
            </w:r>
            <w:r>
              <w:rPr>
                <w:rFonts w:ascii="Arial" w:cs="Arial" w:eastAsia="Arial" w:hAnsi="Arial"/>
                <w:sz w:val="17"/>
                <w:szCs w:val="17"/>
                <w:color w:val="auto"/>
                <w:w w:val="94"/>
              </w:rPr>
              <w:t>, 8.18% (LIBOR + 6.22%,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due April 20,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5,913,492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6,518,400</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THL Credit WR 2014-3K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9"/>
              </w:rPr>
              <w:t>CLO secured notes - Class E</w:t>
            </w:r>
            <w:r>
              <w:rPr>
                <w:rFonts w:ascii="Arial" w:cs="Arial" w:eastAsia="Arial" w:hAnsi="Arial"/>
                <w:sz w:val="28"/>
                <w:szCs w:val="28"/>
                <w:color w:val="auto"/>
                <w:w w:val="99"/>
                <w:vertAlign w:val="superscript"/>
              </w:rPr>
              <w:t>(3)(6)</w:t>
            </w:r>
            <w:r>
              <w:rPr>
                <w:rFonts w:ascii="Arial" w:cs="Arial" w:eastAsia="Arial" w:hAnsi="Arial"/>
                <w:sz w:val="17"/>
                <w:szCs w:val="17"/>
                <w:color w:val="auto"/>
                <w:w w:val="99"/>
              </w:rPr>
              <w:t>, 8.09% (LIBOR + 6.09%,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due October 15,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1,948,499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2,305,250</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Venture XV,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9"/>
              </w:rPr>
              <w:t>CLO secured notes - Class ER2</w:t>
            </w:r>
            <w:r>
              <w:rPr>
                <w:rFonts w:ascii="Arial" w:cs="Arial" w:eastAsia="Arial" w:hAnsi="Arial"/>
                <w:sz w:val="28"/>
                <w:szCs w:val="28"/>
                <w:color w:val="auto"/>
                <w:w w:val="99"/>
                <w:vertAlign w:val="superscript"/>
              </w:rPr>
              <w:t>(3)(6)(12)</w:t>
            </w:r>
            <w:r>
              <w:rPr>
                <w:rFonts w:ascii="Arial" w:cs="Arial" w:eastAsia="Arial" w:hAnsi="Arial"/>
                <w:sz w:val="17"/>
                <w:szCs w:val="17"/>
                <w:color w:val="auto"/>
                <w:w w:val="99"/>
              </w:rPr>
              <w:t>, 9.19% (LIBOR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80" w:type="dxa"/>
            <w:vAlign w:val="bottom"/>
            <w:gridSpan w:val="5"/>
          </w:tcPr>
          <w:p>
            <w:pPr>
              <w:spacing w:after="0"/>
              <w:rPr>
                <w:sz w:val="20"/>
                <w:szCs w:val="20"/>
                <w:color w:val="auto"/>
              </w:rPr>
            </w:pPr>
            <w:r>
              <w:rPr>
                <w:rFonts w:ascii="Arial" w:cs="Arial" w:eastAsia="Arial" w:hAnsi="Arial"/>
                <w:sz w:val="18"/>
                <w:szCs w:val="18"/>
                <w:color w:val="auto"/>
              </w:rPr>
              <w:t>7.19%, due July 15, 2032)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2,250,000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2,076,443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1,963,125</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Structured Finance - Debt Investments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46,537,225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46,424,084</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w w:val="95"/>
              </w:rPr>
              <w:t>Total Collateralized Loan Obligation - Debt Investments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46,537,225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46,424,084</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Collateralized Loan Obligation - Equity Investments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Structured Finance - Equity Investments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ALM XVII,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21.12%,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15, 2028)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3,635,296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3,105,414</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90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AMMC CLO XI, Ltd.</w:t>
            </w: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14.53%,</w:t>
            </w:r>
          </w:p>
        </w:tc>
        <w:tc>
          <w:tcPr>
            <w:tcW w:w="1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maturity April 30, 2031)</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2,100,000</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1,253,241</w:t>
            </w:r>
          </w:p>
        </w:tc>
        <w:tc>
          <w:tcPr>
            <w:tcW w:w="3100" w:type="dxa"/>
            <w:vAlign w:val="bottom"/>
          </w:tcPr>
          <w:p>
            <w:pPr>
              <w:jc w:val="right"/>
              <w:ind w:right="1770"/>
              <w:spacing w:after="0"/>
              <w:rPr>
                <w:sz w:val="20"/>
                <w:szCs w:val="20"/>
                <w:color w:val="auto"/>
              </w:rPr>
            </w:pPr>
            <w:r>
              <w:rPr>
                <w:rFonts w:ascii="Arial" w:cs="Arial" w:eastAsia="Arial" w:hAnsi="Arial"/>
                <w:sz w:val="18"/>
                <w:szCs w:val="18"/>
                <w:color w:val="auto"/>
              </w:rPr>
              <w:t>966,000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AMMC CLO XII, Ltd.</w:t>
            </w: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10.89%,</w:t>
            </w:r>
          </w:p>
        </w:tc>
        <w:tc>
          <w:tcPr>
            <w:tcW w:w="18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maturity November 10, 2030)</w:t>
            </w:r>
          </w:p>
        </w:tc>
        <w:tc>
          <w:tcPr>
            <w:tcW w:w="1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11,428,571</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6,056,271</w:t>
            </w:r>
          </w:p>
        </w:tc>
        <w:tc>
          <w:tcPr>
            <w:tcW w:w="310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rPr>
              <w:t>3,885,714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Anchorage Capital CLO 4-R, Ltd.</w:t>
            </w: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17.77%,</w:t>
            </w:r>
          </w:p>
        </w:tc>
        <w:tc>
          <w:tcPr>
            <w:tcW w:w="1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maturity January 28, 2031)</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6,000,000</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5,005,800</w:t>
            </w:r>
          </w:p>
        </w:tc>
        <w:tc>
          <w:tcPr>
            <w:tcW w:w="3100" w:type="dxa"/>
            <w:vAlign w:val="bottom"/>
          </w:tcPr>
          <w:p>
            <w:pPr>
              <w:jc w:val="right"/>
              <w:ind w:right="1770"/>
              <w:spacing w:after="0"/>
              <w:rPr>
                <w:sz w:val="20"/>
                <w:szCs w:val="20"/>
                <w:color w:val="auto"/>
              </w:rPr>
            </w:pPr>
            <w:r>
              <w:rPr>
                <w:rFonts w:ascii="Arial" w:cs="Arial" w:eastAsia="Arial" w:hAnsi="Arial"/>
                <w:sz w:val="18"/>
                <w:szCs w:val="18"/>
                <w:color w:val="auto"/>
              </w:rPr>
              <w:t>4,620,000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Anchorage Capital CLO 5-R, Ltd.</w:t>
            </w: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36.05%,</w:t>
            </w:r>
          </w:p>
        </w:tc>
        <w:tc>
          <w:tcPr>
            <w:tcW w:w="18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maturity January 15, 2030)</w:t>
            </w:r>
          </w:p>
        </w:tc>
        <w:tc>
          <w:tcPr>
            <w:tcW w:w="1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20,000,000</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16,129,595</w:t>
            </w:r>
          </w:p>
        </w:tc>
        <w:tc>
          <w:tcPr>
            <w:tcW w:w="310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rPr>
              <w:t>14,842,597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Anchorage Capital CLO 8, Ltd.</w:t>
            </w:r>
          </w:p>
        </w:tc>
        <w:tc>
          <w:tcPr>
            <w:tcW w:w="18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18.01%,</w:t>
            </w:r>
          </w:p>
        </w:tc>
        <w:tc>
          <w:tcPr>
            <w:tcW w:w="1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maturity July 28, 2028)</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6,000,000</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4,875,469</w:t>
            </w:r>
          </w:p>
        </w:tc>
        <w:tc>
          <w:tcPr>
            <w:tcW w:w="3100" w:type="dxa"/>
            <w:vAlign w:val="bottom"/>
          </w:tcPr>
          <w:p>
            <w:pPr>
              <w:jc w:val="right"/>
              <w:ind w:right="177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Apex Credit CLO 2015-II, Ltd. (fka: JFIN CLO 2015-II</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Ltd.)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17, 2026)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5,750,000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4,311,785</w:t>
            </w: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2,167,854</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Apex Credit CLO 2018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20.31%,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25,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7,471,501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5,744,911</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Apex Credit CLO 2019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23.16%,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18, 2032)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12,547,332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10,786,441</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Arch Street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31.08%,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1,905,816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Ares XXVII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28,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8,425,092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7,319,760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Ares XXXVII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27.74%,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15,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17,254,162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17,403,813</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Ares XL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15,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27,433,000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16,286,258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14,491,190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Atrium XV</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16.40%,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23,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16,616,286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Battalion CLO VI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(5)(7)(10)</w:t>
            </w:r>
            <w:r>
              <w:rPr>
                <w:rFonts w:ascii="Arial" w:cs="Arial" w:eastAsia="Arial" w:hAnsi="Arial"/>
                <w:sz w:val="17"/>
                <w:szCs w:val="17"/>
                <w:color w:val="auto"/>
              </w:rPr>
              <w:t>, (Estimated yield 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17, 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Battalion CLO VII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8.97%,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17, 2028)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Benefit Street Partners CLO III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20,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2,306,316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1,700,000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Benefit Street Partners CLO V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preference shares</w:t>
            </w:r>
            <w:r>
              <w:rPr>
                <w:rFonts w:ascii="Arial" w:cs="Arial" w:eastAsia="Arial" w:hAnsi="Arial"/>
                <w:sz w:val="28"/>
                <w:szCs w:val="28"/>
                <w:color w:val="auto"/>
                <w:vertAlign w:val="superscript"/>
              </w:rPr>
              <w:t>(5)(7)(10)</w:t>
            </w:r>
            <w:r>
              <w:rPr>
                <w:rFonts w:ascii="Arial" w:cs="Arial" w:eastAsia="Arial" w:hAnsi="Arial"/>
                <w:sz w:val="17"/>
                <w:szCs w:val="17"/>
                <w:color w:val="auto"/>
              </w:rPr>
              <w:t>, (Estimated yield 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809,311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BlueMountain CLO 2016-2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preference shares</w:t>
            </w:r>
            <w:r>
              <w:rPr>
                <w:rFonts w:ascii="Arial" w:cs="Arial" w:eastAsia="Arial" w:hAnsi="Arial"/>
                <w:sz w:val="28"/>
                <w:szCs w:val="28"/>
                <w:color w:val="auto"/>
                <w:vertAlign w:val="superscript"/>
              </w:rPr>
              <w:t>(5)(7)(10)</w:t>
            </w:r>
            <w:r>
              <w:rPr>
                <w:rFonts w:ascii="Arial" w:cs="Arial" w:eastAsia="Arial" w:hAnsi="Arial"/>
                <w:sz w:val="17"/>
                <w:szCs w:val="17"/>
                <w:color w:val="auto"/>
              </w:rPr>
              <w:t>, (Estimated yield 28.46%,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August 20, 2032)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32,794,250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15,908,084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17,380,953</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B&amp;M CLO 2014-1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58.17%,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16,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Bristol Park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income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6.67%, maturity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April 15, 2029)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7,404,761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4,700,000</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Canyon Capital CLO 2015-1, Ltd.</w:t>
            </w: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17.07%,</w:t>
            </w:r>
          </w:p>
        </w:tc>
        <w:tc>
          <w:tcPr>
            <w:tcW w:w="17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maturity April 15, 2029)</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10,000,000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6,437,541</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Carlyle Global Market Strategies CLO 2013-2, Ltd.</w:t>
            </w: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13.32%,</w:t>
            </w:r>
          </w:p>
        </w:tc>
        <w:tc>
          <w:tcPr>
            <w:tcW w:w="1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maturity January 18, 2029)</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16,098,067</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10,291,834</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7,861,426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Carlyle Global Market Strategies CLO 2014-5, Ltd.</w:t>
            </w: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14.61%,</w:t>
            </w:r>
          </w:p>
        </w:tc>
        <w:tc>
          <w:tcPr>
            <w:tcW w:w="17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15, 2031)</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3,900,000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2,374,715</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1,560,000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Cathedral Lake CLO 2013, Ltd.</w:t>
            </w: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15.03%,</w:t>
            </w:r>
          </w:p>
        </w:tc>
        <w:tc>
          <w:tcPr>
            <w:tcW w:w="1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maturity October 15, 2029)</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6,350,000</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2,862,545</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1,968,500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Cathedral Lake II, Ltd.</w:t>
            </w: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29.11%,</w:t>
            </w:r>
          </w:p>
        </w:tc>
        <w:tc>
          <w:tcPr>
            <w:tcW w:w="17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16, 2029)</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14,862,200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8,997,877</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7,059,545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CIFC Funding 2013-III-R, Ltd.</w:t>
            </w: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20.03%,</w:t>
            </w:r>
          </w:p>
        </w:tc>
        <w:tc>
          <w:tcPr>
            <w:tcW w:w="1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maturity April 24, 2031)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4,900,000</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2,462,372</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2,009,000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CIFC Funding 2014, Ltd.</w:t>
            </w: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income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14.72%, maturity</w:t>
            </w:r>
          </w:p>
        </w:tc>
        <w:tc>
          <w:tcPr>
            <w:tcW w:w="17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January 18, 2031)</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6,000,000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3,684,137</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2,640,000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CIFC Funding 2014-III, Ltd.</w:t>
            </w:r>
          </w:p>
        </w:tc>
        <w:tc>
          <w:tcPr>
            <w:tcW w:w="1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40" w:type="dxa"/>
            <w:vAlign w:val="bottom"/>
          </w:tcPr>
          <w:p>
            <w:pPr>
              <w:spacing w:after="0" w:line="242" w:lineRule="exact"/>
              <w:rPr>
                <w:sz w:val="20"/>
                <w:szCs w:val="20"/>
                <w:color w:val="auto"/>
              </w:rPr>
            </w:pPr>
            <w:r>
              <w:rPr>
                <w:rFonts w:ascii="Arial" w:cs="Arial" w:eastAsia="Arial" w:hAnsi="Arial"/>
                <w:sz w:val="17"/>
                <w:szCs w:val="17"/>
                <w:color w:val="auto"/>
              </w:rPr>
              <w:t>CLO income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17.48%, maturity</w:t>
            </w:r>
          </w:p>
        </w:tc>
        <w:tc>
          <w:tcPr>
            <w:tcW w:w="1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October 22, 2031)</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18,225,000</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10,476,740</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8,019,000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 w:name="page6"/>
    <w:bookmarkEnd w:id="5"/>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Dryden 49 Senior Loan Fund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18, 2030)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12,850,000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9,446,020</w:t>
            </w: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7,067,500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Eaton Vance CLO 2015-1,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30.71%,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20,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East West Investment Management CLO 2019-1,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(5)(7)(9)</w:t>
            </w:r>
            <w:r>
              <w:rPr>
                <w:rFonts w:ascii="Arial" w:cs="Arial" w:eastAsia="Arial" w:hAnsi="Arial"/>
                <w:sz w:val="17"/>
                <w:szCs w:val="17"/>
                <w:color w:val="auto"/>
              </w:rPr>
              <w:t>, (Estimated yield 19.94%,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20, 2033)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13,970,000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12,204,065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11,930,380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Elevation CLO 2015-4,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54.31%,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18, 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6,910,854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6,772,500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Ellington CLO 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February 15,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4,810,950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2,160,000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Figueroa CLO 2013-2,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18.34%,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June 20, 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4,039,371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3,315,000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Flatiron CLO 17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May 15, 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2,337,500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1,379,125</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Halcyon Loan Advisors Funding 2015-1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-33.21%,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20, 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Halcyon Loan Advisors Funding 2018-1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20,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11,250,000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9,994,818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7,425,000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Hayfin Kingsland IX,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26.63%,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28,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22,877,075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13,052,441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13,726,245</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HPS Loan Management 10-2016,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20, 2028)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5,998,198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4,500,000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Hull Street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7"/>
              </w:rPr>
              <w:t>CLO subordinated notes</w:t>
            </w:r>
            <w:r>
              <w:rPr>
                <w:rFonts w:ascii="Arial" w:cs="Arial" w:eastAsia="Arial" w:hAnsi="Arial"/>
                <w:sz w:val="28"/>
                <w:szCs w:val="28"/>
                <w:color w:val="auto"/>
                <w:w w:val="97"/>
                <w:vertAlign w:val="superscript"/>
              </w:rPr>
              <w:t>(5)(7)(12)</w:t>
            </w:r>
            <w:r>
              <w:rPr>
                <w:rFonts w:ascii="Arial" w:cs="Arial" w:eastAsia="Arial" w:hAnsi="Arial"/>
                <w:sz w:val="17"/>
                <w:szCs w:val="17"/>
                <w:color w:val="auto"/>
                <w:w w:val="97"/>
              </w:rPr>
              <w:t>, (Estimated yield -21.70%,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18,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ICG US CLO 2016-1,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29, 2028)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4,750,000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4,336,015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3,171,433</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Ivy Hill Middle Market Credit VII,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7.70%,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4,307,903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2,968,321</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Jamestown CLO IV,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15, 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9,500,000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2,550,048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360,132</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904"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Jamestown CLO VII, Ltd.</w:t>
            </w:r>
          </w:p>
        </w:tc>
        <w:tc>
          <w:tcPr>
            <w:tcW w:w="1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-18.28%,</w:t>
            </w:r>
          </w:p>
        </w:tc>
        <w:tc>
          <w:tcPr>
            <w:tcW w:w="17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maturity July 25, 2027)</w:t>
            </w:r>
          </w:p>
        </w:tc>
        <w:tc>
          <w:tcPr>
            <w:tcW w:w="1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13,912,500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5,339,193</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3,478,125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Longfellow Place CLO, Ltd.</w:t>
            </w: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6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15.30%,</w:t>
            </w:r>
          </w:p>
        </w:tc>
        <w:tc>
          <w:tcPr>
            <w:tcW w:w="1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maturity April 15, 2029)</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19,640,000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7,398,727</w:t>
            </w:r>
          </w:p>
        </w:tc>
        <w:tc>
          <w:tcPr>
            <w:tcW w:w="3040" w:type="dxa"/>
            <w:vAlign w:val="bottom"/>
          </w:tcPr>
          <w:p>
            <w:pPr>
              <w:jc w:val="right"/>
              <w:ind w:right="1710"/>
              <w:spacing w:after="0"/>
              <w:rPr>
                <w:sz w:val="20"/>
                <w:szCs w:val="20"/>
                <w:color w:val="auto"/>
              </w:rPr>
            </w:pPr>
            <w:r>
              <w:rPr>
                <w:rFonts w:ascii="Arial" w:cs="Arial" w:eastAsia="Arial" w:hAnsi="Arial"/>
                <w:sz w:val="18"/>
                <w:szCs w:val="18"/>
                <w:color w:val="auto"/>
              </w:rPr>
              <w:t>1,910,837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Madison Park Funding XIII, Ltd.</w:t>
            </w: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27.67%,</w:t>
            </w:r>
          </w:p>
        </w:tc>
        <w:tc>
          <w:tcPr>
            <w:tcW w:w="17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maturity April 19, 2030)</w:t>
            </w:r>
          </w:p>
        </w:tc>
        <w:tc>
          <w:tcPr>
            <w:tcW w:w="1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20,000,000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10,776,861</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Madison Park Funding XV, Ltd.</w:t>
            </w: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6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11.47%,</w:t>
            </w:r>
          </w:p>
        </w:tc>
        <w:tc>
          <w:tcPr>
            <w:tcW w:w="1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maturity January 27, 2026)</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7,000,000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3,957,001</w:t>
            </w:r>
          </w:p>
        </w:tc>
        <w:tc>
          <w:tcPr>
            <w:tcW w:w="3040" w:type="dxa"/>
            <w:vAlign w:val="bottom"/>
          </w:tcPr>
          <w:p>
            <w:pPr>
              <w:jc w:val="right"/>
              <w:ind w:right="1710"/>
              <w:spacing w:after="0"/>
              <w:rPr>
                <w:sz w:val="20"/>
                <w:szCs w:val="20"/>
                <w:color w:val="auto"/>
              </w:rPr>
            </w:pPr>
            <w:r>
              <w:rPr>
                <w:rFonts w:ascii="Arial" w:cs="Arial" w:eastAsia="Arial" w:hAnsi="Arial"/>
                <w:sz w:val="18"/>
                <w:szCs w:val="18"/>
                <w:color w:val="auto"/>
              </w:rPr>
              <w:t>3,010,000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Madison Park Funding XXII,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1"/>
              </w:rPr>
              <w:t>CLO subordinated notes</w:t>
            </w:r>
            <w:r>
              <w:rPr>
                <w:rFonts w:ascii="Arial" w:cs="Arial" w:eastAsia="Arial" w:hAnsi="Arial"/>
                <w:sz w:val="28"/>
                <w:szCs w:val="28"/>
                <w:color w:val="auto"/>
                <w:w w:val="91"/>
                <w:vertAlign w:val="superscript"/>
              </w:rPr>
              <w:t>(5)(7)(11)(12)</w:t>
            </w:r>
            <w:r>
              <w:rPr>
                <w:rFonts w:ascii="Arial" w:cs="Arial" w:eastAsia="Arial" w:hAnsi="Arial"/>
                <w:sz w:val="17"/>
                <w:szCs w:val="17"/>
                <w:color w:val="auto"/>
                <w:w w:val="91"/>
              </w:rPr>
              <w:t>, (Estimated yield 12.87%,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25, 2029)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15,000,000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11,713,540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9,750,000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Madison Park Funding XXIV,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13.13%,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3,568,750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2,587,568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2,034,188</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Madison Park Funding XXV,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25,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819,000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Madison Park Funding XXIX,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1"/>
              </w:rPr>
              <w:t>CLO subordinated notes</w:t>
            </w:r>
            <w:r>
              <w:rPr>
                <w:rFonts w:ascii="Arial" w:cs="Arial" w:eastAsia="Arial" w:hAnsi="Arial"/>
                <w:sz w:val="28"/>
                <w:szCs w:val="28"/>
                <w:color w:val="auto"/>
                <w:w w:val="91"/>
                <w:vertAlign w:val="superscript"/>
              </w:rPr>
              <w:t>(5)(7)(11)(12)</w:t>
            </w:r>
            <w:r>
              <w:rPr>
                <w:rFonts w:ascii="Arial" w:cs="Arial" w:eastAsia="Arial" w:hAnsi="Arial"/>
                <w:sz w:val="17"/>
                <w:szCs w:val="17"/>
                <w:color w:val="auto"/>
                <w:w w:val="91"/>
              </w:rPr>
              <w:t>, (Estimated yield 13.87%,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18, 2047)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14,336,251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Madison Park Funding XXX,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1"/>
              </w:rPr>
              <w:t>CLO subordinated notes</w:t>
            </w:r>
            <w:r>
              <w:rPr>
                <w:rFonts w:ascii="Arial" w:cs="Arial" w:eastAsia="Arial" w:hAnsi="Arial"/>
                <w:sz w:val="28"/>
                <w:szCs w:val="28"/>
                <w:color w:val="auto"/>
                <w:w w:val="91"/>
                <w:vertAlign w:val="superscript"/>
              </w:rPr>
              <w:t>(5)(7)(11)(12)</w:t>
            </w:r>
            <w:r>
              <w:rPr>
                <w:rFonts w:ascii="Arial" w:cs="Arial" w:eastAsia="Arial" w:hAnsi="Arial"/>
                <w:sz w:val="17"/>
                <w:szCs w:val="17"/>
                <w:color w:val="auto"/>
                <w:w w:val="91"/>
              </w:rPr>
              <w:t>, (Estimated yield 19.24%,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15, 2047)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17,550,000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15,448,551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13,640,169</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Madison Park Funding XXXII,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1"/>
              </w:rPr>
              <w:t>CLO subordinated notes</w:t>
            </w:r>
            <w:r>
              <w:rPr>
                <w:rFonts w:ascii="Arial" w:cs="Arial" w:eastAsia="Arial" w:hAnsi="Arial"/>
                <w:sz w:val="28"/>
                <w:szCs w:val="28"/>
                <w:color w:val="auto"/>
                <w:w w:val="91"/>
                <w:vertAlign w:val="superscript"/>
              </w:rPr>
              <w:t>(5)(7)(11)(12)</w:t>
            </w:r>
            <w:r>
              <w:rPr>
                <w:rFonts w:ascii="Arial" w:cs="Arial" w:eastAsia="Arial" w:hAnsi="Arial"/>
                <w:sz w:val="17"/>
                <w:szCs w:val="17"/>
                <w:color w:val="auto"/>
                <w:w w:val="91"/>
              </w:rPr>
              <w:t>, (Estimated yield 18.60%,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22, 2048)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8,573,275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8,942,500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Madison Park Fund XLI, Ltd. (fka: Atrium XII CLO)</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(5)(7)(11)</w:t>
            </w:r>
            <w:r>
              <w:rPr>
                <w:rFonts w:ascii="Arial" w:cs="Arial" w:eastAsia="Arial" w:hAnsi="Arial"/>
                <w:sz w:val="17"/>
                <w:szCs w:val="17"/>
                <w:color w:val="auto"/>
                <w:w w:val="98"/>
              </w:rPr>
              <w:t>, (Estimated yield 16.49%,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22, 2027)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34,762,500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21,733,672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19,467,000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Marble Point CLO XI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income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21.06%, maturity</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18, 2047)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5,500,192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Midocean Credit CLO III</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income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18.73%, maturity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April 21,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16,650,000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7,124,349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3,996,000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Midocean Credit CLO VI</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4"/>
              </w:rPr>
              <w:t>CLO income notes</w:t>
            </w:r>
            <w:r>
              <w:rPr>
                <w:rFonts w:ascii="Arial" w:cs="Arial" w:eastAsia="Arial" w:hAnsi="Arial"/>
                <w:sz w:val="28"/>
                <w:szCs w:val="28"/>
                <w:color w:val="auto"/>
                <w:w w:val="94"/>
                <w:vertAlign w:val="superscript"/>
              </w:rPr>
              <w:t>(5)(7)(11)</w:t>
            </w:r>
            <w:r>
              <w:rPr>
                <w:rFonts w:ascii="Arial" w:cs="Arial" w:eastAsia="Arial" w:hAnsi="Arial"/>
                <w:sz w:val="17"/>
                <w:szCs w:val="17"/>
                <w:color w:val="auto"/>
                <w:w w:val="94"/>
              </w:rPr>
              <w:t>, (Estimated yield 12.65%, maturity</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January 20,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24,993,377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15,147,000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Mountain Hawk II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7"/>
              </w:rPr>
              <w:t xml:space="preserve">CLO secured notes </w:t>
            </w:r>
            <w:r>
              <w:rPr>
                <w:rFonts w:ascii="Arial" w:cs="Arial" w:eastAsia="Arial" w:hAnsi="Arial"/>
                <w:sz w:val="28"/>
                <w:szCs w:val="28"/>
                <w:color w:val="auto"/>
                <w:w w:val="97"/>
                <w:vertAlign w:val="superscript"/>
              </w:rPr>
              <w:t>(5)(7)</w:t>
            </w:r>
            <w:r>
              <w:rPr>
                <w:rFonts w:ascii="Arial" w:cs="Arial" w:eastAsia="Arial" w:hAnsi="Arial"/>
                <w:sz w:val="17"/>
                <w:szCs w:val="17"/>
                <w:color w:val="auto"/>
                <w:w w:val="97"/>
              </w:rPr>
              <w:t>, (Estimated yield -16.19%, maturity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July 20,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25,670,000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3,759,995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64,175</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Mountain View CLO 2014-1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-18.99%,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15,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578,400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Mountain View CLO 2017-2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18.09%,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16,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924,000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Nassau 2017-II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33.45%,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15,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16,591,404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15,128,000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NorthWoods Capital XIV-B,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November 13,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3,051,848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3,097,500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904"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Ocean Trails CLO VI</w:t>
            </w:r>
          </w:p>
        </w:tc>
        <w:tc>
          <w:tcPr>
            <w:tcW w:w="1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12.61%,</w:t>
            </w:r>
          </w:p>
        </w:tc>
        <w:tc>
          <w:tcPr>
            <w:tcW w:w="19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15, 2028)</w:t>
            </w: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4,000,000</w:t>
            </w:r>
          </w:p>
        </w:tc>
        <w:tc>
          <w:tcPr>
            <w:tcW w:w="1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3,353,162</w:t>
            </w:r>
          </w:p>
        </w:tc>
        <w:tc>
          <w:tcPr>
            <w:tcW w:w="30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2,191,081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Octagon Investment Partners XXII, Ltd.</w:t>
            </w:r>
          </w:p>
        </w:tc>
        <w:tc>
          <w:tcPr>
            <w:tcW w:w="19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4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15.44%,</w:t>
            </w:r>
          </w:p>
        </w:tc>
        <w:tc>
          <w:tcPr>
            <w:tcW w:w="19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maturity January 22, 2030)</w:t>
            </w: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5,668,750</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3,211,498</w:t>
            </w:r>
          </w:p>
        </w:tc>
        <w:tc>
          <w:tcPr>
            <w:tcW w:w="3000" w:type="dxa"/>
            <w:vAlign w:val="bottom"/>
          </w:tcPr>
          <w:p>
            <w:pPr>
              <w:jc w:val="right"/>
              <w:ind w:right="1710"/>
              <w:spacing w:after="0"/>
              <w:rPr>
                <w:sz w:val="20"/>
                <w:szCs w:val="20"/>
                <w:color w:val="auto"/>
              </w:rPr>
            </w:pPr>
            <w:r>
              <w:rPr>
                <w:rFonts w:ascii="Arial" w:cs="Arial" w:eastAsia="Arial" w:hAnsi="Arial"/>
                <w:sz w:val="18"/>
                <w:szCs w:val="18"/>
                <w:color w:val="auto"/>
              </w:rPr>
              <w:t>2,721,000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Octagon Investment Partners 33,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20, 2031)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8,791,227</w:t>
            </w: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7,300,000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Octagon Investment Partners 38,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14.27%,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20,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4,174,948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Octagon Investment Partners 39,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17.09%,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20, 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8,700,000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7,233,284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6,438,000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Octagon Investment Partners 40,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3"/>
              </w:rPr>
              <w:t>CLO subordinated notes</w:t>
            </w:r>
            <w:r>
              <w:rPr>
                <w:rFonts w:ascii="Arial" w:cs="Arial" w:eastAsia="Arial" w:hAnsi="Arial"/>
                <w:sz w:val="28"/>
                <w:szCs w:val="28"/>
                <w:color w:val="auto"/>
                <w:w w:val="93"/>
                <w:vertAlign w:val="superscript"/>
              </w:rPr>
              <w:t>(4)(5)(11)(7)</w:t>
            </w:r>
            <w:r>
              <w:rPr>
                <w:rFonts w:ascii="Arial" w:cs="Arial" w:eastAsia="Arial" w:hAnsi="Arial"/>
                <w:sz w:val="17"/>
                <w:szCs w:val="17"/>
                <w:color w:val="auto"/>
                <w:w w:val="93"/>
              </w:rPr>
              <w:t>, (Estimated yield 15.12%,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20,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40,959,025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35,910,000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Octagon Loan Funding,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November 18, 2031)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1,774,526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996,889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887,263</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OFSI Fund VII,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-12.19%,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18,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28,840,000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15,569,906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5,479,600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OFSI BSL VIII,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6"/>
              </w:rPr>
              <w:t>CLO preferred shares</w:t>
            </w:r>
            <w:r>
              <w:rPr>
                <w:rFonts w:ascii="Arial" w:cs="Arial" w:eastAsia="Arial" w:hAnsi="Arial"/>
                <w:sz w:val="28"/>
                <w:szCs w:val="28"/>
                <w:color w:val="auto"/>
                <w:w w:val="96"/>
                <w:vertAlign w:val="superscript"/>
              </w:rPr>
              <w:t>(5)(7)</w:t>
            </w:r>
            <w:r>
              <w:rPr>
                <w:rFonts w:ascii="Arial" w:cs="Arial" w:eastAsia="Arial" w:hAnsi="Arial"/>
                <w:sz w:val="17"/>
                <w:szCs w:val="17"/>
                <w:color w:val="auto"/>
                <w:w w:val="96"/>
              </w:rPr>
              <w:t>, (Estimated yield 22.88%, maturity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August 16,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8,500,000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6,193,690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4,675,000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OFSI BSL IX,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preferred shares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16.15%,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31, 2118)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9,946,187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8,265,600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OHA Loan Funding 2012-1,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(5)(7)(10)</w:t>
            </w:r>
            <w:r>
              <w:rPr>
                <w:rFonts w:ascii="Arial" w:cs="Arial" w:eastAsia="Arial" w:hAnsi="Arial"/>
                <w:sz w:val="17"/>
                <w:szCs w:val="17"/>
                <w:color w:val="auto"/>
              </w:rPr>
              <w:t>, (Estimated yield 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23, 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165,547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606,800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OZLM Funding III,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22,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7,184,929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OZLM VIII,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24.94%,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17,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2,300,000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OZLM XIII,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14.53%,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30, 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11,689,832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OZLM XIV,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(5)(7)(11)</w:t>
            </w:r>
            <w:r>
              <w:rPr>
                <w:rFonts w:ascii="Arial" w:cs="Arial" w:eastAsia="Arial" w:hAnsi="Arial"/>
                <w:sz w:val="17"/>
                <w:szCs w:val="17"/>
                <w:color w:val="auto"/>
                <w:w w:val="98"/>
              </w:rPr>
              <w:t>, (Estimated yield 24.46%,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15, 2029)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33,420,000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18,273,114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16,854,033</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Park Avenue Institutional Advisers CLO Ltd 2018-1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24.78%,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4,505,230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Regatta III Funding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3"/>
              </w:rPr>
              <w:t>CLO subordinated notes</w:t>
            </w:r>
            <w:r>
              <w:rPr>
                <w:rFonts w:ascii="Arial" w:cs="Arial" w:eastAsia="Arial" w:hAnsi="Arial"/>
                <w:sz w:val="28"/>
                <w:szCs w:val="28"/>
                <w:color w:val="auto"/>
                <w:w w:val="93"/>
                <w:vertAlign w:val="superscript"/>
              </w:rPr>
              <w:t>(5)(7)(10)(15)</w:t>
            </w:r>
            <w:r>
              <w:rPr>
                <w:rFonts w:ascii="Arial" w:cs="Arial" w:eastAsia="Arial" w:hAnsi="Arial"/>
                <w:sz w:val="17"/>
                <w:szCs w:val="17"/>
                <w:color w:val="auto"/>
                <w:w w:val="93"/>
              </w:rPr>
              <w:t>, (Estimated yield 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April 15, 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38,367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904"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Seneca Park CLO, Ltd.</w:t>
            </w: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38.36%,</w:t>
            </w:r>
          </w:p>
        </w:tc>
        <w:tc>
          <w:tcPr>
            <w:tcW w:w="18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maturity July 17, 2026)</w:t>
            </w:r>
          </w:p>
        </w:tc>
        <w:tc>
          <w:tcPr>
            <w:tcW w:w="1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6,000,000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795,577</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540,000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Shackleton 2013-IV-R CLO, Ltd.</w:t>
            </w:r>
          </w:p>
        </w:tc>
        <w:tc>
          <w:tcPr>
            <w:tcW w:w="1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11.47%,</w:t>
            </w:r>
          </w:p>
        </w:tc>
        <w:tc>
          <w:tcPr>
            <w:tcW w:w="1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maturity April 13, 2031)</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11,750,000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9,242,181</w:t>
            </w:r>
          </w:p>
        </w:tc>
        <w:tc>
          <w:tcPr>
            <w:tcW w:w="3040" w:type="dxa"/>
            <w:vAlign w:val="bottom"/>
          </w:tcPr>
          <w:p>
            <w:pPr>
              <w:jc w:val="right"/>
              <w:ind w:right="1710"/>
              <w:spacing w:after="0"/>
              <w:rPr>
                <w:sz w:val="20"/>
                <w:szCs w:val="20"/>
                <w:color w:val="auto"/>
              </w:rPr>
            </w:pPr>
            <w:r>
              <w:rPr>
                <w:rFonts w:ascii="Arial" w:cs="Arial" w:eastAsia="Arial" w:hAnsi="Arial"/>
                <w:sz w:val="18"/>
                <w:szCs w:val="18"/>
                <w:color w:val="auto"/>
              </w:rPr>
              <w:t>4,870,013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Shackleton 2014-V-R CLO, Ltd.</w:t>
            </w: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25.46%,</w:t>
            </w:r>
          </w:p>
        </w:tc>
        <w:tc>
          <w:tcPr>
            <w:tcW w:w="18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maturity May 07, 2031)</w:t>
            </w:r>
          </w:p>
        </w:tc>
        <w:tc>
          <w:tcPr>
            <w:tcW w:w="1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15,500,000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9,230,518</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7,750,000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Shackleton 2015-VII CLO, Ltd.</w:t>
            </w:r>
          </w:p>
        </w:tc>
        <w:tc>
          <w:tcPr>
            <w:tcW w:w="1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9.60%,</w:t>
            </w:r>
          </w:p>
        </w:tc>
        <w:tc>
          <w:tcPr>
            <w:tcW w:w="18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maturity July 15, 2031)</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12,500,000</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8,944,530</w:t>
            </w:r>
          </w:p>
        </w:tc>
        <w:tc>
          <w:tcPr>
            <w:tcW w:w="3040" w:type="dxa"/>
            <w:vAlign w:val="bottom"/>
          </w:tcPr>
          <w:p>
            <w:pPr>
              <w:jc w:val="right"/>
              <w:ind w:right="1710"/>
              <w:spacing w:after="0"/>
              <w:rPr>
                <w:sz w:val="20"/>
                <w:szCs w:val="20"/>
                <w:color w:val="auto"/>
              </w:rPr>
            </w:pPr>
            <w:r>
              <w:rPr>
                <w:rFonts w:ascii="Arial" w:cs="Arial" w:eastAsia="Arial" w:hAnsi="Arial"/>
                <w:sz w:val="18"/>
                <w:szCs w:val="18"/>
                <w:color w:val="auto"/>
              </w:rPr>
              <w:t>4,563,511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Shackleton 2017-X CLO, Ltd.</w:t>
            </w: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8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15.43%,</w:t>
            </w:r>
          </w:p>
        </w:tc>
        <w:tc>
          <w:tcPr>
            <w:tcW w:w="18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maturity April 20, 2029)</w:t>
            </w:r>
          </w:p>
        </w:tc>
        <w:tc>
          <w:tcPr>
            <w:tcW w:w="1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25,538,000</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15,707,829</w:t>
            </w:r>
          </w:p>
        </w:tc>
        <w:tc>
          <w:tcPr>
            <w:tcW w:w="30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10,215,200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(Continued on next page)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0" w:type="dxa"/>
            <w:vAlign w:val="bottom"/>
          </w:tcPr>
          <w:p>
            <w:pPr>
              <w:spacing w:after="0"/>
              <w:rPr>
                <w:sz w:val="1"/>
                <w:szCs w:val="1"/>
                <w:color w:val="auto"/>
              </w:rPr>
            </w:pPr>
          </w:p>
        </w:tc>
      </w:tr>
      <w:tr>
        <w:trPr>
          <w:trHeight w:val="234"/>
        </w:trPr>
        <w:tc>
          <w:tcPr>
            <w:tcW w:w="45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Sound Point CLO VI-R,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20, 2031)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19,656,983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9,019,588</w:t>
            </w:r>
          </w:p>
        </w:tc>
        <w:tc>
          <w:tcPr>
            <w:tcW w:w="10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5,700,525</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Sound Point CLO XXII,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23.44%,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20, 2032)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3,332,457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3,172,000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Telos CLO 2013-3,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9"/>
              </w:rPr>
              <w:t>CLO subordinated notes</w:t>
            </w:r>
            <w:r>
              <w:rPr>
                <w:rFonts w:ascii="Arial" w:cs="Arial" w:eastAsia="Arial" w:hAnsi="Arial"/>
                <w:sz w:val="28"/>
                <w:szCs w:val="28"/>
                <w:color w:val="auto"/>
                <w:w w:val="99"/>
                <w:vertAlign w:val="superscript"/>
              </w:rPr>
              <w:t>(5)(7)(12)</w:t>
            </w:r>
            <w:r>
              <w:rPr>
                <w:rFonts w:ascii="Arial" w:cs="Arial" w:eastAsia="Arial" w:hAnsi="Arial"/>
                <w:sz w:val="17"/>
                <w:szCs w:val="17"/>
                <w:color w:val="auto"/>
                <w:w w:val="99"/>
              </w:rPr>
              <w:t>, (Estimated yield -6.20%,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17, 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14,332,210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6,681,756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2,006,509</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Telos CLO 2013-4,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17.82%,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17, 2030)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6,923,573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3,110,420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Telos CLO 2014-6,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17, 2027)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21,400,000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8,639,251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3,617,548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Thacher Park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28.23%,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October 20, 2026)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THL Credit Wind River 2015-1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October 20, 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1,300,000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805,377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624,000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THL Credit Wind River 2017-1 CLO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(5)(7)(11)</w:t>
            </w:r>
            <w:r>
              <w:rPr>
                <w:rFonts w:ascii="Arial" w:cs="Arial" w:eastAsia="Arial" w:hAnsi="Arial"/>
                <w:sz w:val="17"/>
                <w:szCs w:val="17"/>
                <w:color w:val="auto"/>
              </w:rPr>
              <w:t>, (Estimated yield 4.28%,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April 18,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9,931,444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THL Credit Wind River 2017-4 CLO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November 20, 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10,765,400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9,737,127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8,504,666</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Tralee CLO 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8.67%,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July 20,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Tralee CLO IV,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January 20, 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13,270,000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11,072,170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7,033,100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Trinitas CLO VII, Ltd.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32.17%,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January 25, 2031)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Trinitas CLO VIII, Ltd.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w w:val="98"/>
              </w:rPr>
              <w:t>CLO subordinated notes</w:t>
            </w:r>
            <w:r>
              <w:rPr>
                <w:rFonts w:ascii="Arial" w:cs="Arial" w:eastAsia="Arial" w:hAnsi="Arial"/>
                <w:sz w:val="28"/>
                <w:szCs w:val="28"/>
                <w:color w:val="auto"/>
                <w:w w:val="98"/>
                <w:vertAlign w:val="superscript"/>
              </w:rPr>
              <w:t>(5)(7)(12)</w:t>
            </w:r>
            <w:r>
              <w:rPr>
                <w:rFonts w:ascii="Arial" w:cs="Arial" w:eastAsia="Arial" w:hAnsi="Arial"/>
                <w:sz w:val="17"/>
                <w:szCs w:val="17"/>
                <w:color w:val="auto"/>
                <w:w w:val="98"/>
              </w:rPr>
              <w:t>, (Estimated yield 18.70%,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20, 2117)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562,500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b w:val="1"/>
                <w:bCs w:val="1"/>
                <w:color w:val="auto"/>
              </w:rPr>
              <w:t>Venture XIV CLO, Limited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9.06%,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 August 28, 2029)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9,250,000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4,853,334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1,665,000</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Venture XV CLO, Limited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560" w:type="dxa"/>
            <w:vAlign w:val="bottom"/>
            <w:gridSpan w:val="4"/>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spacing w:after="0"/>
              <w:rPr>
                <w:sz w:val="20"/>
                <w:szCs w:val="20"/>
                <w:color w:val="auto"/>
              </w:rPr>
            </w:pPr>
            <w:r>
              <w:rPr>
                <w:rFonts w:ascii="Arial" w:cs="Arial" w:eastAsia="Arial" w:hAnsi="Arial"/>
                <w:sz w:val="18"/>
                <w:szCs w:val="18"/>
                <w:color w:val="auto"/>
              </w:rPr>
              <w:t>maturity July 15, 2032)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9,450,126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5,779,061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2,646,035</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(Continued on next page)</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COMPANY/INVESTMENT</w:t>
            </w:r>
            <w:r>
              <w:rPr>
                <w:rFonts w:ascii="Arial" w:cs="Arial" w:eastAsia="Arial" w:hAnsi="Arial"/>
                <w:sz w:val="30"/>
                <w:szCs w:val="30"/>
                <w:b w:val="1"/>
                <w:bCs w:val="1"/>
                <w:color w:val="auto"/>
                <w:vertAlign w:val="superscript"/>
              </w:rPr>
              <w:t>(1)(14)</w:t>
            </w:r>
          </w:p>
        </w:tc>
        <w:tc>
          <w:tcPr>
            <w:tcW w:w="16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PRINCIPAL</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3"/>
              </w:rPr>
              <w:t>FAIR VALUE</w:t>
            </w:r>
            <w:r>
              <w:rPr>
                <w:rFonts w:ascii="Arial" w:cs="Arial" w:eastAsia="Arial" w:hAnsi="Arial"/>
                <w:sz w:val="30"/>
                <w:szCs w:val="30"/>
                <w:b w:val="1"/>
                <w:bCs w:val="1"/>
                <w:color w:val="auto"/>
                <w:w w:val="93"/>
                <w:vertAlign w:val="superscript"/>
              </w:rPr>
              <w:t>(2)</w:t>
            </w:r>
          </w:p>
        </w:tc>
        <w:tc>
          <w:tcPr>
            <w:tcW w:w="16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4700" w:type="dxa"/>
            <w:vAlign w:val="bottom"/>
            <w:gridSpan w:val="7"/>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6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Collateralized Loan Obligation - Equity Investments -</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412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(continued)</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Structured Finance - Equity Investments (continued)</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Venture XVII CLO, Limited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11.44%,</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7"/>
          </w:tcPr>
          <w:p>
            <w:pPr>
              <w:spacing w:after="0"/>
              <w:rPr>
                <w:sz w:val="20"/>
                <w:szCs w:val="20"/>
                <w:color w:val="auto"/>
              </w:rPr>
            </w:pPr>
            <w:r>
              <w:rPr>
                <w:rFonts w:ascii="Arial" w:cs="Arial" w:eastAsia="Arial" w:hAnsi="Arial"/>
                <w:sz w:val="18"/>
                <w:szCs w:val="18"/>
                <w:color w:val="auto"/>
              </w:rPr>
              <w:t>maturity April 15, 2027)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17,000,000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9,922,591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4,152,301</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Venture XX CLO, Limited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shd w:val="clear" w:color="auto" w:fill="CCEEFF"/>
          </w:tcPr>
          <w:p>
            <w:pPr>
              <w:spacing w:after="0" w:line="242" w:lineRule="exact"/>
              <w:rPr>
                <w:sz w:val="20"/>
                <w:szCs w:val="20"/>
                <w:color w:val="auto"/>
              </w:rPr>
            </w:pPr>
            <w:r>
              <w:rPr>
                <w:rFonts w:ascii="Arial" w:cs="Arial" w:eastAsia="Arial" w:hAnsi="Arial"/>
                <w:sz w:val="17"/>
                <w:szCs w:val="17"/>
                <w:color w:val="auto"/>
                <w:w w:val="99"/>
              </w:rPr>
              <w:t>CLO subordinated notes</w:t>
            </w:r>
            <w:r>
              <w:rPr>
                <w:rFonts w:ascii="Arial" w:cs="Arial" w:eastAsia="Arial" w:hAnsi="Arial"/>
                <w:sz w:val="28"/>
                <w:szCs w:val="28"/>
                <w:color w:val="auto"/>
                <w:w w:val="99"/>
                <w:vertAlign w:val="superscript"/>
              </w:rPr>
              <w:t>(5)(7)(12)</w:t>
            </w:r>
            <w:r>
              <w:rPr>
                <w:rFonts w:ascii="Arial" w:cs="Arial" w:eastAsia="Arial" w:hAnsi="Arial"/>
                <w:sz w:val="17"/>
                <w:szCs w:val="17"/>
                <w:color w:val="auto"/>
                <w:w w:val="99"/>
              </w:rPr>
              <w:t>, (Estimated yield -57.06%,</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maturity April 15, 2027)</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2,768,299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1,860,000</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Venture XXI CLO, Limited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17.61%,</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7"/>
          </w:tcPr>
          <w:p>
            <w:pPr>
              <w:spacing w:after="0"/>
              <w:rPr>
                <w:sz w:val="20"/>
                <w:szCs w:val="20"/>
                <w:color w:val="auto"/>
              </w:rPr>
            </w:pPr>
            <w:r>
              <w:rPr>
                <w:rFonts w:ascii="Arial" w:cs="Arial" w:eastAsia="Arial" w:hAnsi="Arial"/>
                <w:sz w:val="18"/>
                <w:szCs w:val="18"/>
                <w:color w:val="auto"/>
              </w:rPr>
              <w:t>maturity July 15, 2027)</w:t>
            </w:r>
          </w:p>
        </w:tc>
        <w:tc>
          <w:tcPr>
            <w:tcW w:w="1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30,000,000</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17,151,926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Venture 32 CLO, Limited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16.39%,</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maturity July 18, 2031)</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3,136,346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2,555,000</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Venture 37 CLO, Limited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20.14%,</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7"/>
          </w:tcPr>
          <w:p>
            <w:pPr>
              <w:spacing w:after="0"/>
              <w:rPr>
                <w:sz w:val="20"/>
                <w:szCs w:val="20"/>
                <w:color w:val="auto"/>
              </w:rPr>
            </w:pPr>
            <w:r>
              <w:rPr>
                <w:rFonts w:ascii="Arial" w:cs="Arial" w:eastAsia="Arial" w:hAnsi="Arial"/>
                <w:sz w:val="18"/>
                <w:szCs w:val="18"/>
                <w:color w:val="auto"/>
              </w:rPr>
              <w:t>maturity July 15, 2032)</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9,000,000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7,710,173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7,200,000</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Vibrant CLO III, Ltd.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15.39%,</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maturity October 20, 2031)</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3,548,056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Wellfleet 2016-2 CLO, Ltd.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12.94%,</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7"/>
          </w:tcPr>
          <w:p>
            <w:pPr>
              <w:spacing w:after="0"/>
              <w:rPr>
                <w:sz w:val="20"/>
                <w:szCs w:val="20"/>
                <w:color w:val="auto"/>
              </w:rPr>
            </w:pPr>
            <w:r>
              <w:rPr>
                <w:rFonts w:ascii="Arial" w:cs="Arial" w:eastAsia="Arial" w:hAnsi="Arial"/>
                <w:sz w:val="18"/>
                <w:szCs w:val="18"/>
                <w:color w:val="auto"/>
              </w:rPr>
              <w:t>maturity October 20, 2028)</w:t>
            </w:r>
          </w:p>
        </w:tc>
        <w:tc>
          <w:tcPr>
            <w:tcW w:w="1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8,108,305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5,300,000</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West CLO 2014-1, Ltd.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25.24%,</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maturity July 18, 2026)</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20,250,000</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8,825,030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7,290,000</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Zais CLO 8, Limited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(5)(7)(12)</w:t>
            </w:r>
            <w:r>
              <w:rPr>
                <w:rFonts w:ascii="Arial" w:cs="Arial" w:eastAsia="Arial" w:hAnsi="Arial"/>
                <w:sz w:val="17"/>
                <w:szCs w:val="17"/>
                <w:color w:val="auto"/>
              </w:rPr>
              <w:t>, (Estimated yield 20.15%,</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gridSpan w:val="7"/>
          </w:tcPr>
          <w:p>
            <w:pPr>
              <w:spacing w:after="0"/>
              <w:rPr>
                <w:sz w:val="20"/>
                <w:szCs w:val="20"/>
                <w:color w:val="auto"/>
              </w:rPr>
            </w:pPr>
            <w:r>
              <w:rPr>
                <w:rFonts w:ascii="Arial" w:cs="Arial" w:eastAsia="Arial" w:hAnsi="Arial"/>
                <w:sz w:val="18"/>
                <w:szCs w:val="18"/>
                <w:color w:val="auto"/>
              </w:rPr>
              <w:t>maturity April 15, 2029)</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2,208,264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Zais CLO 9, Limited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80" w:type="dxa"/>
            <w:vAlign w:val="bottom"/>
            <w:gridSpan w:val="6"/>
            <w:shd w:val="clear" w:color="auto" w:fill="CCEEFF"/>
          </w:tcPr>
          <w:p>
            <w:pPr>
              <w:spacing w:after="0" w:line="242" w:lineRule="exact"/>
              <w:rPr>
                <w:sz w:val="20"/>
                <w:szCs w:val="20"/>
                <w:color w:val="auto"/>
              </w:rPr>
            </w:pPr>
            <w:r>
              <w:rPr>
                <w:rFonts w:ascii="Arial" w:cs="Arial" w:eastAsia="Arial" w:hAnsi="Arial"/>
                <w:sz w:val="17"/>
                <w:szCs w:val="17"/>
                <w:color w:val="auto"/>
              </w:rPr>
              <w:t>CLO subordinated notes</w:t>
            </w:r>
            <w:r>
              <w:rPr>
                <w:rFonts w:ascii="Arial" w:cs="Arial" w:eastAsia="Arial" w:hAnsi="Arial"/>
                <w:sz w:val="28"/>
                <w:szCs w:val="28"/>
                <w:color w:val="auto"/>
                <w:vertAlign w:val="superscript"/>
              </w:rPr>
              <w:t>(5)(7)</w:t>
            </w:r>
            <w:r>
              <w:rPr>
                <w:rFonts w:ascii="Arial" w:cs="Arial" w:eastAsia="Arial" w:hAnsi="Arial"/>
                <w:sz w:val="17"/>
                <w:szCs w:val="17"/>
                <w:color w:val="auto"/>
              </w:rPr>
              <w:t>, (Estimated yield 15.75%,</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maturity July 20, 2031)</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10,700,000</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8,948,055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5,350,000</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Other CLO equity related investments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gridSpan w:val="6"/>
          </w:tcPr>
          <w:p>
            <w:pPr>
              <w:spacing w:after="0" w:line="284" w:lineRule="exact"/>
              <w:rPr>
                <w:sz w:val="20"/>
                <w:szCs w:val="20"/>
                <w:color w:val="auto"/>
              </w:rPr>
            </w:pPr>
            <w:r>
              <w:rPr>
                <w:rFonts w:ascii="Arial" w:cs="Arial" w:eastAsia="Arial" w:hAnsi="Arial"/>
                <w:sz w:val="18"/>
                <w:szCs w:val="18"/>
                <w:color w:val="auto"/>
              </w:rPr>
              <w:t>CLO other</w:t>
            </w:r>
            <w:r>
              <w:rPr>
                <w:rFonts w:ascii="Arial" w:cs="Arial" w:eastAsia="Arial" w:hAnsi="Arial"/>
                <w:sz w:val="30"/>
                <w:szCs w:val="30"/>
                <w:color w:val="auto"/>
                <w:vertAlign w:val="superscript"/>
              </w:rPr>
              <w:t>(8)</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1,905,415</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 Structured Finance - Equity Investments</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812,168,026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614,221,268</w:t>
            </w: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b w:val="1"/>
                <w:bCs w:val="1"/>
                <w:color w:val="auto"/>
                <w:w w:val="95"/>
              </w:rPr>
              <w:t>Total Collateralized Loan Obligation - Equity Investments</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812,168,026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614,221,268</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858,705,251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660,645,352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141.31%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Cash Equivalents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4680" w:type="dxa"/>
            <w:vAlign w:val="bottom"/>
            <w:gridSpan w:val="6"/>
            <w:shd w:val="clear" w:color="auto" w:fill="CCEEFF"/>
          </w:tcPr>
          <w:p>
            <w:pPr>
              <w:spacing w:after="0" w:line="269" w:lineRule="exact"/>
              <w:rPr>
                <w:sz w:val="20"/>
                <w:szCs w:val="20"/>
                <w:color w:val="auto"/>
              </w:rPr>
            </w:pPr>
            <w:r>
              <w:rPr>
                <w:rFonts w:ascii="Arial" w:cs="Arial" w:eastAsia="Arial" w:hAnsi="Arial"/>
                <w:sz w:val="18"/>
                <w:szCs w:val="18"/>
                <w:color w:val="auto"/>
              </w:rPr>
              <w:t>First American Government Obligations Fund</w:t>
            </w:r>
            <w:r>
              <w:rPr>
                <w:rFonts w:ascii="Arial" w:cs="Arial" w:eastAsia="Arial" w:hAnsi="Arial"/>
                <w:sz w:val="30"/>
                <w:szCs w:val="30"/>
                <w:color w:val="auto"/>
                <w:vertAlign w:val="superscript"/>
              </w:rPr>
              <w:t>(13)</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19,626,190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19,626,190</w:t>
            </w:r>
          </w:p>
        </w:tc>
        <w:tc>
          <w:tcPr>
            <w:tcW w:w="1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gridSpan w:val="6"/>
          </w:tcPr>
          <w:p>
            <w:pPr>
              <w:ind w:left="480"/>
              <w:spacing w:after="0"/>
              <w:rPr>
                <w:sz w:val="20"/>
                <w:szCs w:val="20"/>
                <w:color w:val="auto"/>
              </w:rPr>
            </w:pPr>
            <w:r>
              <w:rPr>
                <w:rFonts w:ascii="Arial" w:cs="Arial" w:eastAsia="Arial" w:hAnsi="Arial"/>
                <w:sz w:val="18"/>
                <w:szCs w:val="18"/>
                <w:b w:val="1"/>
                <w:bCs w:val="1"/>
                <w:color w:val="auto"/>
              </w:rPr>
              <w:t>Total Cash Equivalents</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19,626,190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19,626,190</w:t>
            </w:r>
          </w:p>
        </w:tc>
        <w:tc>
          <w:tcPr>
            <w:tcW w:w="22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Total Investments and Cash Equivalents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878,331,441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680,271,542</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gridSpan w:val="6"/>
          </w:tcPr>
          <w:p>
            <w:pPr>
              <w:spacing w:after="0"/>
              <w:rPr>
                <w:sz w:val="20"/>
                <w:szCs w:val="20"/>
                <w:color w:val="auto"/>
              </w:rPr>
            </w:pPr>
            <w:r>
              <w:rPr>
                <w:rFonts w:ascii="Arial" w:cs="Arial" w:eastAsia="Arial" w:hAnsi="Arial"/>
                <w:sz w:val="18"/>
                <w:szCs w:val="18"/>
                <w:b w:val="1"/>
                <w:bCs w:val="1"/>
                <w:color w:val="auto"/>
              </w:rPr>
              <w:t>LIABILITIES IN EXCESS OF OTHER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(212,763,169)</w:t>
            </w: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Borders>
              <w:top w:val="single" w:sz="8" w:color="CCEEFF"/>
            </w:tcBorders>
            <w:gridSpan w:val="6"/>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ASSETS (equivalent to $6.81 per share based on</w:t>
            </w:r>
          </w:p>
        </w:tc>
        <w:tc>
          <w:tcPr>
            <w:tcW w:w="1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68,681,991 shares of common stock outstanding)</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467,508,373</w:t>
            </w: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ectPr>
          <w:pgSz w:w="11900" w:h="16838" w:orient="portrait"/>
          <w:cols w:equalWidth="0" w:num="1">
            <w:col w:w="11420"/>
          </w:cols>
          <w:pgMar w:left="240" w:top="904"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5" w:name="page16"/>
    <w:bookmarkEnd w:id="15"/>
    <w:p>
      <w:pPr>
        <w:jc w:val="center"/>
        <w:ind w:right="-31"/>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SCHEDULE OF INVESTMENTS – (continued)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332" w:right="220" w:hanging="332"/>
        <w:spacing w:after="0" w:line="209" w:lineRule="auto"/>
        <w:tabs>
          <w:tab w:leader="none" w:pos="33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We do not “control” and are not an “affiliate” of any of our portfolio companies, each as defined in the Investment Company 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 w:lineRule="exact"/>
        <w:rPr>
          <w:rFonts w:ascii="Arial" w:cs="Arial" w:eastAsia="Arial" w:hAnsi="Arial"/>
          <w:sz w:val="30"/>
          <w:szCs w:val="30"/>
          <w:color w:val="auto"/>
          <w:vertAlign w:val="superscript"/>
        </w:rPr>
      </w:pPr>
    </w:p>
    <w:p>
      <w:pPr>
        <w:ind w:left="332" w:hanging="332"/>
        <w:spacing w:after="0" w:line="187" w:lineRule="auto"/>
        <w:tabs>
          <w:tab w:leader="none" w:pos="33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Fair value is determined in good faith by the Board of Directors of the Fund.</w:t>
      </w:r>
    </w:p>
    <w:p>
      <w:pPr>
        <w:spacing w:after="0" w:line="57" w:lineRule="exact"/>
        <w:rPr>
          <w:rFonts w:ascii="Arial" w:cs="Arial" w:eastAsia="Arial" w:hAnsi="Arial"/>
          <w:sz w:val="30"/>
          <w:szCs w:val="30"/>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original issue discount or market discount.</w:t>
      </w:r>
    </w:p>
    <w:p>
      <w:pPr>
        <w:spacing w:after="0" w:line="56"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Investment represents greater than 5% of net assets.</w:t>
      </w:r>
    </w:p>
    <w:p>
      <w:pPr>
        <w:spacing w:after="0" w:line="56"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Cost value reflects accretion of effective yield less any cash distributions received or entitled to be received from CLO equity investments.</w:t>
      </w:r>
    </w:p>
    <w:p>
      <w:pPr>
        <w:spacing w:after="0" w:line="56" w:lineRule="exact"/>
        <w:rPr>
          <w:rFonts w:ascii="Arial" w:cs="Arial" w:eastAsia="Arial" w:hAnsi="Arial"/>
          <w:sz w:val="24"/>
          <w:szCs w:val="24"/>
          <w:color w:val="auto"/>
          <w:vertAlign w:val="superscript"/>
        </w:rPr>
      </w:pPr>
    </w:p>
    <w:p>
      <w:pPr>
        <w:ind w:left="332" w:right="500" w:hanging="332"/>
        <w:spacing w:after="0" w:line="187" w:lineRule="auto"/>
        <w:tabs>
          <w:tab w:leader="none" w:pos="33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CLO secured notes generally bear interest at a rate determined by reference to three-month LIBOR which resets quarterly. For each CLO debt investment, the rate provided is as of December 31, 2019.</w:t>
      </w:r>
    </w:p>
    <w:p>
      <w:pPr>
        <w:spacing w:after="0" w:line="40" w:lineRule="exact"/>
        <w:rPr>
          <w:rFonts w:ascii="Arial" w:cs="Arial" w:eastAsia="Arial" w:hAnsi="Arial"/>
          <w:sz w:val="30"/>
          <w:szCs w:val="30"/>
          <w:color w:val="auto"/>
          <w:vertAlign w:val="superscript"/>
        </w:rPr>
      </w:pPr>
    </w:p>
    <w:p>
      <w:pPr>
        <w:ind w:left="332" w:right="20" w:hanging="332"/>
        <w:spacing w:after="0" w:line="247" w:lineRule="auto"/>
        <w:tabs>
          <w:tab w:leader="none" w:pos="332"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CLO subordinated notes, preferred shares and income notes are considered equity positions in the CLO vehicles. Equity investments are entitled to recurring distributions which are generally equal to the remaining cash flow of the payments made by the underlying vehicle’s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w:t>
      </w:r>
    </w:p>
    <w:p>
      <w:pPr>
        <w:spacing w:after="0" w:line="2" w:lineRule="exact"/>
        <w:rPr>
          <w:rFonts w:ascii="Arial" w:cs="Arial" w:eastAsia="Arial" w:hAnsi="Arial"/>
          <w:sz w:val="26"/>
          <w:szCs w:val="26"/>
          <w:color w:val="auto"/>
          <w:vertAlign w:val="superscript"/>
        </w:rPr>
      </w:pPr>
    </w:p>
    <w:p>
      <w:pPr>
        <w:ind w:left="332"/>
        <w:spacing w:after="0"/>
        <w:rPr>
          <w:rFonts w:ascii="Arial" w:cs="Arial" w:eastAsia="Arial" w:hAnsi="Arial"/>
          <w:sz w:val="26"/>
          <w:szCs w:val="26"/>
          <w:color w:val="auto"/>
          <w:vertAlign w:val="superscript"/>
        </w:rPr>
      </w:pPr>
      <w:r>
        <w:rPr>
          <w:rFonts w:ascii="Arial" w:cs="Arial" w:eastAsia="Arial" w:hAnsi="Arial"/>
          <w:sz w:val="18"/>
          <w:szCs w:val="18"/>
          <w:color w:val="auto"/>
        </w:rPr>
        <w:t>Such projections are periodically reviewed and adjusted, and the estimated yield may not ultimately be realized.</w:t>
      </w:r>
    </w:p>
    <w:p>
      <w:pPr>
        <w:spacing w:after="0" w:line="9" w:lineRule="exact"/>
        <w:rPr>
          <w:rFonts w:ascii="Arial" w:cs="Arial" w:eastAsia="Arial" w:hAnsi="Arial"/>
          <w:sz w:val="26"/>
          <w:szCs w:val="26"/>
          <w:color w:val="auto"/>
          <w:vertAlign w:val="superscript"/>
        </w:rPr>
      </w:pPr>
    </w:p>
    <w:p>
      <w:pPr>
        <w:ind w:left="332" w:hanging="332"/>
        <w:spacing w:after="0" w:line="187" w:lineRule="auto"/>
        <w:tabs>
          <w:tab w:leader="none" w:pos="332"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Fair value represents discounted cash flows associated with fees earned from CLO equity investments.</w:t>
      </w:r>
    </w:p>
    <w:p>
      <w:pPr>
        <w:spacing w:after="0" w:line="57" w:lineRule="exact"/>
        <w:rPr>
          <w:rFonts w:ascii="Arial" w:cs="Arial" w:eastAsia="Arial" w:hAnsi="Arial"/>
          <w:sz w:val="30"/>
          <w:szCs w:val="30"/>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Investment has not made inaugural distribution for relevant period end. See “Note 2. Summary of Significant Accounting Policies.”</w:t>
      </w:r>
    </w:p>
    <w:p>
      <w:pPr>
        <w:spacing w:after="0" w:line="56" w:lineRule="exact"/>
        <w:rPr>
          <w:rFonts w:ascii="Arial" w:cs="Arial" w:eastAsia="Arial" w:hAnsi="Arial"/>
          <w:sz w:val="24"/>
          <w:szCs w:val="24"/>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The CLO equity investment was optionally redeemed. See “Note 2. Summary of Significant Accounting Policies.”</w:t>
      </w:r>
    </w:p>
    <w:p>
      <w:pPr>
        <w:spacing w:after="0" w:line="56" w:lineRule="exact"/>
        <w:rPr>
          <w:rFonts w:ascii="Arial" w:cs="Arial" w:eastAsia="Arial" w:hAnsi="Arial"/>
          <w:sz w:val="24"/>
          <w:szCs w:val="24"/>
          <w:color w:val="auto"/>
          <w:vertAlign w:val="superscript"/>
        </w:rPr>
      </w:pPr>
    </w:p>
    <w:p>
      <w:pPr>
        <w:ind w:left="332" w:right="780" w:hanging="332"/>
        <w:spacing w:after="0" w:line="199" w:lineRule="auto"/>
        <w:tabs>
          <w:tab w:leader="none" w:pos="33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Securities held as collateral pursuant to repurchase agreement with Nomura Securities International, Inc. See “Note 2. Summary of Significant Accounting Policies.”</w:t>
      </w:r>
    </w:p>
    <w:p>
      <w:pPr>
        <w:spacing w:after="0" w:line="41" w:lineRule="exact"/>
        <w:rPr>
          <w:rFonts w:ascii="Arial" w:cs="Arial" w:eastAsia="Arial" w:hAnsi="Arial"/>
          <w:sz w:val="28"/>
          <w:szCs w:val="28"/>
          <w:color w:val="auto"/>
          <w:vertAlign w:val="superscript"/>
        </w:rPr>
      </w:pPr>
    </w:p>
    <w:p>
      <w:pPr>
        <w:ind w:left="332" w:right="640" w:hanging="332"/>
        <w:spacing w:after="0" w:line="207" w:lineRule="auto"/>
        <w:tabs>
          <w:tab w:leader="none" w:pos="33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The CLO equity is co-invested with the Fund’s affiliates pursuant to an exemptive order issued on June 14, 2017 by the Securities and Exchange Commission (“SEC”). See “Note 4. Related Party Transactions.”</w:t>
      </w:r>
    </w:p>
    <w:p>
      <w:pPr>
        <w:ind w:left="332" w:hanging="332"/>
        <w:spacing w:after="0" w:line="201" w:lineRule="auto"/>
        <w:tabs>
          <w:tab w:leader="none" w:pos="33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Represents cash equivalents held in a money market account as of December 31, 2019.</w:t>
      </w:r>
    </w:p>
    <w:p>
      <w:pPr>
        <w:spacing w:after="0" w:line="56" w:lineRule="exact"/>
        <w:rPr>
          <w:rFonts w:ascii="Arial" w:cs="Arial" w:eastAsia="Arial" w:hAnsi="Arial"/>
          <w:sz w:val="28"/>
          <w:szCs w:val="28"/>
          <w:color w:val="auto"/>
          <w:vertAlign w:val="superscript"/>
        </w:rPr>
      </w:pPr>
    </w:p>
    <w:p>
      <w:pPr>
        <w:ind w:left="332" w:hanging="332"/>
        <w:spacing w:after="0" w:line="186" w:lineRule="auto"/>
        <w:tabs>
          <w:tab w:leader="none" w:pos="332" w:val="left"/>
        </w:tabs>
        <w:numPr>
          <w:ilvl w:val="0"/>
          <w:numId w:val="1"/>
        </w:numPr>
        <w:rPr>
          <w:rFonts w:ascii="Arial" w:cs="Arial" w:eastAsia="Arial" w:hAnsi="Arial"/>
          <w:sz w:val="24"/>
          <w:szCs w:val="24"/>
          <w:color w:val="auto"/>
          <w:vertAlign w:val="superscript"/>
        </w:rPr>
      </w:pPr>
      <w:r>
        <w:rPr>
          <w:rFonts w:ascii="Arial" w:cs="Arial" w:eastAsia="Arial" w:hAnsi="Arial"/>
          <w:sz w:val="15"/>
          <w:szCs w:val="15"/>
          <w:color w:val="auto"/>
        </w:rPr>
        <w:t>The fair value of the investment was determined using significant unobservable inputs. See “Note 3. Fair Value.”</w:t>
      </w:r>
    </w:p>
    <w:p>
      <w:pPr>
        <w:spacing w:after="0" w:line="56" w:lineRule="exact"/>
        <w:rPr>
          <w:rFonts w:ascii="Arial" w:cs="Arial" w:eastAsia="Arial" w:hAnsi="Arial"/>
          <w:sz w:val="24"/>
          <w:szCs w:val="24"/>
          <w:color w:val="auto"/>
          <w:vertAlign w:val="superscript"/>
        </w:rPr>
      </w:pPr>
    </w:p>
    <w:p>
      <w:pPr>
        <w:ind w:left="332" w:hanging="332"/>
        <w:spacing w:after="0" w:line="199" w:lineRule="auto"/>
        <w:tabs>
          <w:tab w:leader="none" w:pos="33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This investment represents our percent ownership in certain equity securities transferred to OXLC upon the redemption of this investment on October 25, 2018.</w:t>
      </w:r>
    </w:p>
    <w:p>
      <w:pPr>
        <w:spacing w:after="0" w:line="2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904" w:right="2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FINANCIAL STATEMENTS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Schedule of Investments of Oxford Lane Capital Corp. (“OXLC,” “we,” “us,” “our,” or the “Fund”) are prepared in accordance with generally accepted accounting principles in the United States of America (“GAAP”) and pursuant to the requirements for reporting on Form N-Q. Accordingly, certain disclosures accompanying annual and semi-annual financial statements prepared in accordance with GAAP are omitted. In the opinion of management, all adjustments, consisting of normal recurring accruals, necessary for the fair statement of financial condition for the interim periods have been omitted. The Schedule of Investments and notes thereto should be read in conjunction with the financial statements and notes thereto included in the Fund’s Form N-CSRS for the six months ended September 30, 2019, as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The Fund determines the fair values its investment portfolio in accordance with the provisions of Financial Accounting Standards Board Accounting Standards Codification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Estimates made in the preparation of OXLC’s Schedule of Investments include the valuation of investments and the 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 OXLC is required to specifically fair value each individual investment on a quarterly basis.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ASC 820-10 clarifies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Collateralized Loan Obligations — Debt and Equity</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OXLC has acquired debt and equity positions in Collateralized Loan Obligations (“CLO”) investment vehicles and has purchased CLO warehouse facilities. These investments are special purpose financing vehicles. In valuing such investments,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OXLC considers the operating metrics of the specific investment vehicle, including compliance with collateralization tests, defaulted and restructured securities, and payment defaults, if any. Oxford Lane Management, LLC (“OXLC Management” or the “Adviser”) or the Fund’s board of directors (the “Board of Directors”) may elect to engage third-party valuation firms to provide assistance to our Valuation Committee and Board of Directors in valuing certain of our investments, including, but not limited to, when requested by the Board of Directors or OXLC Management.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Securities Sold Under Agreement to Repurchase</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Fund has entered into an agreement (“repurchase agreement”) whereby it sold securities to be repurchased at an agreed-upon price and date. Under this agreement, the Fund accounts for this transaction as a collateralized financing transaction which is recorded at the contracted repurchase amount plus interest. The Fund’s repurchase agreement is carried at cost; which approximates fair value. Refer to “Note 9. Borrowings Related to Securities Sold Under Agreement to Repurchase” in our most recent Semi-Annual Report as of September 30, 2019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Securities transactions are recorded on trade date.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which were optionally redeemed are first applied to the remaining cost basis until it is reduced to zero, after which distributions are recorded as realized gains.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Fund’s assets measured at fair value on a recurring basis subject to the disclosure requirements of ASC 820-10 at December 31, 2019,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ectPr>
          <w:pgSz w:w="11900" w:h="16838" w:orient="portrait"/>
          <w:cols w:equalWidth="0" w:num="1">
            <w:col w:w="11400"/>
          </w:cols>
          <w:pgMar w:left="240" w:top="90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07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CLO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 equity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Total investments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Active Markets for</w:t>
            </w:r>
          </w:p>
        </w:tc>
        <w:tc>
          <w:tcPr>
            <w:tcW w:w="14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Other Observable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Identical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2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44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614.2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614.2</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660.6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660.6</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680.2</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-1028700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-753745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00"/>
          </w:cols>
          <w:pgMar w:left="240" w:top="904" w:right="25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FAIR VALUE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December 31, 2019.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700" w:type="dxa"/>
            <w:vAlign w:val="bottom"/>
            <w:gridSpan w:val="8"/>
          </w:tcPr>
          <w:p>
            <w:pPr>
              <w:ind w:left="580"/>
              <w:spacing w:after="0"/>
              <w:rPr>
                <w:sz w:val="20"/>
                <w:szCs w:val="20"/>
                <w:color w:val="auto"/>
              </w:rPr>
            </w:pPr>
            <w:r>
              <w:rPr>
                <w:rFonts w:ascii="Arial" w:cs="Arial" w:eastAsia="Arial" w:hAnsi="Arial"/>
                <w:sz w:val="18"/>
                <w:szCs w:val="18"/>
                <w:b w:val="1"/>
                <w:bCs w:val="1"/>
                <w:color w:val="auto"/>
              </w:rPr>
              <w:t>Quantitative Information about Level 3 Fair Value Measurements</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Impact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Fair Value as of</w:t>
            </w: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Valuation Techniques /</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1700" w:type="dxa"/>
            <w:vAlign w:val="bottom"/>
            <w:gridSpan w:val="2"/>
          </w:tcPr>
          <w:p>
            <w:pPr>
              <w:ind w:left="120"/>
              <w:spacing w:after="0"/>
              <w:rPr>
                <w:sz w:val="20"/>
                <w:szCs w:val="20"/>
                <w:color w:val="auto"/>
              </w:rPr>
            </w:pPr>
            <w:r>
              <w:rPr>
                <w:rFonts w:ascii="Arial" w:cs="Arial" w:eastAsia="Arial" w:hAnsi="Arial"/>
                <w:sz w:val="18"/>
                <w:szCs w:val="18"/>
                <w:b w:val="1"/>
                <w:bCs w:val="1"/>
                <w:color w:val="auto"/>
              </w:rPr>
              <w:t>Range / Weighted</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Valuation from an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40" w:type="dxa"/>
            <w:vAlign w:val="bottom"/>
            <w:gridSpan w:val="2"/>
          </w:tcPr>
          <w:p>
            <w:pPr>
              <w:ind w:left="1040"/>
              <w:spacing w:after="0"/>
              <w:rPr>
                <w:sz w:val="20"/>
                <w:szCs w:val="20"/>
                <w:color w:val="auto"/>
              </w:rPr>
            </w:pPr>
            <w:r>
              <w:rPr>
                <w:rFonts w:ascii="Arial" w:cs="Arial" w:eastAsia="Arial" w:hAnsi="Arial"/>
                <w:sz w:val="18"/>
                <w:szCs w:val="18"/>
                <w:b w:val="1"/>
                <w:bCs w:val="1"/>
                <w:color w:val="auto"/>
              </w:rPr>
              <w:t>Assets</w:t>
            </w: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December 31, 2019</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Methodologies</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Input</w:t>
            </w:r>
          </w:p>
        </w:tc>
        <w:tc>
          <w:tcPr>
            <w:tcW w:w="1700" w:type="dxa"/>
            <w:vAlign w:val="bottom"/>
            <w:gridSpan w:val="2"/>
          </w:tcPr>
          <w:p>
            <w:pPr>
              <w:ind w:left="400"/>
              <w:spacing w:after="0" w:line="269"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30"/>
                <w:szCs w:val="30"/>
                <w:b w:val="1"/>
                <w:bCs w:val="1"/>
                <w:color w:val="auto"/>
                <w:vertAlign w:val="superscript"/>
              </w:rPr>
              <w:t>(3)</w:t>
            </w:r>
          </w:p>
        </w:tc>
        <w:tc>
          <w:tcPr>
            <w:tcW w:w="166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9"/>
              </w:rPr>
              <w:t>Increase in Input</w:t>
            </w:r>
            <w:r>
              <w:rPr>
                <w:rFonts w:ascii="Arial" w:cs="Arial" w:eastAsia="Arial" w:hAnsi="Arial"/>
                <w:sz w:val="30"/>
                <w:szCs w:val="30"/>
                <w:b w:val="1"/>
                <w:bCs w:val="1"/>
                <w:color w:val="auto"/>
                <w:w w:val="89"/>
                <w:vertAlign w:val="superscript"/>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debt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40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0"/>
              </w:rPr>
              <w:t>66.1%-96.6% / 86.8%</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Recent Transaction Price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Actual trade</w:t>
            </w:r>
          </w:p>
        </w:tc>
        <w:tc>
          <w:tcPr>
            <w:tcW w:w="1600" w:type="dxa"/>
            <w:vAlign w:val="bottom"/>
          </w:tcPr>
          <w:p>
            <w:pPr>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60" w:type="dxa"/>
            <w:vAlign w:val="bottom"/>
            <w:gridSpan w:val="3"/>
          </w:tcPr>
          <w:p>
            <w:pPr>
              <w:spacing w:after="0"/>
              <w:rPr>
                <w:sz w:val="20"/>
                <w:szCs w:val="20"/>
                <w:color w:val="auto"/>
              </w:rPr>
            </w:pPr>
            <w:r>
              <w:rPr>
                <w:rFonts w:ascii="Arial" w:cs="Arial" w:eastAsia="Arial" w:hAnsi="Arial"/>
                <w:sz w:val="18"/>
                <w:szCs w:val="18"/>
                <w:color w:val="auto"/>
              </w:rPr>
              <w:t>CLO equity</w:t>
            </w:r>
          </w:p>
        </w:tc>
        <w:tc>
          <w:tcPr>
            <w:tcW w:w="4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576.0</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quotes</w:t>
            </w:r>
          </w:p>
        </w:tc>
        <w:tc>
          <w:tcPr>
            <w:tcW w:w="140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1600" w:type="dxa"/>
            <w:vAlign w:val="bottom"/>
          </w:tcPr>
          <w:p>
            <w:pPr>
              <w:spacing w:after="0"/>
              <w:rPr>
                <w:sz w:val="20"/>
                <w:szCs w:val="20"/>
                <w:color w:val="auto"/>
              </w:rPr>
            </w:pPr>
            <w:r>
              <w:rPr>
                <w:rFonts w:ascii="Arial" w:cs="Arial" w:eastAsia="Arial" w:hAnsi="Arial"/>
                <w:sz w:val="18"/>
                <w:szCs w:val="18"/>
                <w:color w:val="auto"/>
                <w:w w:val="96"/>
              </w:rPr>
              <w:t>0.3%-85.4% / 46.7%</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Yield Analysis</w:t>
            </w:r>
          </w:p>
        </w:tc>
        <w:tc>
          <w:tcPr>
            <w:tcW w:w="140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1600" w:type="dxa"/>
            <w:vAlign w:val="bottom"/>
          </w:tcPr>
          <w:p>
            <w:pPr>
              <w:spacing w:after="0"/>
              <w:rPr>
                <w:sz w:val="20"/>
                <w:szCs w:val="20"/>
                <w:color w:val="auto"/>
              </w:rPr>
            </w:pPr>
            <w:r>
              <w:rPr>
                <w:rFonts w:ascii="Arial" w:cs="Arial" w:eastAsia="Arial" w:hAnsi="Arial"/>
                <w:sz w:val="18"/>
                <w:szCs w:val="18"/>
                <w:color w:val="auto"/>
                <w:w w:val="90"/>
              </w:rPr>
              <w:t>11.3%-23.9% / 16.6%</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34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90"/>
              </w:rPr>
              <w:t>Liquidation Net Asset Value</w:t>
            </w:r>
            <w:r>
              <w:rPr>
                <w:rFonts w:ascii="Arial" w:cs="Arial" w:eastAsia="Arial" w:hAnsi="Arial"/>
                <w:sz w:val="29"/>
                <w:szCs w:val="29"/>
                <w:color w:val="auto"/>
                <w:w w:val="90"/>
                <w:vertAlign w:val="superscript"/>
              </w:rPr>
              <w:t>(5)</w:t>
            </w:r>
          </w:p>
        </w:tc>
        <w:tc>
          <w:tcPr>
            <w:tcW w:w="140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8"/>
              </w:rPr>
              <w:t>NBIP</w:t>
            </w:r>
            <w:r>
              <w:rPr>
                <w:rFonts w:ascii="Arial" w:cs="Arial" w:eastAsia="Arial" w:hAnsi="Arial"/>
                <w:sz w:val="29"/>
                <w:szCs w:val="29"/>
                <w:color w:val="auto"/>
                <w:w w:val="88"/>
                <w:vertAlign w:val="superscript"/>
              </w:rPr>
              <w:t>(1)</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0.6%-8.2% / 4.5%</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equity - side letters</w:t>
            </w:r>
          </w:p>
        </w:tc>
        <w:tc>
          <w:tcPr>
            <w:tcW w:w="4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340" w:type="dxa"/>
            <w:vAlign w:val="bottom"/>
            <w:gridSpan w:val="2"/>
            <w:shd w:val="clear" w:color="auto" w:fill="CCEEFF"/>
          </w:tcPr>
          <w:p>
            <w:pPr>
              <w:jc w:val="center"/>
              <w:ind w:right="80"/>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(2)</w:t>
            </w:r>
          </w:p>
        </w:tc>
        <w:tc>
          <w:tcPr>
            <w:tcW w:w="1400" w:type="dxa"/>
            <w:vAlign w:val="bottom"/>
            <w:gridSpan w:val="2"/>
            <w:shd w:val="clear" w:color="auto" w:fill="CCEEFF"/>
          </w:tcPr>
          <w:p>
            <w:pPr>
              <w:jc w:val="center"/>
              <w:ind w:right="100"/>
              <w:spacing w:after="0" w:line="256" w:lineRule="exact"/>
              <w:rPr>
                <w:sz w:val="20"/>
                <w:szCs w:val="20"/>
                <w:color w:val="auto"/>
              </w:rPr>
            </w:pPr>
            <w:r>
              <w:rPr>
                <w:rFonts w:ascii="Arial" w:cs="Arial" w:eastAsia="Arial" w:hAnsi="Arial"/>
                <w:sz w:val="18"/>
                <w:szCs w:val="18"/>
                <w:color w:val="auto"/>
                <w:w w:val="87"/>
              </w:rPr>
              <w:t>Discount rate</w:t>
            </w:r>
            <w:r>
              <w:rPr>
                <w:rFonts w:ascii="Arial" w:cs="Arial" w:eastAsia="Arial" w:hAnsi="Arial"/>
                <w:sz w:val="29"/>
                <w:szCs w:val="29"/>
                <w:color w:val="auto"/>
                <w:w w:val="87"/>
                <w:vertAlign w:val="superscript"/>
              </w:rPr>
              <w:t>(2)</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w w:val="90"/>
              </w:rPr>
              <w:t>14.9%-21.6% / 17.8%</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Fair Value for Level 3</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660.6</w:t>
            </w:r>
          </w:p>
        </w:tc>
        <w:tc>
          <w:tcPr>
            <w:tcW w:w="2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2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Fund generally uses non-binding indicative prices (“NBIP”)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OXLC Management, including performance and covenant compliance information as provided by the independent trustee.</w:t>
      </w:r>
    </w:p>
    <w:p>
      <w:pPr>
        <w:ind w:left="340" w:right="100" w:hanging="332"/>
        <w:spacing w:after="0" w:line="187"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Fund calculates the fair value of CLO equity side letters based upon the net present value of expected contractual payment streams discounted using estimated market yields for the equity tranche of the respective CLO vehicle.</w:t>
      </w:r>
    </w:p>
    <w:p>
      <w:pPr>
        <w:spacing w:after="0" w:line="2" w:lineRule="exact"/>
        <w:rPr>
          <w:rFonts w:ascii="Arial" w:cs="Arial" w:eastAsia="Arial" w:hAnsi="Arial"/>
          <w:sz w:val="30"/>
          <w:szCs w:val="30"/>
          <w:color w:val="auto"/>
          <w:vertAlign w:val="superscript"/>
        </w:rPr>
      </w:pPr>
    </w:p>
    <w:p>
      <w:pPr>
        <w:ind w:left="340" w:hanging="332"/>
        <w:spacing w:after="0" w:line="180"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color w:val="auto"/>
        </w:rPr>
        <w:t>Weighted averages are calculated based on fair value of investments.</w:t>
      </w:r>
    </w:p>
    <w:p>
      <w:pPr>
        <w:spacing w:after="0" w:line="2" w:lineRule="exact"/>
        <w:rPr>
          <w:rFonts w:ascii="Arial" w:cs="Arial" w:eastAsia="Arial" w:hAnsi="Arial"/>
          <w:sz w:val="25"/>
          <w:szCs w:val="25"/>
          <w:color w:val="auto"/>
          <w:vertAlign w:val="superscript"/>
        </w:rPr>
      </w:pPr>
    </w:p>
    <w:p>
      <w:pPr>
        <w:jc w:val="both"/>
        <w:ind w:left="340" w:right="100" w:hanging="332"/>
        <w:spacing w:after="0" w:line="232" w:lineRule="auto"/>
        <w:tabs>
          <w:tab w:leader="none" w:pos="34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1" w:lineRule="exact"/>
        <w:rPr>
          <w:rFonts w:ascii="Arial" w:cs="Arial" w:eastAsia="Arial" w:hAnsi="Arial"/>
          <w:sz w:val="26"/>
          <w:szCs w:val="26"/>
          <w:color w:val="auto"/>
          <w:vertAlign w:val="superscript"/>
        </w:rPr>
      </w:pPr>
    </w:p>
    <w:p>
      <w:pPr>
        <w:ind w:left="340" w:right="220" w:hanging="332"/>
        <w:spacing w:after="0" w:line="187"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fair value of those CLO equity positions which have been optionally redeemed are generally valued using a liquidation net asset value basis which represents the estimated expected residual value of the CLO as of the end of the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Co-Investment Exemptive Relief</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June 14, 2017, the Securities and Exchange Commission (the “SEC”) issued an order permitting OXLC and certain of its affiliates to complete negotiated co-investment transactions in portfolio companies, subject to certain conditions (the “Order”). Subject to satisfaction of certain conditions to the Order, OXLC and certain of its affiliates are now permitted, together with any future business development companies, registered closed-end funds and certain private funds, each of whose investment adviser is OXLC’s investment adviser or an investment adviser controlling, controlled by, or under common control with OXLC’s investment adviser, to co-invest in negotiated investment opportunities where doing so would otherwise be prohibited under the 1940 Act, providing OXLC’s stockholders with access to a broader array of investment opportunities.</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Order, OXLC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OXLC and its stockholders and do not involve overreaching in respect of OXLC or its stockholders on the part of any person concerned, and (2) the potential co-investment transaction is consistent with the interests of OXLC’s stockholders and is consistent with OXLC’s then-current investment objective and strategies.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2. Controls and Procedures.</w:t>
      </w:r>
    </w:p>
    <w:p>
      <w:pPr>
        <w:spacing w:after="0" w:line="225" w:lineRule="exact"/>
        <w:rPr>
          <w:sz w:val="20"/>
          <w:szCs w:val="20"/>
          <w:color w:val="auto"/>
        </w:rPr>
      </w:pPr>
    </w:p>
    <w:p>
      <w:pPr>
        <w:ind w:firstLine="258"/>
        <w:spacing w:after="0" w:line="255" w:lineRule="auto"/>
        <w:tabs>
          <w:tab w:leader="none" w:pos="76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an evaluation of the Disclosure Controls and Procedures (as defined in Rule 30a-3(c) under the Investment Company Act of 1940, as amended, the “Disclosure Controls”) as of a date within 90 days prior to the filing date (the “Filing Date”) of this Form N-Q (the “Report”), the Chief Executive Officer (the Company’s principal executive officer) and Chief Financial Officer (the Company’s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89" w:lineRule="exact"/>
        <w:rPr>
          <w:rFonts w:ascii="Arial" w:cs="Arial" w:eastAsia="Arial" w:hAnsi="Arial"/>
          <w:sz w:val="18"/>
          <w:szCs w:val="18"/>
          <w:color w:val="auto"/>
        </w:rPr>
      </w:pPr>
    </w:p>
    <w:p>
      <w:pPr>
        <w:ind w:firstLine="258"/>
        <w:spacing w:after="0" w:line="264" w:lineRule="auto"/>
        <w:tabs>
          <w:tab w:leader="none" w:pos="77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that occurred during the Registrant’s last fiscal quarter that have materially affected or are reasonably likely to materially affect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3. Exhibits.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Certifications of chief executive officer and chief financial officer as required by Rule 30a-2(a) under the Investment Company Act of 1940.</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OXFORD LANE CAPITAL CORP.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Jonathan H. Cohen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-130810</wp:posOffset>
            </wp:positionV>
            <wp:extent cx="31299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February 4, 2020</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Jonathan H. Cohen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-130810</wp:posOffset>
            </wp:positionV>
            <wp:extent cx="3378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 February 4, 2020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By: /s/ Bruce L. Rubin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-130810</wp:posOffset>
            </wp:positionV>
            <wp:extent cx="3035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(Principal Financial Officer)</w:t>
      </w:r>
    </w:p>
    <w:p>
      <w:pPr>
        <w:spacing w:after="0" w:line="222" w:lineRule="exact"/>
        <w:rPr>
          <w:sz w:val="20"/>
          <w:szCs w:val="20"/>
          <w:color w:val="auto"/>
        </w:rPr>
      </w:pPr>
    </w:p>
    <w:p>
      <w:pPr>
        <w:jc w:val="center"/>
        <w:ind w:right="3060"/>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ectPr>
          <w:pgSz w:w="11900" w:h="16838" w:orient="portrait"/>
          <w:cols w:equalWidth="0" w:num="2">
            <w:col w:w="5360" w:space="720"/>
            <w:col w:w="5340"/>
          </w:cols>
          <w:pgMar w:left="240" w:top="904"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schedule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Exhibit 12(a)(2)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980" w:right="20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the registrant,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6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99.906CERT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2019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7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8"/>
          <w:szCs w:val="18"/>
          <w:color w:val="auto"/>
        </w:rPr>
        <w:t>Exhibit 12(b)</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Rule 30a-2(b) Certification</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Report on Form N-Q for the quarter ended December 31, 2019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7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9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2020-02-04T13:19:23Z</dcterms:created>
  <dcterms:modified xsi:type="dcterms:W3CDTF">2020-02-04T13:19:23Z</dcterms:modified>
</cp:coreProperties>
</file>