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6"/>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Eagle Point Credit Management LLC</w:t>
              </w:r>
            </w:hyperlink>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Oxford Lane Capital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OXLC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9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40" w:type="dxa"/>
            <w:vAlign w:val="bottom"/>
            <w:gridSpan w:val="6"/>
            <w:vMerge w:val="continue"/>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gridSpan w:val="6"/>
            <w:vMerge w:val="continue"/>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2240" w:type="dxa"/>
            <w:vAlign w:val="bottom"/>
            <w:gridSpan w:val="5"/>
            <w:vMerge w:val="restart"/>
          </w:tcPr>
          <w:p>
            <w:pPr>
              <w:ind w:left="6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40" w:type="dxa"/>
            <w:vAlign w:val="bottom"/>
            <w:gridSpan w:val="6"/>
            <w:vMerge w:val="continue"/>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22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4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540"/>
              <w:spacing w:after="0"/>
              <w:rPr>
                <w:sz w:val="20"/>
                <w:szCs w:val="20"/>
                <w:color w:val="auto"/>
              </w:rPr>
            </w:pPr>
            <w:r>
              <w:rPr>
                <w:rFonts w:ascii="Arial" w:cs="Arial" w:eastAsia="Arial" w:hAnsi="Arial"/>
                <w:sz w:val="13"/>
                <w:szCs w:val="13"/>
                <w:color w:val="auto"/>
              </w:rPr>
              <w:t>(First)</w:t>
            </w:r>
          </w:p>
        </w:tc>
        <w:tc>
          <w:tcPr>
            <w:tcW w:w="1240" w:type="dxa"/>
            <w:vAlign w:val="bottom"/>
            <w:gridSpan w:val="3"/>
          </w:tcPr>
          <w:p>
            <w:pPr>
              <w:ind w:left="4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below)</w:t>
            </w:r>
          </w:p>
        </w:tc>
        <w:tc>
          <w:tcPr>
            <w:tcW w:w="760" w:type="dxa"/>
            <w:vAlign w:val="bottom"/>
          </w:tcPr>
          <w:p>
            <w:pPr>
              <w:spacing w:after="0"/>
              <w:rPr>
                <w:sz w:val="13"/>
                <w:szCs w:val="13"/>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7"/>
                <w:szCs w:val="17"/>
                <w:color w:val="0000FF"/>
              </w:rPr>
              <w:t>600 STEAMBOAT ROAD,</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8"/>
          </w:tcPr>
          <w:p>
            <w:pPr>
              <w:ind w:left="160"/>
              <w:spacing w:after="0"/>
              <w:rPr>
                <w:sz w:val="20"/>
                <w:szCs w:val="20"/>
                <w:color w:val="auto"/>
              </w:rPr>
            </w:pPr>
            <w:r>
              <w:rPr>
                <w:rFonts w:ascii="Arial" w:cs="Arial" w:eastAsia="Arial" w:hAnsi="Arial"/>
                <w:sz w:val="17"/>
                <w:szCs w:val="17"/>
                <w:color w:val="0000FF"/>
              </w:rPr>
              <w:t>06/15/2021</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0"/>
            <w:vMerge w:val="continue"/>
          </w:tcPr>
          <w:p>
            <w:pPr>
              <w:spacing w:after="0"/>
              <w:rPr>
                <w:sz w:val="13"/>
                <w:szCs w:val="13"/>
                <w:color w:val="auto"/>
              </w:rPr>
            </w:pPr>
          </w:p>
        </w:tc>
        <w:tc>
          <w:tcPr>
            <w:tcW w:w="342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gridSpan w:val="2"/>
          </w:tcPr>
          <w:p>
            <w:pPr>
              <w:ind w:left="80"/>
              <w:spacing w:after="0" w:line="120" w:lineRule="exact"/>
              <w:rPr>
                <w:sz w:val="20"/>
                <w:szCs w:val="20"/>
                <w:color w:val="auto"/>
              </w:rPr>
            </w:pPr>
            <w:r>
              <w:rPr>
                <w:rFonts w:ascii="Arial" w:cs="Arial" w:eastAsia="Arial" w:hAnsi="Arial"/>
                <w:sz w:val="13"/>
                <w:szCs w:val="13"/>
                <w:color w:val="auto"/>
              </w:rPr>
              <w:t>Line)</w:t>
            </w:r>
          </w:p>
        </w:tc>
        <w:tc>
          <w:tcPr>
            <w:tcW w:w="2820" w:type="dxa"/>
            <w:vAlign w:val="bottom"/>
            <w:gridSpan w:val="7"/>
            <w:vMerge w:val="restart"/>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GREENWICH,  CT</w:t>
            </w:r>
          </w:p>
        </w:tc>
        <w:tc>
          <w:tcPr>
            <w:tcW w:w="540" w:type="dxa"/>
            <w:vAlign w:val="bottom"/>
          </w:tcPr>
          <w:p>
            <w:pPr>
              <w:spacing w:after="0"/>
              <w:rPr>
                <w:sz w:val="18"/>
                <w:szCs w:val="18"/>
                <w:color w:val="auto"/>
              </w:rPr>
            </w:pPr>
          </w:p>
        </w:tc>
        <w:tc>
          <w:tcPr>
            <w:tcW w:w="1200" w:type="dxa"/>
            <w:vAlign w:val="bottom"/>
            <w:gridSpan w:val="2"/>
          </w:tcPr>
          <w:p>
            <w:pPr>
              <w:jc w:val="center"/>
              <w:ind w:left="40"/>
              <w:spacing w:after="0"/>
              <w:rPr>
                <w:sz w:val="20"/>
                <w:szCs w:val="20"/>
                <w:color w:val="auto"/>
              </w:rPr>
            </w:pPr>
            <w:r>
              <w:rPr>
                <w:rFonts w:ascii="Arial" w:cs="Arial" w:eastAsia="Arial" w:hAnsi="Arial"/>
                <w:sz w:val="17"/>
                <w:szCs w:val="17"/>
                <w:color w:val="0000FF"/>
                <w:w w:val="92"/>
              </w:rPr>
              <w:t>06830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7"/>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240" w:type="dxa"/>
            <w:vAlign w:val="bottom"/>
            <w:gridSpan w:val="3"/>
          </w:tcPr>
          <w:p>
            <w:pPr>
              <w:ind w:left="4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21"/>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8"/>
          </w:tcPr>
          <w:p>
            <w:pPr>
              <w:ind w:left="4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360" w:type="dxa"/>
            <w:vAlign w:val="bottom"/>
            <w:gridSpan w:val="4"/>
          </w:tcPr>
          <w:p>
            <w:pPr>
              <w:jc w:val="center"/>
              <w:ind w:right="72"/>
              <w:spacing w:after="0"/>
              <w:rPr>
                <w:sz w:val="20"/>
                <w:szCs w:val="20"/>
                <w:color w:val="auto"/>
              </w:rPr>
            </w:pPr>
            <w:r>
              <w:rPr>
                <w:rFonts w:ascii="Arial" w:cs="Arial" w:eastAsia="Arial" w:hAnsi="Arial"/>
                <w:sz w:val="12"/>
                <w:szCs w:val="12"/>
                <w:b w:val="1"/>
                <w:bCs w:val="1"/>
                <w:color w:val="auto"/>
                <w:w w:val="99"/>
              </w:rPr>
              <w:t>4. Securities Acquired (A) or Disposed</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8"/>
              </w:rPr>
              <w:t>Of (D) (Instr. 3, 4 and 5)</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Direct (D)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900" w:type="dxa"/>
            <w:vAlign w:val="bottom"/>
          </w:tcPr>
          <w:p>
            <w:pPr>
              <w:jc w:val="center"/>
              <w:ind w:right="348"/>
              <w:spacing w:after="0" w:line="133" w:lineRule="exact"/>
              <w:rPr>
                <w:sz w:val="20"/>
                <w:szCs w:val="20"/>
                <w:color w:val="auto"/>
              </w:rPr>
            </w:pPr>
            <w:r>
              <w:rPr>
                <w:rFonts w:ascii="Arial" w:cs="Arial" w:eastAsia="Arial" w:hAnsi="Arial"/>
                <w:sz w:val="12"/>
                <w:szCs w:val="12"/>
                <w:b w:val="1"/>
                <w:bCs w:val="1"/>
                <w:color w:val="auto"/>
                <w:w w:val="96"/>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Notes due 2031,</w:t>
            </w: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80" w:type="dxa"/>
            <w:vAlign w:val="bottom"/>
            <w:gridSpan w:val="4"/>
            <w:vMerge w:val="restart"/>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4"/>
          </w:tcPr>
          <w:p>
            <w:pPr>
              <w:ind w:left="60"/>
              <w:spacing w:after="0" w:line="168" w:lineRule="exact"/>
              <w:rPr>
                <w:sz w:val="20"/>
                <w:szCs w:val="20"/>
                <w:color w:val="auto"/>
              </w:rPr>
            </w:pPr>
            <w:r>
              <w:rPr>
                <w:rFonts w:ascii="Arial" w:cs="Arial" w:eastAsia="Arial" w:hAnsi="Arial"/>
                <w:sz w:val="17"/>
                <w:szCs w:val="17"/>
                <w:color w:val="0000FF"/>
              </w:rPr>
              <w:t>$25.00 denominations</w:t>
            </w:r>
          </w:p>
        </w:tc>
        <w:tc>
          <w:tcPr>
            <w:tcW w:w="1200" w:type="dxa"/>
            <w:vAlign w:val="bottom"/>
            <w:gridSpan w:val="2"/>
          </w:tcPr>
          <w:p>
            <w:pPr>
              <w:jc w:val="center"/>
              <w:ind w:left="20"/>
              <w:spacing w:after="0" w:line="168" w:lineRule="exact"/>
              <w:rPr>
                <w:sz w:val="20"/>
                <w:szCs w:val="20"/>
                <w:color w:val="auto"/>
              </w:rPr>
            </w:pPr>
            <w:r>
              <w:rPr>
                <w:rFonts w:ascii="Arial" w:cs="Arial" w:eastAsia="Arial" w:hAnsi="Arial"/>
                <w:sz w:val="17"/>
                <w:szCs w:val="17"/>
                <w:color w:val="0000FF"/>
                <w:w w:val="91"/>
              </w:rPr>
              <w:t>06/15/2021</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4"/>
                <w:szCs w:val="14"/>
                <w:color w:val="auto"/>
              </w:rPr>
            </w:pPr>
          </w:p>
        </w:tc>
        <w:tc>
          <w:tcPr>
            <w:tcW w:w="900" w:type="dxa"/>
            <w:vAlign w:val="bottom"/>
          </w:tcPr>
          <w:p>
            <w:pPr>
              <w:jc w:val="center"/>
              <w:spacing w:after="0" w:line="168" w:lineRule="exact"/>
              <w:rPr>
                <w:sz w:val="20"/>
                <w:szCs w:val="20"/>
                <w:color w:val="auto"/>
              </w:rPr>
            </w:pPr>
            <w:r>
              <w:rPr>
                <w:rFonts w:ascii="Arial" w:cs="Arial" w:eastAsia="Arial" w:hAnsi="Arial"/>
                <w:sz w:val="15"/>
                <w:szCs w:val="15"/>
                <w:color w:val="0000FF"/>
                <w:w w:val="99"/>
              </w:rPr>
              <w:t>1,251,075</w:t>
            </w:r>
            <w:r>
              <w:rPr>
                <w:rFonts w:ascii="Arial" w:cs="Arial" w:eastAsia="Arial" w:hAnsi="Arial"/>
                <w:sz w:val="19"/>
                <w:szCs w:val="19"/>
                <w:color w:val="008000"/>
                <w:w w:val="99"/>
                <w:vertAlign w:val="superscript"/>
              </w:rPr>
              <w:t>(1)</w:t>
            </w:r>
          </w:p>
        </w:tc>
        <w:tc>
          <w:tcPr>
            <w:tcW w:w="440" w:type="dxa"/>
            <w:vAlign w:val="bottom"/>
          </w:tcPr>
          <w:p>
            <w:pPr>
              <w:jc w:val="center"/>
              <w:spacing w:after="0" w:line="168" w:lineRule="exact"/>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1,273,649</w:t>
            </w:r>
            <w:r>
              <w:rPr>
                <w:rFonts w:ascii="Arial" w:cs="Arial" w:eastAsia="Arial" w:hAnsi="Arial"/>
                <w:sz w:val="19"/>
                <w:szCs w:val="19"/>
                <w:color w:val="008000"/>
                <w:vertAlign w:val="superscript"/>
              </w:rPr>
              <w:t>(2)</w:t>
            </w:r>
          </w:p>
        </w:tc>
        <w:tc>
          <w:tcPr>
            <w:tcW w:w="1180" w:type="dxa"/>
            <w:vAlign w:val="bottom"/>
            <w:gridSpan w:val="4"/>
          </w:tcPr>
          <w:p>
            <w:pPr>
              <w:jc w:val="center"/>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21,447,625</w:t>
            </w:r>
            <w:r>
              <w:rPr>
                <w:rFonts w:ascii="Arial" w:cs="Arial" w:eastAsia="Arial" w:hAnsi="Arial"/>
                <w:sz w:val="19"/>
                <w:szCs w:val="19"/>
                <w:color w:val="008000"/>
                <w:vertAlign w:val="superscript"/>
              </w:rPr>
              <w:t>(1)</w:t>
            </w:r>
          </w:p>
        </w:tc>
        <w:tc>
          <w:tcPr>
            <w:tcW w:w="760" w:type="dxa"/>
            <w:vAlign w:val="bottom"/>
          </w:tcPr>
          <w:p>
            <w:pPr>
              <w:jc w:val="center"/>
              <w:spacing w:after="0" w:line="168" w:lineRule="exact"/>
              <w:rPr>
                <w:sz w:val="20"/>
                <w:szCs w:val="20"/>
                <w:color w:val="auto"/>
              </w:rPr>
            </w:pPr>
            <w:r>
              <w:rPr>
                <w:rFonts w:ascii="Arial" w:cs="Arial" w:eastAsia="Arial" w:hAnsi="Arial"/>
                <w:sz w:val="17"/>
                <w:szCs w:val="17"/>
                <w:color w:val="0000FF"/>
              </w:rPr>
              <w:t>I</w:t>
            </w: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(OXLCL)</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Arial" w:cs="Arial" w:eastAsia="Arial" w:hAnsi="Arial"/>
                <w:sz w:val="11"/>
                <w:szCs w:val="11"/>
                <w:color w:val="008000"/>
              </w:rPr>
              <w:t>(12)(15)</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gridSpan w:val="3"/>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Notes due 2031,</w:t>
            </w: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80" w:type="dxa"/>
            <w:vAlign w:val="bottom"/>
            <w:gridSpan w:val="4"/>
            <w:vMerge w:val="restart"/>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4"/>
          </w:tcPr>
          <w:p>
            <w:pPr>
              <w:ind w:left="60"/>
              <w:spacing w:after="0" w:line="168" w:lineRule="exact"/>
              <w:rPr>
                <w:sz w:val="20"/>
                <w:szCs w:val="20"/>
                <w:color w:val="auto"/>
              </w:rPr>
            </w:pPr>
            <w:r>
              <w:rPr>
                <w:rFonts w:ascii="Arial" w:cs="Arial" w:eastAsia="Arial" w:hAnsi="Arial"/>
                <w:sz w:val="17"/>
                <w:szCs w:val="17"/>
                <w:color w:val="0000FF"/>
              </w:rPr>
              <w:t>$25.00 denominations</w:t>
            </w:r>
          </w:p>
        </w:tc>
        <w:tc>
          <w:tcPr>
            <w:tcW w:w="1200" w:type="dxa"/>
            <w:vAlign w:val="bottom"/>
            <w:gridSpan w:val="2"/>
          </w:tcPr>
          <w:p>
            <w:pPr>
              <w:jc w:val="center"/>
              <w:ind w:left="20"/>
              <w:spacing w:after="0" w:line="168" w:lineRule="exact"/>
              <w:rPr>
                <w:sz w:val="20"/>
                <w:szCs w:val="20"/>
                <w:color w:val="auto"/>
              </w:rPr>
            </w:pPr>
            <w:r>
              <w:rPr>
                <w:rFonts w:ascii="Arial" w:cs="Arial" w:eastAsia="Arial" w:hAnsi="Arial"/>
                <w:sz w:val="17"/>
                <w:szCs w:val="17"/>
                <w:color w:val="0000FF"/>
                <w:w w:val="91"/>
              </w:rPr>
              <w:t>06/16/2021</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4"/>
                <w:szCs w:val="14"/>
                <w:color w:val="auto"/>
              </w:rPr>
            </w:pPr>
          </w:p>
        </w:tc>
        <w:tc>
          <w:tcPr>
            <w:tcW w:w="900" w:type="dxa"/>
            <w:vAlign w:val="bottom"/>
          </w:tcPr>
          <w:p>
            <w:pPr>
              <w:jc w:val="center"/>
              <w:spacing w:after="0" w:line="168" w:lineRule="exact"/>
              <w:rPr>
                <w:sz w:val="20"/>
                <w:szCs w:val="20"/>
                <w:color w:val="auto"/>
              </w:rPr>
            </w:pPr>
            <w:r>
              <w:rPr>
                <w:rFonts w:ascii="Arial" w:cs="Arial" w:eastAsia="Arial" w:hAnsi="Arial"/>
                <w:sz w:val="15"/>
                <w:szCs w:val="15"/>
                <w:color w:val="0000FF"/>
                <w:w w:val="97"/>
              </w:rPr>
              <w:t>432,600</w:t>
            </w:r>
            <w:r>
              <w:rPr>
                <w:rFonts w:ascii="Arial" w:cs="Arial" w:eastAsia="Arial" w:hAnsi="Arial"/>
                <w:sz w:val="19"/>
                <w:szCs w:val="19"/>
                <w:color w:val="008000"/>
                <w:w w:val="97"/>
                <w:vertAlign w:val="superscript"/>
              </w:rPr>
              <w:t>(1)</w:t>
            </w:r>
          </w:p>
        </w:tc>
        <w:tc>
          <w:tcPr>
            <w:tcW w:w="440" w:type="dxa"/>
            <w:vAlign w:val="bottom"/>
          </w:tcPr>
          <w:p>
            <w:pPr>
              <w:jc w:val="center"/>
              <w:spacing w:after="0" w:line="168" w:lineRule="exact"/>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168" w:lineRule="exact"/>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439,814</w:t>
            </w:r>
            <w:r>
              <w:rPr>
                <w:rFonts w:ascii="Arial" w:cs="Arial" w:eastAsia="Arial" w:hAnsi="Arial"/>
                <w:sz w:val="19"/>
                <w:szCs w:val="19"/>
                <w:color w:val="008000"/>
                <w:w w:val="99"/>
                <w:vertAlign w:val="superscript"/>
              </w:rPr>
              <w:t>(3)</w:t>
            </w:r>
          </w:p>
        </w:tc>
        <w:tc>
          <w:tcPr>
            <w:tcW w:w="1180" w:type="dxa"/>
            <w:vAlign w:val="bottom"/>
            <w:gridSpan w:val="4"/>
          </w:tcPr>
          <w:p>
            <w:pPr>
              <w:jc w:val="center"/>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21,015,025</w:t>
            </w:r>
            <w:r>
              <w:rPr>
                <w:rFonts w:ascii="Arial" w:cs="Arial" w:eastAsia="Arial" w:hAnsi="Arial"/>
                <w:sz w:val="19"/>
                <w:szCs w:val="19"/>
                <w:color w:val="008000"/>
                <w:vertAlign w:val="superscript"/>
              </w:rPr>
              <w:t>(1)</w:t>
            </w:r>
          </w:p>
        </w:tc>
        <w:tc>
          <w:tcPr>
            <w:tcW w:w="760" w:type="dxa"/>
            <w:vAlign w:val="bottom"/>
          </w:tcPr>
          <w:p>
            <w:pPr>
              <w:jc w:val="center"/>
              <w:spacing w:after="0" w:line="168" w:lineRule="exact"/>
              <w:rPr>
                <w:sz w:val="20"/>
                <w:szCs w:val="20"/>
                <w:color w:val="auto"/>
              </w:rPr>
            </w:pPr>
            <w:r>
              <w:rPr>
                <w:rFonts w:ascii="Arial" w:cs="Arial" w:eastAsia="Arial" w:hAnsi="Arial"/>
                <w:sz w:val="17"/>
                <w:szCs w:val="17"/>
                <w:color w:val="0000FF"/>
              </w:rPr>
              <w:t>I</w:t>
            </w: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(OXLCL)</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Arial" w:cs="Arial" w:eastAsia="Arial" w:hAnsi="Arial"/>
                <w:sz w:val="11"/>
                <w:szCs w:val="11"/>
                <w:color w:val="008000"/>
              </w:rPr>
              <w:t>(12)(15)</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gridSpan w:val="3"/>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Notes due 2031,</w:t>
            </w: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80" w:type="dxa"/>
            <w:vAlign w:val="bottom"/>
            <w:gridSpan w:val="4"/>
            <w:vMerge w:val="restart"/>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4"/>
          </w:tcPr>
          <w:p>
            <w:pPr>
              <w:ind w:left="60"/>
              <w:spacing w:after="0" w:line="168" w:lineRule="exact"/>
              <w:rPr>
                <w:sz w:val="20"/>
                <w:szCs w:val="20"/>
                <w:color w:val="auto"/>
              </w:rPr>
            </w:pPr>
            <w:r>
              <w:rPr>
                <w:rFonts w:ascii="Arial" w:cs="Arial" w:eastAsia="Arial" w:hAnsi="Arial"/>
                <w:sz w:val="17"/>
                <w:szCs w:val="17"/>
                <w:color w:val="0000FF"/>
              </w:rPr>
              <w:t>$25.00 denominations</w:t>
            </w:r>
          </w:p>
        </w:tc>
        <w:tc>
          <w:tcPr>
            <w:tcW w:w="1200" w:type="dxa"/>
            <w:vAlign w:val="bottom"/>
            <w:gridSpan w:val="2"/>
          </w:tcPr>
          <w:p>
            <w:pPr>
              <w:jc w:val="center"/>
              <w:ind w:left="20"/>
              <w:spacing w:after="0" w:line="168" w:lineRule="exact"/>
              <w:rPr>
                <w:sz w:val="20"/>
                <w:szCs w:val="20"/>
                <w:color w:val="auto"/>
              </w:rPr>
            </w:pPr>
            <w:r>
              <w:rPr>
                <w:rFonts w:ascii="Arial" w:cs="Arial" w:eastAsia="Arial" w:hAnsi="Arial"/>
                <w:sz w:val="17"/>
                <w:szCs w:val="17"/>
                <w:color w:val="0000FF"/>
                <w:w w:val="91"/>
              </w:rPr>
              <w:t>06/17/2021</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14"/>
                <w:szCs w:val="14"/>
                <w:color w:val="auto"/>
              </w:rPr>
            </w:pPr>
          </w:p>
        </w:tc>
        <w:tc>
          <w:tcPr>
            <w:tcW w:w="900" w:type="dxa"/>
            <w:vAlign w:val="bottom"/>
          </w:tcPr>
          <w:p>
            <w:pPr>
              <w:jc w:val="center"/>
              <w:spacing w:after="0" w:line="168" w:lineRule="exact"/>
              <w:rPr>
                <w:sz w:val="20"/>
                <w:szCs w:val="20"/>
                <w:color w:val="auto"/>
              </w:rPr>
            </w:pPr>
            <w:r>
              <w:rPr>
                <w:rFonts w:ascii="Arial" w:cs="Arial" w:eastAsia="Arial" w:hAnsi="Arial"/>
                <w:sz w:val="15"/>
                <w:szCs w:val="15"/>
                <w:color w:val="0000FF"/>
                <w:w w:val="97"/>
              </w:rPr>
              <w:t>273,300</w:t>
            </w:r>
            <w:r>
              <w:rPr>
                <w:rFonts w:ascii="Arial" w:cs="Arial" w:eastAsia="Arial" w:hAnsi="Arial"/>
                <w:sz w:val="19"/>
                <w:szCs w:val="19"/>
                <w:color w:val="008000"/>
                <w:w w:val="97"/>
                <w:vertAlign w:val="superscript"/>
              </w:rPr>
              <w:t>(1)</w:t>
            </w:r>
          </w:p>
        </w:tc>
        <w:tc>
          <w:tcPr>
            <w:tcW w:w="440" w:type="dxa"/>
            <w:vAlign w:val="bottom"/>
          </w:tcPr>
          <w:p>
            <w:pPr>
              <w:jc w:val="center"/>
              <w:spacing w:after="0" w:line="168" w:lineRule="exact"/>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168" w:lineRule="exact"/>
              <w:rPr>
                <w:sz w:val="20"/>
                <w:szCs w:val="20"/>
                <w:color w:val="auto"/>
              </w:rPr>
            </w:pPr>
            <w:r>
              <w:rPr>
                <w:rFonts w:ascii="Arial" w:cs="Arial" w:eastAsia="Arial" w:hAnsi="Arial"/>
                <w:sz w:val="15"/>
                <w:szCs w:val="15"/>
                <w:color w:val="auto"/>
                <w:w w:val="99"/>
              </w:rPr>
              <w:t>$</w:t>
            </w:r>
            <w:r>
              <w:rPr>
                <w:rFonts w:ascii="Arial" w:cs="Arial" w:eastAsia="Arial" w:hAnsi="Arial"/>
                <w:sz w:val="15"/>
                <w:szCs w:val="15"/>
                <w:color w:val="0000FF"/>
                <w:w w:val="99"/>
              </w:rPr>
              <w:t>277,578</w:t>
            </w:r>
            <w:r>
              <w:rPr>
                <w:rFonts w:ascii="Arial" w:cs="Arial" w:eastAsia="Arial" w:hAnsi="Arial"/>
                <w:sz w:val="19"/>
                <w:szCs w:val="19"/>
                <w:color w:val="008000"/>
                <w:w w:val="99"/>
                <w:vertAlign w:val="superscript"/>
              </w:rPr>
              <w:t>(4)</w:t>
            </w:r>
          </w:p>
        </w:tc>
        <w:tc>
          <w:tcPr>
            <w:tcW w:w="1180" w:type="dxa"/>
            <w:vAlign w:val="bottom"/>
            <w:gridSpan w:val="4"/>
          </w:tcPr>
          <w:p>
            <w:pPr>
              <w:jc w:val="center"/>
              <w:spacing w:after="0" w:line="168" w:lineRule="exact"/>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20,741,725</w:t>
            </w:r>
            <w:r>
              <w:rPr>
                <w:rFonts w:ascii="Arial" w:cs="Arial" w:eastAsia="Arial" w:hAnsi="Arial"/>
                <w:sz w:val="19"/>
                <w:szCs w:val="19"/>
                <w:color w:val="008000"/>
                <w:vertAlign w:val="superscript"/>
              </w:rPr>
              <w:t>(1)</w:t>
            </w:r>
          </w:p>
        </w:tc>
        <w:tc>
          <w:tcPr>
            <w:tcW w:w="760" w:type="dxa"/>
            <w:vAlign w:val="bottom"/>
          </w:tcPr>
          <w:p>
            <w:pPr>
              <w:jc w:val="center"/>
              <w:spacing w:after="0" w:line="168" w:lineRule="exact"/>
              <w:rPr>
                <w:sz w:val="20"/>
                <w:szCs w:val="20"/>
                <w:color w:val="auto"/>
              </w:rPr>
            </w:pPr>
            <w:r>
              <w:rPr>
                <w:rFonts w:ascii="Arial" w:cs="Arial" w:eastAsia="Arial" w:hAnsi="Arial"/>
                <w:sz w:val="17"/>
                <w:szCs w:val="17"/>
                <w:color w:val="0000FF"/>
              </w:rPr>
              <w:t>I</w:t>
            </w:r>
          </w:p>
        </w:tc>
        <w:tc>
          <w:tcPr>
            <w:tcW w:w="1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(OXLCL)</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Arial" w:cs="Arial" w:eastAsia="Arial" w:hAnsi="Arial"/>
                <w:sz w:val="11"/>
                <w:szCs w:val="11"/>
                <w:color w:val="008000"/>
              </w:rPr>
              <w:t>(12)(15)</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gridSpan w:val="3"/>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Series 2024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06/15/2021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4,521</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80" w:type="dxa"/>
            <w:vAlign w:val="bottom"/>
          </w:tcPr>
          <w:p>
            <w:pPr>
              <w:spacing w:after="0"/>
              <w:rPr>
                <w:sz w:val="24"/>
                <w:szCs w:val="24"/>
                <w:color w:val="auto"/>
              </w:rPr>
            </w:pPr>
          </w:p>
        </w:tc>
        <w:tc>
          <w:tcPr>
            <w:tcW w:w="840" w:type="dxa"/>
            <w:vAlign w:val="bottom"/>
          </w:tcPr>
          <w:p>
            <w:pPr>
              <w:jc w:val="center"/>
              <w:ind w:right="15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25.21</w:t>
            </w:r>
            <w:r>
              <w:rPr>
                <w:rFonts w:ascii="Arial" w:cs="Arial" w:eastAsia="Arial" w:hAnsi="Arial"/>
                <w:sz w:val="22"/>
                <w:szCs w:val="22"/>
                <w:color w:val="008000"/>
                <w:w w:val="88"/>
                <w:vertAlign w:val="superscript"/>
              </w:rPr>
              <w:t>(5)</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362,145</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(OXLCM)</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Series 2024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06/16/2021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7,392</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80" w:type="dxa"/>
            <w:vAlign w:val="bottom"/>
          </w:tcPr>
          <w:p>
            <w:pPr>
              <w:spacing w:after="0"/>
              <w:rPr>
                <w:sz w:val="24"/>
                <w:szCs w:val="24"/>
                <w:color w:val="auto"/>
              </w:rPr>
            </w:pPr>
          </w:p>
        </w:tc>
        <w:tc>
          <w:tcPr>
            <w:tcW w:w="840" w:type="dxa"/>
            <w:vAlign w:val="bottom"/>
          </w:tcPr>
          <w:p>
            <w:pPr>
              <w:jc w:val="center"/>
              <w:ind w:right="15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25.12</w:t>
            </w:r>
            <w:r>
              <w:rPr>
                <w:rFonts w:ascii="Arial" w:cs="Arial" w:eastAsia="Arial" w:hAnsi="Arial"/>
                <w:sz w:val="22"/>
                <w:szCs w:val="22"/>
                <w:color w:val="008000"/>
                <w:w w:val="88"/>
                <w:vertAlign w:val="superscript"/>
              </w:rPr>
              <w:t>(6)</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354,753</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(OXLCM)</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Series 2024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06/17/2021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21,994</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80" w:type="dxa"/>
            <w:vAlign w:val="bottom"/>
          </w:tcPr>
          <w:p>
            <w:pPr>
              <w:spacing w:after="0"/>
              <w:rPr>
                <w:sz w:val="24"/>
                <w:szCs w:val="24"/>
                <w:color w:val="auto"/>
              </w:rPr>
            </w:pPr>
          </w:p>
        </w:tc>
        <w:tc>
          <w:tcPr>
            <w:tcW w:w="840" w:type="dxa"/>
            <w:vAlign w:val="bottom"/>
          </w:tcPr>
          <w:p>
            <w:pPr>
              <w:jc w:val="center"/>
              <w:ind w:right="15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25.04</w:t>
            </w:r>
            <w:r>
              <w:rPr>
                <w:rFonts w:ascii="Arial" w:cs="Arial" w:eastAsia="Arial" w:hAnsi="Arial"/>
                <w:sz w:val="22"/>
                <w:szCs w:val="22"/>
                <w:color w:val="008000"/>
                <w:w w:val="88"/>
                <w:vertAlign w:val="superscript"/>
              </w:rPr>
              <w:t>(7)</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332,759</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(OXLCM)</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6.25% Series 2027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06/15/2021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2,800</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80" w:type="dxa"/>
            <w:vAlign w:val="bottom"/>
          </w:tcPr>
          <w:p>
            <w:pPr>
              <w:spacing w:after="0"/>
              <w:rPr>
                <w:sz w:val="24"/>
                <w:szCs w:val="24"/>
                <w:color w:val="auto"/>
              </w:rPr>
            </w:pPr>
          </w:p>
        </w:tc>
        <w:tc>
          <w:tcPr>
            <w:tcW w:w="840" w:type="dxa"/>
            <w:vAlign w:val="bottom"/>
          </w:tcPr>
          <w:p>
            <w:pPr>
              <w:jc w:val="center"/>
              <w:ind w:right="15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25.11</w:t>
            </w:r>
            <w:r>
              <w:rPr>
                <w:rFonts w:ascii="Arial" w:cs="Arial" w:eastAsia="Arial" w:hAnsi="Arial"/>
                <w:sz w:val="22"/>
                <w:szCs w:val="22"/>
                <w:color w:val="008000"/>
                <w:w w:val="88"/>
                <w:vertAlign w:val="superscript"/>
              </w:rPr>
              <w:t>(8)</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630,006</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(OXLCP)</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6.25% Series 2027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06/16/2021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13,441</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80" w:type="dxa"/>
            <w:vAlign w:val="bottom"/>
          </w:tcPr>
          <w:p>
            <w:pPr>
              <w:spacing w:after="0"/>
              <w:rPr>
                <w:sz w:val="24"/>
                <w:szCs w:val="24"/>
                <w:color w:val="auto"/>
              </w:rPr>
            </w:pPr>
          </w:p>
        </w:tc>
        <w:tc>
          <w:tcPr>
            <w:tcW w:w="840" w:type="dxa"/>
            <w:vAlign w:val="bottom"/>
          </w:tcPr>
          <w:p>
            <w:pPr>
              <w:jc w:val="center"/>
              <w:ind w:right="17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w:t>
            </w:r>
            <w:r>
              <w:rPr>
                <w:rFonts w:ascii="Arial" w:cs="Arial" w:eastAsia="Arial" w:hAnsi="Arial"/>
                <w:sz w:val="22"/>
                <w:szCs w:val="22"/>
                <w:color w:val="008000"/>
                <w:w w:val="86"/>
                <w:vertAlign w:val="superscript"/>
              </w:rPr>
              <w:t>(9)</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616,565</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(OXLCP)</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6.25% Series 2027 Term</w:t>
            </w:r>
          </w:p>
        </w:tc>
        <w:tc>
          <w:tcPr>
            <w:tcW w:w="1200" w:type="dxa"/>
            <w:vAlign w:val="bottom"/>
            <w:gridSpan w:val="2"/>
          </w:tcPr>
          <w:p>
            <w:pPr>
              <w:jc w:val="center"/>
              <w:ind w:left="20"/>
              <w:spacing w:after="0"/>
              <w:rPr>
                <w:sz w:val="20"/>
                <w:szCs w:val="20"/>
                <w:color w:val="auto"/>
              </w:rPr>
            </w:pPr>
            <w:r>
              <w:rPr>
                <w:rFonts w:ascii="Arial" w:cs="Arial" w:eastAsia="Arial" w:hAnsi="Arial"/>
                <w:sz w:val="17"/>
                <w:szCs w:val="17"/>
                <w:color w:val="0000FF"/>
                <w:w w:val="91"/>
              </w:rPr>
              <w:t>06/17/2021</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0000FF"/>
              </w:rPr>
              <w:t>S</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5"/>
              </w:rPr>
              <w:t>13,800</w:t>
            </w:r>
            <w:r>
              <w:rPr>
                <w:rFonts w:ascii="Arial" w:cs="Arial" w:eastAsia="Arial" w:hAnsi="Arial"/>
                <w:sz w:val="22"/>
                <w:szCs w:val="22"/>
                <w:color w:val="008000"/>
                <w:w w:val="85"/>
                <w:vertAlign w:val="superscript"/>
              </w:rPr>
              <w:t>(1)</w:t>
            </w:r>
          </w:p>
        </w:tc>
        <w:tc>
          <w:tcPr>
            <w:tcW w:w="4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24.95</w:t>
            </w:r>
            <w:r>
              <w:rPr>
                <w:rFonts w:ascii="Arial" w:cs="Arial" w:eastAsia="Arial" w:hAnsi="Arial"/>
                <w:sz w:val="22"/>
                <w:szCs w:val="22"/>
                <w:color w:val="008000"/>
                <w:w w:val="84"/>
                <w:vertAlign w:val="superscript"/>
              </w:rPr>
              <w:t>(10)</w:t>
            </w:r>
          </w:p>
        </w:tc>
        <w:tc>
          <w:tcPr>
            <w:tcW w:w="960" w:type="dxa"/>
            <w:vAlign w:val="bottom"/>
            <w:gridSpan w:val="3"/>
          </w:tcPr>
          <w:p>
            <w:pPr>
              <w:jc w:val="center"/>
              <w:ind w:left="127"/>
              <w:spacing w:after="0"/>
              <w:rPr>
                <w:sz w:val="20"/>
                <w:szCs w:val="20"/>
                <w:color w:val="auto"/>
              </w:rPr>
            </w:pPr>
            <w:r>
              <w:rPr>
                <w:rFonts w:ascii="Arial" w:cs="Arial" w:eastAsia="Arial" w:hAnsi="Arial"/>
                <w:sz w:val="17"/>
                <w:szCs w:val="17"/>
                <w:color w:val="0000FF"/>
                <w:w w:val="85"/>
              </w:rPr>
              <w:t>602,765</w:t>
            </w:r>
            <w:r>
              <w:rPr>
                <w:rFonts w:ascii="Arial" w:cs="Arial" w:eastAsia="Arial" w:hAnsi="Arial"/>
                <w:sz w:val="22"/>
                <w:szCs w:val="22"/>
                <w:color w:val="008000"/>
                <w:w w:val="85"/>
                <w:vertAlign w:val="superscript"/>
              </w:rPr>
              <w:t>(1)</w:t>
            </w:r>
          </w:p>
        </w:tc>
        <w:tc>
          <w:tcPr>
            <w:tcW w:w="2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rPr>
              <w:t>I</w:t>
            </w:r>
          </w:p>
        </w:tc>
        <w:tc>
          <w:tcPr>
            <w:tcW w:w="1480" w:type="dxa"/>
            <w:vAlign w:val="bottom"/>
            <w:gridSpan w:val="4"/>
          </w:tcPr>
          <w:p>
            <w:pPr>
              <w:ind w:left="140"/>
              <w:spacing w:after="0"/>
              <w:rPr>
                <w:sz w:val="20"/>
                <w:szCs w:val="20"/>
                <w:color w:val="auto"/>
              </w:rPr>
            </w:pPr>
            <w:r>
              <w:rPr>
                <w:rFonts w:ascii="Arial" w:cs="Arial" w:eastAsia="Arial" w:hAnsi="Arial"/>
                <w:sz w:val="17"/>
                <w:szCs w:val="17"/>
                <w:color w:val="0000FF"/>
              </w:rPr>
              <w:t>See foonotes</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Preferred Stock (OXLCP)</w:t>
            </w:r>
          </w:p>
        </w:tc>
        <w:tc>
          <w:tcPr>
            <w:tcW w:w="5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1"/>
                <w:szCs w:val="11"/>
                <w:color w:val="008000"/>
              </w:rPr>
              <w:t>(15)</w:t>
            </w:r>
          </w:p>
        </w:tc>
        <w:tc>
          <w:tcPr>
            <w:tcW w:w="6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6.75% Series 2024 Term</w:t>
            </w: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gridSpan w:val="3"/>
            <w:vMerge w:val="restart"/>
          </w:tcPr>
          <w:p>
            <w:pPr>
              <w:jc w:val="center"/>
              <w:ind w:left="127"/>
              <w:spacing w:after="0"/>
              <w:rPr>
                <w:sz w:val="20"/>
                <w:szCs w:val="20"/>
                <w:color w:val="auto"/>
              </w:rPr>
            </w:pPr>
            <w:r>
              <w:rPr>
                <w:rFonts w:ascii="Arial" w:cs="Arial" w:eastAsia="Arial" w:hAnsi="Arial"/>
                <w:sz w:val="17"/>
                <w:szCs w:val="17"/>
                <w:color w:val="0000FF"/>
                <w:w w:val="93"/>
              </w:rPr>
              <w:t>9,450</w:t>
            </w:r>
          </w:p>
        </w:tc>
        <w:tc>
          <w:tcPr>
            <w:tcW w:w="2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4"/>
            <w:vMerge w:val="restart"/>
          </w:tcPr>
          <w:p>
            <w:pPr>
              <w:ind w:left="60"/>
              <w:spacing w:after="0"/>
              <w:rPr>
                <w:sz w:val="20"/>
                <w:szCs w:val="20"/>
                <w:color w:val="auto"/>
              </w:rPr>
            </w:pPr>
            <w:r>
              <w:rPr>
                <w:rFonts w:ascii="Arial" w:cs="Arial" w:eastAsia="Arial" w:hAnsi="Arial"/>
                <w:sz w:val="17"/>
                <w:szCs w:val="17"/>
                <w:color w:val="0000FF"/>
              </w:rPr>
              <w:t>Preferred Stock (OXLCM)</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gridSpan w:val="3"/>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00" w:type="dxa"/>
            <w:vAlign w:val="bottom"/>
            <w:gridSpan w:val="4"/>
          </w:tcPr>
          <w:p>
            <w:pPr>
              <w:ind w:left="60"/>
              <w:spacing w:after="0"/>
              <w:rPr>
                <w:sz w:val="20"/>
                <w:szCs w:val="20"/>
                <w:color w:val="auto"/>
              </w:rPr>
            </w:pPr>
            <w:r>
              <w:rPr>
                <w:rFonts w:ascii="Arial" w:cs="Arial" w:eastAsia="Arial" w:hAnsi="Arial"/>
                <w:sz w:val="17"/>
                <w:szCs w:val="17"/>
                <w:color w:val="0000FF"/>
              </w:rPr>
              <w:t>6.25% Series 2027 Term</w:t>
            </w: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gridSpan w:val="3"/>
            <w:vMerge w:val="restart"/>
          </w:tcPr>
          <w:p>
            <w:pPr>
              <w:jc w:val="center"/>
              <w:ind w:left="127"/>
              <w:spacing w:after="0"/>
              <w:rPr>
                <w:sz w:val="20"/>
                <w:szCs w:val="20"/>
                <w:color w:val="auto"/>
              </w:rPr>
            </w:pPr>
            <w:r>
              <w:rPr>
                <w:rFonts w:ascii="Arial" w:cs="Arial" w:eastAsia="Arial" w:hAnsi="Arial"/>
                <w:sz w:val="17"/>
                <w:szCs w:val="17"/>
                <w:color w:val="0000FF"/>
                <w:w w:val="92"/>
              </w:rPr>
              <w:t>11,000</w:t>
            </w:r>
          </w:p>
        </w:tc>
        <w:tc>
          <w:tcPr>
            <w:tcW w:w="220" w:type="dxa"/>
            <w:vAlign w:val="bottom"/>
          </w:tcPr>
          <w:p>
            <w:pPr>
              <w:spacing w:after="0"/>
              <w:rPr>
                <w:sz w:val="22"/>
                <w:szCs w:val="22"/>
                <w:color w:val="auto"/>
              </w:rPr>
            </w:pPr>
          </w:p>
        </w:tc>
        <w:tc>
          <w:tcPr>
            <w:tcW w:w="760" w:type="dxa"/>
            <w:vAlign w:val="bottom"/>
            <w:vMerge w:val="restart"/>
          </w:tcPr>
          <w:p>
            <w:pPr>
              <w:jc w:val="center"/>
              <w:spacing w:after="0"/>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4"/>
            <w:vMerge w:val="restart"/>
          </w:tcPr>
          <w:p>
            <w:pPr>
              <w:ind w:left="60"/>
              <w:spacing w:after="0"/>
              <w:rPr>
                <w:sz w:val="20"/>
                <w:szCs w:val="20"/>
                <w:color w:val="auto"/>
              </w:rPr>
            </w:pPr>
            <w:r>
              <w:rPr>
                <w:rFonts w:ascii="Arial" w:cs="Arial" w:eastAsia="Arial" w:hAnsi="Arial"/>
                <w:sz w:val="17"/>
                <w:szCs w:val="17"/>
                <w:color w:val="0000FF"/>
              </w:rPr>
              <w:t>Preferred Stock (OXLCP)</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7"/>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21"/>
          </w:tcPr>
          <w:p>
            <w:pPr>
              <w:jc w:val="cente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80" w:type="dxa"/>
            <w:vAlign w:val="bottom"/>
            <w:gridSpan w:val="18"/>
          </w:tcPr>
          <w:p>
            <w:pPr>
              <w:jc w:val="center"/>
              <w:ind w:left="9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   of</w:t>
            </w:r>
          </w:p>
        </w:tc>
        <w:tc>
          <w:tcPr>
            <w:tcW w:w="400" w:type="dxa"/>
            <w:vAlign w:val="bottom"/>
          </w:tcPr>
          <w:p>
            <w:pPr>
              <w:spacing w:after="0"/>
              <w:rPr>
                <w:sz w:val="11"/>
                <w:szCs w:val="11"/>
                <w:color w:val="auto"/>
              </w:rPr>
            </w:pPr>
          </w:p>
        </w:tc>
        <w:tc>
          <w:tcPr>
            <w:tcW w:w="1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of (D)</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(Instr. 3, 4</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and 5)</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8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3"/>
                <w:szCs w:val="13"/>
                <w:color w:val="auto"/>
              </w:rPr>
            </w:pPr>
          </w:p>
        </w:tc>
        <w:tc>
          <w:tcPr>
            <w:tcW w:w="144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Eagle Point Credit Management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Majewski Thomas 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Eagle Point Credit GP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Eagle Point DIF GP 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722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67227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amount reported reflects the aggregate principal amount (based on face value), with respect to the notes, and the aggregate number of shares, with respect to the preferred stock.</w:t>
      </w:r>
    </w:p>
    <w:p>
      <w:pPr>
        <w:spacing w:after="0" w:line="50" w:lineRule="exact"/>
        <w:rPr>
          <w:rFonts w:ascii="Arial" w:cs="Arial" w:eastAsia="Arial" w:hAnsi="Arial"/>
          <w:sz w:val="13"/>
          <w:szCs w:val="13"/>
          <w:color w:val="008000"/>
        </w:rPr>
      </w:pPr>
    </w:p>
    <w:p>
      <w:pPr>
        <w:ind w:left="20" w:right="1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reflects the aggregate sales price of the notes. These securities were sold in multiple transactions at prices ranging from $25.44 to $25.47 per note, inclusive, at a weighted average price of $25.45 per note. Upon request by the staff of the Securities and Exchange Commission, the Issuer or any security holder of the Issuer, the reporting person undertakes to provide full information regarding the number of notes/shares sold at each separate price within the ranges set forth in this footnote and each of the other applicable footnotes contained in this Form 4.</w:t>
      </w:r>
    </w:p>
    <w:p>
      <w:pPr>
        <w:spacing w:after="0" w:line="8" w:lineRule="exact"/>
        <w:rPr>
          <w:rFonts w:ascii="Arial" w:cs="Arial" w:eastAsia="Arial" w:hAnsi="Arial"/>
          <w:sz w:val="12"/>
          <w:szCs w:val="12"/>
          <w:color w:val="008000"/>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aggregate sales price. These securities were sold in multiple transactions at prices ranging from $25.40 to $25.50 per note, inclusive, at a weighted average price of $25.42 per note.</w:t>
      </w:r>
    </w:p>
    <w:p>
      <w:pPr>
        <w:spacing w:after="0" w:line="15"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aggregate sales price. These securities were sold in multiple transactions at prices ranging from $25.37 to $25.42 per note, inclusive, at a weighted average price of $25.39 per note.</w:t>
      </w:r>
    </w:p>
    <w:p>
      <w:pPr>
        <w:spacing w:after="0" w:line="1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$25.20 to $25.30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$25.08 to $25.18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$24.99 to $25.10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$25.10 to $25.15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$24.95 to $25.21 per share, inclusive.</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$24.94 to $25.00 per share, inclusive.</w:t>
      </w:r>
    </w:p>
    <w:p>
      <w:pPr>
        <w:spacing w:after="0" w:line="50" w:lineRule="exact"/>
        <w:rPr>
          <w:rFonts w:ascii="Arial" w:cs="Arial" w:eastAsia="Arial" w:hAnsi="Arial"/>
          <w:sz w:val="13"/>
          <w:szCs w:val="13"/>
          <w:color w:val="008000"/>
        </w:rPr>
      </w:pPr>
    </w:p>
    <w:p>
      <w:pPr>
        <w:ind w:left="20" w:right="20" w:firstLine="7"/>
        <w:spacing w:after="0" w:line="245" w:lineRule="auto"/>
        <w:tabs>
          <w:tab w:leader="none" w:pos="21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owned by certain private investment funds (the "Funds") and certain separately-managed client accounts (the "Accounts"). Eagle Point Credit GP I LP and Eagle Point DIF GP I LLC (together, the "General Partners") serve as general partner to one or more of the Funds. Accordingly, the General Partners could be deemed to have an indirect pecuniary interest in the securities held by the Fund(s) for which they serve as general partner. Eagle Point Credit Management LLC ("EPCM") serves as investment manager to the Accounts and, due to the nature of the advisory relationship, could be deemed to have an indirect pecuniary interest in the securities held by each of the Accounts.</w:t>
      </w:r>
    </w:p>
    <w:p>
      <w:pPr>
        <w:spacing w:after="0" w:line="29" w:lineRule="exact"/>
        <w:rPr>
          <w:rFonts w:ascii="Arial" w:cs="Arial" w:eastAsia="Arial" w:hAnsi="Arial"/>
          <w:sz w:val="13"/>
          <w:szCs w:val="13"/>
          <w:color w:val="008000"/>
        </w:rPr>
      </w:pPr>
    </w:p>
    <w:p>
      <w:pPr>
        <w:ind w:left="20" w:firstLine="7"/>
        <w:spacing w:after="0" w:line="250" w:lineRule="auto"/>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Eagle Point Holdings LP ("EP Holdings") is the parent company of each of the General Partners and EPCM. Thomas P. Majewski has certain economic rights with respect to EP Holdings (and EPCM) that could be deemed to give rise to an indirect pecuniary interest in the securities held by the Funds and the Accounts. Among the Reporting Persons, each of Eagle Point Credit GP I LP and Mr. Majewski could be deemed to have an indirect pecuniary interest in the securities sold that are reported herein.</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Thomas P. Majewski directly owns the securities in his personal capacity. None of the other Reporting Persons has a pecuniary interest in these securities.</w:t>
      </w:r>
    </w:p>
    <w:p>
      <w:pPr>
        <w:spacing w:after="0" w:line="50" w:lineRule="exact"/>
        <w:rPr>
          <w:rFonts w:ascii="Arial" w:cs="Arial" w:eastAsia="Arial" w:hAnsi="Arial"/>
          <w:sz w:val="13"/>
          <w:szCs w:val="13"/>
          <w:color w:val="008000"/>
        </w:rPr>
      </w:pPr>
    </w:p>
    <w:p>
      <w:pPr>
        <w:ind w:left="20" w:right="40" w:firstLine="7"/>
        <w:spacing w:after="0" w:line="266" w:lineRule="auto"/>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owned by the Funds. Accordingly, for the reasons described above in footnotes 6 and 7, the General Partners, EPCM, and Mr. Majewski could be deemed to have an indirect pecuniary interest in the applicable securities.</w:t>
      </w:r>
    </w:p>
    <w:p>
      <w:pPr>
        <w:spacing w:after="0" w:line="15" w:lineRule="exact"/>
        <w:rPr>
          <w:rFonts w:ascii="Arial" w:cs="Arial" w:eastAsia="Arial" w:hAnsi="Arial"/>
          <w:sz w:val="13"/>
          <w:szCs w:val="13"/>
          <w:color w:val="008000"/>
        </w:rPr>
      </w:pPr>
    </w:p>
    <w:p>
      <w:pPr>
        <w:jc w:val="both"/>
        <w:ind w:left="20" w:right="240" w:firstLine="7"/>
        <w:spacing w:after="0" w:line="250" w:lineRule="auto"/>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hereby disclaims beneficial ownership of the securities described in this report pursuant to Rule 16a-1(a)(4) under the Securities Exchange Act of 1934 (except, with respect to Mr. Majewski, to the extent of his direct pecuniary interest therein) and the inclusion of these securities in this report shall not be deemed an admission of beneficial ownership of any of the reported securities for purposes of Section 16 or for any other purpose.</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line="222" w:lineRule="auto"/>
        <w:tabs>
          <w:tab w:leader="none" w:pos="8740" w:val="left"/>
        </w:tabs>
        <w:rPr>
          <w:sz w:val="20"/>
          <w:szCs w:val="20"/>
          <w:color w:val="auto"/>
        </w:rPr>
      </w:pPr>
      <w:r>
        <w:rPr>
          <w:rFonts w:ascii="Arial" w:cs="Arial" w:eastAsia="Arial" w:hAnsi="Arial"/>
          <w:sz w:val="17"/>
          <w:szCs w:val="17"/>
          <w:color w:val="0000FF"/>
        </w:rPr>
        <w:t>Financial Officer of Eagle</w:t>
      </w:r>
      <w:r>
        <w:rPr>
          <w:sz w:val="20"/>
          <w:szCs w:val="20"/>
          <w:color w:val="auto"/>
        </w:rPr>
        <w:tab/>
      </w:r>
      <w:r>
        <w:rPr>
          <w:rFonts w:ascii="Arial" w:cs="Arial" w:eastAsia="Arial" w:hAnsi="Arial"/>
          <w:sz w:val="23"/>
          <w:szCs w:val="23"/>
          <w:color w:val="0000FF"/>
          <w:vertAlign w:val="subscript"/>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149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Credit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36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3665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ectPr>
          <w:pgSz w:w="11900" w:h="16838" w:orient="portrait"/>
          <w:cols w:equalWidth="0" w:num="1">
            <w:col w:w="10900"/>
          </w:cols>
          <w:pgMar w:left="480" w:top="299" w:right="519" w:bottom="0" w:gutter="0" w:footer="0" w:header="0"/>
        </w:sectPr>
      </w:pPr>
    </w:p>
    <w:bookmarkStart w:id="2" w:name="page3"/>
    <w:bookmarkEnd w:id="2"/>
    <w:p>
      <w:pPr>
        <w:ind w:left="654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246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93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Point DIF GP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4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5715</wp:posOffset>
            </wp:positionV>
            <wp:extent cx="12465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93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Point Credit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Thomas P. Majewski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509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0000FF"/>
        </w:rPr>
        <w:t>06/17/2021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2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607203" TargetMode="External"/><Relationship Id="rId13" Type="http://schemas.openxmlformats.org/officeDocument/2006/relationships/hyperlink" Target="http://www.sec.gov/cgi-bin/browse-edgar?action=getcompany&amp;CIK=0001495222" TargetMode="External"/><Relationship Id="rId15" Type="http://schemas.openxmlformats.org/officeDocument/2006/relationships/hyperlink" Target="http://www.sec.gov/cgi-bin/browse-edgar?action=getcompany&amp;CIK=0001617694" TargetMode="External"/><Relationship Id="rId16" Type="http://schemas.openxmlformats.org/officeDocument/2006/relationships/hyperlink" Target="http://www.sec.gov/cgi-bin/browse-edgar?action=getcompany&amp;CIK=0001607205" TargetMode="External"/><Relationship Id="rId17" Type="http://schemas.openxmlformats.org/officeDocument/2006/relationships/hyperlink" Target="http://www.sec.gov/cgi-bin/browse-edgar?action=getcompany&amp;CIK=00018366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2021-06-17T19:42:31Z</dcterms:created>
  <dcterms:modified xsi:type="dcterms:W3CDTF">2021-06-17T19:42:31Z</dcterms:modified>
</cp:coreProperties>
</file>