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337820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380365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N-CSR</w:t>
      </w:r>
    </w:p>
    <w:p>
      <w:pPr>
        <w:spacing w:after="0" w:line="36"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CERTIFIED SHAREHOLDER REPORT OF REGISTERED MANAGEMENT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COMPANIES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Company Act file number 811-22432</w:t>
      </w:r>
    </w:p>
    <w:p>
      <w:pPr>
        <w:spacing w:after="0" w:line="266"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Oxford Lane Capital 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 Sound Shore Drive, Suite 255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Jonathan H. Cohen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 Sound Shore Drive, Suite 255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983-5275</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fiscal year end: March 31</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reporting period: 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608965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651510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934720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31" w:right="1440" w:bottom="1440"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 Reports to Stockholders.</w:t>
      </w:r>
    </w:p>
    <w:p>
      <w:pPr>
        <w:spacing w:after="0" w:line="14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semi-annual report to stockholders for the six months ended September 30, 2021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22"/>
          <w:szCs w:val="22"/>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9"/>
              </w:rPr>
              <w:t>OXFORD LANE CAPITAL CORP.</w:t>
            </w:r>
          </w:p>
        </w:tc>
        <w:tc>
          <w:tcPr>
            <w:tcW w:w="6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r>
      <w:tr>
        <w:trPr>
          <w:trHeight w:val="413"/>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6"/>
                <w:szCs w:val="16"/>
                <w:b w:val="1"/>
                <w:bCs w:val="1"/>
                <w:color w:val="auto"/>
              </w:rPr>
              <w:t>Page</w:t>
            </w:r>
          </w:p>
        </w:tc>
      </w:tr>
      <w:tr>
        <w:trPr>
          <w:trHeight w:val="46"/>
        </w:trPr>
        <w:tc>
          <w:tcPr>
            <w:tcW w:w="9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4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13"/>
            <w:shd w:val="clear" w:color="auto" w:fill="CCEEFF"/>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Letter to Stockholders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Important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9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Top Ten Holdings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Statement of Assets and Liabilities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61"/>
        </w:trPr>
        <w:tc>
          <w:tcPr>
            <w:tcW w:w="9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Schedule of Investments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Statement of Operations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18</w:t>
            </w:r>
          </w:p>
        </w:tc>
      </w:tr>
      <w:tr>
        <w:trPr>
          <w:trHeight w:val="61"/>
        </w:trPr>
        <w:tc>
          <w:tcPr>
            <w:tcW w:w="9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Statement of Changes in Net Assets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19</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Statement of Cash Flows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20</w:t>
            </w:r>
          </w:p>
        </w:tc>
      </w:tr>
      <w:tr>
        <w:trPr>
          <w:trHeight w:val="61"/>
        </w:trPr>
        <w:tc>
          <w:tcPr>
            <w:tcW w:w="9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Notes to Financial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Distribution Reinvestment Plan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48</w:t>
            </w:r>
          </w:p>
        </w:tc>
      </w:tr>
      <w:tr>
        <w:trPr>
          <w:trHeight w:val="61"/>
        </w:trPr>
        <w:tc>
          <w:tcPr>
            <w:tcW w:w="9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Management</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49</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Board Approval of the Investment Advisory Agreement</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53</w:t>
            </w:r>
          </w:p>
        </w:tc>
      </w:tr>
      <w:tr>
        <w:trPr>
          <w:trHeight w:val="61"/>
        </w:trPr>
        <w:tc>
          <w:tcPr>
            <w:tcW w:w="9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Submission of Matters to a Vote of Stockholders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54</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Additional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55</w:t>
            </w:r>
          </w:p>
        </w:tc>
      </w:tr>
      <w:tr>
        <w:trPr>
          <w:trHeight w:val="20"/>
        </w:trPr>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October 29, 2021</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Stockholders:</w:t>
      </w:r>
    </w:p>
    <w:p>
      <w:pPr>
        <w:spacing w:after="0" w:line="143"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We are pleased to submit to you the report of Oxford Lane Capital Corp. (“we”, “us”, “our”, the “Fund” or “Oxford Lane”) for the six months ended September 30, 2021. The net asset value of our shares at that date was $6.97 per common share. The Fund’s common stock is traded on the NASDAQ Global Select Market and its share price can differ from its net asset value. The Fund’s closing price at September 30, 2021 was $7.21 compared to $6.30 at March 31, 2021. The total return based on market value for the Fund, for the six months ended September 30, 2021, as reflected in the Fund’s financial highlights, was 21.15%. This return reflects the change in market price for the six months ended September 30, 2021, as well as the impact of $0.405 per share in distributions declared and paid for the six months ended September 30, 2021. The total return based on net asset value (“NAV”) for the six months ended September 30, 2021, as reflected in the Fund’s financial highlights, was 24.16%. Please refer to “Note 13. Financial Highlights” for further details. On October 28, 2021, the last reported sale price of the Fund’s common stock was $7.94.</w:t>
      </w:r>
    </w:p>
    <w:p>
      <w:pPr>
        <w:spacing w:after="0" w:line="104"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We note that there may be significant differences between Oxford Lane’s earnings prepared in accordance with generally accepted accounting principles in the United States of America (“GAAP”)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income from our CLO equity investments for the six months ended September 30, 2021 was approximately $83.7 million, we received or were entitled to receive approximately $138.5 million in distributions from our CLO equity investments.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Investment Review</w:t>
      </w:r>
    </w:p>
    <w:p>
      <w:pPr>
        <w:spacing w:after="0" w:line="148" w:lineRule="exact"/>
        <w:rPr>
          <w:sz w:val="20"/>
          <w:szCs w:val="20"/>
          <w:color w:val="auto"/>
        </w:rPr>
      </w:pPr>
    </w:p>
    <w:p>
      <w:pPr>
        <w:jc w:val="both"/>
        <w:ind w:left="460" w:right="899" w:firstLine="432"/>
        <w:spacing w:after="0" w:line="279" w:lineRule="auto"/>
        <w:rPr>
          <w:sz w:val="20"/>
          <w:szCs w:val="20"/>
          <w:color w:val="auto"/>
        </w:rPr>
      </w:pPr>
      <w:r>
        <w:rPr>
          <w:rFonts w:ascii="Arial" w:cs="Arial" w:eastAsia="Arial" w:hAnsi="Arial"/>
          <w:sz w:val="17"/>
          <w:szCs w:val="17"/>
          <w:color w:val="auto"/>
        </w:rPr>
        <w:t>The global outbreak of COVID-19 has disrupted and continues to disrupt economic markets and the prolonged economic impact of the outbreak is uncertain. The operational and financial performance of our investments depends on future developments, including the duration and spread of the outbreak, and such uncertainty may in turn impact the valuation of our investments.</w:t>
      </w:r>
    </w:p>
    <w:p>
      <w:pPr>
        <w:spacing w:after="0" w:line="104"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The Fund’s investment objective is to maximize its portfolio’s risk-adjusted total return over its investment horizon. Our current focus is to seek that return by investing in equity and junior debt tranches of CLO vehicles</w:t>
      </w:r>
      <w:r>
        <w:rPr>
          <w:rFonts w:ascii="Arial" w:cs="Arial" w:eastAsia="Arial" w:hAnsi="Arial"/>
          <w:sz w:val="19"/>
          <w:szCs w:val="19"/>
          <w:color w:val="auto"/>
          <w:vertAlign w:val="superscript"/>
        </w:rPr>
        <w:t>(1)</w:t>
      </w:r>
      <w:r>
        <w:rPr>
          <w:rFonts w:ascii="Arial" w:cs="Arial" w:eastAsia="Arial" w:hAnsi="Arial"/>
          <w:sz w:val="17"/>
          <w:szCs w:val="17"/>
          <w:color w:val="auto"/>
        </w:rPr>
        <w:t>, which are collateralized primarily by diverse portfolios of senior loans made to companies whose debt is unrated or is rated below investment grade. Such CLO vehicles generally have little to no exposure to real estate loans, mortgage loans or pools of consumer-based debt, such as credit card receivables or auto loans. Our investment strategy also includes investing in warehouse facilities, which are financing structures intended to aggregate senior loans that may be used to form the basis of a CLO vehicle. As of September 30, 2021, we held debt investments in approximately 10 different CLO structures, and equity investments in approximately 155 different CLO structures.</w:t>
      </w:r>
    </w:p>
    <w:p>
      <w:pPr>
        <w:spacing w:after="0" w:line="117"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Structurally, CLO vehicles are entities formed to originate and manage a portfolio of loans. The loans within a CLO vehicle are limited to those which, on an aggregated basis, have met established credit criteria and are subject to concentration limitations in order to limit a CLO vehicle’s exposure to a single credit or industry.</w:t>
      </w:r>
    </w:p>
    <w:p>
      <w:pPr>
        <w:spacing w:after="0" w:line="68"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An investment in our Fund carries with it a significant number of meaningful risks, certain of which are discussed in the notes to our financial statements. Investors should read “Note 14. Risks and Uncertainties”, as well as our prospectus, carefully.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right="479" w:hanging="426"/>
        <w:spacing w:after="0" w:line="292" w:lineRule="auto"/>
        <w:tabs>
          <w:tab w:leader="none" w:pos="844" w:val="left"/>
        </w:tabs>
        <w:numPr>
          <w:ilvl w:val="0"/>
          <w:numId w:val="1"/>
        </w:numPr>
        <w:rPr>
          <w:rFonts w:ascii="Arial" w:cs="Arial" w:eastAsia="Arial" w:hAnsi="Arial"/>
          <w:sz w:val="15"/>
          <w:szCs w:val="15"/>
          <w:color w:val="auto"/>
        </w:rPr>
      </w:pPr>
      <w:r>
        <w:rPr>
          <w:rFonts w:ascii="Arial" w:cs="Arial" w:eastAsia="Arial" w:hAnsi="Arial"/>
          <w:sz w:val="15"/>
          <w:szCs w:val="15"/>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Investment Outlook</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Periods of market volatility have occurred and could continue to occur in response to pandemics or other events outside of our control. These types of events have adversely affected and could continue to adversely affect operating results of the Fund and for our investments in CLOs and their underlying collateral. Throughout much of 2020 and 2021, the COVID-19 pandemic has delivered a shock to the global economy. During the second quarter of 2021, the economic recovery gained significant traction in countries in which comprehensive vaccination programs have led to the lifting of health and safety restrictions, such as the United States and China. However, other countries encountered more challenging circumstances as a result of slower distribution of vaccines and the spread of new variants, most notably the Delta variant. The extent to which the COVID-19 pandemic will continue to affect the Fund’s business, financial condition, liquidity or its results of operations will depend on future developments, such as the speed and extent of further vaccine distribution and the impact of the Delta variant or other variants that might arise, which are highly uncertain and cannot be predicted.</w:t>
      </w:r>
    </w:p>
    <w:p>
      <w:pPr>
        <w:spacing w:after="0" w:line="10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the Fund and returns to the Fund, among other things. As of the date of this semi-annual report on Form N-CSR, it is impossible to determine the scope of this outbreak, or any future outbreaks, how long any such outbreak, market disruption or uncertainties may last, the effect any governmental actions will have or the full potential impact on the Fund and our investments in CLOs and their underlying collateral.</w:t>
      </w:r>
    </w:p>
    <w:p>
      <w:pPr>
        <w:spacing w:after="0" w:line="11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These potential impacts, while uncertain, could adversely affect our investments in CLOs and their underlying collaterals’ operating results. These potential impacts, while uncertain, could adversely affect the Fund’s ability to repay indebtedness when due, limit its investment purchases, limit the Fund’s ability to grow and have a negative impact on the Fund’s operating results and the fair values of our CLO debt and CLO equity investments.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H. Cohen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i w:val="1"/>
          <w:iCs w:val="1"/>
          <w:color w:val="auto"/>
        </w:rPr>
        <w:t>This letter is intended to assist stockholders in understanding the Fund’s performance during the six months ended September 30, 2021. The views and opinions in this letter were current as of October 29, 2021. Statements other than those of historical facts included herein may constitute forward-looking statements and are not guarantees of future performance or results and involve a number of risks and uncertainties. Actual results may differ materially from those in the forward-looking statements as a result of a number of factors. The Fund undertakes no duty to update any forward-looking statement made herein. Information contained on our website is not incorporated by reference into this stockholder letter and you should not consider information contained on our website to be part of this stockholder letter or any other report we file with the U.S. Securities and Exchange Commission.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Important Information</w:t>
      </w:r>
    </w:p>
    <w:p>
      <w:pPr>
        <w:spacing w:after="0" w:line="14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frequently trade at a discount from their net asset value (“NAV”), which may increase investors’ risk of loss. Past performance is not indicative of, or a guarantee of, future performance. The performance and certain other portfolio information quoted herein represents information as of September 30, 2021.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About Oxford Lane Capital Corp.</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Oxford Lane Capital Corp. is a publicly-traded registered closed-end management investment company. It currently seeks to achieve its investment objective of maximizing risk-adjusted total return by investing in debt and equity tranches of CLO vehicles. CLO investments may also include warehouse facilities, which are financing structures intended to aggregate loans that may be used to form the basis of a CLO vehicle.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This report may contain “forward-looking statements” within the meaning of the Private Securities Litigation Reform Act of 1995. Statements other than statements of historical facts included in this report may constitute forward-looking statements (including statements containing the words “believes,” “plans,” “anticipates,” “expects,” “estimates” and similar expressions) and are not guarantees of future performance or results and involve a number of risks and uncertainties, including the impact of COVID-19 and related changes in the base interest rates and significant market volatility on our business, our CLO investments, our industry and the global economy.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 of</w:t>
            </w:r>
          </w:p>
        </w:tc>
      </w:tr>
      <w:tr>
        <w:trPr>
          <w:trHeight w:val="210"/>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Investment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Fair Value</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Assets</w:t>
            </w:r>
          </w:p>
        </w:tc>
      </w:tr>
      <w:tr>
        <w:trPr>
          <w:trHeight w:val="46"/>
        </w:trPr>
        <w:tc>
          <w:tcPr>
            <w:tcW w:w="4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Carlye US CLO 2021-8, Ltd. – CLO subordinated notes</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20,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34,774,406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37"/>
        </w:trPr>
        <w:tc>
          <w:tcPr>
            <w:tcW w:w="4440" w:type="dxa"/>
            <w:vAlign w:val="bottom"/>
            <w:gridSpan w:val="2"/>
          </w:tcPr>
          <w:p>
            <w:pPr>
              <w:spacing w:after="0"/>
              <w:rPr>
                <w:sz w:val="20"/>
                <w:szCs w:val="20"/>
                <w:color w:val="auto"/>
              </w:rPr>
            </w:pPr>
            <w:r>
              <w:rPr>
                <w:rFonts w:ascii="Arial" w:cs="Arial" w:eastAsia="Arial" w:hAnsi="Arial"/>
                <w:sz w:val="16"/>
                <w:szCs w:val="16"/>
                <w:color w:val="auto"/>
              </w:rPr>
              <w:t>Anchorage Capital CLO 17, Ltd. – CLO subordinated notes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15, 2034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29,780,729</w:t>
            </w:r>
          </w:p>
        </w:tc>
        <w:tc>
          <w:tcPr>
            <w:tcW w:w="11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46"/>
        </w:trPr>
        <w:tc>
          <w:tcPr>
            <w:tcW w:w="4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Wind River 2021-2 CLO Ltd. – CLO subordinated notes</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20,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27,630,000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37"/>
        </w:trPr>
        <w:tc>
          <w:tcPr>
            <w:tcW w:w="4440" w:type="dxa"/>
            <w:vAlign w:val="bottom"/>
            <w:gridSpan w:val="2"/>
          </w:tcPr>
          <w:p>
            <w:pPr>
              <w:spacing w:after="0"/>
              <w:rPr>
                <w:sz w:val="20"/>
                <w:szCs w:val="20"/>
                <w:color w:val="auto"/>
              </w:rPr>
            </w:pPr>
            <w:r>
              <w:rPr>
                <w:rFonts w:ascii="Arial" w:cs="Arial" w:eastAsia="Arial" w:hAnsi="Arial"/>
                <w:sz w:val="16"/>
                <w:szCs w:val="16"/>
                <w:color w:val="auto"/>
                <w:w w:val="96"/>
              </w:rPr>
              <w:t>Octagon Investment Partners 40, Ltd. – CLO subordinated notes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 2031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27,360,000</w:t>
            </w:r>
          </w:p>
        </w:tc>
        <w:tc>
          <w:tcPr>
            <w:tcW w:w="110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47"/>
        </w:trPr>
        <w:tc>
          <w:tcPr>
            <w:tcW w:w="4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3"/>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Regatta XVIII Funding Ltd. – CLO subordinated notes</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January 15,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26,431,473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37"/>
        </w:trPr>
        <w:tc>
          <w:tcPr>
            <w:tcW w:w="4440" w:type="dxa"/>
            <w:vAlign w:val="bottom"/>
            <w:gridSpan w:val="2"/>
          </w:tcPr>
          <w:p>
            <w:pPr>
              <w:spacing w:after="0"/>
              <w:rPr>
                <w:sz w:val="20"/>
                <w:szCs w:val="20"/>
                <w:color w:val="auto"/>
              </w:rPr>
            </w:pPr>
            <w:r>
              <w:rPr>
                <w:rFonts w:ascii="Arial" w:cs="Arial" w:eastAsia="Arial" w:hAnsi="Arial"/>
                <w:sz w:val="16"/>
                <w:szCs w:val="16"/>
                <w:color w:val="auto"/>
              </w:rPr>
              <w:t>Nyack Park CLO, Ltd. – CLO subordinated notes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 2034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25,160,400</w:t>
            </w:r>
          </w:p>
        </w:tc>
        <w:tc>
          <w:tcPr>
            <w:tcW w:w="11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46"/>
        </w:trPr>
        <w:tc>
          <w:tcPr>
            <w:tcW w:w="4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3"/>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Elevation CLO 2021-14, Ltd. – CLO subordinated notes</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20,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24,945,983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37"/>
        </w:trPr>
        <w:tc>
          <w:tcPr>
            <w:tcW w:w="4440" w:type="dxa"/>
            <w:vAlign w:val="bottom"/>
            <w:gridSpan w:val="2"/>
          </w:tcPr>
          <w:p>
            <w:pPr>
              <w:spacing w:after="0"/>
              <w:rPr>
                <w:sz w:val="20"/>
                <w:szCs w:val="20"/>
                <w:color w:val="auto"/>
              </w:rPr>
            </w:pPr>
            <w:r>
              <w:rPr>
                <w:rFonts w:ascii="Arial" w:cs="Arial" w:eastAsia="Arial" w:hAnsi="Arial"/>
                <w:sz w:val="16"/>
                <w:szCs w:val="16"/>
                <w:color w:val="auto"/>
              </w:rPr>
              <w:t>Rockford Tower CLO 2021-3, Ltd. – CLO subordinated notes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 2034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24,874,931</w:t>
            </w: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46"/>
        </w:trPr>
        <w:tc>
          <w:tcPr>
            <w:tcW w:w="4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Rockland Park CLO, Ltd. – CLO subordinated notes</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April 20,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23,862,500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37"/>
        </w:trPr>
        <w:tc>
          <w:tcPr>
            <w:tcW w:w="4440" w:type="dxa"/>
            <w:vAlign w:val="bottom"/>
            <w:gridSpan w:val="2"/>
          </w:tcPr>
          <w:p>
            <w:pPr>
              <w:spacing w:after="0"/>
              <w:rPr>
                <w:sz w:val="20"/>
                <w:szCs w:val="20"/>
                <w:color w:val="auto"/>
              </w:rPr>
            </w:pPr>
            <w:r>
              <w:rPr>
                <w:rFonts w:ascii="Arial" w:cs="Arial" w:eastAsia="Arial" w:hAnsi="Arial"/>
                <w:sz w:val="16"/>
                <w:szCs w:val="16"/>
                <w:color w:val="auto"/>
              </w:rPr>
              <w:t>Nyack Park CLO, Ltd. – CLO subordinated warehouse notes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5, 2022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23,000,000</w:t>
            </w:r>
          </w:p>
        </w:tc>
        <w:tc>
          <w:tcPr>
            <w:tcW w:w="1100" w:type="dxa"/>
            <w:vAlign w:val="bottom"/>
          </w:tcPr>
          <w:p>
            <w:pPr>
              <w:jc w:val="right"/>
              <w:spacing w:after="0"/>
              <w:rPr>
                <w:sz w:val="20"/>
                <w:szCs w:val="20"/>
                <w:color w:val="auto"/>
              </w:rPr>
            </w:pPr>
            <w:r>
              <w:rPr>
                <w:rFonts w:ascii="Arial" w:cs="Arial" w:eastAsia="Arial" w:hAnsi="Arial"/>
                <w:sz w:val="16"/>
                <w:szCs w:val="16"/>
                <w:color w:val="auto"/>
              </w:rPr>
              <w:t>2.81%</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Investment Breakdown as of September 30,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(Excludes cash equivalents and other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396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6"/>
                <w:szCs w:val="16"/>
                <w:color w:val="auto"/>
              </w:rPr>
              <w:t>Investments, at fair value (cost: $1,221,373,917)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w w:val="97"/>
              </w:rPr>
              <w:t>1,155,735,260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68,443,129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receivable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18,138,780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 sold not settled</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Arial" w:cs="Arial" w:eastAsia="Arial" w:hAnsi="Arial"/>
                <w:sz w:val="16"/>
                <w:szCs w:val="16"/>
                <w:color w:val="auto"/>
              </w:rPr>
              <w:t>Deferred offering costs on 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receivable, including accrued interest purchased</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587,888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68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91,436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1,246,799,650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680" w:type="dxa"/>
            <w:vAlign w:val="bottom"/>
          </w:tcPr>
          <w:p>
            <w:pPr>
              <w:ind w:left="180"/>
              <w:spacing w:after="0"/>
              <w:rPr>
                <w:sz w:val="20"/>
                <w:szCs w:val="20"/>
                <w:color w:val="auto"/>
              </w:rPr>
            </w:pPr>
            <w:r>
              <w:rPr>
                <w:rFonts w:ascii="Arial" w:cs="Arial" w:eastAsia="Arial" w:hAnsi="Arial"/>
                <w:sz w:val="16"/>
                <w:szCs w:val="16"/>
                <w:color w:val="auto"/>
                <w:w w:val="92"/>
              </w:rPr>
              <w:t>Mandatorily redeemable preferred stock, net of unamortized deferred issuance costs of $5,518,772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80" w:type="dxa"/>
            <w:vAlign w:val="bottom"/>
          </w:tcPr>
          <w:p>
            <w:pPr>
              <w:ind w:left="360"/>
              <w:spacing w:after="0"/>
              <w:rPr>
                <w:sz w:val="20"/>
                <w:szCs w:val="20"/>
                <w:color w:val="auto"/>
              </w:rPr>
            </w:pPr>
            <w:r>
              <w:rPr>
                <w:rFonts w:ascii="Arial" w:cs="Arial" w:eastAsia="Arial" w:hAnsi="Arial"/>
                <w:sz w:val="16"/>
                <w:szCs w:val="16"/>
                <w:color w:val="auto"/>
              </w:rPr>
              <w:t>(50,000,000 shares authorized, 8,936,721 shares issued and outstanding)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217,899,253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Notes payable – 6.75% unsecured notes, net of unamortized deferred issuance costs of $3,333,241)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96,666,759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Arial" w:cs="Arial" w:eastAsia="Arial" w:hAnsi="Arial"/>
                <w:sz w:val="16"/>
                <w:szCs w:val="16"/>
                <w:color w:val="auto"/>
              </w:rPr>
              <w:t>Securities purchased not settled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99,674,867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Incentive fees payable to affiliate</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6,698,207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Arial" w:cs="Arial" w:eastAsia="Arial" w:hAnsi="Arial"/>
                <w:sz w:val="16"/>
                <w:szCs w:val="16"/>
                <w:color w:val="auto"/>
              </w:rPr>
              <w:t>Base management fee payable to affiliate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5,413,971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667,928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Arial" w:cs="Arial" w:eastAsia="Arial" w:hAnsi="Arial"/>
                <w:sz w:val="16"/>
                <w:szCs w:val="16"/>
                <w:color w:val="auto"/>
              </w:rPr>
              <w:t>Interest payable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Directors’ fees payable</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80" w:type="dxa"/>
            <w:vAlign w:val="bottom"/>
          </w:tcPr>
          <w:p>
            <w:pPr>
              <w:ind w:left="180"/>
              <w:spacing w:after="0"/>
              <w:rPr>
                <w:sz w:val="20"/>
                <w:szCs w:val="20"/>
                <w:color w:val="auto"/>
              </w:rPr>
            </w:pPr>
            <w:r>
              <w:rPr>
                <w:rFonts w:ascii="Arial" w:cs="Arial" w:eastAsia="Arial" w:hAnsi="Arial"/>
                <w:sz w:val="16"/>
                <w:szCs w:val="16"/>
                <w:color w:val="auto"/>
              </w:rPr>
              <w:t>Administrator expense payable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59,650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427,169,385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(Note 11)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NET ASSETS applicable to common stock, $0.01 par value, 450,000,000 shares authorized,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117,597,381 shares issued and outstanding</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819,630,265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ASSETS consist of:</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Arial" w:cs="Arial" w:eastAsia="Arial" w:hAnsi="Arial"/>
                <w:sz w:val="16"/>
                <w:szCs w:val="16"/>
                <w:color w:val="auto"/>
              </w:rPr>
              <w:t>Common stock, $0.01 par value</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1,175,974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in excess of par value</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904,369,241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80" w:type="dxa"/>
            <w:vAlign w:val="bottom"/>
          </w:tcPr>
          <w:p>
            <w:pPr>
              <w:ind w:left="180"/>
              <w:spacing w:after="0"/>
              <w:rPr>
                <w:sz w:val="20"/>
                <w:szCs w:val="20"/>
                <w:color w:val="auto"/>
              </w:rPr>
            </w:pPr>
            <w:r>
              <w:rPr>
                <w:rFonts w:ascii="Arial" w:cs="Arial" w:eastAsia="Arial" w:hAnsi="Arial"/>
                <w:sz w:val="16"/>
                <w:szCs w:val="16"/>
                <w:color w:val="auto"/>
              </w:rPr>
              <w:t>Total distributable earnings/(accumulated losses)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(85,914,950)</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net assets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819,630,265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asset value per common share</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80" w:type="dxa"/>
            <w:vAlign w:val="bottom"/>
            <w:vMerge w:val="continue"/>
          </w:tcPr>
          <w:p>
            <w:pPr>
              <w:spacing w:after="0"/>
              <w:rPr>
                <w:sz w:val="21"/>
                <w:szCs w:val="21"/>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Market price per share</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vMerge w:val="continue"/>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80" w:type="dxa"/>
            <w:vAlign w:val="bottom"/>
          </w:tcPr>
          <w:p>
            <w:pPr>
              <w:spacing w:after="0"/>
              <w:rPr>
                <w:sz w:val="20"/>
                <w:szCs w:val="20"/>
                <w:color w:val="auto"/>
              </w:rPr>
            </w:pPr>
            <w:r>
              <w:rPr>
                <w:rFonts w:ascii="Arial" w:cs="Arial" w:eastAsia="Arial" w:hAnsi="Arial"/>
                <w:sz w:val="16"/>
                <w:szCs w:val="16"/>
                <w:color w:val="auto"/>
              </w:rPr>
              <w:t>Percentage of market price premium to net asset value per share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274" w:right="1440" w:bottom="622"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622" w:gutter="0" w:footer="0" w:header="0"/>
          <w:type w:val="continuous"/>
        </w:sectPr>
      </w:pPr>
    </w:p>
    <w:bookmarkStart w:id="8" w:name="page9"/>
    <w:bookmarkEnd w:id="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6"/>
        </w:trPr>
        <w:tc>
          <w:tcPr>
            <w:tcW w:w="348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100" w:type="dxa"/>
            <w:vAlign w:val="bottom"/>
            <w:vMerge w:val="restart"/>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8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9"/>
              </w:rPr>
              <w:t>NET</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gridSpan w:val="5"/>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AMOUNT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ASSETS</w:t>
            </w:r>
          </w:p>
        </w:tc>
        <w:tc>
          <w:tcPr>
            <w:tcW w:w="0" w:type="dxa"/>
            <w:vAlign w:val="bottom"/>
          </w:tcPr>
          <w:p>
            <w:pPr>
              <w:spacing w:after="0"/>
              <w:rPr>
                <w:sz w:val="1"/>
                <w:szCs w:val="1"/>
                <w:color w:val="auto"/>
              </w:rPr>
            </w:pPr>
          </w:p>
        </w:tc>
      </w:tr>
      <w:tr>
        <w:trPr>
          <w:trHeight w:val="264"/>
        </w:trPr>
        <w:tc>
          <w:tcPr>
            <w:tcW w:w="358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Collateralized Loan Obligation – Debt Investments</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20" w:type="dxa"/>
            <w:vAlign w:val="bottom"/>
            <w:tcBorders>
              <w:top w:val="single" w:sz="8" w:color="auto"/>
            </w:tcBorders>
            <w:gridSpan w:val="3"/>
          </w:tcPr>
          <w:p>
            <w:pPr>
              <w:spacing w:after="0" w:line="230" w:lineRule="exact"/>
              <w:rPr>
                <w:sz w:val="20"/>
                <w:szCs w:val="20"/>
                <w:color w:val="auto"/>
              </w:rPr>
            </w:pPr>
            <w:r>
              <w:rPr>
                <w:rFonts w:ascii="Arial" w:cs="Arial" w:eastAsia="Arial" w:hAnsi="Arial"/>
                <w:sz w:val="14"/>
                <w:szCs w:val="14"/>
                <w:b w:val="1"/>
                <w:bCs w:val="1"/>
                <w:color w:val="auto"/>
              </w:rPr>
              <w:t>Structured Finance – Debt Investments</w:t>
            </w:r>
            <w:r>
              <w:rPr>
                <w:rFonts w:ascii="Arial" w:cs="Arial" w:eastAsia="Arial" w:hAnsi="Arial"/>
                <w:sz w:val="21"/>
                <w:szCs w:val="21"/>
                <w:color w:val="auto"/>
                <w:vertAlign w:val="superscript"/>
              </w:rPr>
              <w:t>(3)(6)</w:t>
            </w:r>
          </w:p>
        </w:tc>
        <w:tc>
          <w:tcPr>
            <w:tcW w:w="460" w:type="dxa"/>
            <w:vAlign w:val="bottom"/>
            <w:tcBorders>
              <w:top w:val="single" w:sz="8" w:color="CCEEFF"/>
            </w:tcBorders>
            <w:gridSpan w:val="3"/>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Allegro CLO II-S,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19"/>
                <w:szCs w:val="19"/>
                <w:color w:val="auto"/>
                <w:vertAlign w:val="superscript"/>
              </w:rPr>
              <w:t>(3)(6)</w:t>
            </w:r>
            <w:r>
              <w:rPr>
                <w:rFonts w:ascii="Arial" w:cs="Arial" w:eastAsia="Arial" w:hAnsi="Arial"/>
                <w:sz w:val="13"/>
                <w:szCs w:val="13"/>
                <w:color w:val="auto"/>
              </w:rPr>
              <w:t>, 7.95% (LIBOR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tcPr>
          <w:p>
            <w:pPr>
              <w:ind w:left="360"/>
              <w:spacing w:after="0"/>
              <w:rPr>
                <w:sz w:val="20"/>
                <w:szCs w:val="20"/>
                <w:color w:val="auto"/>
              </w:rPr>
            </w:pPr>
            <w:r>
              <w:rPr>
                <w:rFonts w:ascii="Arial" w:cs="Arial" w:eastAsia="Arial" w:hAnsi="Arial"/>
                <w:sz w:val="14"/>
                <w:szCs w:val="14"/>
                <w:color w:val="auto"/>
              </w:rPr>
              <w:t>7.82%, due October 21,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06/24/2020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4,430,000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3,517,910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4,034,844</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6"/>
          </w:tcPr>
          <w:p>
            <w:pPr>
              <w:ind w:left="180"/>
              <w:spacing w:after="0"/>
              <w:rPr>
                <w:sz w:val="20"/>
                <w:szCs w:val="20"/>
                <w:color w:val="auto"/>
              </w:rPr>
            </w:pPr>
            <w:r>
              <w:rPr>
                <w:rFonts w:ascii="Arial" w:cs="Arial" w:eastAsia="Arial" w:hAnsi="Arial"/>
                <w:sz w:val="14"/>
                <w:szCs w:val="14"/>
                <w:b w:val="1"/>
                <w:bCs w:val="1"/>
                <w:color w:val="auto"/>
              </w:rPr>
              <w:t>BlueMountain CLO 2018-1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19"/>
                <w:szCs w:val="19"/>
                <w:color w:val="auto"/>
                <w:vertAlign w:val="superscript"/>
              </w:rPr>
              <w:t>(3)(6)</w:t>
            </w:r>
            <w:r>
              <w:rPr>
                <w:rFonts w:ascii="Arial" w:cs="Arial" w:eastAsia="Arial" w:hAnsi="Arial"/>
                <w:sz w:val="13"/>
                <w:szCs w:val="13"/>
                <w:color w:val="auto"/>
              </w:rPr>
              <w:t>, 8.34% (LIBOR +</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8.21%, due July 30, 2030)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11/18/2019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6,120,033</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7,494,450</w:t>
            </w: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Cathedral Lake II,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E1R</w:t>
            </w:r>
            <w:r>
              <w:rPr>
                <w:rFonts w:ascii="Arial" w:cs="Arial" w:eastAsia="Arial" w:hAnsi="Arial"/>
                <w:sz w:val="19"/>
                <w:szCs w:val="19"/>
                <w:color w:val="auto"/>
                <w:vertAlign w:val="superscript"/>
              </w:rPr>
              <w:t>(3)(6)</w:t>
            </w:r>
            <w:r>
              <w:rPr>
                <w:rFonts w:ascii="Arial" w:cs="Arial" w:eastAsia="Arial" w:hAnsi="Arial"/>
                <w:sz w:val="13"/>
                <w:szCs w:val="13"/>
                <w:color w:val="auto"/>
              </w:rPr>
              <w:t>, 7.38% (LIBOR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tcPr>
          <w:p>
            <w:pPr>
              <w:ind w:left="360"/>
              <w:spacing w:after="0"/>
              <w:rPr>
                <w:sz w:val="20"/>
                <w:szCs w:val="20"/>
                <w:color w:val="auto"/>
              </w:rPr>
            </w:pPr>
            <w:r>
              <w:rPr>
                <w:rFonts w:ascii="Arial" w:cs="Arial" w:eastAsia="Arial" w:hAnsi="Arial"/>
                <w:sz w:val="14"/>
                <w:szCs w:val="14"/>
                <w:color w:val="auto"/>
              </w:rPr>
              <w:t>7.25%, due July 16,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11/19/2019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1,295,705</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1,485,000</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6"/>
          </w:tcPr>
          <w:p>
            <w:pPr>
              <w:ind w:left="180"/>
              <w:spacing w:after="0"/>
              <w:rPr>
                <w:sz w:val="20"/>
                <w:szCs w:val="20"/>
                <w:color w:val="auto"/>
              </w:rPr>
            </w:pPr>
            <w:r>
              <w:rPr>
                <w:rFonts w:ascii="Arial" w:cs="Arial" w:eastAsia="Arial" w:hAnsi="Arial"/>
                <w:sz w:val="14"/>
                <w:szCs w:val="14"/>
                <w:b w:val="1"/>
                <w:bCs w:val="1"/>
                <w:color w:val="auto"/>
              </w:rPr>
              <w:t>Highbridge Loan Management 5-2015,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FRR</w:t>
            </w:r>
            <w:r>
              <w:rPr>
                <w:rFonts w:ascii="Arial" w:cs="Arial" w:eastAsia="Arial" w:hAnsi="Arial"/>
                <w:sz w:val="19"/>
                <w:szCs w:val="19"/>
                <w:color w:val="auto"/>
                <w:vertAlign w:val="superscript"/>
              </w:rPr>
              <w:t>(3)(6)</w:t>
            </w:r>
            <w:r>
              <w:rPr>
                <w:rFonts w:ascii="Arial" w:cs="Arial" w:eastAsia="Arial" w:hAnsi="Arial"/>
                <w:sz w:val="13"/>
                <w:szCs w:val="13"/>
                <w:color w:val="auto"/>
              </w:rPr>
              <w:t>, 8.13% (LIBOR +</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8.00%, due October 15, 2030)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08/03/2021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3,425,000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3,071,479</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3,005,095</w:t>
            </w: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Longfellow Place CLO,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FRR</w:t>
            </w:r>
            <w:r>
              <w:rPr>
                <w:rFonts w:ascii="Arial" w:cs="Arial" w:eastAsia="Arial" w:hAnsi="Arial"/>
                <w:sz w:val="19"/>
                <w:szCs w:val="19"/>
                <w:color w:val="auto"/>
                <w:vertAlign w:val="superscript"/>
              </w:rPr>
              <w:t>(3)(6)</w:t>
            </w:r>
            <w:r>
              <w:rPr>
                <w:rFonts w:ascii="Arial" w:cs="Arial" w:eastAsia="Arial" w:hAnsi="Arial"/>
                <w:sz w:val="13"/>
                <w:szCs w:val="13"/>
                <w:color w:val="auto"/>
              </w:rPr>
              <w:t>, 8.63% (LIBOR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tcPr>
          <w:p>
            <w:pPr>
              <w:ind w:left="360"/>
              <w:spacing w:after="0"/>
              <w:rPr>
                <w:sz w:val="20"/>
                <w:szCs w:val="20"/>
                <w:color w:val="auto"/>
              </w:rPr>
            </w:pPr>
            <w:r>
              <w:rPr>
                <w:rFonts w:ascii="Arial" w:cs="Arial" w:eastAsia="Arial" w:hAnsi="Arial"/>
                <w:sz w:val="14"/>
                <w:szCs w:val="14"/>
                <w:color w:val="auto"/>
              </w:rPr>
              <w:t>8.50%, due April 15,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03/26/2019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4,137,500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2,963,053</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2,854,048</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6"/>
          </w:tcPr>
          <w:p>
            <w:pPr>
              <w:ind w:left="180"/>
              <w:spacing w:after="0"/>
              <w:rPr>
                <w:sz w:val="20"/>
                <w:szCs w:val="20"/>
                <w:color w:val="auto"/>
              </w:rPr>
            </w:pPr>
            <w:r>
              <w:rPr>
                <w:rFonts w:ascii="Arial" w:cs="Arial" w:eastAsia="Arial" w:hAnsi="Arial"/>
                <w:sz w:val="14"/>
                <w:szCs w:val="14"/>
                <w:b w:val="1"/>
                <w:bCs w:val="1"/>
                <w:color w:val="auto"/>
              </w:rPr>
              <w:t>Man GLG US CLO 2018-2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ER</w:t>
            </w:r>
            <w:r>
              <w:rPr>
                <w:rFonts w:ascii="Arial" w:cs="Arial" w:eastAsia="Arial" w:hAnsi="Arial"/>
                <w:sz w:val="19"/>
                <w:szCs w:val="19"/>
                <w:color w:val="auto"/>
                <w:vertAlign w:val="superscript"/>
              </w:rPr>
              <w:t>(3)(6)</w:t>
            </w:r>
            <w:r>
              <w:rPr>
                <w:rFonts w:ascii="Arial" w:cs="Arial" w:eastAsia="Arial" w:hAnsi="Arial"/>
                <w:sz w:val="13"/>
                <w:szCs w:val="13"/>
                <w:color w:val="auto"/>
              </w:rPr>
              <w:t>, 8.38% (LIBOR +</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8.25%, due October 15, 2028)</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02/18/2021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1,475,000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1,334,421</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1,336,203</w:t>
            </w: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Midocean Credit CLO VI</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19"/>
                <w:szCs w:val="19"/>
                <w:color w:val="auto"/>
                <w:vertAlign w:val="superscript"/>
              </w:rPr>
              <w:t>(3)(6)</w:t>
            </w:r>
            <w:r>
              <w:rPr>
                <w:rFonts w:ascii="Arial" w:cs="Arial" w:eastAsia="Arial" w:hAnsi="Arial"/>
                <w:sz w:val="13"/>
                <w:szCs w:val="13"/>
                <w:color w:val="auto"/>
              </w:rPr>
              <w:t>, 8.14% (LIBOR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tcPr>
          <w:p>
            <w:pPr>
              <w:ind w:left="360"/>
              <w:spacing w:after="0"/>
              <w:rPr>
                <w:sz w:val="20"/>
                <w:szCs w:val="20"/>
                <w:color w:val="auto"/>
              </w:rPr>
            </w:pPr>
            <w:r>
              <w:rPr>
                <w:rFonts w:ascii="Arial" w:cs="Arial" w:eastAsia="Arial" w:hAnsi="Arial"/>
                <w:sz w:val="14"/>
                <w:szCs w:val="14"/>
                <w:color w:val="auto"/>
              </w:rPr>
              <w:t>8.01%, due April 20, 2033)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03/12/2021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3,229,934</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3,690,000</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6"/>
          </w:tcPr>
          <w:p>
            <w:pPr>
              <w:ind w:left="180"/>
              <w:spacing w:after="0"/>
              <w:rPr>
                <w:sz w:val="20"/>
                <w:szCs w:val="20"/>
                <w:color w:val="auto"/>
              </w:rPr>
            </w:pPr>
            <w:r>
              <w:rPr>
                <w:rFonts w:ascii="Arial" w:cs="Arial" w:eastAsia="Arial" w:hAnsi="Arial"/>
                <w:sz w:val="14"/>
                <w:szCs w:val="14"/>
                <w:b w:val="1"/>
                <w:bCs w:val="1"/>
                <w:color w:val="auto"/>
              </w:rPr>
              <w:t>OZLM XIII,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19"/>
                <w:szCs w:val="19"/>
                <w:color w:val="auto"/>
                <w:vertAlign w:val="superscript"/>
              </w:rPr>
              <w:t>(3)(6)</w:t>
            </w:r>
            <w:r>
              <w:rPr>
                <w:rFonts w:ascii="Arial" w:cs="Arial" w:eastAsia="Arial" w:hAnsi="Arial"/>
                <w:sz w:val="13"/>
                <w:szCs w:val="13"/>
                <w:color w:val="auto"/>
              </w:rPr>
              <w:t>, 6.63% (LIBOR +</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6.50%, due July 30, 2027)</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09/26/2019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1,611,437</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1,862,800</w:t>
            </w: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Venture XX CLO, Limited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19"/>
                <w:szCs w:val="19"/>
                <w:color w:val="auto"/>
                <w:vertAlign w:val="superscript"/>
              </w:rPr>
              <w:t>(3)(6)</w:t>
            </w:r>
            <w:r>
              <w:rPr>
                <w:rFonts w:ascii="Arial" w:cs="Arial" w:eastAsia="Arial" w:hAnsi="Arial"/>
                <w:sz w:val="13"/>
                <w:szCs w:val="13"/>
                <w:color w:val="auto"/>
              </w:rPr>
              <w:t>, 6.43% (LIBOR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tcPr>
          <w:p>
            <w:pPr>
              <w:ind w:left="360"/>
              <w:spacing w:after="0"/>
              <w:rPr>
                <w:sz w:val="20"/>
                <w:szCs w:val="20"/>
                <w:color w:val="auto"/>
              </w:rPr>
            </w:pPr>
            <w:r>
              <w:rPr>
                <w:rFonts w:ascii="Arial" w:cs="Arial" w:eastAsia="Arial" w:hAnsi="Arial"/>
                <w:sz w:val="14"/>
                <w:szCs w:val="14"/>
                <w:color w:val="auto"/>
              </w:rPr>
              <w:t>6.30%, due April 15,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03/03/2021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6,450,000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5,406,227</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5,599,245</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6"/>
          </w:tcPr>
          <w:p>
            <w:pPr>
              <w:ind w:left="180"/>
              <w:spacing w:after="0"/>
              <w:rPr>
                <w:sz w:val="20"/>
                <w:szCs w:val="20"/>
                <w:color w:val="auto"/>
              </w:rPr>
            </w:pPr>
            <w:r>
              <w:rPr>
                <w:rFonts w:ascii="Arial" w:cs="Arial" w:eastAsia="Arial" w:hAnsi="Arial"/>
                <w:sz w:val="14"/>
                <w:szCs w:val="14"/>
                <w:b w:val="1"/>
                <w:bCs w:val="1"/>
                <w:color w:val="auto"/>
              </w:rPr>
              <w:t>Venture XXI CLO, Limited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19"/>
                <w:szCs w:val="19"/>
                <w:color w:val="auto"/>
                <w:vertAlign w:val="superscript"/>
              </w:rPr>
              <w:t>(3)(6)</w:t>
            </w:r>
            <w:r>
              <w:rPr>
                <w:rFonts w:ascii="Arial" w:cs="Arial" w:eastAsia="Arial" w:hAnsi="Arial"/>
                <w:sz w:val="13"/>
                <w:szCs w:val="13"/>
                <w:color w:val="auto"/>
              </w:rPr>
              <w:t>, 6.73% (LIBOR +</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80" w:type="dxa"/>
            <w:vAlign w:val="bottom"/>
            <w:gridSpan w:val="6"/>
            <w:shd w:val="clear" w:color="auto" w:fill="CCEEFF"/>
          </w:tcPr>
          <w:p>
            <w:pPr>
              <w:ind w:left="360"/>
              <w:spacing w:after="0"/>
              <w:rPr>
                <w:sz w:val="20"/>
                <w:szCs w:val="20"/>
                <w:color w:val="auto"/>
              </w:rPr>
            </w:pPr>
            <w:r>
              <w:rPr>
                <w:rFonts w:ascii="Arial" w:cs="Arial" w:eastAsia="Arial" w:hAnsi="Arial"/>
                <w:sz w:val="14"/>
                <w:szCs w:val="14"/>
                <w:color w:val="auto"/>
              </w:rPr>
              <w:t>6.60%, due July 15, 2027)</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07/28/2021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1,750,000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1,427,127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1,428,175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Total Structured Finance – Debt Investments</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80" w:type="dxa"/>
            <w:vAlign w:val="bottom"/>
            <w:gridSpan w:val="6"/>
            <w:vMerge w:val="continue"/>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29,977,326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32,789,860</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12"/>
        </w:trPr>
        <w:tc>
          <w:tcPr>
            <w:tcW w:w="3580" w:type="dxa"/>
            <w:vAlign w:val="bottom"/>
            <w:tcBorders>
              <w:top w:val="single" w:sz="8" w:color="CCEEFF"/>
            </w:tcBorders>
            <w:gridSpan w:val="6"/>
            <w:shd w:val="clear" w:color="auto" w:fill="CCEEFF"/>
          </w:tcPr>
          <w:p>
            <w:pPr>
              <w:ind w:left="180"/>
              <w:spacing w:after="0" w:line="112" w:lineRule="exact"/>
              <w:rPr>
                <w:sz w:val="20"/>
                <w:szCs w:val="20"/>
                <w:color w:val="auto"/>
              </w:rPr>
            </w:pPr>
            <w:r>
              <w:rPr>
                <w:rFonts w:ascii="Arial" w:cs="Arial" w:eastAsia="Arial" w:hAnsi="Arial"/>
                <w:sz w:val="12"/>
                <w:szCs w:val="12"/>
                <w:b w:val="1"/>
                <w:bCs w:val="1"/>
                <w:color w:val="auto"/>
              </w:rPr>
              <w:t>Total Collateralized Loan Obligation – Debt</w:t>
            </w: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580" w:type="dxa"/>
            <w:vAlign w:val="bottom"/>
            <w:gridSpan w:val="6"/>
            <w:shd w:val="clear" w:color="auto" w:fill="CCEEFF"/>
          </w:tcPr>
          <w:p>
            <w:pPr>
              <w:ind w:left="360"/>
              <w:spacing w:after="0"/>
              <w:rPr>
                <w:sz w:val="20"/>
                <w:szCs w:val="20"/>
                <w:color w:val="auto"/>
              </w:rPr>
            </w:pPr>
            <w:r>
              <w:rPr>
                <w:rFonts w:ascii="Arial" w:cs="Arial" w:eastAsia="Arial" w:hAnsi="Arial"/>
                <w:sz w:val="14"/>
                <w:szCs w:val="14"/>
                <w:b w:val="1"/>
                <w:bCs w:val="1"/>
                <w:color w:val="auto"/>
              </w:rPr>
              <w:t>Investments</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29,977,326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32,789,860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Collateralized Loan Obligation – Equity Investments</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Structured Finance – Equity Investments</w:t>
            </w:r>
          </w:p>
        </w:tc>
        <w:tc>
          <w:tcPr>
            <w:tcW w:w="340" w:type="dxa"/>
            <w:vAlign w:val="bottom"/>
            <w:tcBorders>
              <w:top w:val="single" w:sz="8" w:color="CCEEFF"/>
            </w:tcBorders>
            <w:gridSpan w:val="2"/>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4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8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AIMCO CLO, Series 2015-A</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(5)(7)(11)</w:t>
            </w:r>
            <w:r>
              <w:rPr>
                <w:rFonts w:ascii="Arial" w:cs="Arial" w:eastAsia="Arial" w:hAnsi="Arial"/>
                <w:sz w:val="13"/>
                <w:szCs w:val="13"/>
                <w:color w:val="auto"/>
              </w:rPr>
              <w:t>, (Estimated yield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tcPr>
          <w:p>
            <w:pPr>
              <w:ind w:left="360"/>
              <w:spacing w:after="0"/>
              <w:rPr>
                <w:sz w:val="20"/>
                <w:szCs w:val="20"/>
                <w:color w:val="auto"/>
              </w:rPr>
            </w:pPr>
            <w:r>
              <w:rPr>
                <w:rFonts w:ascii="Arial" w:cs="Arial" w:eastAsia="Arial" w:hAnsi="Arial"/>
                <w:sz w:val="14"/>
                <w:szCs w:val="14"/>
                <w:color w:val="auto"/>
              </w:rPr>
              <w:t>41.06%, maturity January 15,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08/25/2021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10,203,750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6,917,506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7,652,813</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6"/>
          </w:tcPr>
          <w:p>
            <w:pPr>
              <w:ind w:left="180"/>
              <w:spacing w:after="0"/>
              <w:rPr>
                <w:sz w:val="20"/>
                <w:szCs w:val="20"/>
                <w:color w:val="auto"/>
              </w:rPr>
            </w:pPr>
            <w:r>
              <w:rPr>
                <w:rFonts w:ascii="Arial" w:cs="Arial" w:eastAsia="Arial" w:hAnsi="Arial"/>
                <w:sz w:val="14"/>
                <w:szCs w:val="14"/>
                <w:b w:val="1"/>
                <w:bCs w:val="1"/>
                <w:color w:val="auto"/>
              </w:rPr>
              <w:t>Allegro CLO II-S,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21.21%,</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6"/>
            <w:shd w:val="clear" w:color="auto" w:fill="CCEEFF"/>
          </w:tcPr>
          <w:p>
            <w:pPr>
              <w:ind w:left="360"/>
              <w:spacing w:after="0"/>
              <w:rPr>
                <w:sz w:val="20"/>
                <w:szCs w:val="20"/>
                <w:color w:val="auto"/>
              </w:rPr>
            </w:pPr>
            <w:r>
              <w:rPr>
                <w:rFonts w:ascii="Arial" w:cs="Arial" w:eastAsia="Arial" w:hAnsi="Arial"/>
                <w:sz w:val="14"/>
                <w:szCs w:val="14"/>
                <w:color w:val="auto"/>
              </w:rPr>
              <w:t>maturity October 21, 2028)</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02/06/2020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20,800,000</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6,655,754</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6,656,000</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8"/>
              </w:rPr>
              <w:t>FAIR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6"/>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vMerge w:val="continue"/>
          </w:tcPr>
          <w:p>
            <w:pPr>
              <w:spacing w:after="0"/>
              <w:rPr>
                <w:sz w:val="10"/>
                <w:szCs w:val="10"/>
                <w:color w:val="auto"/>
              </w:rPr>
            </w:pPr>
          </w:p>
        </w:tc>
        <w:tc>
          <w:tcPr>
            <w:tcW w:w="88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NET</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980" w:type="dxa"/>
            <w:vAlign w:val="bottom"/>
            <w:gridSpan w:val="3"/>
          </w:tcPr>
          <w:p>
            <w:pPr>
              <w:ind w:left="10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VALUE</w:t>
            </w:r>
            <w:r>
              <w:rPr>
                <w:rFonts w:ascii="Arial" w:cs="Arial" w:eastAsia="Arial" w:hAnsi="Arial"/>
                <w:sz w:val="14"/>
                <w:szCs w:val="14"/>
                <w:b w:val="1"/>
                <w:bCs w:val="1"/>
                <w:color w:val="auto"/>
                <w:w w:val="93"/>
                <w:vertAlign w:val="superscript"/>
              </w:rPr>
              <w:t>(2)</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ASSETS</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ALM XVII,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w w:val="99"/>
              </w:rPr>
              <w:t>CLO subordinated notes</w:t>
            </w:r>
            <w:r>
              <w:rPr>
                <w:rFonts w:ascii="Arial" w:cs="Arial" w:eastAsia="Arial" w:hAnsi="Arial"/>
                <w:sz w:val="19"/>
                <w:szCs w:val="19"/>
                <w:color w:val="auto"/>
                <w:w w:val="99"/>
                <w:vertAlign w:val="superscript"/>
              </w:rPr>
              <w:t>(5)(7)(10)</w:t>
            </w:r>
            <w:r>
              <w:rPr>
                <w:rFonts w:ascii="Arial" w:cs="Arial" w:eastAsia="Arial" w:hAnsi="Arial"/>
                <w:sz w:val="13"/>
                <w:szCs w:val="13"/>
                <w:color w:val="auto"/>
                <w:w w:val="99"/>
              </w:rPr>
              <w:t>, (Estimated yield 0.00%,</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15,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03/04/2019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  6,500,000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ind w:left="600"/>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37,537</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AMMC CLO XII, Limited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4"/>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21.75%,</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4"/>
                <w:szCs w:val="14"/>
                <w:color w:val="auto"/>
              </w:rPr>
              <w:t>maturity November 10, 2030)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09/10/2021</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24,350,000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8,012,771</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8,035,500</w:t>
            </w: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Anchorage Capital CLO 1-R,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34.91%,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13,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08/13/2020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6,029,244</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7,502,993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Anchorage Capital CLO 4-R,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4"/>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(5)(7)(11)</w:t>
            </w:r>
            <w:r>
              <w:rPr>
                <w:rFonts w:ascii="Arial" w:cs="Arial" w:eastAsia="Arial" w:hAnsi="Arial"/>
                <w:sz w:val="13"/>
                <w:szCs w:val="13"/>
                <w:color w:val="auto"/>
              </w:rPr>
              <w:t>, (Estimated yield</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4"/>
                <w:szCs w:val="14"/>
                <w:color w:val="auto"/>
              </w:rPr>
              <w:t>16.35%, maturity January 28, 2031)</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05/20/2019</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8,625,000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6,015,343</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6,253,125</w:t>
            </w: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Anchorage Capital CLO 5-R,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23.49%,</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07/16/2019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27,316,000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18,096,143</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19,611,760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Anchorage Capital CLO 7,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4"/>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27.20%,</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4"/>
                <w:szCs w:val="14"/>
                <w:color w:val="auto"/>
              </w:rPr>
              <w:t>maturity January 28, 2031)</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06/02/2020</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12,750,000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5,785,087</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7,522,500</w:t>
            </w: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Anchorage Capital CLO 17,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(5)(7)(9)</w:t>
            </w:r>
            <w:r>
              <w:rPr>
                <w:rFonts w:ascii="Arial" w:cs="Arial" w:eastAsia="Arial" w:hAnsi="Arial"/>
                <w:sz w:val="13"/>
                <w:szCs w:val="13"/>
                <w:color w:val="auto"/>
              </w:rPr>
              <w:t>, (Estimated yield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18.56%, maturity July 15,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06/04/2021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31,610,000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27,693,807</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29,780,729</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580" w:type="dxa"/>
            <w:vAlign w:val="bottom"/>
            <w:gridSpan w:val="4"/>
          </w:tcPr>
          <w:p>
            <w:pPr>
              <w:ind w:left="180"/>
              <w:spacing w:after="0" w:line="126" w:lineRule="exact"/>
              <w:rPr>
                <w:sz w:val="20"/>
                <w:szCs w:val="20"/>
                <w:color w:val="auto"/>
              </w:rPr>
            </w:pPr>
            <w:r>
              <w:rPr>
                <w:rFonts w:ascii="Arial" w:cs="Arial" w:eastAsia="Arial" w:hAnsi="Arial"/>
                <w:sz w:val="14"/>
                <w:szCs w:val="14"/>
                <w:b w:val="1"/>
                <w:bCs w:val="1"/>
                <w:color w:val="auto"/>
              </w:rPr>
              <w:t>Apex Credit CLO 2015-II, Ltd. (fka: JFIN CLO</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580" w:type="dxa"/>
            <w:vAlign w:val="bottom"/>
            <w:gridSpan w:val="4"/>
          </w:tcPr>
          <w:p>
            <w:pPr>
              <w:ind w:left="360"/>
              <w:spacing w:after="0"/>
              <w:rPr>
                <w:sz w:val="20"/>
                <w:szCs w:val="20"/>
                <w:color w:val="auto"/>
              </w:rPr>
            </w:pPr>
            <w:r>
              <w:rPr>
                <w:rFonts w:ascii="Arial" w:cs="Arial" w:eastAsia="Arial" w:hAnsi="Arial"/>
                <w:sz w:val="14"/>
                <w:szCs w:val="14"/>
                <w:b w:val="1"/>
                <w:bCs w:val="1"/>
                <w:color w:val="auto"/>
              </w:rPr>
              <w:t>2015-II Ltd.)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4"/>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0.00%,</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4"/>
                <w:szCs w:val="14"/>
                <w:color w:val="auto"/>
              </w:rPr>
              <w:t>maturity October 17, 2026)</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11/22/2016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5,750,000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3,842,604</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3,025,285</w:t>
            </w: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Apex Credit CLO 2018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23.36%,</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25,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03/14/2018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12,420,000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7,116,526</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6,140,878</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Apex Credit CLO 2019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4"/>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15.12%,</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4"/>
                <w:szCs w:val="14"/>
                <w:color w:val="auto"/>
              </w:rPr>
              <w:t>maturity April 18, 2032)</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05/13/2019</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17,500,000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13,370,022</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11,364,352</w:t>
            </w: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Apex Credit CLO 2019-II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28.04%,</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25,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10/27/2020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2,626,839</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2,905,043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Arch Street CLO, Ltd.</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4"/>
            <w:shd w:val="clear" w:color="auto" w:fill="CCEEFF"/>
          </w:tcPr>
          <w:p>
            <w:pPr>
              <w:ind w:left="180"/>
              <w:spacing w:after="0" w:line="171" w:lineRule="exact"/>
              <w:rPr>
                <w:sz w:val="20"/>
                <w:szCs w:val="20"/>
                <w:color w:val="auto"/>
              </w:rPr>
            </w:pPr>
            <w:r>
              <w:rPr>
                <w:rFonts w:ascii="Arial" w:cs="Arial" w:eastAsia="Arial" w:hAnsi="Arial"/>
                <w:sz w:val="13"/>
                <w:szCs w:val="13"/>
                <w:color w:val="auto"/>
                <w:w w:val="99"/>
              </w:rPr>
              <w:t>CLO subordinated notes</w:t>
            </w:r>
            <w:r>
              <w:rPr>
                <w:rFonts w:ascii="Arial" w:cs="Arial" w:eastAsia="Arial" w:hAnsi="Arial"/>
                <w:sz w:val="19"/>
                <w:szCs w:val="19"/>
                <w:color w:val="auto"/>
                <w:w w:val="99"/>
                <w:vertAlign w:val="superscript"/>
              </w:rPr>
              <w:t>(5)(7)(11)</w:t>
            </w:r>
            <w:r>
              <w:rPr>
                <w:rFonts w:ascii="Arial" w:cs="Arial" w:eastAsia="Arial" w:hAnsi="Arial"/>
                <w:sz w:val="13"/>
                <w:szCs w:val="13"/>
                <w:color w:val="auto"/>
                <w:w w:val="99"/>
              </w:rPr>
              <w:t>, (Estimated yield 0.00%,</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4"/>
                <w:szCs w:val="14"/>
                <w:color w:val="auto"/>
              </w:rPr>
              <w:t>maturity October 20, 2028)</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03/20/2019</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5,250,000</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2,547,900</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1,575,000</w:t>
            </w: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Ares XXVII CLO, Ltd.</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80" w:type="dxa"/>
            <w:vAlign w:val="bottom"/>
            <w:gridSpan w:val="4"/>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19.50%,</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28,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03/06/2019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27,871,690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13,072,147</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12,542,261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Ares XXXIV CLO Ltd.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18.05%,</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17, 2033)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08/30/2021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$ 21,325,000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11,376,104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11,826,912</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Ares XXXVII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22.35%,</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02/12/2019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14,694,379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13,878,866</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Ares XL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27.76%,</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15,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11/30/2017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37,433,000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16,331,399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13,995,985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Ares XLII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24.47%,</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22,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06/23/2021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21,910,000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10,069,242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9,673,611</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Ares LXI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16.47%,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08/25/2021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11,289,193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11,103,828</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Atlas Senior Loan Funding XVII,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18.62%,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09/20/2021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4,826,931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Atrium XV</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17.81%, maturity January 23,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09/17/2019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14,760,340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Bain Capital Credit CLO 2018-2,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20.82%,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19,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05/14/2021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2,423,036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2,440,000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Barings CLO Ltd. 2021-1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18.40%, maturity April 25,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5,400,000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4,770,212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5,184,000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Barings CLO Ltd. 2021-II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17.57%, maturity July 15,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07/14/2021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14,969,357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14,917,500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Battalion CLO VII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17,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07/03/2018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26,900,000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12,623,745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11,029,000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Benefit Street Partners CLO V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3"/>
              </w:rPr>
              <w:t xml:space="preserve">CLO preference shares </w:t>
            </w:r>
            <w:r>
              <w:rPr>
                <w:rFonts w:ascii="Arial" w:cs="Arial" w:eastAsia="Arial" w:hAnsi="Arial"/>
                <w:sz w:val="21"/>
                <w:szCs w:val="21"/>
                <w:color w:val="auto"/>
                <w:w w:val="93"/>
                <w:vertAlign w:val="superscript"/>
              </w:rPr>
              <w:t>(5)(7)(10)</w:t>
            </w:r>
            <w:r>
              <w:rPr>
                <w:rFonts w:ascii="Arial" w:cs="Arial" w:eastAsia="Arial" w:hAnsi="Arial"/>
                <w:sz w:val="14"/>
                <w:szCs w:val="14"/>
                <w:color w:val="auto"/>
                <w:w w:val="93"/>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07/27/2015</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486,128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Bighorn VI,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warehouse notes</w:t>
            </w:r>
            <w:r>
              <w:rPr>
                <w:rFonts w:ascii="Arial" w:cs="Arial" w:eastAsia="Arial" w:hAnsi="Arial"/>
                <w:sz w:val="21"/>
                <w:szCs w:val="21"/>
                <w:color w:val="auto"/>
                <w:vertAlign w:val="superscript"/>
              </w:rPr>
              <w:t>(4)(5)</w:t>
            </w:r>
            <w:r>
              <w:rPr>
                <w:rFonts w:ascii="Arial" w:cs="Arial" w:eastAsia="Arial" w:hAnsi="Arial"/>
                <w:sz w:val="14"/>
                <w:szCs w:val="14"/>
                <w:color w:val="auto"/>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13.74%, maturity February 18, 2023)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09/21/2021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-7604125</wp:posOffset>
            </wp:positionV>
            <wp:extent cx="514350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-7183755</wp:posOffset>
            </wp:positionV>
            <wp:extent cx="514350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-6823710</wp:posOffset>
            </wp:positionV>
            <wp:extent cx="514350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-6403975</wp:posOffset>
            </wp:positionV>
            <wp:extent cx="514350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-5983605</wp:posOffset>
            </wp:positionV>
            <wp:extent cx="514350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-5623560</wp:posOffset>
            </wp:positionV>
            <wp:extent cx="514350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-5203825</wp:posOffset>
            </wp:positionV>
            <wp:extent cx="514350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-4783455</wp:posOffset>
            </wp:positionV>
            <wp:extent cx="514350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-4423410</wp:posOffset>
            </wp:positionV>
            <wp:extent cx="514350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-4003675</wp:posOffset>
            </wp:positionV>
            <wp:extent cx="514350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-3583305</wp:posOffset>
            </wp:positionV>
            <wp:extent cx="514350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-3223260</wp:posOffset>
            </wp:positionV>
            <wp:extent cx="514350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-2803525</wp:posOffset>
            </wp:positionV>
            <wp:extent cx="514350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-2383155</wp:posOffset>
            </wp:positionV>
            <wp:extent cx="514350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-2023110</wp:posOffset>
            </wp:positionV>
            <wp:extent cx="514350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-1603375</wp:posOffset>
            </wp:positionV>
            <wp:extent cx="514350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-1183005</wp:posOffset>
            </wp:positionV>
            <wp:extent cx="514350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-822960</wp:posOffset>
            </wp:positionV>
            <wp:extent cx="514350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-8006715</wp:posOffset>
            </wp:positionV>
            <wp:extent cx="514350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268"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BlueMountain Fuji US CLO II Ltd.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23.40%,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02/13/2020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$ 31,480,000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17,747,550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20,147,200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BlueMountain CLO 2015-4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47.11%,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20,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07/22/2020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7,644,700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3,687,526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4,586,820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BlueMountain CLO 2016-3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30.78%, maturity November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08/18/2020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7,697,500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4,135,987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4,695,475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BlueMountain CLO 2018-1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16.38%,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30,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01/14/2020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6,636,943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BlueMountain CLO 2018-3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24.90%,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06/11/2020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19,325,000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8,849,690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10,628,750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B&amp;M CLO 2014-1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16,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10/30/2014</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1,872,796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Carlyle Global Market Strategies CLO 2013-2,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18,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03/19/2013</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16,098,067</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7,294,877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5,345,623</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Carlyle Global Market Strategies CLO 2013-4,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19.90%,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15,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09/29/2021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5,704,714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5,698,500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Carlyle Global Market Strategies CLO 2014-5,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7.77%,</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03/27/2019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7,134,333</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3,468,780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2,853,733</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Carlyle US CLO 2017-1,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18.20%,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01/27/2021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7,550,000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4,174,723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4,152,500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Carlye US CLO 2020-2,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25.26%, maturity October 25,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10/21/2020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17,225,000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11,095,720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12,746,500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Carlye US CLO 2021-8,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19.99%,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08/24/2021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42,537,500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32,689,519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34,774,406</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Cathedral Lake CLO 2013,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15,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05/31/2018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6,350,000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2,205,188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-7604125</wp:posOffset>
            </wp:positionV>
            <wp:extent cx="514350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-7183755</wp:posOffset>
            </wp:positionV>
            <wp:extent cx="514350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-6823710</wp:posOffset>
            </wp:positionV>
            <wp:extent cx="514350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-6403975</wp:posOffset>
            </wp:positionV>
            <wp:extent cx="514350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-5983605</wp:posOffset>
            </wp:positionV>
            <wp:extent cx="514350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-5623560</wp:posOffset>
            </wp:positionV>
            <wp:extent cx="514350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-5203825</wp:posOffset>
            </wp:positionV>
            <wp:extent cx="514350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-4783455</wp:posOffset>
            </wp:positionV>
            <wp:extent cx="514350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-4423410</wp:posOffset>
            </wp:positionV>
            <wp:extent cx="514350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-4003675</wp:posOffset>
            </wp:positionV>
            <wp:extent cx="514350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-3583305</wp:posOffset>
            </wp:positionV>
            <wp:extent cx="514350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-3223260</wp:posOffset>
            </wp:positionV>
            <wp:extent cx="514350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-2803525</wp:posOffset>
            </wp:positionV>
            <wp:extent cx="514350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-2383155</wp:posOffset>
            </wp:positionV>
            <wp:extent cx="514350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-2023110</wp:posOffset>
            </wp:positionV>
            <wp:extent cx="514350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-1603375</wp:posOffset>
            </wp:positionV>
            <wp:extent cx="514350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-1183005</wp:posOffset>
            </wp:positionV>
            <wp:extent cx="514350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-822960</wp:posOffset>
            </wp:positionV>
            <wp:extent cx="514350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-8006715</wp:posOffset>
            </wp:positionV>
            <wp:extent cx="514350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268"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Cathedral Lake II, Ltd.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16,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05/31/2018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$ 14,862,200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7,196,278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5,350,392</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Cedar Funding XV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warehouse notes</w:t>
            </w:r>
            <w:r>
              <w:rPr>
                <w:rFonts w:ascii="Arial" w:cs="Arial" w:eastAsia="Arial" w:hAnsi="Arial"/>
                <w:sz w:val="21"/>
                <w:szCs w:val="21"/>
                <w:color w:val="auto"/>
                <w:vertAlign w:val="superscript"/>
              </w:rPr>
              <w:t>(4)(5)</w:t>
            </w:r>
            <w:r>
              <w:rPr>
                <w:rFonts w:ascii="Arial" w:cs="Arial" w:eastAsia="Arial" w:hAnsi="Arial"/>
                <w:sz w:val="14"/>
                <w:szCs w:val="14"/>
                <w:color w:val="auto"/>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13.91%, maturity July 10, 2023)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07/12/2021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9,000,000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CIFC Fenway Warehouse,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warehouse notes</w:t>
            </w:r>
            <w:r>
              <w:rPr>
                <w:rFonts w:ascii="Arial" w:cs="Arial" w:eastAsia="Arial" w:hAnsi="Arial"/>
                <w:sz w:val="21"/>
                <w:szCs w:val="21"/>
                <w:color w:val="auto"/>
                <w:vertAlign w:val="superscript"/>
              </w:rPr>
              <w:t>(4)(5)</w:t>
            </w:r>
            <w:r>
              <w:rPr>
                <w:rFonts w:ascii="Arial" w:cs="Arial" w:eastAsia="Arial" w:hAnsi="Arial"/>
                <w:sz w:val="14"/>
                <w:szCs w:val="14"/>
                <w:color w:val="auto"/>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17.56%, maturity July 01, 2022)</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08/04/2021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2,250,000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CIFC Funding 2014-III,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 9.21%,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22,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03/06/2018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18,225,000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8,801,531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Crestline Denali CLO XVI,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20.26%,</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20,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06/10/2021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12,264,887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12,293,600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Dryden 33 Senior Loan Fund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29.35%, maturity April 15,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11/18/2020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9,600,000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3,916,786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5,088,000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Dryden 38 Senior Loan Fund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18.43%,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09/23/2021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13,100,000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7,398,517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7,368,750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w w:val="96"/>
              </w:rPr>
              <w:t>East West Investment Management CLO 2019-1,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18.77%,</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20, 2033)</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11/20/2019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13,212,500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11,294,914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11,759,125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Eaton Vance CLO 2014-1,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22.94%,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01/15/2021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5,007,116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5,211,066</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Elevation CLO 2015-4,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(5)(7)(10)</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18,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09/05/2019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19,350,000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348,300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Elevation CLO 2020-11,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18.81%, maturity April 15, 2033)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02/21/2020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21,013,772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20,880,000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Elevation CLO 2021-12,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20.98%,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20,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02/11/2021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27,190,000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19,871,435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20,392,500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Elevation CLO 2021-14,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19.97%,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09/21/2021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25,082,465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24,945,983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-7604125</wp:posOffset>
            </wp:positionV>
            <wp:extent cx="514350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-7183755</wp:posOffset>
            </wp:positionV>
            <wp:extent cx="514350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-6823710</wp:posOffset>
            </wp:positionV>
            <wp:extent cx="514350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-6403975</wp:posOffset>
            </wp:positionV>
            <wp:extent cx="51435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-5983605</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-5623560</wp:posOffset>
            </wp:positionV>
            <wp:extent cx="514350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-5203825</wp:posOffset>
            </wp:positionV>
            <wp:extent cx="514350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-4783455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-4423410</wp:posOffset>
            </wp:positionV>
            <wp:extent cx="514350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-4003675</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-3583305</wp:posOffset>
            </wp:positionV>
            <wp:extent cx="514350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-3223260</wp:posOffset>
            </wp:positionV>
            <wp:extent cx="514350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-2803525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-2383155</wp:posOffset>
            </wp:positionV>
            <wp:extent cx="514350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-2023110</wp:posOffset>
            </wp:positionV>
            <wp:extent cx="514350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-1603375</wp:posOffset>
            </wp:positionV>
            <wp:extent cx="514350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-1183005</wp:posOffset>
            </wp:positionV>
            <wp:extent cx="514350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-822960</wp:posOffset>
            </wp:positionV>
            <wp:extent cx="514350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-8006715</wp:posOffset>
            </wp:positionV>
            <wp:extent cx="514350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268"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Highbridge Loan Management 3-2014,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25.84%,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18,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06/19/2020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$ 20,000,000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6,877,895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7,400,000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Highbridge Loan Management 5-2015,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19.12%,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08/03/2021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18,125,000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7,427,376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7,899,781</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Jamestown CLO IV,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(5)(7)(10)</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11/16/2017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1,576,068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Kings Park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warehouse notes</w:t>
            </w:r>
            <w:r>
              <w:rPr>
                <w:rFonts w:ascii="Arial" w:cs="Arial" w:eastAsia="Arial" w:hAnsi="Arial"/>
                <w:sz w:val="21"/>
                <w:szCs w:val="21"/>
                <w:color w:val="auto"/>
                <w:vertAlign w:val="superscript"/>
              </w:rPr>
              <w:t>(4)(5)</w:t>
            </w:r>
            <w:r>
              <w:rPr>
                <w:rFonts w:ascii="Arial" w:cs="Arial" w:eastAsia="Arial" w:hAnsi="Arial"/>
                <w:sz w:val="14"/>
                <w:szCs w:val="14"/>
                <w:color w:val="auto"/>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14.80%, maturity September 14, 2023)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09/14/2021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2,750,000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KVK CLO 2013-1,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33.09%,</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14,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09/22/2020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912,934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1,058,600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Longfellow Place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01/11/2018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19,640,000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6,054,254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921,685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Funding XIII,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20.24%, maturity April 19,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09/17/2019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9,353,195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10,105,000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Funding XV,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(5)(7)(10)</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27,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34,300,000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2,572,500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Funding XXIV,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14.70%,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03/28/2019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3,568,750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2,218,519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2,069,875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Funding XXX,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19.00%, maturity April 15, 2047)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02/23/2018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17,550,000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12,264,239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11,519,559</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Funding XXXVIII,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18.81%, maturity July 17,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05/14/2021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21,250,000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19,194,618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20,825,000</w:t>
            </w:r>
          </w:p>
        </w:tc>
        <w:tc>
          <w:tcPr>
            <w:tcW w:w="0" w:type="dxa"/>
            <w:vAlign w:val="bottom"/>
          </w:tcPr>
          <w:p>
            <w:pPr>
              <w:spacing w:after="0"/>
              <w:rPr>
                <w:sz w:val="1"/>
                <w:szCs w:val="1"/>
                <w:color w:val="auto"/>
              </w:rPr>
            </w:pPr>
          </w:p>
        </w:tc>
      </w:tr>
      <w:tr>
        <w:trPr>
          <w:trHeight w:val="435"/>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 XLI, Ltd. (fka: Atrium XII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80" w:type="dxa"/>
            <w:vAlign w:val="bottom"/>
            <w:gridSpan w:val="4"/>
          </w:tcPr>
          <w:p>
            <w:pPr>
              <w:ind w:left="360"/>
              <w:spacing w:after="0"/>
              <w:rPr>
                <w:sz w:val="20"/>
                <w:szCs w:val="20"/>
                <w:color w:val="auto"/>
              </w:rPr>
            </w:pPr>
            <w:r>
              <w:rPr>
                <w:rFonts w:ascii="Arial" w:cs="Arial" w:eastAsia="Arial" w:hAnsi="Arial"/>
                <w:sz w:val="14"/>
                <w:szCs w:val="14"/>
                <w:b w:val="1"/>
                <w:bCs w:val="1"/>
                <w:color w:val="auto"/>
              </w:rPr>
              <w:t>CLO)</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22.32%,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22,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10/08/2015</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34,762,500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15,946,329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17,381,250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Madison Park Funding LII,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warehouse notes</w:t>
            </w:r>
            <w:r>
              <w:rPr>
                <w:rFonts w:ascii="Arial" w:cs="Arial" w:eastAsia="Arial" w:hAnsi="Arial"/>
                <w:sz w:val="21"/>
                <w:szCs w:val="21"/>
                <w:color w:val="auto"/>
                <w:vertAlign w:val="superscript"/>
              </w:rPr>
              <w:t>(4)(5)</w:t>
            </w:r>
            <w:r>
              <w:rPr>
                <w:rFonts w:ascii="Arial" w:cs="Arial" w:eastAsia="Arial" w:hAnsi="Arial"/>
                <w:sz w:val="14"/>
                <w:szCs w:val="14"/>
                <w:color w:val="auto"/>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14.35%, maturity July 26, 2023)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08/19/2021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-7638415</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-7218045</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-6858000</wp:posOffset>
            </wp:positionV>
            <wp:extent cx="514350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-6438265</wp:posOffset>
            </wp:positionV>
            <wp:extent cx="514350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-6017895</wp:posOffset>
            </wp:positionV>
            <wp:extent cx="514350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-5657850</wp:posOffset>
            </wp:positionV>
            <wp:extent cx="514350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-5238115</wp:posOffset>
            </wp:positionV>
            <wp:extent cx="514350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-4817745</wp:posOffset>
            </wp:positionV>
            <wp:extent cx="514350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-4457700</wp:posOffset>
            </wp:positionV>
            <wp:extent cx="514350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-4037965</wp:posOffset>
            </wp:positionV>
            <wp:extent cx="514350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-3617595</wp:posOffset>
            </wp:positionV>
            <wp:extent cx="514350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-3257550</wp:posOffset>
            </wp:positionV>
            <wp:extent cx="514350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-2837815</wp:posOffset>
            </wp:positionV>
            <wp:extent cx="514350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-2417445</wp:posOffset>
            </wp:positionV>
            <wp:extent cx="514350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-2057400</wp:posOffset>
            </wp:positionV>
            <wp:extent cx="514350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-1637665</wp:posOffset>
            </wp:positionV>
            <wp:extent cx="514350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-1217295</wp:posOffset>
            </wp:positionV>
            <wp:extent cx="514350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-822960</wp:posOffset>
            </wp:positionV>
            <wp:extent cx="514350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-8041005</wp:posOffset>
            </wp:positionV>
            <wp:extent cx="514350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322"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Man GLG US CLO 2018-2 Ltd.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30.39%,</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15,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02/18/2021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$ 32,000,000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5,576,083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Marble Point CLO XI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6.83%,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December 18, 2047)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05/07/2019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4,615,714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Midocean Credit CLO II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29.88%,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29,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06/17/2021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13,600,000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3,876,279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3,672,000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Midocean Credit CLO III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21,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04/24/2019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16,650,000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7,356,303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2,997,000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Midocean Credit CLO VI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14.82%,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20, 2033)</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11/08/2016</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29,700,000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24,841,511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21,384,000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Mountain View CLO 2014-1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15,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08/08/2018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2,506,803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Nassau 2017-II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09/17/2019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24,400,000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12,329,097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9,272,000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NorthWoods Capital XIV-B,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13.88%,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November 13,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12/18/2019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4,250,000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2,431,048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Neuberger Berman CLO XVI-S,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19.81%,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03/04/2021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4,372,702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Nyack Park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(4)(5)(7)(9)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16.80%,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09/02/2021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25,496,142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25,160,400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Nyack Park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warehouse notes</w:t>
            </w:r>
            <w:r>
              <w:rPr>
                <w:rFonts w:ascii="Arial" w:cs="Arial" w:eastAsia="Arial" w:hAnsi="Arial"/>
                <w:sz w:val="21"/>
                <w:szCs w:val="21"/>
                <w:color w:val="auto"/>
                <w:vertAlign w:val="superscript"/>
              </w:rPr>
              <w:t>(4)(5)</w:t>
            </w:r>
            <w:r>
              <w:rPr>
                <w:rFonts w:ascii="Arial" w:cs="Arial" w:eastAsia="Arial" w:hAnsi="Arial"/>
                <w:sz w:val="14"/>
                <w:szCs w:val="14"/>
                <w:color w:val="auto"/>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13.69%, maturity February 05, 2022)</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02/11/2021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23,000,000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Ocean Trails CLO VI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10/30/2018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2,814,815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1,913,550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Ocean Trails CLO VII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46.08%, maturity April 17,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10/21/2020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2,094,132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-7604125</wp:posOffset>
            </wp:positionV>
            <wp:extent cx="514350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-7183755</wp:posOffset>
            </wp:positionV>
            <wp:extent cx="514350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-6823710</wp:posOffset>
            </wp:positionV>
            <wp:extent cx="514350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-6403975</wp:posOffset>
            </wp:positionV>
            <wp:extent cx="514350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-5983605</wp:posOffset>
            </wp:positionV>
            <wp:extent cx="514350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-5623560</wp:posOffset>
            </wp:positionV>
            <wp:extent cx="514350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-5203825</wp:posOffset>
            </wp:positionV>
            <wp:extent cx="514350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-4783455</wp:posOffset>
            </wp:positionV>
            <wp:extent cx="514350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-4423410</wp:posOffset>
            </wp:positionV>
            <wp:extent cx="514350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-4003675</wp:posOffset>
            </wp:positionV>
            <wp:extent cx="514350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-3583305</wp:posOffset>
            </wp:positionV>
            <wp:extent cx="514350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-3223260</wp:posOffset>
            </wp:positionV>
            <wp:extent cx="514350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-2803525</wp:posOffset>
            </wp:positionV>
            <wp:extent cx="514350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-2383155</wp:posOffset>
            </wp:positionV>
            <wp:extent cx="514350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-2023110</wp:posOffset>
            </wp:positionV>
            <wp:extent cx="514350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-1603375</wp:posOffset>
            </wp:positionV>
            <wp:extent cx="514350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-1183005</wp:posOffset>
            </wp:positionV>
            <wp:extent cx="514350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-823595</wp:posOffset>
            </wp:positionV>
            <wp:extent cx="514350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-8006715</wp:posOffset>
            </wp:positionV>
            <wp:extent cx="514350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268"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Octagon Investment Partners XVII,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21.19%,</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25,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05/18/2021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  2,570,100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866,883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899,535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Octagon Investment Partners XXII,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17.96%,</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22,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06/07/2018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7,289,695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Octagon Investment Partners 36,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19.84%,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08/24/2021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10,250,000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6,326,883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6,242,588</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Octagon Investment Partners 40,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12.95%,</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02/14/2019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36,000,000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29,626,022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27,360,000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Octagon 57,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4"/>
              </w:rPr>
              <w:t>CLO subordinated warehouse notes</w:t>
            </w:r>
            <w:r>
              <w:rPr>
                <w:rFonts w:ascii="Arial" w:cs="Arial" w:eastAsia="Arial" w:hAnsi="Arial"/>
                <w:sz w:val="21"/>
                <w:szCs w:val="21"/>
                <w:color w:val="auto"/>
                <w:w w:val="94"/>
                <w:vertAlign w:val="superscript"/>
              </w:rPr>
              <w:t>(4)(5)(11)</w:t>
            </w:r>
            <w:r>
              <w:rPr>
                <w:rFonts w:ascii="Arial" w:cs="Arial" w:eastAsia="Arial" w:hAnsi="Arial"/>
                <w:sz w:val="14"/>
                <w:szCs w:val="14"/>
                <w:color w:val="auto"/>
                <w:w w:val="94"/>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16.50%, maturity April 28, 2023)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05/12/2021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19,125,000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19,125,000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19,125,000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OFSI Fund VII,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(5)(7)(10)</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18,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08/05/2014</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28,840,000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11,615,625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173,040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OFSI BSL VIII,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preferred shares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August 16,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04/26/2019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4,776,050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2,975,000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OZLM Funding 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(5)(7)(10)</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22,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08/24/2018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2,241,406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OZLM VII,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1.51%,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17,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01/29/2020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21,891,673</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5,216,725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3,422,446</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OZLM XIII,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30,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03/19/2018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10,001,612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6,480,000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OZLM XIV,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16.53%,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12/07/2015</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31,810,472</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13,943,434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16,064,789</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Park Avenue Institutional Advisers CLO Ltd 2018-1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16.52%,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10/11/2019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2,165,759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Point Au Roche Park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17.10%, maturity July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05/28/2021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12,320,000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10,874,686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10,841,600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-7604125</wp:posOffset>
            </wp:positionV>
            <wp:extent cx="514350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-7183755</wp:posOffset>
            </wp:positionV>
            <wp:extent cx="514350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-6823710</wp:posOffset>
            </wp:positionV>
            <wp:extent cx="5143500"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-6403975</wp:posOffset>
            </wp:positionV>
            <wp:extent cx="514350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-5983605</wp:posOffset>
            </wp:positionV>
            <wp:extent cx="514350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-5623560</wp:posOffset>
            </wp:positionV>
            <wp:extent cx="514350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-5203825</wp:posOffset>
            </wp:positionV>
            <wp:extent cx="514350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-4783455</wp:posOffset>
            </wp:positionV>
            <wp:extent cx="5143500"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-4423410</wp:posOffset>
            </wp:positionV>
            <wp:extent cx="514350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-4003675</wp:posOffset>
            </wp:positionV>
            <wp:extent cx="514350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-3583305</wp:posOffset>
            </wp:positionV>
            <wp:extent cx="514350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-3223260</wp:posOffset>
            </wp:positionV>
            <wp:extent cx="514350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-2803525</wp:posOffset>
            </wp:positionV>
            <wp:extent cx="514350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-2383155</wp:posOffset>
            </wp:positionV>
            <wp:extent cx="5143500"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-2023110</wp:posOffset>
            </wp:positionV>
            <wp:extent cx="514350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-1603375</wp:posOffset>
            </wp:positionV>
            <wp:extent cx="514350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-1183005</wp:posOffset>
            </wp:positionV>
            <wp:extent cx="514350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-822960</wp:posOffset>
            </wp:positionV>
            <wp:extent cx="514350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-8006715</wp:posOffset>
            </wp:positionV>
            <wp:extent cx="514350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268"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PPM CLO 2 Ltd.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26.73%,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16,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12/22/2020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  7,000,000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3,970,014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4,690,000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Race Point IX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27.14%,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06/23/2021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2,394,474</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882,355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909,900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Regatta XVIII Funding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19.97%, maturity January 15,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02/18/2021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28,886,856</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22,674,671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26,431,473</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Regatta XXIII Funding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4"/>
              </w:rPr>
              <w:t>CLO subordinated warehouse notes</w:t>
            </w:r>
            <w:r>
              <w:rPr>
                <w:rFonts w:ascii="Arial" w:cs="Arial" w:eastAsia="Arial" w:hAnsi="Arial"/>
                <w:sz w:val="21"/>
                <w:szCs w:val="21"/>
                <w:color w:val="auto"/>
                <w:w w:val="94"/>
                <w:vertAlign w:val="superscript"/>
              </w:rPr>
              <w:t>(4)(5)(11)</w:t>
            </w:r>
            <w:r>
              <w:rPr>
                <w:rFonts w:ascii="Arial" w:cs="Arial" w:eastAsia="Arial" w:hAnsi="Arial"/>
                <w:sz w:val="14"/>
                <w:szCs w:val="14"/>
                <w:color w:val="auto"/>
                <w:w w:val="94"/>
              </w:rPr>
              <w:t>, (Estimated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yield 14.61%, maturity January 14, 2023)</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07/30/2021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Rockford Tower CLO 2019-2,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28.54%,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August 20,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09/11/2020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3,344,373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Rockford Tower CLO 2021-3,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17.91%,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09/22/2021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29,264,625</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24,105,844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24,874,931</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Rockland Park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15.12%, maturity April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04/26/2021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28,750,000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23,693,172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23,862,500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Shackleton 2013-IV-R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23.44%,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13,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08/14/2018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10,135,426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10,209,786</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Shackleton 2014-V-R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19.75%, maturity May 07,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09/17/2019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20,750,000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10,580,421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10,167,500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Signal Peak CLO 9,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19.22%, maturity July 21,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07/19/2021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18,110,000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15,993,370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15,393,500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Sound Point CLO V-R,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20.04%,</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18,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05/04/2021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8,462,690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8,625,000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Sound Point CLO VI-R,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0.83%,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05/01/2018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24,656,983</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7,966,835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5,424,536</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Sound Point CLO XX,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18.96%, maturity July 26,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07/07/2021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11,966,181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-7604125</wp:posOffset>
            </wp:positionV>
            <wp:extent cx="514350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-7183755</wp:posOffset>
            </wp:positionV>
            <wp:extent cx="514350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-6823710</wp:posOffset>
            </wp:positionV>
            <wp:extent cx="514350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-6403975</wp:posOffset>
            </wp:positionV>
            <wp:extent cx="514350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-5983605</wp:posOffset>
            </wp:positionV>
            <wp:extent cx="514350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-5623560</wp:posOffset>
            </wp:positionV>
            <wp:extent cx="5143500"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-5203825</wp:posOffset>
            </wp:positionV>
            <wp:extent cx="514350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-4783455</wp:posOffset>
            </wp:positionV>
            <wp:extent cx="5143500" cy="180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-4423410</wp:posOffset>
            </wp:positionV>
            <wp:extent cx="514350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-4003675</wp:posOffset>
            </wp:positionV>
            <wp:extent cx="5143500"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-3583305</wp:posOffset>
            </wp:positionV>
            <wp:extent cx="514350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-3223260</wp:posOffset>
            </wp:positionV>
            <wp:extent cx="514350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-2803525</wp:posOffset>
            </wp:positionV>
            <wp:extent cx="514350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-2383155</wp:posOffset>
            </wp:positionV>
            <wp:extent cx="514350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-2023110</wp:posOffset>
            </wp:positionV>
            <wp:extent cx="514350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-1603375</wp:posOffset>
            </wp:positionV>
            <wp:extent cx="514350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-1183005</wp:posOffset>
            </wp:positionV>
            <wp:extent cx="514350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-822960</wp:posOffset>
            </wp:positionV>
            <wp:extent cx="514350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-403225</wp:posOffset>
            </wp:positionV>
            <wp:extent cx="514350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-8006715</wp:posOffset>
            </wp:positionV>
            <wp:extent cx="514350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3268" w:lineRule="exact"/>
        <w:rPr>
          <w:sz w:val="20"/>
          <w:szCs w:val="20"/>
          <w:color w:val="auto"/>
        </w:rPr>
      </w:pPr>
    </w:p>
    <w:p>
      <w:pPr>
        <w:sectPr>
          <w:pgSz w:w="11900" w:h="16838" w:orient="portrait"/>
          <w:cols w:equalWidth="0" w:num="2">
            <w:col w:w="7800" w:space="180"/>
            <w:col w:w="1039"/>
          </w:cols>
          <w:pgMar w:left="1440" w:top="274" w:right="14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Telos CLO 2013-3, Ltd.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17,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01/25/2013</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$ 14,332,210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6,296,614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1,003,255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Telos CLO 2013-4,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17,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07/11/2013</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14,350,000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5,989,340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3,060,333</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Telos CLO 2014-6,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17,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11/08/2017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21,400,000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9,166,640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2,782,000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THL Credit Wind River 2017-1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15.28%,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18, 2036)</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02/02/2017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14,200,000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9,177,700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8,662,000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THL Credit Wind River 2017-4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15.65%,</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November 20,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10/30/2018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5,590,268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5,320,000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Tralee CLO 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20,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06/06/2018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6,300,000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2,151,851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787,500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Tralee CLO IV,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January 20,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12/21/2017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13,270,000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8,235,237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4,113,700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XV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01/31/2018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9,450,126</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5,207,567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2,126,278</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XVII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01/09/2017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7,869,502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2,843,882</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XX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07/27/2018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7,200,000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2,417,748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1,728,000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XXI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08/16/2017</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14,894,438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XXV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54.37%,</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20,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09/25/2020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13,750,000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3,991,195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-7004050</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-6583680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-6223635</wp:posOffset>
            </wp:positionV>
            <wp:extent cx="5143500" cy="240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-5803900</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-5383530</wp:posOffset>
            </wp:positionV>
            <wp:extent cx="5143500"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-5023485</wp:posOffset>
            </wp:positionV>
            <wp:extent cx="514350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-4603750</wp:posOffset>
            </wp:positionV>
            <wp:extent cx="514350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-4183380</wp:posOffset>
            </wp:positionV>
            <wp:extent cx="514350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-3823335</wp:posOffset>
            </wp:positionV>
            <wp:extent cx="5143500"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-3403600</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-2983230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-2623185</wp:posOffset>
            </wp:positionV>
            <wp:extent cx="514350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-2203450</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-1783080</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-1423035</wp:posOffset>
            </wp:positionV>
            <wp:extent cx="514350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-1003300</wp:posOffset>
            </wp:positionV>
            <wp:extent cx="514350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-582930</wp:posOffset>
            </wp:positionV>
            <wp:extent cx="5143500"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-223520</wp:posOffset>
            </wp:positionV>
            <wp:extent cx="514350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-7406640</wp:posOffset>
            </wp:positionV>
            <wp:extent cx="5143500"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pacing w:after="0" w:line="12323" w:lineRule="exact"/>
        <w:rPr>
          <w:sz w:val="20"/>
          <w:szCs w:val="20"/>
          <w:color w:val="auto"/>
        </w:rPr>
      </w:pPr>
    </w:p>
    <w:p>
      <w:pPr>
        <w:sectPr>
          <w:pgSz w:w="11900" w:h="16838" w:orient="portrait"/>
          <w:cols w:equalWidth="0" w:num="2">
            <w:col w:w="7800" w:space="180"/>
            <w:col w:w="1039"/>
          </w:cols>
          <w:pgMar w:left="1440" w:top="274" w:right="1440" w:bottom="48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48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8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5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3580" w:type="dxa"/>
            <w:vAlign w:val="bottom"/>
            <w:gridSpan w:val="4"/>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(continued)</w:t>
            </w:r>
          </w:p>
        </w:tc>
        <w:tc>
          <w:tcPr>
            <w:tcW w:w="3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Venture 37 CLO, Limited</w:t>
            </w:r>
          </w:p>
        </w:tc>
        <w:tc>
          <w:tcPr>
            <w:tcW w:w="10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12.41%,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15,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05/28/2019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  8,500,000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6,566,674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6,120,000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40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22.31%, maturity November 24,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10/16/2020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17,580,000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14,215,690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15,822,000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42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18.11%, maturity April 15,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03/15/2021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10,754,670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11,280,000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Venture 44 CLO,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19.57%, maturity October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08/16/2021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19,750,000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16,296,895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16,244,375</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Vibrant CLO 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29.07%,</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02/05/2019</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26,250,000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10,022,795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12,337,500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Vibrant CLO VIII,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22.53%, maturity January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11/30/2020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2,507,957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Wellfleet 2016-2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20, 2028)</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09/28/2016</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6,335,481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Wellfleet CLO X,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27.34%, maturity July 20, 2032)</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12/03/2020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7,310,000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4,911,563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5,774,900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West CLO 2014-1,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8"/>
              </w:rPr>
              <w:t>CLO subordinated notes</w:t>
            </w:r>
            <w:r>
              <w:rPr>
                <w:rFonts w:ascii="Arial" w:cs="Arial" w:eastAsia="Arial" w:hAnsi="Arial"/>
                <w:sz w:val="21"/>
                <w:szCs w:val="21"/>
                <w:color w:val="auto"/>
                <w:w w:val="98"/>
                <w:vertAlign w:val="superscript"/>
              </w:rPr>
              <w:t>(5)(7)(10)(11)</w:t>
            </w:r>
            <w:r>
              <w:rPr>
                <w:rFonts w:ascii="Arial" w:cs="Arial" w:eastAsia="Arial" w:hAnsi="Arial"/>
                <w:sz w:val="14"/>
                <w:szCs w:val="14"/>
                <w:color w:val="auto"/>
                <w:w w:val="98"/>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0.00%, maturity July 18, 2026)</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11/16/2018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20,250,000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645,103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Wind River 2021-2 CLO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20.61%, maturity July 20, 2034)</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05/14/2021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30,700,000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25,272,139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27,630,000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York CLO-5 Ltd.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18.22%,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October 22,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05/20/2021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21,500,000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13,037,227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Zais CLO 7,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30.05%,</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2030)</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06/29/2021</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2,923,415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2,880,000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Zais CLO 8,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2"/>
              </w:rPr>
              <w:t>CLO subordinated notes</w:t>
            </w:r>
            <w:r>
              <w:rPr>
                <w:rFonts w:ascii="Arial" w:cs="Arial" w:eastAsia="Arial" w:hAnsi="Arial"/>
                <w:sz w:val="21"/>
                <w:szCs w:val="21"/>
                <w:color w:val="auto"/>
                <w:w w:val="92"/>
                <w:vertAlign w:val="superscript"/>
              </w:rPr>
              <w:t>(5)(7)(11)</w:t>
            </w:r>
            <w:r>
              <w:rPr>
                <w:rFonts w:ascii="Arial" w:cs="Arial" w:eastAsia="Arial" w:hAnsi="Arial"/>
                <w:sz w:val="14"/>
                <w:szCs w:val="14"/>
                <w:color w:val="auto"/>
                <w:w w:val="92"/>
              </w:rPr>
              <w:t>, (Estimated yield 0.00%,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April 15, 2029)</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02/23/2018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1,857,318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1,192,500</w:t>
            </w:r>
          </w:p>
        </w:tc>
        <w:tc>
          <w:tcPr>
            <w:tcW w:w="0" w:type="dxa"/>
            <w:vAlign w:val="bottom"/>
          </w:tcPr>
          <w:p>
            <w:pPr>
              <w:spacing w:after="0"/>
              <w:rPr>
                <w:sz w:val="1"/>
                <w:szCs w:val="1"/>
                <w:color w:val="auto"/>
              </w:rPr>
            </w:pPr>
          </w:p>
        </w:tc>
      </w:tr>
      <w:tr>
        <w:trPr>
          <w:trHeight w:val="567"/>
        </w:trPr>
        <w:tc>
          <w:tcPr>
            <w:tcW w:w="3580" w:type="dxa"/>
            <w:vAlign w:val="bottom"/>
            <w:gridSpan w:val="4"/>
          </w:tcPr>
          <w:p>
            <w:pPr>
              <w:ind w:left="180"/>
              <w:spacing w:after="0"/>
              <w:rPr>
                <w:sz w:val="20"/>
                <w:szCs w:val="20"/>
                <w:color w:val="auto"/>
              </w:rPr>
            </w:pPr>
            <w:r>
              <w:rPr>
                <w:rFonts w:ascii="Arial" w:cs="Arial" w:eastAsia="Arial" w:hAnsi="Arial"/>
                <w:sz w:val="14"/>
                <w:szCs w:val="14"/>
                <w:b w:val="1"/>
                <w:bCs w:val="1"/>
                <w:color w:val="auto"/>
              </w:rPr>
              <w:t>Zais CLO 9, Limited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gridSpan w:val="4"/>
          </w:tcPr>
          <w:p>
            <w:pPr>
              <w:ind w:left="180"/>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(5)(7)</w:t>
            </w:r>
            <w:r>
              <w:rPr>
                <w:rFonts w:ascii="Arial" w:cs="Arial" w:eastAsia="Arial" w:hAnsi="Arial"/>
                <w:sz w:val="14"/>
                <w:szCs w:val="14"/>
                <w:color w:val="auto"/>
                <w:w w:val="99"/>
              </w:rPr>
              <w:t>, (Estimated yield 0.67%,</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4"/>
          </w:tcPr>
          <w:p>
            <w:pPr>
              <w:ind w:left="360"/>
              <w:spacing w:after="0"/>
              <w:rPr>
                <w:sz w:val="20"/>
                <w:szCs w:val="20"/>
                <w:color w:val="auto"/>
              </w:rPr>
            </w:pPr>
            <w:r>
              <w:rPr>
                <w:rFonts w:ascii="Arial" w:cs="Arial" w:eastAsia="Arial" w:hAnsi="Arial"/>
                <w:sz w:val="14"/>
                <w:szCs w:val="14"/>
                <w:color w:val="auto"/>
              </w:rPr>
              <w:t>maturity July 20, 2031)</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06/19/2018</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12,700,000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8,819,387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5,461,000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-8204200</wp:posOffset>
            </wp:positionV>
            <wp:extent cx="514350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-7783830</wp:posOffset>
            </wp:positionV>
            <wp:extent cx="514350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-7423785</wp:posOffset>
            </wp:positionV>
            <wp:extent cx="514350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-7004050</wp:posOffset>
            </wp:positionV>
            <wp:extent cx="514350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-6583680</wp:posOffset>
            </wp:positionV>
            <wp:extent cx="5143500"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-6223635</wp:posOffset>
            </wp:positionV>
            <wp:extent cx="5143500" cy="240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-5803900</wp:posOffset>
            </wp:positionV>
            <wp:extent cx="514350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-5383530</wp:posOffset>
            </wp:positionV>
            <wp:extent cx="514350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-5023485</wp:posOffset>
            </wp:positionV>
            <wp:extent cx="5143500"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-4603750</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-4183380</wp:posOffset>
            </wp:positionV>
            <wp:extent cx="514350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-3823335</wp:posOffset>
            </wp:positionV>
            <wp:extent cx="5143500"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-3403600</wp:posOffset>
            </wp:positionV>
            <wp:extent cx="514350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-2983230</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-2623185</wp:posOffset>
            </wp:positionV>
            <wp:extent cx="514350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-2203450</wp:posOffset>
            </wp:positionV>
            <wp:extent cx="514350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-1783080</wp:posOffset>
            </wp:positionV>
            <wp:extent cx="5143500"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-1423035</wp:posOffset>
            </wp:positionV>
            <wp:extent cx="514350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-1003300</wp:posOffset>
            </wp:positionV>
            <wp:extent cx="514350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-582930</wp:posOffset>
            </wp:positionV>
            <wp:extent cx="514350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2400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-8606790</wp:posOffset>
            </wp:positionV>
            <wp:extent cx="5143500"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0" w:right="639" w:hanging="39"/>
        <w:spacing w:after="0" w:line="246" w:lineRule="auto"/>
        <w:tabs>
          <w:tab w:leader="none" w:pos="221"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ASSETS</w:t>
      </w:r>
    </w:p>
    <w:p>
      <w:pPr>
        <w:sectPr>
          <w:pgSz w:w="11900" w:h="16838" w:orient="portrait"/>
          <w:cols w:equalWidth="0" w:num="2">
            <w:col w:w="7800" w:space="180"/>
            <w:col w:w="1039"/>
          </w:cols>
          <w:pgMar w:left="1440" w:top="274" w:right="1440"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ACQUISITION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FAIR</w:t>
            </w: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6"/>
        </w:trPr>
        <w:tc>
          <w:tcPr>
            <w:tcW w:w="354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(1)(13)(14)</w:t>
            </w:r>
          </w:p>
        </w:tc>
        <w:tc>
          <w:tcPr>
            <w:tcW w:w="940" w:type="dxa"/>
            <w:vAlign w:val="bottom"/>
            <w:gridSpan w:val="2"/>
            <w:vMerge w:val="continue"/>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PRINCIPAL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6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9"/>
              </w:rPr>
              <w:t>NET</w:t>
            </w: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DATE</w:t>
            </w:r>
            <w:r>
              <w:rPr>
                <w:rFonts w:ascii="Arial" w:cs="Arial" w:eastAsia="Arial" w:hAnsi="Arial"/>
                <w:sz w:val="14"/>
                <w:szCs w:val="14"/>
                <w:b w:val="1"/>
                <w:bCs w:val="1"/>
                <w:color w:val="auto"/>
                <w:w w:val="88"/>
                <w:vertAlign w:val="superscript"/>
              </w:rPr>
              <w:t>(15)</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29"/>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VALUE</w:t>
            </w:r>
            <w:r>
              <w:rPr>
                <w:rFonts w:ascii="Arial" w:cs="Arial" w:eastAsia="Arial" w:hAnsi="Arial"/>
                <w:sz w:val="14"/>
                <w:szCs w:val="14"/>
                <w:b w:val="1"/>
                <w:bCs w:val="1"/>
                <w:color w:val="auto"/>
                <w:w w:val="93"/>
                <w:vertAlign w:val="superscript"/>
              </w:rPr>
              <w:t>(2)</w:t>
            </w:r>
          </w:p>
        </w:tc>
        <w:tc>
          <w:tcPr>
            <w:tcW w:w="6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ASSETS</w:t>
            </w:r>
          </w:p>
        </w:tc>
        <w:tc>
          <w:tcPr>
            <w:tcW w:w="0" w:type="dxa"/>
            <w:vAlign w:val="bottom"/>
          </w:tcPr>
          <w:p>
            <w:pPr>
              <w:spacing w:after="0"/>
              <w:rPr>
                <w:sz w:val="1"/>
                <w:szCs w:val="1"/>
                <w:color w:val="auto"/>
              </w:rPr>
            </w:pPr>
          </w:p>
        </w:tc>
      </w:tr>
      <w:tr>
        <w:trPr>
          <w:trHeight w:val="135"/>
        </w:trPr>
        <w:tc>
          <w:tcPr>
            <w:tcW w:w="3440" w:type="dxa"/>
            <w:vAlign w:val="bottom"/>
            <w:tcBorders>
              <w:top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8"/>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(continued)</w:t>
            </w:r>
          </w:p>
        </w:tc>
        <w:tc>
          <w:tcPr>
            <w:tcW w:w="30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gridSpan w:val="5"/>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Other CLO equity related investments</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540" w:type="dxa"/>
            <w:vAlign w:val="bottom"/>
            <w:gridSpan w:val="5"/>
          </w:tcPr>
          <w:p>
            <w:pPr>
              <w:ind w:left="180"/>
              <w:spacing w:after="0"/>
              <w:rPr>
                <w:sz w:val="20"/>
                <w:szCs w:val="20"/>
                <w:color w:val="auto"/>
              </w:rPr>
            </w:pPr>
            <w:r>
              <w:rPr>
                <w:rFonts w:ascii="Arial" w:cs="Arial" w:eastAsia="Arial" w:hAnsi="Arial"/>
                <w:sz w:val="14"/>
                <w:szCs w:val="14"/>
                <w:color w:val="auto"/>
              </w:rPr>
              <w:t>CLO other</w:t>
            </w:r>
            <w:r>
              <w:rPr>
                <w:rFonts w:ascii="Arial" w:cs="Arial" w:eastAsia="Arial" w:hAnsi="Arial"/>
                <w:sz w:val="21"/>
                <w:szCs w:val="21"/>
                <w:color w:val="auto"/>
                <w:vertAlign w:val="superscript"/>
              </w:rPr>
              <w:t>(8)</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Various</w:t>
            </w:r>
            <w:r>
              <w:rPr>
                <w:rFonts w:ascii="Arial" w:cs="Arial" w:eastAsia="Arial" w:hAnsi="Arial"/>
                <w:sz w:val="21"/>
                <w:szCs w:val="21"/>
                <w:color w:val="auto"/>
                <w:w w:val="85"/>
                <w:vertAlign w:val="superscript"/>
              </w:rPr>
              <w:t>(16)</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6,947,516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8,122,052</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Structured Finance – Equity Investments</w:t>
            </w: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40" w:type="dxa"/>
            <w:vAlign w:val="bottom"/>
            <w:gridSpan w:val="5"/>
            <w:vMerge w:val="continue"/>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1"/>
              </w:rPr>
              <w:t>1,191,396,591</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1,122,945,400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137.01%</w:t>
            </w:r>
          </w:p>
        </w:tc>
        <w:tc>
          <w:tcPr>
            <w:tcW w:w="0" w:type="dxa"/>
            <w:vAlign w:val="bottom"/>
          </w:tcPr>
          <w:p>
            <w:pPr>
              <w:spacing w:after="0"/>
              <w:rPr>
                <w:sz w:val="1"/>
                <w:szCs w:val="1"/>
                <w:color w:val="auto"/>
              </w:rPr>
            </w:pPr>
          </w:p>
        </w:tc>
      </w:tr>
      <w:tr>
        <w:trPr>
          <w:trHeight w:val="106"/>
        </w:trPr>
        <w:tc>
          <w:tcPr>
            <w:tcW w:w="3540" w:type="dxa"/>
            <w:vAlign w:val="bottom"/>
            <w:gridSpan w:val="5"/>
          </w:tcPr>
          <w:p>
            <w:pPr>
              <w:ind w:left="180"/>
              <w:spacing w:after="0" w:line="106" w:lineRule="exact"/>
              <w:rPr>
                <w:sz w:val="20"/>
                <w:szCs w:val="20"/>
                <w:color w:val="auto"/>
              </w:rPr>
            </w:pPr>
            <w:r>
              <w:rPr>
                <w:rFonts w:ascii="Arial" w:cs="Arial" w:eastAsia="Arial" w:hAnsi="Arial"/>
                <w:sz w:val="12"/>
                <w:szCs w:val="12"/>
                <w:b w:val="1"/>
                <w:bCs w:val="1"/>
                <w:color w:val="auto"/>
              </w:rPr>
              <w:t>Total Collateralized Loan Obligation – Equity</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540" w:type="dxa"/>
            <w:vAlign w:val="bottom"/>
            <w:gridSpan w:val="5"/>
          </w:tcPr>
          <w:p>
            <w:pPr>
              <w:ind w:left="360"/>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w w:val="91"/>
              </w:rPr>
              <w:t>1,191,396,591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1,122,945,400</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137.01%</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540" w:type="dxa"/>
            <w:vAlign w:val="bottom"/>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Total Investments</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1,221,373,917</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1,155,735,260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141.01%</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gridSpan w:val="5"/>
          </w:tcPr>
          <w:p>
            <w:pPr>
              <w:ind w:left="180"/>
              <w:spacing w:after="0"/>
              <w:rPr>
                <w:sz w:val="20"/>
                <w:szCs w:val="20"/>
                <w:color w:val="auto"/>
              </w:rPr>
            </w:pPr>
            <w:r>
              <w:rPr>
                <w:rFonts w:ascii="Arial" w:cs="Arial" w:eastAsia="Arial" w:hAnsi="Arial"/>
                <w:sz w:val="14"/>
                <w:szCs w:val="14"/>
                <w:color w:val="auto"/>
              </w:rPr>
              <w:t>First American Government Obligations Fund</w:t>
            </w:r>
            <w:r>
              <w:rPr>
                <w:rFonts w:ascii="Arial" w:cs="Arial" w:eastAsia="Arial" w:hAnsi="Arial"/>
                <w:sz w:val="21"/>
                <w:szCs w:val="21"/>
                <w:color w:val="auto"/>
                <w:vertAlign w:val="superscript"/>
              </w:rPr>
              <w:t>(12)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68,443,129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68,443,129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Total Cash Equivalents</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68,443,129</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68,443,129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8.35%</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Investments and Cash Equivalents</w:t>
            </w: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1,289,817,046</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1,224,178,389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149.36%</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97"/>
              </w:rPr>
              <w:t>____________</w:t>
            </w:r>
          </w:p>
        </w:tc>
        <w:tc>
          <w:tcPr>
            <w:tcW w:w="1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6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80" w:right="719" w:hanging="426"/>
        <w:spacing w:after="0" w:line="265" w:lineRule="auto"/>
        <w:tabs>
          <w:tab w:leader="none" w:pos="8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do not “control” and are not an “affiliate” of any of our portfolio companies, each as defined in the Investment Company 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Fair value is determined in good faith by the Board of Directors of the Fund.</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value reflects accretion of original issue discount or market discount.</w:t>
      </w:r>
    </w:p>
    <w:p>
      <w:pPr>
        <w:spacing w:after="0" w:line="18" w:lineRule="exact"/>
        <w:rPr>
          <w:rFonts w:ascii="Arial" w:cs="Arial" w:eastAsia="Arial" w:hAnsi="Arial"/>
          <w:sz w:val="16"/>
          <w:szCs w:val="16"/>
          <w:color w:val="auto"/>
        </w:rPr>
      </w:pPr>
    </w:p>
    <w:p>
      <w:pPr>
        <w:ind w:left="880" w:right="719" w:hanging="426"/>
        <w:spacing w:after="0" w:line="264" w:lineRule="auto"/>
        <w:tabs>
          <w:tab w:leader="none" w:pos="8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subordinated shares represent an investment in a warehouse facility, which is a financing structure intended to aggregate loans that may be used to form the basis of a CLO vehicle.</w:t>
      </w:r>
    </w:p>
    <w:p>
      <w:pPr>
        <w:ind w:left="880" w:right="819" w:hanging="426"/>
        <w:spacing w:after="0" w:line="264"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value reflects accretion of effective yield less any cash distributions received or entitled to be received from CLO equity investments.</w:t>
      </w:r>
    </w:p>
    <w:p>
      <w:pPr>
        <w:ind w:left="880" w:right="579" w:hanging="426"/>
        <w:spacing w:after="0" w:line="264" w:lineRule="auto"/>
        <w:tabs>
          <w:tab w:leader="none" w:pos="8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CLO secured notes generally bear interest at a rate determined by reference to three-month LIBOR which resets quarterly. For each CLO debt investment, the rate provided is as of September 30, 2021.</w:t>
      </w:r>
    </w:p>
    <w:p>
      <w:pPr>
        <w:ind w:left="880" w:right="499" w:hanging="426"/>
        <w:spacing w:after="0" w:line="281" w:lineRule="auto"/>
        <w:tabs>
          <w:tab w:leader="none" w:pos="87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3" w:lineRule="exact"/>
        <w:rPr>
          <w:rFonts w:ascii="Arial" w:cs="Arial" w:eastAsia="Arial" w:hAnsi="Arial"/>
          <w:sz w:val="15"/>
          <w:szCs w:val="15"/>
          <w:color w:val="auto"/>
        </w:rPr>
      </w:pP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Fair value represents discounted cash flows associated with fees earned from CLO equity investments.</w:t>
      </w:r>
    </w:p>
    <w:p>
      <w:pPr>
        <w:spacing w:after="0" w:line="18" w:lineRule="exact"/>
        <w:rPr>
          <w:rFonts w:ascii="Arial" w:cs="Arial" w:eastAsia="Arial" w:hAnsi="Arial"/>
          <w:sz w:val="16"/>
          <w:szCs w:val="16"/>
          <w:color w:val="auto"/>
        </w:rPr>
      </w:pPr>
    </w:p>
    <w:p>
      <w:pPr>
        <w:ind w:left="880" w:right="1119" w:hanging="426"/>
        <w:spacing w:after="0" w:line="264"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 has not made inaugural distribution for relevant period end. Please refer to “Note 3. Summary of Significant Accounting Policies — Investment Income.”</w:t>
      </w:r>
    </w:p>
    <w:p>
      <w:pPr>
        <w:ind w:left="880" w:right="679" w:hanging="426"/>
        <w:spacing w:after="0" w:line="264" w:lineRule="auto"/>
        <w:tabs>
          <w:tab w:leader="none" w:pos="8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CLO equity investment was optionally redeemed. Please refer to “Note 3. Summary of Significant Accounting Policies — Securities Transactions.”</w:t>
      </w: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 is co-invested with the Fund’s affiliates. See “Note 5. Related Party Transactions.”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cash equivalents held in a money market account as of September 30, 2021.</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fair value of the investment was determined using significant unobservable inputs. See “Note 4. Fair Value.”</w:t>
      </w:r>
    </w:p>
    <w:p>
      <w:pPr>
        <w:spacing w:after="0" w:line="30" w:lineRule="exact"/>
        <w:rPr>
          <w:rFonts w:ascii="Arial" w:cs="Arial" w:eastAsia="Arial" w:hAnsi="Arial"/>
          <w:sz w:val="15"/>
          <w:szCs w:val="15"/>
          <w:color w:val="auto"/>
        </w:rPr>
      </w:pPr>
    </w:p>
    <w:p>
      <w:pPr>
        <w:ind w:left="880" w:right="579" w:hanging="426"/>
        <w:spacing w:after="0" w:line="264" w:lineRule="auto"/>
        <w:tabs>
          <w:tab w:leader="none" w:pos="8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Fund generally acquires its investments in private transactions exempt from registration under the Securities Act of 1933, as amended (the “Securities Act”). Unless otherwise noted, all of the Fund’s investments are deemed to be “restricted securities” under the Securities Act.</w:t>
      </w: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Acquisition date represents the initial date of purchase.</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Acquisition date includes multiple investments purchased from August 2014 through September 30, 2021.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8"/>
              </w:rPr>
              <w:t>Six Months Ended</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September 30, 2021</w:t>
            </w:r>
          </w:p>
        </w:tc>
        <w:tc>
          <w:tcPr>
            <w:tcW w:w="0" w:type="dxa"/>
            <w:vAlign w:val="bottom"/>
          </w:tcPr>
          <w:p>
            <w:pPr>
              <w:spacing w:after="0"/>
              <w:rPr>
                <w:sz w:val="1"/>
                <w:szCs w:val="1"/>
                <w:color w:val="auto"/>
              </w:rPr>
            </w:pPr>
          </w:p>
        </w:tc>
      </w:tr>
      <w:tr>
        <w:trPr>
          <w:trHeight w:val="46"/>
        </w:trPr>
        <w:tc>
          <w:tcPr>
            <w:tcW w:w="6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Income from securitization vehicles and investments</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83,675,863</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 debt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2,065,073</w:t>
            </w: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1,169,872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86,910,808</w:t>
            </w:r>
          </w:p>
        </w:tc>
        <w:tc>
          <w:tcPr>
            <w:tcW w:w="0" w:type="dxa"/>
            <w:vAlign w:val="bottom"/>
          </w:tcPr>
          <w:p>
            <w:pPr>
              <w:spacing w:after="0"/>
              <w:rPr>
                <w:sz w:val="1"/>
                <w:szCs w:val="1"/>
                <w:color w:val="auto"/>
              </w:rPr>
            </w:pPr>
          </w:p>
        </w:tc>
      </w:tr>
      <w:tr>
        <w:trPr>
          <w:trHeight w:val="277"/>
        </w:trPr>
        <w:tc>
          <w:tcPr>
            <w:tcW w:w="66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9,691,036</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Base management fees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10,029,150</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Incentive fees</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13,021,691</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685,393</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Administrator expense</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428,179</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524,771</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Directors’ fees</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167,000</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expense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113,657</w:t>
            </w: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Transfer agent and custodian fees</w:t>
            </w: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163,168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34,824,045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52,086,763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91,949,798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Net realized loss on the redemption of mandatorily redeemable preferred stock</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(1,017,577)</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2,553,160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Net realized gain and net change in unrealized appreciation</w:t>
            </w: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93,485,381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145,572,144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51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March 31, 2021</w:t>
            </w:r>
          </w:p>
        </w:tc>
      </w:tr>
      <w:tr>
        <w:trPr>
          <w:trHeight w:val="46"/>
        </w:trPr>
        <w:tc>
          <w:tcPr>
            <w:tcW w:w="5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from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52,086,763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76,415,514</w:t>
            </w:r>
          </w:p>
        </w:tc>
      </w:tr>
      <w:tr>
        <w:trPr>
          <w:trHeight w:val="41"/>
        </w:trPr>
        <w:tc>
          <w:tcPr>
            <w:tcW w:w="5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gains (losses) on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2,553,160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(69,475,755)</w:t>
            </w:r>
          </w:p>
        </w:tc>
      </w:tr>
      <w:tr>
        <w:trPr>
          <w:trHeight w:val="202"/>
        </w:trPr>
        <w:tc>
          <w:tcPr>
            <w:tcW w:w="5120" w:type="dxa"/>
            <w:vAlign w:val="bottom"/>
          </w:tcPr>
          <w:p>
            <w:pPr>
              <w:ind w:left="180"/>
              <w:spacing w:after="0" w:line="201" w:lineRule="exact"/>
              <w:rPr>
                <w:sz w:val="20"/>
                <w:szCs w:val="20"/>
                <w:color w:val="auto"/>
              </w:rPr>
            </w:pPr>
            <w:r>
              <w:rPr>
                <w:rFonts w:ascii="Arial" w:cs="Arial" w:eastAsia="Arial" w:hAnsi="Arial"/>
                <w:sz w:val="18"/>
                <w:szCs w:val="18"/>
                <w:color w:val="auto"/>
              </w:rPr>
              <w:t>Net realized (losses) gains on the redemption of mandatorily</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(1,017,577)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389,386</w:t>
            </w:r>
          </w:p>
        </w:tc>
      </w:tr>
      <w:tr>
        <w:trPr>
          <w:trHeight w:val="41"/>
        </w:trPr>
        <w:tc>
          <w:tcPr>
            <w:tcW w:w="5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 on investments</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91,949,798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282,603,927</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145,572,144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289,933,072</w:t>
            </w:r>
          </w:p>
        </w:tc>
        <w:tc>
          <w:tcPr>
            <w:tcW w:w="140" w:type="dxa"/>
            <w:vAlign w:val="bottom"/>
          </w:tcPr>
          <w:p>
            <w:pPr>
              <w:spacing w:after="0"/>
              <w:rPr>
                <w:sz w:val="20"/>
                <w:szCs w:val="20"/>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24"/>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net investment income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(36,396,843)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(50,174,870)</w:t>
            </w:r>
          </w:p>
        </w:tc>
        <w:tc>
          <w:tcPr>
            <w:tcW w:w="140" w:type="dxa"/>
            <w:vAlign w:val="bottom"/>
            <w:shd w:val="clear" w:color="auto" w:fill="CCEEFF"/>
          </w:tcPr>
          <w:p>
            <w:pPr>
              <w:spacing w:after="0"/>
              <w:rPr>
                <w:sz w:val="19"/>
                <w:szCs w:val="19"/>
                <w:color w:val="auto"/>
              </w:rPr>
            </w:pPr>
          </w:p>
        </w:tc>
      </w:tr>
      <w:tr>
        <w:trPr>
          <w:trHeight w:val="40"/>
        </w:trPr>
        <w:tc>
          <w:tcPr>
            <w:tcW w:w="5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13" w:lineRule="exact"/>
        <w:rPr>
          <w:sz w:val="20"/>
          <w:szCs w:val="20"/>
          <w:color w:val="auto"/>
        </w:rPr>
      </w:pPr>
    </w:p>
    <w:p>
      <w:pPr>
        <w:sectPr>
          <w:pgSz w:w="11900" w:h="16838" w:orient="portrait"/>
          <w:cols w:equalWidth="0" w:num="1">
            <w:col w:w="9019"/>
          </w:cols>
          <w:pgMar w:left="1440" w:top="274" w:right="1440" w:bottom="1440" w:gutter="0" w:footer="0" w:header="0"/>
        </w:sectPr>
      </w:pPr>
    </w:p>
    <w:p>
      <w:pPr>
        <w:ind w:left="460"/>
        <w:spacing w:after="0"/>
        <w:rPr>
          <w:sz w:val="20"/>
          <w:szCs w:val="20"/>
          <w:color w:val="auto"/>
        </w:rPr>
      </w:pPr>
      <w:r>
        <w:rPr>
          <w:rFonts w:ascii="Arial" w:cs="Arial" w:eastAsia="Arial" w:hAnsi="Arial"/>
          <w:sz w:val="18"/>
          <w:szCs w:val="18"/>
          <w:color w:val="auto"/>
        </w:rPr>
        <w:t>Distributions of return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share transactions:</w:t>
      </w:r>
    </w:p>
    <w:p>
      <w:pPr>
        <w:spacing w:after="0" w:line="50" w:lineRule="exact"/>
        <w:rPr>
          <w:sz w:val="20"/>
          <w:szCs w:val="20"/>
          <w:color w:val="auto"/>
        </w:rPr>
      </w:pPr>
    </w:p>
    <w:p>
      <w:pPr>
        <w:ind w:left="820" w:hanging="179"/>
        <w:spacing w:after="0" w:line="306" w:lineRule="auto"/>
        <w:rPr>
          <w:sz w:val="20"/>
          <w:szCs w:val="20"/>
          <w:color w:val="auto"/>
        </w:rPr>
      </w:pPr>
      <w:r>
        <w:rPr>
          <w:rFonts w:ascii="Arial" w:cs="Arial" w:eastAsia="Arial" w:hAnsi="Arial"/>
          <w:sz w:val="17"/>
          <w:szCs w:val="17"/>
          <w:color w:val="auto"/>
        </w:rPr>
        <w:t>Issuance of common stock (net of underwriting fees and offering costs of $1,502,487 and $1,799,357,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Reinvestment of distributions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net assets from 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assets at beginning of period/year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assets at end of period/year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share activity:</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100"/>
        <w:spacing w:after="0" w:line="355" w:lineRule="auto"/>
        <w:rPr>
          <w:sz w:val="20"/>
          <w:szCs w:val="20"/>
          <w:color w:val="auto"/>
        </w:rPr>
      </w:pPr>
      <w:r>
        <w:rPr>
          <w:rFonts w:ascii="Arial" w:cs="Arial" w:eastAsia="Arial" w:hAnsi="Arial"/>
          <w:sz w:val="18"/>
          <w:szCs w:val="18"/>
          <w:color w:val="auto"/>
        </w:rPr>
        <w:t>Shares issued from distribution reinvestment plan Net increase in capital share activity</w:t>
      </w:r>
    </w:p>
    <w:p>
      <w:pPr>
        <w:spacing w:after="0" w:line="20" w:lineRule="exact"/>
        <w:rPr>
          <w:sz w:val="20"/>
          <w:szCs w:val="20"/>
          <w:color w:val="auto"/>
        </w:rPr>
      </w:pPr>
      <w:r>
        <w:rPr>
          <w:sz w:val="20"/>
          <w:szCs w:val="20"/>
          <w:color w:val="auto"/>
        </w:rPr>
        <w:br w:type="column"/>
      </w:r>
    </w:p>
    <w:p>
      <w:pPr>
        <w:jc w:val="right"/>
        <w:ind w:right="539"/>
        <w:spacing w:after="0"/>
        <w:tabs>
          <w:tab w:leader="none" w:pos="920" w:val="left"/>
        </w:tabs>
        <w:rPr>
          <w:sz w:val="20"/>
          <w:szCs w:val="20"/>
          <w:color w:val="auto"/>
        </w:rPr>
      </w:pPr>
      <w:r>
        <w:rPr>
          <w:rFonts w:ascii="Arial" w:cs="Arial" w:eastAsia="Arial" w:hAnsi="Arial"/>
          <w:sz w:val="18"/>
          <w:szCs w:val="18"/>
          <w:color w:val="auto"/>
        </w:rPr>
        <w:t>(7,454,775)</w:t>
      </w:r>
      <w:r>
        <w:rPr>
          <w:sz w:val="20"/>
          <w:szCs w:val="20"/>
          <w:color w:val="auto"/>
        </w:rPr>
        <w:tab/>
      </w:r>
      <w:r>
        <w:rPr>
          <w:rFonts w:ascii="Arial" w:cs="Arial" w:eastAsia="Arial" w:hAnsi="Arial"/>
          <w:sz w:val="16"/>
          <w:szCs w:val="16"/>
          <w:color w:val="auto"/>
        </w:rPr>
        <w:t>(36,162,689)</w:t>
      </w:r>
    </w:p>
    <w:p>
      <w:pPr>
        <w:spacing w:after="0" w:line="77" w:lineRule="exact"/>
        <w:rPr>
          <w:sz w:val="20"/>
          <w:szCs w:val="20"/>
          <w:color w:val="auto"/>
        </w:rPr>
      </w:pPr>
    </w:p>
    <w:p>
      <w:pPr>
        <w:jc w:val="right"/>
        <w:ind w:right="539"/>
        <w:spacing w:after="0"/>
        <w:tabs>
          <w:tab w:leader="none" w:pos="920" w:val="left"/>
        </w:tabs>
        <w:rPr>
          <w:sz w:val="20"/>
          <w:szCs w:val="20"/>
          <w:color w:val="auto"/>
        </w:rPr>
      </w:pPr>
      <w:r>
        <w:rPr>
          <w:rFonts w:ascii="Arial" w:cs="Arial" w:eastAsia="Arial" w:hAnsi="Arial"/>
          <w:sz w:val="18"/>
          <w:szCs w:val="18"/>
          <w:color w:val="auto"/>
        </w:rPr>
        <w:t>(43,851,618)</w:t>
      </w:r>
      <w:r>
        <w:rPr>
          <w:sz w:val="20"/>
          <w:szCs w:val="20"/>
          <w:color w:val="auto"/>
        </w:rPr>
        <w:tab/>
      </w:r>
      <w:r>
        <w:rPr>
          <w:rFonts w:ascii="Arial" w:cs="Arial" w:eastAsia="Arial" w:hAnsi="Arial"/>
          <w:sz w:val="16"/>
          <w:szCs w:val="16"/>
          <w:color w:val="auto"/>
        </w:rPr>
        <w:t>(86,337,559)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800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7"/>
          <w:szCs w:val="17"/>
          <w:color w:val="auto"/>
        </w:rPr>
        <w:t>115,855,747</w:t>
      </w:r>
      <w:r>
        <w:rPr>
          <w:sz w:val="20"/>
          <w:szCs w:val="20"/>
          <w:color w:val="auto"/>
        </w:rPr>
        <w:tab/>
      </w:r>
      <w:r>
        <w:rPr>
          <w:rFonts w:ascii="Arial" w:cs="Arial" w:eastAsia="Arial" w:hAnsi="Arial"/>
          <w:sz w:val="17"/>
          <w:szCs w:val="17"/>
          <w:color w:val="auto"/>
        </w:rPr>
        <w:t>112,625,535</w:t>
      </w:r>
    </w:p>
    <w:p>
      <w:pPr>
        <w:spacing w:after="0" w:line="102" w:lineRule="exact"/>
        <w:rPr>
          <w:sz w:val="20"/>
          <w:szCs w:val="20"/>
          <w:color w:val="auto"/>
        </w:rPr>
      </w:pPr>
    </w:p>
    <w:p>
      <w:pPr>
        <w:ind w:left="560"/>
        <w:spacing w:after="0"/>
        <w:tabs>
          <w:tab w:leader="none" w:pos="2020" w:val="left"/>
        </w:tabs>
        <w:rPr>
          <w:sz w:val="20"/>
          <w:szCs w:val="20"/>
          <w:color w:val="auto"/>
        </w:rPr>
      </w:pPr>
      <w:r>
        <w:rPr>
          <w:rFonts w:ascii="Arial" w:cs="Arial" w:eastAsia="Arial" w:hAnsi="Arial"/>
          <w:sz w:val="17"/>
          <w:szCs w:val="17"/>
          <w:color w:val="auto"/>
        </w:rPr>
        <w:t>5,800,243</w:t>
      </w:r>
      <w:r>
        <w:rPr>
          <w:sz w:val="20"/>
          <w:szCs w:val="20"/>
          <w:color w:val="auto"/>
        </w:rPr>
        <w:tab/>
      </w:r>
      <w:r>
        <w:rPr>
          <w:rFonts w:ascii="Arial" w:cs="Arial" w:eastAsia="Arial" w:hAnsi="Arial"/>
          <w:sz w:val="17"/>
          <w:szCs w:val="17"/>
          <w:color w:val="auto"/>
        </w:rPr>
        <w:t>11,244,332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18002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68"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7"/>
          <w:szCs w:val="17"/>
          <w:color w:val="auto"/>
        </w:rPr>
        <w:t>121,655,990</w:t>
      </w:r>
      <w:r>
        <w:rPr>
          <w:sz w:val="20"/>
          <w:szCs w:val="20"/>
          <w:color w:val="auto"/>
        </w:rPr>
        <w:tab/>
      </w:r>
      <w:r>
        <w:rPr>
          <w:rFonts w:ascii="Arial" w:cs="Arial" w:eastAsia="Arial" w:hAnsi="Arial"/>
          <w:sz w:val="17"/>
          <w:szCs w:val="17"/>
          <w:color w:val="auto"/>
        </w:rPr>
        <w:t>123,869,867</w:t>
      </w:r>
    </w:p>
    <w:p>
      <w:pPr>
        <w:spacing w:after="0" w:line="372"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7"/>
          <w:szCs w:val="17"/>
          <w:color w:val="auto"/>
        </w:rPr>
        <w:t>223,376,516</w:t>
      </w:r>
      <w:r>
        <w:rPr>
          <w:sz w:val="20"/>
          <w:szCs w:val="20"/>
          <w:color w:val="auto"/>
        </w:rPr>
        <w:tab/>
      </w:r>
      <w:r>
        <w:rPr>
          <w:rFonts w:ascii="Arial" w:cs="Arial" w:eastAsia="Arial" w:hAnsi="Arial"/>
          <w:sz w:val="17"/>
          <w:szCs w:val="17"/>
          <w:color w:val="auto"/>
        </w:rPr>
        <w:t>327,465,380</w:t>
      </w:r>
    </w:p>
    <w:p>
      <w:pPr>
        <w:spacing w:after="0" w:line="102"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7"/>
          <w:szCs w:val="17"/>
          <w:color w:val="auto"/>
        </w:rPr>
        <w:t>596,253,749</w:t>
      </w:r>
      <w:r>
        <w:rPr>
          <w:sz w:val="20"/>
          <w:szCs w:val="20"/>
          <w:color w:val="auto"/>
        </w:rPr>
        <w:tab/>
      </w:r>
      <w:r>
        <w:rPr>
          <w:rFonts w:ascii="Arial" w:cs="Arial" w:eastAsia="Arial" w:hAnsi="Arial"/>
          <w:sz w:val="17"/>
          <w:szCs w:val="17"/>
          <w:color w:val="auto"/>
        </w:rPr>
        <w:t>268,788,369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18002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65" w:lineRule="exact"/>
        <w:rPr>
          <w:sz w:val="20"/>
          <w:szCs w:val="20"/>
          <w:color w:val="auto"/>
        </w:rPr>
      </w:pPr>
    </w:p>
    <w:p>
      <w:pPr>
        <w:spacing w:after="0"/>
        <w:tabs>
          <w:tab w:leader="none" w:pos="360" w:val="left"/>
          <w:tab w:leader="none" w:pos="1480" w:val="left"/>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819,630,265</w:t>
        <w:tab/>
        <w:t>$</w:t>
      </w:r>
      <w:r>
        <w:rPr>
          <w:sz w:val="20"/>
          <w:szCs w:val="20"/>
          <w:color w:val="auto"/>
        </w:rPr>
        <w:tab/>
      </w:r>
      <w:r>
        <w:rPr>
          <w:rFonts w:ascii="Arial" w:cs="Arial" w:eastAsia="Arial" w:hAnsi="Arial"/>
          <w:sz w:val="16"/>
          <w:szCs w:val="16"/>
          <w:color w:val="auto"/>
        </w:rPr>
        <w:t>596,253,749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8002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tabs>
          <w:tab w:leader="none" w:pos="2000" w:val="left"/>
        </w:tabs>
        <w:rPr>
          <w:sz w:val="20"/>
          <w:szCs w:val="20"/>
          <w:color w:val="auto"/>
        </w:rPr>
      </w:pPr>
      <w:r>
        <w:rPr>
          <w:rFonts w:ascii="Arial" w:cs="Arial" w:eastAsia="Arial" w:hAnsi="Arial"/>
          <w:sz w:val="17"/>
          <w:szCs w:val="17"/>
          <w:color w:val="auto"/>
        </w:rPr>
        <w:t>16,283,363</w:t>
      </w:r>
      <w:r>
        <w:rPr>
          <w:sz w:val="20"/>
          <w:szCs w:val="20"/>
          <w:color w:val="auto"/>
        </w:rPr>
        <w:tab/>
      </w:r>
      <w:r>
        <w:rPr>
          <w:rFonts w:ascii="Arial" w:cs="Arial" w:eastAsia="Arial" w:hAnsi="Arial"/>
          <w:sz w:val="17"/>
          <w:szCs w:val="17"/>
          <w:color w:val="auto"/>
        </w:rPr>
        <w:t>22,734,676</w:t>
      </w:r>
    </w:p>
    <w:p>
      <w:pPr>
        <w:spacing w:after="0" w:line="102"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7"/>
          <w:szCs w:val="17"/>
          <w:color w:val="auto"/>
        </w:rPr>
        <w:t>861,183</w:t>
      </w:r>
      <w:r>
        <w:rPr>
          <w:sz w:val="20"/>
          <w:szCs w:val="20"/>
          <w:color w:val="auto"/>
        </w:rPr>
        <w:tab/>
      </w:r>
      <w:r>
        <w:rPr>
          <w:rFonts w:ascii="Arial" w:cs="Arial" w:eastAsia="Arial" w:hAnsi="Arial"/>
          <w:sz w:val="17"/>
          <w:szCs w:val="17"/>
          <w:color w:val="auto"/>
        </w:rPr>
        <w:t>2,535,006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18002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68" w:lineRule="exact"/>
        <w:rPr>
          <w:sz w:val="20"/>
          <w:szCs w:val="20"/>
          <w:color w:val="auto"/>
        </w:rPr>
      </w:pPr>
    </w:p>
    <w:p>
      <w:pPr>
        <w:ind w:left="460"/>
        <w:spacing w:after="0"/>
        <w:tabs>
          <w:tab w:leader="none" w:pos="2000" w:val="left"/>
        </w:tabs>
        <w:rPr>
          <w:sz w:val="20"/>
          <w:szCs w:val="20"/>
          <w:color w:val="auto"/>
        </w:rPr>
      </w:pPr>
      <w:r>
        <w:rPr>
          <w:rFonts w:ascii="Arial" w:cs="Arial" w:eastAsia="Arial" w:hAnsi="Arial"/>
          <w:sz w:val="17"/>
          <w:szCs w:val="17"/>
          <w:color w:val="auto"/>
        </w:rPr>
        <w:t>17,144,546</w:t>
      </w:r>
      <w:r>
        <w:rPr>
          <w:sz w:val="20"/>
          <w:szCs w:val="20"/>
          <w:color w:val="auto"/>
        </w:rPr>
        <w:tab/>
      </w:r>
      <w:r>
        <w:rPr>
          <w:rFonts w:ascii="Arial" w:cs="Arial" w:eastAsia="Arial" w:hAnsi="Arial"/>
          <w:sz w:val="17"/>
          <w:szCs w:val="17"/>
          <w:color w:val="auto"/>
        </w:rPr>
        <w:t>25,269,682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80022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00225" cy="2540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5300" w:space="280"/>
            <w:col w:w="343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274" w:right="1440"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50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w w:val="98"/>
              </w:rPr>
              <w:t>Six Months Ended</w:t>
            </w:r>
          </w:p>
        </w:tc>
      </w:tr>
      <w:tr>
        <w:trPr>
          <w:trHeight w:val="210"/>
        </w:trPr>
        <w:tc>
          <w:tcPr>
            <w:tcW w:w="6600" w:type="dxa"/>
            <w:vAlign w:val="bottom"/>
          </w:tcPr>
          <w:p>
            <w:pPr>
              <w:spacing w:after="0"/>
              <w:rPr>
                <w:sz w:val="18"/>
                <w:szCs w:val="18"/>
                <w:color w:val="auto"/>
              </w:rPr>
            </w:pPr>
          </w:p>
        </w:tc>
        <w:tc>
          <w:tcPr>
            <w:tcW w:w="150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w w:val="93"/>
              </w:rPr>
              <w:t>September 30, 2021</w:t>
            </w:r>
          </w:p>
        </w:tc>
      </w:tr>
      <w:tr>
        <w:trPr>
          <w:trHeight w:val="46"/>
        </w:trPr>
        <w:tc>
          <w:tcPr>
            <w:tcW w:w="6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Net increase in net assets resulting from operations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145,572,144</w:t>
            </w:r>
          </w:p>
        </w:tc>
      </w:tr>
      <w:tr>
        <w:trPr>
          <w:trHeight w:val="41"/>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6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Adjustments to reconcile net increase in net assets resulting from operations to net cash</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(Accretion) amortization of discounts and premiums</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(570,689)</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Amortization of deferred issuance costs on mandatorily redeemable preferred stock</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426,087</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Accretion of discount on mandatorily redeemable preferred stock</w:t>
            </w:r>
          </w:p>
        </w:tc>
        <w:tc>
          <w:tcPr>
            <w:tcW w:w="24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9,787</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deferred offering costs on 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141,398</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w w:val="93"/>
              </w:rPr>
              <w:t>Amortization of deferred issuance costs on notes payable - 6.75% unsecured notes</w:t>
            </w:r>
          </w:p>
        </w:tc>
        <w:tc>
          <w:tcPr>
            <w:tcW w:w="24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175,781</w:t>
            </w:r>
          </w:p>
        </w:tc>
      </w:tr>
      <w:tr>
        <w:trPr>
          <w:trHeight w:val="41"/>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(490,309,087)</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Sales of investments</w:t>
            </w:r>
          </w:p>
        </w:tc>
        <w:tc>
          <w:tcPr>
            <w:tcW w:w="24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118,012,298</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Repayments of principal and reductions to investment cost value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155,435,733</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Net change in unrealized appreciation on investments</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(91,949,798)</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gain on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(2,553,160)</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w w:val="96"/>
              </w:rPr>
              <w:t>Net realized losses on the redemption of mandatorily redeemable preferred stock</w:t>
            </w:r>
          </w:p>
        </w:tc>
        <w:tc>
          <w:tcPr>
            <w:tcW w:w="24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1,017,577</w:t>
            </w:r>
          </w:p>
        </w:tc>
      </w:tr>
      <w:tr>
        <w:trPr>
          <w:trHeight w:val="41"/>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reductions to CLO equity and related investment cost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55,478,594</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Increase in distributions receivable</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(1,529,348)</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 in fee receivable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58,804</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Decrease in interest receivable</w:t>
            </w:r>
          </w:p>
        </w:tc>
        <w:tc>
          <w:tcPr>
            <w:tcW w:w="24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836</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 in prepaid expenses and 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176,543</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Increase in base management fee payable</w:t>
            </w:r>
          </w:p>
        </w:tc>
        <w:tc>
          <w:tcPr>
            <w:tcW w:w="24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1,277,717</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incentive fee payable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1,286,916</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Decrease in interest payable</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(281,250)</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administrator expense payable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32,306</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Decrease in accrued offering costs</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(169,059)</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accrued expenses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278,615</w:t>
            </w:r>
          </w:p>
        </w:tc>
      </w:tr>
      <w:tr>
        <w:trPr>
          <w:trHeight w:val="237"/>
        </w:trPr>
        <w:tc>
          <w:tcPr>
            <w:tcW w:w="660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(107,981,255</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Distributions paid (net of distribution reinvestment plan of $5,800,243)</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(38,051,375)</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117,358,234</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Underwriting fees and offering costs for the issuance of common stock</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(1,502,487)</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of mandatorily redeemable preferred stock</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(57,034,875)</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Payment of Deferred debt issuance costs</w:t>
            </w:r>
          </w:p>
        </w:tc>
        <w:tc>
          <w:tcPr>
            <w:tcW w:w="24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(82,539)</w:t>
            </w:r>
          </w:p>
        </w:tc>
      </w:tr>
      <w:tr>
        <w:trPr>
          <w:trHeight w:val="40"/>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mandatorily redeemable preferred stock</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67,172,500</w:t>
            </w:r>
          </w:p>
        </w:tc>
      </w:tr>
      <w:tr>
        <w:trPr>
          <w:trHeight w:val="256"/>
        </w:trPr>
        <w:tc>
          <w:tcPr>
            <w:tcW w:w="6600" w:type="dxa"/>
            <w:vAlign w:val="bottom"/>
          </w:tcPr>
          <w:p>
            <w:pPr>
              <w:ind w:left="180"/>
              <w:spacing w:after="0"/>
              <w:rPr>
                <w:sz w:val="20"/>
                <w:szCs w:val="20"/>
                <w:color w:val="auto"/>
              </w:rPr>
            </w:pPr>
            <w:r>
              <w:rPr>
                <w:rFonts w:ascii="Arial" w:cs="Arial" w:eastAsia="Arial" w:hAnsi="Arial"/>
                <w:sz w:val="18"/>
                <w:szCs w:val="18"/>
                <w:color w:val="auto"/>
                <w:w w:val="95"/>
              </w:rPr>
              <w:t>Deferred issuance costs for the issuance of mandatorily redeemable preferred stock</w:t>
            </w:r>
          </w:p>
        </w:tc>
        <w:tc>
          <w:tcPr>
            <w:tcW w:w="240" w:type="dxa"/>
            <w:vAlign w:val="bottom"/>
          </w:tcPr>
          <w:p>
            <w:pPr>
              <w:spacing w:after="0"/>
              <w:rPr>
                <w:sz w:val="22"/>
                <w:szCs w:val="22"/>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(2,302,490)</w:t>
            </w:r>
          </w:p>
        </w:tc>
      </w:tr>
      <w:tr>
        <w:trPr>
          <w:trHeight w:val="27"/>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85,556,968</w:t>
            </w:r>
          </w:p>
        </w:tc>
      </w:tr>
      <w:tr>
        <w:trPr>
          <w:trHeight w:val="20"/>
        </w:trPr>
        <w:tc>
          <w:tcPr>
            <w:tcW w:w="6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61" w:gutter="0" w:footer="0" w:header="0"/>
        </w:sect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decrease in cash and cash equivalents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(22,424,287)</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90,867,416</w:t>
      </w:r>
    </w:p>
    <w:p>
      <w:pPr>
        <w:spacing w:after="0" w:line="88" w:lineRule="exact"/>
        <w:rPr>
          <w:sz w:val="20"/>
          <w:szCs w:val="20"/>
          <w:color w:val="auto"/>
        </w:rPr>
      </w:pPr>
    </w:p>
    <w:p>
      <w:pPr>
        <w:ind w:left="540" w:hanging="531"/>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68,443,129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8483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1959"/>
          </w:cols>
          <w:pgMar w:left="1440" w:top="274" w:right="1440" w:bottom="61" w:gutter="0" w:footer="0" w:header="0"/>
          <w:type w:val="continuous"/>
        </w:sectPr>
      </w:pP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9,360,631</w:t>
            </w:r>
          </w:p>
        </w:tc>
      </w:tr>
      <w:tr>
        <w:trPr>
          <w:trHeight w:val="41"/>
        </w:trPr>
        <w:tc>
          <w:tcPr>
            <w:tcW w:w="5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Value of shares issued in connection with dividend reinvestment plan</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5,800,243</w:t>
            </w:r>
          </w:p>
        </w:tc>
      </w:tr>
      <w:tr>
        <w:trPr>
          <w:trHeight w:val="41"/>
        </w:trPr>
        <w:tc>
          <w:tcPr>
            <w:tcW w:w="5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4"/>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sold not settled</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3,480,000</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Cost of securities purchased not settled</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99,674,867</w:t>
            </w: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274" w:right="1440" w:bottom="61"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61"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UNAUDITED INTERIM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Interim financial statements of Oxford Lane Capital Corp. (“OXLC,” “we,” “us,” “our,” or the “Fund”)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are prepared in accordance with generally accepted accounting principles in the United States of America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(“GAAP”) for interim financial information and pursuant to the requirements for reporting on Form 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CSR. Accordingly, certain disclosures accompanying annual financial statements prepared in accordance with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GAAP are omitted. In the opinion of management, all adjustments, consisting of normal recurring accruals,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necessary for the fair statement of financial results for the interim periods have been included. The current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period’s results of operations are not necessarily indicative of results that may be achieved for the year.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interim financial statements and notes thereto should be read in conjunction with the financial statements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notes thereto included in the Fund’s Form N-CSR for the year ended March 31, 2021, as filed with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(“SEC”).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ORGANIZATION</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OXLC was incorporated under the General Corporation Laws of the State of Maryland on June 9, 2010. The Fund is a non-diversified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Such CLO vehicles generally have very little or no exposure to real estate loans, or mortgage loans or to pools of consumer-based debt, such as credit card receivables or auto loans. OXLC’s investment activities are managed by Oxford Lane Management, LLC (“Oxford Lane Management”), a registered investment adviser under the Investment Advisers Act of 1940, as amended (the “Advisers Act”). Oxford Funds, LLC (“Oxford Funds”), is the managing member of Oxford Lane Management and serves as the administrator of OXLC. Under the investment advisory agreement with Oxford Lane Management (the “Investment Advisory Agreement”), OXLC has agreed to pay Oxford Lane Management an annual base management fee based on gross assets as well as an incentive fee based on its performance. For further detail please refer to “Note 5. Related Party Transactions.”</w:t>
      </w:r>
    </w:p>
    <w:p>
      <w:pPr>
        <w:spacing w:after="0" w:line="170" w:lineRule="exact"/>
        <w:rPr>
          <w:sz w:val="20"/>
          <w:szCs w:val="20"/>
          <w:color w:val="auto"/>
        </w:rPr>
      </w:pPr>
    </w:p>
    <w:p>
      <w:pPr>
        <w:ind w:left="460" w:right="3139"/>
        <w:spacing w:after="0" w:line="417" w:lineRule="auto"/>
        <w:rPr>
          <w:sz w:val="20"/>
          <w:szCs w:val="20"/>
          <w:color w:val="auto"/>
        </w:rPr>
      </w:pPr>
      <w:r>
        <w:rPr>
          <w:rFonts w:ascii="Arial" w:cs="Arial" w:eastAsia="Arial" w:hAnsi="Arial"/>
          <w:sz w:val="18"/>
          <w:szCs w:val="18"/>
          <w:b w:val="1"/>
          <w:bCs w:val="1"/>
          <w:color w:val="auto"/>
        </w:rPr>
        <w:t>NOTE 3. SUMMARY OF SIGNIFICANT ACCOUNTING POLICIES BASIS OF PRESENTATION</w:t>
      </w:r>
    </w:p>
    <w:p>
      <w:pPr>
        <w:ind w:left="460" w:right="499" w:firstLine="432"/>
        <w:spacing w:after="0" w:line="271" w:lineRule="auto"/>
        <w:rPr>
          <w:sz w:val="20"/>
          <w:szCs w:val="20"/>
          <w:color w:val="auto"/>
        </w:rPr>
      </w:pPr>
      <w:r>
        <w:rPr>
          <w:rFonts w:ascii="Arial" w:cs="Arial" w:eastAsia="Arial" w:hAnsi="Arial"/>
          <w:sz w:val="17"/>
          <w:szCs w:val="17"/>
          <w:color w:val="auto"/>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Arial" w:cs="Arial" w:eastAsia="Arial" w:hAnsi="Arial"/>
          <w:sz w:val="17"/>
          <w:szCs w:val="17"/>
          <w:i w:val="1"/>
          <w:iCs w:val="1"/>
          <w:color w:val="auto"/>
        </w:rPr>
        <w:t>Financial</w:t>
      </w:r>
    </w:p>
    <w:p>
      <w:pPr>
        <w:ind w:left="460" w:right="699"/>
        <w:spacing w:after="0" w:line="255" w:lineRule="auto"/>
        <w:rPr>
          <w:sz w:val="20"/>
          <w:szCs w:val="20"/>
          <w:color w:val="auto"/>
        </w:rPr>
      </w:pPr>
      <w:r>
        <w:rPr>
          <w:rFonts w:ascii="Arial" w:cs="Arial" w:eastAsia="Arial" w:hAnsi="Arial"/>
          <w:sz w:val="18"/>
          <w:szCs w:val="18"/>
          <w:i w:val="1"/>
          <w:iCs w:val="1"/>
          <w:color w:val="auto"/>
        </w:rPr>
        <w:t>Services — Investment Companies</w:t>
      </w:r>
      <w:r>
        <w:rPr>
          <w:rFonts w:ascii="Arial" w:cs="Arial" w:eastAsia="Arial" w:hAnsi="Arial"/>
          <w:sz w:val="18"/>
          <w:szCs w:val="18"/>
          <w:color w:val="auto"/>
        </w:rPr>
        <w:t>. Certain prior period figures have been reclassified from those originally</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on Form N-CSR to conform to the current period presentation for comparative purposes. The Fund maintains its accounting records in U.S. dollars.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81" w:lineRule="exact"/>
        <w:rPr>
          <w:sz w:val="20"/>
          <w:szCs w:val="20"/>
          <w:color w:val="auto"/>
        </w:rPr>
      </w:pPr>
    </w:p>
    <w:p>
      <w:pPr>
        <w:ind w:left="460" w:right="819" w:firstLine="432"/>
        <w:spacing w:after="0" w:line="301" w:lineRule="auto"/>
        <w:rPr>
          <w:sz w:val="20"/>
          <w:szCs w:val="20"/>
          <w:color w:val="auto"/>
        </w:rPr>
      </w:pPr>
      <w:r>
        <w:rPr>
          <w:rFonts w:ascii="Arial" w:cs="Arial" w:eastAsia="Arial" w:hAnsi="Arial"/>
          <w:sz w:val="16"/>
          <w:szCs w:val="16"/>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EQUIVALENTS</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Cash equivalents consist of demand deposits and cash held in a money market fund which contain investments with original maturities of three months or less.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VALUATION</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 xml:space="preserve">The Fund determines the fair values of its investment portfolio in accordance with the provisions of ASC 820, </w:t>
      </w:r>
      <w:r>
        <w:rPr>
          <w:rFonts w:ascii="Arial" w:cs="Arial" w:eastAsia="Arial" w:hAnsi="Arial"/>
          <w:sz w:val="18"/>
          <w:szCs w:val="18"/>
          <w:i w:val="1"/>
          <w:iCs w:val="1"/>
          <w:color w:val="auto"/>
        </w:rPr>
        <w:t>Fair Value Measurement (“ASC 820-10”)</w:t>
      </w:r>
      <w:r>
        <w:rPr>
          <w:rFonts w:ascii="Arial" w:cs="Arial" w:eastAsia="Arial" w:hAnsi="Arial"/>
          <w:sz w:val="18"/>
          <w:szCs w:val="18"/>
          <w:color w:val="auto"/>
        </w:rPr>
        <w:t>. Estimates made in the preparation of OXLC’s financial statements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2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OXLC has acquired debt and equity positions in CLO investment vehicles and has purchased CLO warehouse facilities. These investments are special purpose financing vehicles. In valuing such investments, OXLC considers the indicative prices provided by a recognized industry pricing service as a primary source for OXLC’s CLO debt and equity positions,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Oxford Lane Management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Oxford Lane Management.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ectPr>
          <w:pgSz w:w="11900" w:h="16838" w:orient="portrait"/>
          <w:cols w:equalWidth="0" w:num="1">
            <w:col w:w="9019"/>
          </w:cols>
          <w:pgMar w:left="1440" w:top="274"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Securities Sold Under Agreement to Repurchase</w:t>
      </w:r>
    </w:p>
    <w:p>
      <w:pPr>
        <w:spacing w:after="0" w:line="144"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The Fund may enter into an agreement whereby it sells securities to be repurchased at an agreed-upon price and date. Under such an agreement, the Fund accounts for this transaction as a collateralized financing transaction which is recorded at the contracted repurchase amount plus interest. Refer to “Note 9. Borrowings Related to Securities Sold Under Agreement to Repurchase” for further details.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REPURCHASES</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on the Fund’s common stock for the six months ended September 30, 2021.</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Fund carries its mandatorily redeemable preferred stock at accreted cost on the Statement of Assets and Liabilities, and not fair value. Refer to “Note 8. Mandatorily Redeemable Preferred Stock” for further details.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PREPAID EXPENSES AND OTHER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assets consists primarily of insurance costs.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from securitization vehicles and investments</w:t>
      </w:r>
    </w:p>
    <w:p>
      <w:pPr>
        <w:spacing w:after="0" w:line="158" w:lineRule="exact"/>
        <w:rPr>
          <w:sz w:val="20"/>
          <w:szCs w:val="20"/>
          <w:color w:val="auto"/>
        </w:rPr>
      </w:pPr>
    </w:p>
    <w:p>
      <w:pPr>
        <w:ind w:left="460" w:right="639" w:firstLine="432"/>
        <w:spacing w:after="0" w:line="290" w:lineRule="auto"/>
        <w:rPr>
          <w:sz w:val="20"/>
          <w:szCs w:val="20"/>
          <w:color w:val="auto"/>
        </w:rPr>
      </w:pPr>
      <w:r>
        <w:rPr>
          <w:rFonts w:ascii="Arial" w:cs="Arial" w:eastAsia="Arial" w:hAnsi="Arial"/>
          <w:sz w:val="16"/>
          <w:szCs w:val="16"/>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16"/>
          <w:szCs w:val="16"/>
          <w:i w:val="1"/>
          <w:iCs w:val="1"/>
          <w:color w:val="auto"/>
        </w:rPr>
        <w:t>Beneficial Interests in Securitized Financial Assets</w:t>
      </w:r>
      <w:r>
        <w:rPr>
          <w:rFonts w:ascii="Arial" w:cs="Arial" w:eastAsia="Arial" w:hAnsi="Arial"/>
          <w:sz w:val="16"/>
          <w:szCs w:val="16"/>
          <w:color w:val="auto"/>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98"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Fund also records income on its investments in certain securitization vehicles (or “CLO warehouse facilities”) based on a stated rate per the underlying note purchase agreement or, if there is no stated rate, then an estimated rate is calculated using a base case model projecting the timing of the ramp-up of the CLO warehouse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144"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Interest income is recorded on an accrual basis using the contractual rate applicable to each debt investment and includes the accretion of discounts and amortization of premiums. Discounts from par value on securities purchased are accreted into interest income over the life of the respective security using the effective interest method. Premiums to par value on securities purchased are amortized into interest income up to the call date of the respective security using the effective interest method. The amortized cost of investments represents the original cost adjusted for the accretion of discounts and amortization of premiums, if any.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2021, the Fund had no non-accrual investments in its portfolio.</w:t>
      </w:r>
    </w:p>
    <w:p>
      <w:pPr>
        <w:spacing w:after="0" w:line="110"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Interest income also includes a payment-in-kind (“PIK”) provision on certain investments in the Fund’s portfolio. Refer to the section below, “Payment-In-Kind,” for a description of the PIK provision and its impact on interest income.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Payment-In-Kind</w:t>
      </w:r>
    </w:p>
    <w:p>
      <w:pPr>
        <w:spacing w:after="0" w:line="14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Fund has debt investments in its portfolio which contain a contractual PIK provision. Certain PIK investments offer issuers the option at each payment date of making payments in cash or additional securities. PIK interest is computed at the contractual rate and is recorded as interest income. The PIK amount is added to the principal balance on the capitalization date. Upon capitalization, the PIK component is subject to the fair value estimates associated with the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Other income includes distributions from fee letters and success fees associated with portfolio investments. Distributions from fee letters are an enhancement to the return on a CLO equity investments and are based upon a percentage of the collateral manager’s fees above the amortized cost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TAXES</w:t>
      </w:r>
    </w:p>
    <w:p>
      <w:pPr>
        <w:spacing w:after="0" w:line="162" w:lineRule="exact"/>
        <w:rPr>
          <w:sz w:val="20"/>
          <w:szCs w:val="20"/>
          <w:color w:val="auto"/>
        </w:rPr>
      </w:pPr>
    </w:p>
    <w:p>
      <w:pPr>
        <w:jc w:val="both"/>
        <w:ind w:left="460" w:right="659" w:firstLine="432"/>
        <w:spacing w:after="0" w:line="279" w:lineRule="auto"/>
        <w:rPr>
          <w:sz w:val="20"/>
          <w:szCs w:val="20"/>
          <w:color w:val="auto"/>
        </w:rPr>
      </w:pPr>
      <w:r>
        <w:rPr>
          <w:rFonts w:ascii="Arial" w:cs="Arial" w:eastAsia="Arial" w:hAnsi="Arial"/>
          <w:sz w:val="17"/>
          <w:szCs w:val="17"/>
          <w:color w:val="auto"/>
        </w:rPr>
        <w:t>The Fund intends to operate so as to continue to qualify to be taxed as a RIC under Subchapter M of the Code and, as such, to not be subject to U.S. federal income tax on the portion of its taxable income and gains distributed to stockholders. To qualify for RIC tax treatment, the Fund is required to distribute at least 90% of its investment company taxable income, as defined by the Code.</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10"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99"/>
        <w:spacing w:after="0" w:line="286" w:lineRule="auto"/>
        <w:rPr>
          <w:sz w:val="20"/>
          <w:szCs w:val="20"/>
          <w:color w:val="auto"/>
        </w:rPr>
      </w:pPr>
      <w:r>
        <w:rPr>
          <w:rFonts w:ascii="Arial" w:cs="Arial" w:eastAsia="Arial" w:hAnsi="Arial"/>
          <w:sz w:val="17"/>
          <w:szCs w:val="17"/>
          <w:color w:val="auto"/>
        </w:rPr>
        <w:t>expected to be taken in the Fund’s fiscal 2022 tax returns. The Fund identifies its major tax jurisdictions as U.S Federal and Connecticut State. The Fund is not aware of any tax position for which it is reasonably possible that the total amounts of unrecognized tax benefits will change materially in the next six months.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Our distribution policy is based upon our estimate of our taxable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100"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Amounts required to be distributed reflect estimates made by the Fund. Distributions paid by the Fund in accordance with RIC requirements are subject to re-characterization for tax purposes.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TRANSACTIONS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 ON COMMON STOCK</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offering costs are periodically reviewed and expensed if the related registration statement is no longer active or if the offering is unsuccessful.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DEBT ISSUANCE COSTS</w:t>
      </w:r>
    </w:p>
    <w:p>
      <w:pPr>
        <w:spacing w:after="0" w:line="148" w:lineRule="exact"/>
        <w:rPr>
          <w:sz w:val="20"/>
          <w:szCs w:val="20"/>
          <w:color w:val="auto"/>
        </w:rPr>
      </w:pPr>
    </w:p>
    <w:p>
      <w:pPr>
        <w:ind w:left="460" w:right="619" w:firstLine="432"/>
        <w:spacing w:after="0" w:line="290" w:lineRule="auto"/>
        <w:rPr>
          <w:sz w:val="20"/>
          <w:szCs w:val="20"/>
          <w:color w:val="auto"/>
        </w:rPr>
      </w:pPr>
      <w:r>
        <w:rPr>
          <w:rFonts w:ascii="Arial" w:cs="Arial" w:eastAsia="Arial" w:hAnsi="Arial"/>
          <w:sz w:val="16"/>
          <w:szCs w:val="16"/>
          <w:color w:val="auto"/>
        </w:rPr>
        <w:t>Deferred debt issuance costs consist of fees and expenses incurred in connection with the closing or amending of debt offerings and mandatorily redeemable preferred stock, and are capitalized at the time of payment. These costs are amortized using the straight-line method over the terms of the respective debt securities. The amortized expenses are included in interest expense in the Fund’s financial statements. The unamortized deferred debt issuance costs are included on the Fund’s Statement of Assets and Liabilities as a direct deduction from the related debt and mandatorily redeemable preferred stock liability. Upon early termination of debt, the remaining balance of unamortized fees related to such debt is accelerated into realized loss on redemption of debt on the Fund’s Statement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FAIR VALUE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820-10 at September 30, 2021, were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8"/>
          </w:tcPr>
          <w:p>
            <w:pPr>
              <w:jc w:val="right"/>
              <w:ind w:right="200"/>
              <w:spacing w:after="0"/>
              <w:rPr>
                <w:sz w:val="20"/>
                <w:szCs w:val="20"/>
                <w:color w:val="auto"/>
              </w:rPr>
            </w:pPr>
            <w:r>
              <w:rPr>
                <w:rFonts w:ascii="Arial" w:cs="Arial" w:eastAsia="Arial" w:hAnsi="Arial"/>
                <w:sz w:val="16"/>
                <w:szCs w:val="16"/>
                <w:b w:val="1"/>
                <w:bCs w:val="1"/>
                <w:color w:val="auto"/>
                <w:w w:val="91"/>
              </w:rPr>
              <w:t>Fair Value Measurements at Reporting Date Using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30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1"/>
              </w:rPr>
              <w:t>Quoted Prices in</w:t>
            </w:r>
          </w:p>
        </w:tc>
        <w:tc>
          <w:tcPr>
            <w:tcW w:w="140" w:type="dxa"/>
            <w:vAlign w:val="bottom"/>
          </w:tcPr>
          <w:p>
            <w:pPr>
              <w:spacing w:after="0"/>
              <w:rPr>
                <w:sz w:val="15"/>
                <w:szCs w:val="15"/>
                <w:color w:val="auto"/>
              </w:rPr>
            </w:pPr>
          </w:p>
        </w:tc>
        <w:tc>
          <w:tcPr>
            <w:tcW w:w="1200" w:type="dxa"/>
            <w:vAlign w:val="bottom"/>
            <w:gridSpan w:val="3"/>
          </w:tcPr>
          <w:p>
            <w:pPr>
              <w:jc w:val="center"/>
              <w:ind w:right="247"/>
              <w:spacing w:after="0" w:line="182" w:lineRule="exact"/>
              <w:rPr>
                <w:sz w:val="20"/>
                <w:szCs w:val="20"/>
                <w:color w:val="auto"/>
              </w:rPr>
            </w:pPr>
            <w:r>
              <w:rPr>
                <w:rFonts w:ascii="Arial" w:cs="Arial" w:eastAsia="Arial" w:hAnsi="Arial"/>
                <w:sz w:val="16"/>
                <w:szCs w:val="16"/>
                <w:b w:val="1"/>
                <w:bCs w:val="1"/>
                <w:color w:val="auto"/>
                <w:w w:val="92"/>
              </w:rPr>
              <w:t>Significant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Active Markets</w:t>
            </w:r>
          </w:p>
        </w:tc>
        <w:tc>
          <w:tcPr>
            <w:tcW w:w="140" w:type="dxa"/>
            <w:vAlign w:val="bottom"/>
          </w:tcPr>
          <w:p>
            <w:pPr>
              <w:spacing w:after="0"/>
              <w:rPr>
                <w:sz w:val="17"/>
                <w:szCs w:val="17"/>
                <w:color w:val="auto"/>
              </w:rPr>
            </w:pPr>
          </w:p>
        </w:tc>
        <w:tc>
          <w:tcPr>
            <w:tcW w:w="1200" w:type="dxa"/>
            <w:vAlign w:val="bottom"/>
            <w:gridSpan w:val="3"/>
          </w:tcPr>
          <w:p>
            <w:pPr>
              <w:jc w:val="center"/>
              <w:ind w:right="247"/>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Significant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 Identical</w:t>
            </w:r>
          </w:p>
        </w:tc>
        <w:tc>
          <w:tcPr>
            <w:tcW w:w="140" w:type="dxa"/>
            <w:vAlign w:val="bottom"/>
          </w:tcPr>
          <w:p>
            <w:pPr>
              <w:spacing w:after="0"/>
              <w:rPr>
                <w:sz w:val="17"/>
                <w:szCs w:val="17"/>
                <w:color w:val="auto"/>
              </w:rPr>
            </w:pPr>
          </w:p>
        </w:tc>
        <w:tc>
          <w:tcPr>
            <w:tcW w:w="1200" w:type="dxa"/>
            <w:vAlign w:val="bottom"/>
            <w:gridSpan w:val="3"/>
          </w:tcPr>
          <w:p>
            <w:pPr>
              <w:jc w:val="center"/>
              <w:ind w:right="247"/>
              <w:spacing w:after="0"/>
              <w:rPr>
                <w:sz w:val="20"/>
                <w:szCs w:val="20"/>
                <w:color w:val="auto"/>
              </w:rPr>
            </w:pPr>
            <w:r>
              <w:rPr>
                <w:rFonts w:ascii="Arial" w:cs="Arial" w:eastAsia="Arial" w:hAnsi="Arial"/>
                <w:sz w:val="16"/>
                <w:szCs w:val="16"/>
                <w:b w:val="1"/>
                <w:bCs w:val="1"/>
                <w:color w:val="auto"/>
                <w:w w:val="91"/>
              </w:rPr>
              <w:t>Observable</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Unobservable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7"/>
                <w:szCs w:val="17"/>
                <w:color w:val="auto"/>
              </w:rPr>
            </w:pPr>
          </w:p>
        </w:tc>
        <w:tc>
          <w:tcPr>
            <w:tcW w:w="1200" w:type="dxa"/>
            <w:vAlign w:val="bottom"/>
            <w:gridSpan w:val="3"/>
          </w:tcPr>
          <w:p>
            <w:pPr>
              <w:jc w:val="center"/>
              <w:ind w:right="247"/>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Inputs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6"/>
                <w:szCs w:val="16"/>
                <w:b w:val="1"/>
                <w:bCs w:val="1"/>
                <w:color w:val="auto"/>
              </w:rPr>
              <w:t>Assets ($ in millions)</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8"/>
                <w:szCs w:val="18"/>
                <w:color w:val="auto"/>
              </w:rPr>
            </w:pPr>
          </w:p>
        </w:tc>
        <w:tc>
          <w:tcPr>
            <w:tcW w:w="1200" w:type="dxa"/>
            <w:vAlign w:val="bottom"/>
            <w:gridSpan w:val="3"/>
          </w:tcPr>
          <w:p>
            <w:pPr>
              <w:jc w:val="center"/>
              <w:ind w:right="247"/>
              <w:spacing w:after="0"/>
              <w:rPr>
                <w:sz w:val="20"/>
                <w:szCs w:val="20"/>
                <w:color w:val="auto"/>
              </w:rPr>
            </w:pPr>
            <w:r>
              <w:rPr>
                <w:rFonts w:ascii="Arial" w:cs="Arial" w:eastAsia="Arial" w:hAnsi="Arial"/>
                <w:sz w:val="16"/>
                <w:szCs w:val="16"/>
                <w:b w:val="1"/>
                <w:bCs w:val="1"/>
                <w:color w:val="auto"/>
                <w:w w:val="92"/>
              </w:rPr>
              <w:t>(Level 2)</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(Level 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 debt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CLO equity</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1,114.8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CLO equity related investments</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4"/>
        </w:trPr>
        <w:tc>
          <w:tcPr>
            <w:tcW w:w="304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1,155.7</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presents the carrying value and fair value of the Fund’s financial liabilities disclosed, but not carried at fair value as of September 30, 2021 and the level of each financial liability within the fair value hierarchy:</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
        </w:trPr>
        <w:tc>
          <w:tcPr>
            <w:tcW w:w="2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Series 2024 Term Preferred</w:t>
            </w: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67.2</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rPr>
              <w:t>Series 2027 Term Preferred</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40" w:type="dxa"/>
            <w:vAlign w:val="bottom"/>
          </w:tcPr>
          <w:p>
            <w:pPr>
              <w:ind w:left="180"/>
              <w:spacing w:after="0"/>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85.8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Series 2029 Term Preferred</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83"/>
        </w:trPr>
        <w:tc>
          <w:tcPr>
            <w:tcW w:w="2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6.75% Unsecured Notes</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87"/>
              </w:rPr>
              <w:t>—</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44"/>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314.7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880" w:right="939" w:hanging="426"/>
        <w:spacing w:after="0" w:line="265"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Term Preferred Stock, fair value is based upon the closing price on the last day of the period. The Term Preferred Stock are listed on the NASDAQ Global Select Market (trading symbols “OXLCM”, “OXLCP” and “OXLCO”).</w:t>
      </w:r>
    </w:p>
    <w:p>
      <w:pPr>
        <w:spacing w:after="0" w:line="1"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6.75% Unsecured Notes, fair value is based upon the closing price on the last day of the period. The 6.75% Unsecured Notes are listed on the NASDAQ Global Select Market (trading symbol “OXLCL”).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15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In accordance with ASC 820-10, the following table provides quantitative information about the Fund’s Level 3 fair value measurements as of September 30, 2021. The Fund’s valuation policy, as described above, establishes parameters for the sources and types of valuation analysis, as well as the methodologies and inputs that the Fund uses in determining fair value. If the Board of Directors or Oxford Lane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FAIR VALUE </w:t>
      </w:r>
      <w:r>
        <w:rPr>
          <w:rFonts w:ascii="Arial" w:cs="Arial" w:eastAsia="Arial" w:hAnsi="Arial"/>
          <w:sz w:val="18"/>
          <w:szCs w:val="18"/>
          <w:color w:val="auto"/>
        </w:rPr>
        <w:t>(cont.)</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20" w:type="dxa"/>
            <w:vAlign w:val="bottom"/>
            <w:gridSpan w:val="8"/>
          </w:tcPr>
          <w:p>
            <w:pPr>
              <w:ind w:left="32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6"/>
              </w:rPr>
              <w:t>Impact to</w:t>
            </w:r>
          </w:p>
        </w:tc>
        <w:tc>
          <w:tcPr>
            <w:tcW w:w="0" w:type="dxa"/>
            <w:vAlign w:val="bottom"/>
          </w:tcPr>
          <w:p>
            <w:pPr>
              <w:spacing w:after="0"/>
              <w:rPr>
                <w:sz w:val="1"/>
                <w:szCs w:val="1"/>
                <w:color w:val="auto"/>
              </w:rPr>
            </w:pPr>
          </w:p>
        </w:tc>
      </w:tr>
      <w:tr>
        <w:trPr>
          <w:trHeight w:val="106"/>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Fair Value as</w:t>
            </w:r>
          </w:p>
        </w:tc>
        <w:tc>
          <w:tcPr>
            <w:tcW w:w="16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Valuation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Range/Weighted</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Valuation from</w:t>
            </w:r>
          </w:p>
        </w:tc>
        <w:tc>
          <w:tcPr>
            <w:tcW w:w="0" w:type="dxa"/>
            <w:vAlign w:val="bottom"/>
          </w:tcPr>
          <w:p>
            <w:pPr>
              <w:spacing w:after="0"/>
              <w:rPr>
                <w:sz w:val="1"/>
                <w:szCs w:val="1"/>
                <w:color w:val="auto"/>
              </w:rPr>
            </w:pPr>
          </w:p>
        </w:tc>
      </w:tr>
      <w:tr>
        <w:trPr>
          <w:trHeight w:val="153"/>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22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w w:val="97"/>
              </w:rPr>
              <w:t>of September 30,</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Techniques/</w:t>
            </w:r>
          </w:p>
        </w:tc>
        <w:tc>
          <w:tcPr>
            <w:tcW w:w="94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an Increase in</w:t>
            </w:r>
          </w:p>
        </w:tc>
        <w:tc>
          <w:tcPr>
            <w:tcW w:w="0" w:type="dxa"/>
            <w:vAlign w:val="bottom"/>
          </w:tcPr>
          <w:p>
            <w:pPr>
              <w:spacing w:after="0"/>
              <w:rPr>
                <w:sz w:val="1"/>
                <w:szCs w:val="1"/>
                <w:color w:val="auto"/>
              </w:rPr>
            </w:pPr>
          </w:p>
        </w:tc>
      </w:tr>
      <w:tr>
        <w:trPr>
          <w:trHeight w:val="205"/>
        </w:trPr>
        <w:tc>
          <w:tcPr>
            <w:tcW w:w="1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Methodologies</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r>
              <w:rPr>
                <w:rFonts w:ascii="Arial" w:cs="Arial" w:eastAsia="Arial" w:hAnsi="Arial"/>
                <w:sz w:val="14"/>
                <w:szCs w:val="14"/>
                <w:b w:val="1"/>
                <w:bCs w:val="1"/>
                <w:color w:val="auto"/>
                <w:w w:val="86"/>
                <w:vertAlign w:val="superscript"/>
              </w:rPr>
              <w:t>(3)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Input</w:t>
            </w:r>
            <w:r>
              <w:rPr>
                <w:rFonts w:ascii="Arial" w:cs="Arial" w:eastAsia="Arial" w:hAnsi="Arial"/>
                <w:sz w:val="14"/>
                <w:szCs w:val="14"/>
                <w:b w:val="1"/>
                <w:bCs w:val="1"/>
                <w:color w:val="auto"/>
                <w:w w:val="91"/>
                <w:vertAlign w:val="superscript"/>
              </w:rPr>
              <w:t>(4)</w:t>
            </w: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in millions)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CLO debt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Market Quotes</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NBIB</w:t>
            </w:r>
            <w:r>
              <w:rPr>
                <w:rFonts w:ascii="Arial" w:cs="Arial" w:eastAsia="Arial" w:hAnsi="Arial"/>
                <w:sz w:val="21"/>
                <w:szCs w:val="21"/>
                <w:color w:val="auto"/>
                <w:w w:val="96"/>
                <w:vertAlign w:val="superscript"/>
              </w:rPr>
              <w:t>(1)</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69.0% – 99.0%/86.4</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Recent Transaction</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Actual trade</w:t>
            </w:r>
            <w:r>
              <w:rPr>
                <w:rFonts w:ascii="Arial" w:cs="Arial" w:eastAsia="Arial" w:hAnsi="Arial"/>
                <w:sz w:val="21"/>
                <w:szCs w:val="21"/>
                <w:color w:val="auto"/>
                <w:w w:val="91"/>
                <w:vertAlign w:val="superscript"/>
              </w:rPr>
              <w:t>(5)</w:t>
            </w:r>
          </w:p>
        </w:tc>
        <w:tc>
          <w:tcPr>
            <w:tcW w:w="1420" w:type="dxa"/>
            <w:vAlign w:val="bottom"/>
          </w:tcPr>
          <w:p>
            <w:pPr>
              <w:jc w:val="center"/>
              <w:spacing w:after="0"/>
              <w:rPr>
                <w:sz w:val="20"/>
                <w:szCs w:val="20"/>
                <w:color w:val="auto"/>
              </w:rPr>
            </w:pPr>
            <w:r>
              <w:rPr>
                <w:rFonts w:ascii="Arial" w:cs="Arial" w:eastAsia="Arial" w:hAnsi="Arial"/>
                <w:sz w:val="14"/>
                <w:szCs w:val="14"/>
                <w:color w:val="auto"/>
                <w:w w:val="87"/>
              </w:rPr>
              <w:t>92.3%</w:t>
            </w:r>
            <w:r>
              <w:rPr>
                <w:rFonts w:ascii="Arial" w:cs="Arial" w:eastAsia="Arial" w:hAnsi="Arial"/>
                <w:sz w:val="21"/>
                <w:szCs w:val="21"/>
                <w:color w:val="auto"/>
                <w:w w:val="87"/>
                <w:vertAlign w:val="superscript"/>
              </w:rPr>
              <w:t>(7)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3"/>
        </w:trPr>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0"/>
                <w:szCs w:val="20"/>
                <w:color w:val="auto"/>
              </w:rPr>
            </w:pPr>
            <w:r>
              <w:rPr>
                <w:rFonts w:ascii="Arial" w:cs="Arial" w:eastAsia="Arial" w:hAnsi="Arial"/>
                <w:sz w:val="14"/>
                <w:szCs w:val="14"/>
                <w:color w:val="auto"/>
              </w:rPr>
              <w:t>CLO equity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947.1</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Market Quotes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NBIB</w:t>
            </w:r>
            <w:r>
              <w:rPr>
                <w:rFonts w:ascii="Arial" w:cs="Arial" w:eastAsia="Arial" w:hAnsi="Arial"/>
                <w:sz w:val="21"/>
                <w:szCs w:val="21"/>
                <w:color w:val="auto"/>
                <w:w w:val="96"/>
                <w:vertAlign w:val="superscript"/>
              </w:rPr>
              <w:t>(1)</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0.00% – 100.0%/52.7%</w:t>
            </w: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3"/>
        </w:trPr>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125.7</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Recent Transaction</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Actual trade</w:t>
            </w:r>
            <w:r>
              <w:rPr>
                <w:rFonts w:ascii="Arial" w:cs="Arial" w:eastAsia="Arial" w:hAnsi="Arial"/>
                <w:sz w:val="21"/>
                <w:szCs w:val="21"/>
                <w:color w:val="auto"/>
                <w:w w:val="91"/>
                <w:vertAlign w:val="superscript"/>
              </w:rPr>
              <w:t>(5)</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78.0% – 85.4%/82.2%</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Net Present Value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Cashflows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43.6% – 94.2%/75.8%</w:t>
            </w: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5"/>
              </w:rPr>
              <w:t>Liquidation Net Asset</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w:t>
            </w:r>
          </w:p>
        </w:tc>
        <w:tc>
          <w:tcPr>
            <w:tcW w:w="1680" w:type="dxa"/>
            <w:vAlign w:val="bottom"/>
            <w:gridSpan w:val="2"/>
            <w:shd w:val="clear" w:color="auto" w:fill="CCEEFF"/>
          </w:tcPr>
          <w:p>
            <w:pPr>
              <w:jc w:val="center"/>
              <w:ind w:right="100"/>
              <w:spacing w:after="0" w:line="239" w:lineRule="exact"/>
              <w:rPr>
                <w:sz w:val="20"/>
                <w:szCs w:val="20"/>
                <w:color w:val="auto"/>
              </w:rPr>
            </w:pPr>
            <w:r>
              <w:rPr>
                <w:rFonts w:ascii="Arial" w:cs="Arial" w:eastAsia="Arial" w:hAnsi="Arial"/>
                <w:sz w:val="14"/>
                <w:szCs w:val="14"/>
                <w:color w:val="auto"/>
                <w:w w:val="86"/>
              </w:rPr>
              <w:t>Value</w:t>
            </w:r>
            <w:r>
              <w:rPr>
                <w:rFonts w:ascii="Arial" w:cs="Arial" w:eastAsia="Arial" w:hAnsi="Arial"/>
                <w:sz w:val="21"/>
                <w:szCs w:val="21"/>
                <w:color w:val="auto"/>
                <w:w w:val="86"/>
                <w:vertAlign w:val="superscript"/>
              </w:rPr>
              <w:t>(6)</w:t>
            </w:r>
          </w:p>
        </w:tc>
        <w:tc>
          <w:tcPr>
            <w:tcW w:w="940" w:type="dxa"/>
            <w:vAlign w:val="bottom"/>
            <w:gridSpan w:val="2"/>
            <w:shd w:val="clear" w:color="auto" w:fill="CCEEFF"/>
          </w:tcPr>
          <w:p>
            <w:pPr>
              <w:jc w:val="center"/>
              <w:ind w:right="100"/>
              <w:spacing w:after="0" w:line="239" w:lineRule="exact"/>
              <w:rPr>
                <w:sz w:val="20"/>
                <w:szCs w:val="20"/>
                <w:color w:val="auto"/>
              </w:rPr>
            </w:pPr>
            <w:r>
              <w:rPr>
                <w:rFonts w:ascii="Arial" w:cs="Arial" w:eastAsia="Arial" w:hAnsi="Arial"/>
                <w:sz w:val="14"/>
                <w:szCs w:val="14"/>
                <w:color w:val="auto"/>
                <w:w w:val="96"/>
              </w:rPr>
              <w:t>NBIB</w:t>
            </w:r>
            <w:r>
              <w:rPr>
                <w:rFonts w:ascii="Arial" w:cs="Arial" w:eastAsia="Arial" w:hAnsi="Arial"/>
                <w:sz w:val="21"/>
                <w:szCs w:val="21"/>
                <w:color w:val="auto"/>
                <w:w w:val="96"/>
                <w:vertAlign w:val="superscript"/>
              </w:rPr>
              <w:t>(1)</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0.0% – 7.5%/3.1%</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20"/>
                <w:szCs w:val="20"/>
                <w:color w:val="auto"/>
              </w:rPr>
            </w:pPr>
            <w:r>
              <w:rPr>
                <w:rFonts w:ascii="Arial" w:cs="Arial" w:eastAsia="Arial" w:hAnsi="Arial"/>
                <w:sz w:val="14"/>
                <w:szCs w:val="14"/>
                <w:color w:val="auto"/>
              </w:rPr>
              <w:t>Other CLO equity related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Discounted cash flow</w:t>
            </w:r>
            <w:r>
              <w:rPr>
                <w:rFonts w:ascii="Arial" w:cs="Arial" w:eastAsia="Arial" w:hAnsi="Arial"/>
                <w:sz w:val="21"/>
                <w:szCs w:val="21"/>
                <w:color w:val="auto"/>
                <w:w w:val="92"/>
                <w:vertAlign w:val="superscript"/>
              </w:rPr>
              <w:t>(2)</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Discount</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1680" w:type="dxa"/>
            <w:vAlign w:val="bottom"/>
            <w:gridSpan w:val="2"/>
            <w:vMerge w:val="continue"/>
          </w:tcPr>
          <w:p>
            <w:pPr>
              <w:spacing w:after="0"/>
              <w:rPr>
                <w:sz w:val="18"/>
                <w:szCs w:val="18"/>
                <w:color w:val="auto"/>
              </w:rPr>
            </w:pPr>
          </w:p>
        </w:tc>
        <w:tc>
          <w:tcPr>
            <w:tcW w:w="940" w:type="dxa"/>
            <w:vAlign w:val="bottom"/>
            <w:gridSpan w:val="2"/>
          </w:tcPr>
          <w:p>
            <w:pPr>
              <w:jc w:val="center"/>
              <w:ind w:right="80"/>
              <w:spacing w:after="0" w:line="216" w:lineRule="exact"/>
              <w:rPr>
                <w:sz w:val="20"/>
                <w:szCs w:val="20"/>
                <w:color w:val="auto"/>
              </w:rPr>
            </w:pPr>
            <w:r>
              <w:rPr>
                <w:rFonts w:ascii="Arial" w:cs="Arial" w:eastAsia="Arial" w:hAnsi="Arial"/>
                <w:sz w:val="14"/>
                <w:szCs w:val="14"/>
                <w:color w:val="auto"/>
                <w:w w:val="82"/>
              </w:rPr>
              <w:t>rate</w:t>
            </w:r>
            <w:r>
              <w:rPr>
                <w:rFonts w:ascii="Arial" w:cs="Arial" w:eastAsia="Arial" w:hAnsi="Arial"/>
                <w:sz w:val="21"/>
                <w:szCs w:val="21"/>
                <w:color w:val="auto"/>
                <w:w w:val="82"/>
                <w:vertAlign w:val="superscript"/>
              </w:rPr>
              <w:t>(2)</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1.2% – 25.4%/10.1%</w:t>
            </w:r>
          </w:p>
        </w:tc>
        <w:tc>
          <w:tcPr>
            <w:tcW w:w="1000" w:type="dxa"/>
            <w:vAlign w:val="bottom"/>
          </w:tcPr>
          <w:p>
            <w:pPr>
              <w:jc w:val="center"/>
              <w:spacing w:after="0"/>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10"/>
        </w:trPr>
        <w:tc>
          <w:tcPr>
            <w:tcW w:w="174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Fair Value for Level 3</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1,155.7</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99" w:hanging="426"/>
        <w:spacing w:after="0" w:line="264" w:lineRule="auto"/>
        <w:tabs>
          <w:tab w:leader="none" w:pos="8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Oxford Lane Management, including performance and covenant compliance information as provided by the independent trustee.</w:t>
      </w:r>
    </w:p>
    <w:p>
      <w:pPr>
        <w:spacing w:after="0" w:line="4" w:lineRule="exact"/>
        <w:rPr>
          <w:rFonts w:ascii="Arial" w:cs="Arial" w:eastAsia="Arial" w:hAnsi="Arial"/>
          <w:sz w:val="16"/>
          <w:szCs w:val="16"/>
          <w:color w:val="auto"/>
        </w:rPr>
      </w:pPr>
    </w:p>
    <w:p>
      <w:pPr>
        <w:ind w:left="880" w:right="659" w:hanging="426"/>
        <w:spacing w:after="0" w:line="264" w:lineRule="auto"/>
        <w:tabs>
          <w:tab w:leader="none" w:pos="8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Fund will calculate the fair value of CLO equity side letters based upon the net present value of expected contractual payment streams discounted using estimated market yields for the equity tranche of the respective CLO vehicle.</w:t>
      </w:r>
    </w:p>
    <w:p>
      <w:pPr>
        <w:ind w:left="880" w:hanging="426"/>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Weighted averages are calculated based on the fair value of investments.</w:t>
      </w:r>
    </w:p>
    <w:p>
      <w:pPr>
        <w:spacing w:after="0" w:line="18" w:lineRule="exact"/>
        <w:rPr>
          <w:rFonts w:ascii="Arial" w:cs="Arial" w:eastAsia="Arial" w:hAnsi="Arial"/>
          <w:sz w:val="16"/>
          <w:szCs w:val="16"/>
          <w:color w:val="auto"/>
        </w:rPr>
      </w:pPr>
    </w:p>
    <w:p>
      <w:pPr>
        <w:ind w:left="880" w:right="659" w:hanging="426"/>
        <w:spacing w:after="0" w:line="281" w:lineRule="auto"/>
        <w:tabs>
          <w:tab w:leader="none" w:pos="87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2" w:lineRule="exact"/>
        <w:rPr>
          <w:rFonts w:ascii="Arial" w:cs="Arial" w:eastAsia="Arial" w:hAnsi="Arial"/>
          <w:sz w:val="15"/>
          <w:szCs w:val="15"/>
          <w:color w:val="auto"/>
        </w:rPr>
      </w:pPr>
    </w:p>
    <w:p>
      <w:pPr>
        <w:ind w:left="880" w:right="479" w:hanging="426"/>
        <w:spacing w:after="0" w:line="264"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Prices provided by independent pricing services are evaluated in conjunction with actual trades and payoffs and, in certain cases, the value represented by actual trades or payoffs may be more representative of fair value as determined by the Board of Directors.</w:t>
      </w:r>
    </w:p>
    <w:p>
      <w:pPr>
        <w:ind w:left="880" w:right="619" w:hanging="426"/>
        <w:spacing w:after="0" w:line="264" w:lineRule="auto"/>
        <w:tabs>
          <w:tab w:leader="none" w:pos="8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fair value of those CLO equity and debt positions which have been optionally redeemed are generally valued using a liquidation net asset value basis which represents the estimated expected residual value of the CLO as of the end of the period.</w:t>
      </w:r>
    </w:p>
    <w:p>
      <w:pPr>
        <w:ind w:left="880" w:hanging="426"/>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a single investment fair value position, and therefore the range/weighted average is not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FAIR VALUE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A reconciliation of the fair value of investments for the six months ended September 30, 2021, utilizing significant unobservable inputs, is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Collateralized</w:t>
            </w:r>
          </w:p>
        </w:tc>
        <w:tc>
          <w:tcPr>
            <w:tcW w:w="8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Collateralized</w:t>
            </w:r>
          </w:p>
        </w:tc>
        <w:tc>
          <w:tcPr>
            <w:tcW w:w="10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Other CLO</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12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Loan Obligation</w:t>
            </w:r>
          </w:p>
        </w:tc>
        <w:tc>
          <w:tcPr>
            <w:tcW w:w="8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Loan Obligation</w:t>
            </w: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Equity Related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Debt Investments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6"/>
              </w:rPr>
              <w:t>Equity Investments</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March 31, 2021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826.0</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0"/>
                <w:szCs w:val="20"/>
                <w:color w:val="auto"/>
              </w:rPr>
            </w:pPr>
            <w:r>
              <w:rPr>
                <w:rFonts w:ascii="Arial" w:cs="Arial" w:eastAsia="Arial" w:hAnsi="Arial"/>
                <w:sz w:val="14"/>
                <w:szCs w:val="14"/>
                <w:color w:val="auto"/>
              </w:rPr>
              <w:t>Realized gains included in earnings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Unrealized appreciation included in earnings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0"/>
                <w:szCs w:val="20"/>
                <w:color w:val="auto"/>
              </w:rPr>
            </w:pPr>
            <w:r>
              <w:rPr>
                <w:rFonts w:ascii="Arial" w:cs="Arial" w:eastAsia="Arial" w:hAnsi="Arial"/>
                <w:sz w:val="14"/>
                <w:szCs w:val="14"/>
                <w:color w:val="auto"/>
              </w:rPr>
              <w:t>Accretion of discounts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Purchases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567.0</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0"/>
                <w:szCs w:val="20"/>
                <w:color w:val="auto"/>
              </w:rPr>
            </w:pPr>
            <w:r>
              <w:rPr>
                <w:rFonts w:ascii="Arial" w:cs="Arial" w:eastAsia="Arial" w:hAnsi="Arial"/>
                <w:sz w:val="14"/>
                <w:szCs w:val="14"/>
                <w:color w:val="auto"/>
              </w:rPr>
              <w:t>Sales and repayments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(250.9)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Reductions to CLO equity cost value</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0"/>
                <w:szCs w:val="20"/>
                <w:color w:val="auto"/>
              </w:rPr>
            </w:pPr>
            <w:r>
              <w:rPr>
                <w:rFonts w:ascii="Arial" w:cs="Arial" w:eastAsia="Arial" w:hAnsi="Arial"/>
                <w:sz w:val="14"/>
                <w:szCs w:val="14"/>
                <w:color w:val="auto"/>
              </w:rPr>
              <w:t>Payment in Kind income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Transfers in and/or out of level 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4"/>
                <w:szCs w:val="14"/>
                <w:color w:val="auto"/>
              </w:rPr>
              <w:t>Balance at September 30, 2021</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2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1,114.8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1,155.7</w:t>
            </w:r>
          </w:p>
        </w:tc>
        <w:tc>
          <w:tcPr>
            <w:tcW w:w="0" w:type="dxa"/>
            <w:vAlign w:val="bottom"/>
          </w:tcPr>
          <w:p>
            <w:pPr>
              <w:spacing w:after="0"/>
              <w:rPr>
                <w:sz w:val="1"/>
                <w:szCs w:val="1"/>
                <w:color w:val="auto"/>
              </w:rPr>
            </w:pPr>
          </w:p>
        </w:tc>
      </w:tr>
      <w:tr>
        <w:trPr>
          <w:trHeight w:val="83"/>
        </w:trPr>
        <w:tc>
          <w:tcPr>
            <w:tcW w:w="3020" w:type="dxa"/>
            <w:vAlign w:val="bottom"/>
            <w:tcBorders>
              <w:top w:val="single" w:sz="8" w:color="CCEEFF"/>
            </w:tcBorders>
            <w:shd w:val="clear" w:color="auto" w:fill="CCEEFF"/>
          </w:tcPr>
          <w:p>
            <w:pPr>
              <w:spacing w:after="0" w:line="84" w:lineRule="exact"/>
              <w:rPr>
                <w:sz w:val="20"/>
                <w:szCs w:val="20"/>
                <w:color w:val="auto"/>
              </w:rPr>
            </w:pPr>
            <w:r>
              <w:rPr>
                <w:rFonts w:ascii="Arial" w:cs="Arial" w:eastAsia="Arial" w:hAnsi="Arial"/>
                <w:sz w:val="9"/>
                <w:szCs w:val="9"/>
                <w:color w:val="auto"/>
              </w:rPr>
              <w:t>The amount of total gains for the period included</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 earnings attributable to the change in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unrealized gains or losses related to our Level 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assets still held at the reporting date and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reported within the net change in unrealized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gains or losses on investments in our Statement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619" w:hanging="426"/>
        <w:spacing w:after="0" w:line="293"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Reduction to cost value on OXLC’s CLO equity and other CLO equity related investments represents the difference between distributions received, or entitled to be received, for the six months ended September 30, 2021, of approximately $140.3 million and the effective yield interest income recognized on the Fund’s CLO equity subordinated notes and the amortized cost adjusted income on the Fund’s CLO equity fee notes of approximately $84.8 million. A reduction to cost value is not made for CLO warehouse investments.</w:t>
      </w:r>
    </w:p>
    <w:p>
      <w:pPr>
        <w:spacing w:after="0" w:line="103"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8"/>
          <w:szCs w:val="18"/>
          <w:color w:val="auto"/>
        </w:rPr>
        <w:t>There were no transfers in or out of Level 3 during the six months ended September 30, 2021.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RELATED PARTY TRANSACTIONS</w:t>
      </w:r>
    </w:p>
    <w:p>
      <w:pPr>
        <w:spacing w:after="0" w:line="148"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Effective September 9, 2010, the Fund entered into an investment advisory agreement with Oxford Lane Management (the “Investment Advisory Agreement”), a registered investment adviser under the Advisers Act. Oxford Funds is the managing member of Oxford Lane Management and serves as the administrator of OXLC.</w:t>
      </w:r>
    </w:p>
    <w:p>
      <w:pPr>
        <w:spacing w:after="0" w:line="81" w:lineRule="exact"/>
        <w:rPr>
          <w:sz w:val="20"/>
          <w:szCs w:val="20"/>
          <w:color w:val="auto"/>
        </w:rPr>
      </w:pPr>
    </w:p>
    <w:p>
      <w:pPr>
        <w:ind w:left="460" w:right="659" w:firstLine="432"/>
        <w:spacing w:after="0" w:line="275" w:lineRule="auto"/>
        <w:rPr>
          <w:sz w:val="20"/>
          <w:szCs w:val="20"/>
          <w:color w:val="auto"/>
        </w:rPr>
      </w:pPr>
      <w:r>
        <w:rPr>
          <w:rFonts w:ascii="Arial" w:cs="Arial" w:eastAsia="Arial" w:hAnsi="Arial"/>
          <w:sz w:val="17"/>
          <w:szCs w:val="17"/>
          <w:color w:val="auto"/>
        </w:rPr>
        <w:t>Effective September 9, 2010, the Fund entered into an administration agreement (the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0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Pursuant to the Investment Advisory Agreement, the Fund has agreed to pay Oxford Lane Management a fee for advisory and management services consisting of two components — a base management fee (or “base management fee”) and an incentive fee.</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base management fee is calculated at an annual rate of 2.00% of the Fund’s gross assets. For services rendered under the Investment Advisory Agreement, base management fee is payable quarterly in arrears. The investment advisory fee is calculated based on the average value of the Fund’s gross assets, at the end of the two most recently completed calendar quarters, and appropriately adjusted for any share issuances or repurchases during the current calendar quarter. Base management fees for any partial month or quarter will be appropriately pro-rated. For the six months ended September 30, 2021, the Fund recognized an expense of approximately $10.0 million. At September 30, 2021, the Fund had a base management fee payable of approximately $5.4 million.</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base management fee, expenses payable under the Administration Agreement to Oxford Funds, and any interest expense and dividends paid on any issued and outstanding preferred stock, but excluding the incentive fee). Pre-incentive fee net investment income includes accrued income that the Fund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the Fund’s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The Fund’s pre-incentive fee net investment income used to calculate the incentive fee is also included in the amount of its gross assets used to calculate the 2.00% base management fee. The Fund pays Oxford Lane Management an incentive fee with respect to the Fund’s pre-incentive fee net investment income in each calendar quarter as follows:</w:t>
      </w:r>
    </w:p>
    <w:p>
      <w:pPr>
        <w:spacing w:after="0" w:line="101" w:lineRule="exact"/>
        <w:rPr>
          <w:sz w:val="20"/>
          <w:szCs w:val="20"/>
          <w:color w:val="auto"/>
        </w:rPr>
      </w:pPr>
    </w:p>
    <w:p>
      <w:pPr>
        <w:ind w:left="1320" w:right="99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Fund’s pre-incentive fee net investment income does not exceed the hurdle of 1.75%;</w:t>
      </w:r>
    </w:p>
    <w:p>
      <w:pPr>
        <w:spacing w:after="0" w:line="89" w:lineRule="exact"/>
        <w:rPr>
          <w:rFonts w:ascii="Arial" w:cs="Arial" w:eastAsia="Arial" w:hAnsi="Arial"/>
          <w:sz w:val="18"/>
          <w:szCs w:val="18"/>
          <w:color w:val="auto"/>
        </w:rPr>
      </w:pPr>
    </w:p>
    <w:p>
      <w:pPr>
        <w:ind w:left="1320" w:right="619" w:hanging="434"/>
        <w:spacing w:after="0" w:line="254"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Oxford Lane Management with 20% of the pre-incentive fee net investment income as if a hurdle did not apply if the net investment income exceeds 2.1875% in any calendar quarter; and</w:t>
      </w:r>
    </w:p>
    <w:p>
      <w:pPr>
        <w:spacing w:after="0" w:line="127" w:lineRule="exact"/>
        <w:rPr>
          <w:rFonts w:ascii="Arial" w:cs="Arial" w:eastAsia="Arial" w:hAnsi="Arial"/>
          <w:sz w:val="18"/>
          <w:szCs w:val="18"/>
          <w:color w:val="auto"/>
        </w:rPr>
      </w:pPr>
    </w:p>
    <w:p>
      <w:pPr>
        <w:ind w:left="1320" w:right="559" w:hanging="434"/>
        <w:spacing w:after="0" w:line="259"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 of the amount of pre-incentive fee net investment income, if any, that exceeds 2.1875% in any calendar quarter (8.75% annualized) is payable to Oxford Lane Management (once the hurdle is reached and the “catch-up” is achieved, 20% of all pre-incentive fee net investment income thereafter is allocated to Oxford Lane Management).</w:t>
      </w:r>
    </w:p>
    <w:p>
      <w:pPr>
        <w:spacing w:after="0" w:line="119"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There is no offset in subsequent quarters for any quarter in which an incentive fee is not earned. For the six months ended September 30, 2021, the Fund recognized incentive fee expense of approximately $13.0 million. At September 30, 2021, the Fund had an incentive fee payable of approximately $6.7 million.</w:t>
      </w:r>
    </w:p>
    <w:p>
      <w:pPr>
        <w:spacing w:after="0" w:line="6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Oxford Funds assists the Fund in determining and publishing the Fund’s net asset value,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 The costs associated with the functions performed by OXLC’s chief compliance officer are paid indirectly by the Fund pursuant to the terms of an agreement between the Fund and Alaric Compliance Services, LLC.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Independent directors receive an annual fee of $90,000. In addition, the independent directors receive $2,000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Section 2(a)(19) of the 1940 Act.</w:t>
      </w:r>
    </w:p>
    <w:p>
      <w:pPr>
        <w:spacing w:after="0" w:line="124" w:lineRule="exact"/>
        <w:rPr>
          <w:sz w:val="20"/>
          <w:szCs w:val="20"/>
          <w:color w:val="auto"/>
        </w:rPr>
      </w:pPr>
    </w:p>
    <w:p>
      <w:pPr>
        <w:ind w:left="460" w:right="839" w:firstLine="432"/>
        <w:spacing w:after="0" w:line="342" w:lineRule="auto"/>
        <w:rPr>
          <w:sz w:val="20"/>
          <w:szCs w:val="20"/>
          <w:color w:val="auto"/>
        </w:rPr>
      </w:pPr>
      <w:r>
        <w:rPr>
          <w:rFonts w:ascii="Arial" w:cs="Arial" w:eastAsia="Arial" w:hAnsi="Arial"/>
          <w:sz w:val="16"/>
          <w:szCs w:val="16"/>
          <w:color w:val="auto"/>
        </w:rPr>
        <w:t>Certain directors, officers and other related parties, including members of Oxford Lane Management, owned, directly or indirectly, an aggregate 0.6% of the common stock of the Fund at September 30, 2021.</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Co-Investment Exemptive Relief</w:t>
      </w:r>
    </w:p>
    <w:p>
      <w:pPr>
        <w:spacing w:after="0" w:line="144"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On June 14, 2017, the Securities and Exchange Commission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9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9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In addition, pursuant to an exemptive order issued by the SEC on April 8, 2020 and applicable to all closed-end funds, through December 31, 2020, OXLC was permitted, subject to the satisfaction of certain conditions, to complete follow-on investments in its existing portfolio companies with certain private funds managed by Oxford Lane Management or its affiliates and covered by the Order, even if such private funds had not previously invested in such existing portfolio company. Without this order, private funds would generally not be able to participate in such follow-on investments with OXLC unless the private funds had previously acquired securities of the portfolio company in a co-investment transaction with OXLC. Although the conditional exemptive order has expired, the SEC’s Division of Investment Management has indicated that until March 31, 2022, it will not recommend enforcement action to the extent any closed-end fund with an existing co-investment order continues to engage in certain transactions described in the conditional exemptive order, pursuant to the same terms and conditions described therein.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CONCENTRATION OF CREDIT RISK</w:t>
      </w:r>
    </w:p>
    <w:p>
      <w:pPr>
        <w:spacing w:after="0" w:line="148" w:lineRule="exact"/>
        <w:rPr>
          <w:sz w:val="20"/>
          <w:szCs w:val="20"/>
          <w:color w:val="auto"/>
        </w:rPr>
      </w:pPr>
    </w:p>
    <w:p>
      <w:pPr>
        <w:jc w:val="both"/>
        <w:ind w:left="460" w:right="599" w:firstLine="432"/>
        <w:spacing w:after="0" w:line="301" w:lineRule="auto"/>
        <w:rPr>
          <w:sz w:val="20"/>
          <w:szCs w:val="20"/>
          <w:color w:val="auto"/>
        </w:rPr>
      </w:pPr>
      <w:r>
        <w:rPr>
          <w:rFonts w:ascii="Arial" w:cs="Arial" w:eastAsia="Arial" w:hAnsi="Arial"/>
          <w:sz w:val="16"/>
          <w:szCs w:val="16"/>
          <w:color w:val="auto"/>
        </w:rPr>
        <w:t>The Fund places its cash in an overnight money market account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DISTRIBUTIONS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the six months ended September 30, 2021, the Fund declared and paid distributions on its common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of $0.405 per share, or $43,851,618. The Fund declared and paid distributions on its common stock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 per share, or $86,337,559 for the year ended March 31, 2021. The tax character of distributions paid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six months ended September 30, 2021 represented, on an estimated basis, $36,396,843 million from</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ordinary income and $7,454,775 million from tax return of capital. For the year ended March 31, 2021 and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six months ended September 30, 2021, the amounts and sources of distributions reported are only estimates.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tax character of distributions paid for the year ended March 31, 2021 represented, on an estimated basis,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$50,174,870 from ordinary income and $36,162,689 from tax return of capital. The ultimate tax character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distributions is unknown until our tax return is filed. For the six months ended September 30, 2021 and for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ended March 31, 2021, the Fund also declared and paid dividends on preferred stock of $5,723,132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$14,468,365, respectively. The tax character of distributions paid on preferred stock represented ordinary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w:t>
      </w:r>
    </w:p>
    <w:p>
      <w:pPr>
        <w:spacing w:after="0" w:line="143"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For the fiscal year ended March 31, 2021, the Fund had available $93,119,991 of long-term capital losses, which can be used to offset future capital gains. For the fiscal year ended March 31, 2021, the Fund did not utilize its capital loss carryforward. Under the law, capital losses related to securities realized after October 31 and prior to the Fund’s fiscal year end may be deferred as occurring the first day of the following fiscal year. For the fiscal year ended March 31, 2021, the Fund had no losses to defer.</w:t>
      </w:r>
    </w:p>
    <w:p>
      <w:pPr>
        <w:spacing w:after="0" w:line="109"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As of March 31, 2021, the estimated components of distributable earnings (accumulated losses) on a tax basis were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Distributable ordinary income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Distributable long-term capital gains (capital loss carry forward)</w:t>
            </w:r>
          </w:p>
        </w:tc>
        <w:tc>
          <w:tcPr>
            <w:tcW w:w="1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(96,080,723)</w:t>
            </w:r>
          </w:p>
        </w:tc>
      </w:tr>
      <w:tr>
        <w:trPr>
          <w:trHeight w:val="40"/>
        </w:trPr>
        <w:tc>
          <w:tcPr>
            <w:tcW w:w="5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depreciation on investments*</w:t>
            </w:r>
          </w:p>
        </w:tc>
        <w:tc>
          <w:tcPr>
            <w:tcW w:w="1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(91,550,004)</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Other timing differences</w:t>
            </w:r>
          </w:p>
        </w:tc>
        <w:tc>
          <w:tcPr>
            <w:tcW w:w="1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(4,749)</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1279" w:hanging="426"/>
        <w:spacing w:after="0" w:line="293" w:lineRule="auto"/>
        <w:tabs>
          <w:tab w:leader="none" w:pos="8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difference between book basis and tax basis unrealized gains/(losses) is due to the Fund’s CLO equity investments.</w:t>
      </w:r>
    </w:p>
    <w:p>
      <w:pPr>
        <w:spacing w:after="0" w:line="86"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As of March 31, 2021, the effect of permanent “book/tax” reclassifications resulted in the following increase/(decrease) to the components of net assets: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Net Investment Income</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8,428,168</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Accumulated Capital Gain</w:t>
            </w:r>
          </w:p>
        </w:tc>
        <w:tc>
          <w:tcPr>
            <w:tcW w:w="22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18,899,589</w:t>
            </w:r>
          </w:p>
        </w:tc>
      </w:tr>
      <w:tr>
        <w:trPr>
          <w:trHeight w:val="40"/>
        </w:trPr>
        <w:tc>
          <w:tcPr>
            <w:tcW w:w="4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Paid-In-Capital</w:t>
            </w:r>
          </w:p>
        </w:tc>
        <w:tc>
          <w:tcPr>
            <w:tcW w:w="2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(27,327,757)</w:t>
            </w:r>
          </w:p>
        </w:tc>
      </w:tr>
      <w:tr>
        <w:trPr>
          <w:trHeight w:val="40"/>
        </w:trPr>
        <w:tc>
          <w:tcPr>
            <w:tcW w:w="47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1279" w:firstLine="432"/>
        <w:spacing w:after="0" w:line="342" w:lineRule="auto"/>
        <w:rPr>
          <w:sz w:val="20"/>
          <w:szCs w:val="20"/>
          <w:color w:val="auto"/>
        </w:rPr>
      </w:pPr>
      <w:r>
        <w:rPr>
          <w:rFonts w:ascii="Arial" w:cs="Arial" w:eastAsia="Arial" w:hAnsi="Arial"/>
          <w:sz w:val="16"/>
          <w:szCs w:val="16"/>
          <w:color w:val="auto"/>
        </w:rPr>
        <w:t>These differences are primarily due to the CLO equity investments, prior year adjustments, and acceleration of unamortized deferred issuance costs on mandatorily redeemable preferred stock.</w:t>
      </w:r>
    </w:p>
    <w:p>
      <w:pPr>
        <w:spacing w:after="0" w:line="56"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September 30, 2021, the aggregate gross unrealized appreciation for tax purposes was $88,576,594, and aggregate gross unrealized depreciation was $144,055,326. For tax purposes, the cost basis of the portfolio investments at September 30, 2021 was $1,211,213,992.</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MANDATORILY REDEEMABLE PREFERRED STOCK</w:t>
      </w:r>
    </w:p>
    <w:p>
      <w:pPr>
        <w:spacing w:after="0" w:line="148"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6"/>
          <w:szCs w:val="16"/>
          <w:color w:val="auto"/>
        </w:rPr>
        <w:t>The Fund has authorized 50 million shares of mandatorily redeemable preferred stock, at a par value of $0.01 per share, and had 8,936,721 shares issued and outstanding at September 30, 2021. Since 2012 and through August 17, 2021, the Fund completed underwritten public offerings of its 7.50% Series 2023 Term Preferred Shares (the “Series 2023 Shares”); 6.75% Series 2024 Term Preferred Shares (the</w:t>
      </w:r>
    </w:p>
    <w:p>
      <w:pPr>
        <w:spacing w:after="0" w:line="1"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color w:val="auto"/>
        </w:rPr>
        <w:t>“Series 2024 Shares”); 6.25% Series 2027 Term Preferred Shares (the “Series 2027 Shares”); and its 6.00% Series 2029 Term Preferred Shares (the “Series 2029 Shares”), collectively the “Term Preferred Shares”. The Fund is required to redeem all of the outstanding Term Preferred Shares on their respective redemption dates, at a redemption price equal to $25 per share plus an</w:t>
      </w:r>
    </w:p>
    <w:p>
      <w:pPr>
        <w:sectPr>
          <w:pgSz w:w="11900" w:h="16838" w:orient="portrait"/>
          <w:cols w:equalWidth="0" w:num="1">
            <w:col w:w="9019"/>
          </w:cols>
          <w:pgMar w:left="1440" w:top="274"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MANDATORILY REDEEMABLE PREFERRED STOCK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70" w:lineRule="auto"/>
        <w:rPr>
          <w:sz w:val="20"/>
          <w:szCs w:val="20"/>
          <w:color w:val="auto"/>
        </w:rPr>
      </w:pPr>
      <w:r>
        <w:rPr>
          <w:rFonts w:ascii="Arial" w:cs="Arial" w:eastAsia="Arial" w:hAnsi="Arial"/>
          <w:sz w:val="17"/>
          <w:szCs w:val="17"/>
          <w:color w:val="auto"/>
        </w:rPr>
        <w:t>amount equal to accumulated but unpaid dividends, if any, to the date of the redemption. OXLC cannot effect any amendment, alteration, or repeal of the Fund’s obligation to redeem all of the Term Preferred Shares without the prior unanimous vote or consent of the holders of such Term Preferred Shares. At any time on or after the optional redemption date, at the Fund’s sole option, the Fund may redeem the Term Preferred Shares at a redemption price per share equal to the sum of the $25 liquidation preference per share plus an amount equal to accumulated but unpaid dividends, if any, on such Term Preferred Shares. The Fund, with the authorization by the Board of Directors, may repurchase any of the Term Preferred Shares from time to time in the open market and effectively extinguish the debt. As of September 30, 2021, there were no accumulated but unpaid dividends on the Fund’s Term Preferred Shares.</w:t>
      </w:r>
    </w:p>
    <w:p>
      <w:pPr>
        <w:spacing w:after="0" w:line="11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April 15, 2021 (the “Series 2023 Redemption Date”), the Fund redeemed all of the outstanding Series 2023 Term Preferred Stock at a redemption price of $25 per share of Series 2023 Term Preferred Stock, plus an amount equal to all accrued and unpaid dividends and distributions on each share accumulated to (but excluding) the Series 2023 Redemption Date. Upon the redemption of the Series 2023 Term Preferred Stock, the Fund accelerated unamortized debt issuance costs of approximately $0.5 million, and unamortized discount of approximately $0.5 million into net realized loss on redemption of mandatorily redeemable preferred stock in the Statement of Operations.</w:t>
      </w:r>
    </w:p>
    <w:p>
      <w:pPr>
        <w:spacing w:after="0" w:line="11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On August 17, 2021, the Fund completed an underwritten public offering of 2,400,000 shares of its newly designated Series 2029 Shares at a public offering price of $25 per share, raising approximately $60.0 million in gross proceeds. The Fund also granted the underwriters a 30-day over-allotment option to purchase additional shares of its Series 2029 Shares on the same terms and conditions to cover over-allotments, if any. On August 24, 2021, under this 30-day over-allotment option, the Fund issued 286,900 shares, raising approximately $7.1 million in gross proceeds. The Series 2029 Shares are listed on the NASDAQ Global Select Market and trade under the symbol “OXLCO”.</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Fund’s Term Preferred Share activity for the six months ended September 30, 2021,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Series 2023</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Series 2024</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Series 2027</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Series 2029</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Term</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Preferred</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Preferred</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Preferred</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Preferred</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12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47"/>
        </w:trPr>
        <w:tc>
          <w:tcPr>
            <w:tcW w:w="2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73"/>
        </w:trPr>
        <w:tc>
          <w:tcPr>
            <w:tcW w:w="21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Shares outstanding at</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3"/>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March 31, 2021</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2,281,395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2,725,015</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3,524,806</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8,531,216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Shares issued</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2,686,900</w:t>
            </w:r>
          </w:p>
        </w:tc>
        <w:tc>
          <w:tcPr>
            <w:tcW w:w="1080" w:type="dxa"/>
            <w:vAlign w:val="bottom"/>
          </w:tcPr>
          <w:p>
            <w:pPr>
              <w:jc w:val="right"/>
              <w:spacing w:after="0"/>
              <w:rPr>
                <w:sz w:val="20"/>
                <w:szCs w:val="20"/>
                <w:color w:val="auto"/>
              </w:rPr>
            </w:pPr>
            <w:r>
              <w:rPr>
                <w:rFonts w:ascii="Arial" w:cs="Arial" w:eastAsia="Arial" w:hAnsi="Arial"/>
                <w:sz w:val="16"/>
                <w:szCs w:val="16"/>
                <w:color w:val="auto"/>
              </w:rPr>
              <w:t>2,686,900</w:t>
            </w:r>
          </w:p>
        </w:tc>
        <w:tc>
          <w:tcPr>
            <w:tcW w:w="160" w:type="dxa"/>
            <w:vAlign w:val="bottom"/>
          </w:tcPr>
          <w:p>
            <w:pPr>
              <w:spacing w:after="0"/>
              <w:rPr>
                <w:sz w:val="20"/>
                <w:szCs w:val="20"/>
                <w:color w:val="auto"/>
              </w:rPr>
            </w:pPr>
          </w:p>
        </w:tc>
      </w:tr>
      <w:tr>
        <w:trPr>
          <w:trHeight w:val="46"/>
        </w:trPr>
        <w:tc>
          <w:tcPr>
            <w:tcW w:w="2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Shares redeemed</w:t>
            </w:r>
            <w:r>
              <w:rPr>
                <w:rFonts w:ascii="Arial" w:cs="Arial" w:eastAsia="Arial" w:hAnsi="Arial"/>
                <w:sz w:val="21"/>
                <w:szCs w:val="21"/>
                <w:color w:val="auto"/>
                <w:vertAlign w:val="superscript"/>
              </w:rPr>
              <w:t>(1)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(2,281,395)</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(2,281,395)</w:t>
            </w:r>
          </w:p>
        </w:tc>
      </w:tr>
      <w:tr>
        <w:trPr>
          <w:trHeight w:val="173"/>
        </w:trPr>
        <w:tc>
          <w:tcPr>
            <w:tcW w:w="2120" w:type="dxa"/>
            <w:vAlign w:val="bottom"/>
          </w:tcPr>
          <w:p>
            <w:pPr>
              <w:spacing w:after="0" w:line="173" w:lineRule="exact"/>
              <w:rPr>
                <w:sz w:val="20"/>
                <w:szCs w:val="20"/>
                <w:color w:val="auto"/>
              </w:rPr>
            </w:pPr>
            <w:r>
              <w:rPr>
                <w:rFonts w:ascii="Arial" w:cs="Arial" w:eastAsia="Arial" w:hAnsi="Arial"/>
                <w:sz w:val="16"/>
                <w:szCs w:val="16"/>
                <w:color w:val="auto"/>
              </w:rPr>
              <w:t>Shares outstanding at</w:t>
            </w: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3"/>
        </w:trPr>
        <w:tc>
          <w:tcPr>
            <w:tcW w:w="2120" w:type="dxa"/>
            <w:vAlign w:val="bottom"/>
          </w:tcPr>
          <w:p>
            <w:pPr>
              <w:ind w:left="180"/>
              <w:spacing w:after="0"/>
              <w:rPr>
                <w:sz w:val="20"/>
                <w:szCs w:val="20"/>
                <w:color w:val="auto"/>
              </w:rPr>
            </w:pPr>
            <w:r>
              <w:rPr>
                <w:rFonts w:ascii="Arial" w:cs="Arial" w:eastAsia="Arial" w:hAnsi="Arial"/>
                <w:sz w:val="16"/>
                <w:szCs w:val="16"/>
                <w:color w:val="auto"/>
              </w:rPr>
              <w:t>September 30, 2021</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2,725,015</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3,524,806</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2,686,900</w:t>
            </w:r>
          </w:p>
        </w:tc>
        <w:tc>
          <w:tcPr>
            <w:tcW w:w="1080" w:type="dxa"/>
            <w:vAlign w:val="bottom"/>
          </w:tcPr>
          <w:p>
            <w:pPr>
              <w:jc w:val="right"/>
              <w:spacing w:after="0"/>
              <w:rPr>
                <w:sz w:val="20"/>
                <w:szCs w:val="20"/>
                <w:color w:val="auto"/>
              </w:rPr>
            </w:pPr>
            <w:r>
              <w:rPr>
                <w:rFonts w:ascii="Arial" w:cs="Arial" w:eastAsia="Arial" w:hAnsi="Arial"/>
                <w:sz w:val="16"/>
                <w:szCs w:val="16"/>
                <w:color w:val="auto"/>
              </w:rPr>
              <w:t>8,936,721</w:t>
            </w:r>
          </w:p>
        </w:tc>
        <w:tc>
          <w:tcPr>
            <w:tcW w:w="160" w:type="dxa"/>
            <w:vAlign w:val="bottom"/>
          </w:tcPr>
          <w:p>
            <w:pPr>
              <w:spacing w:after="0"/>
              <w:rPr>
                <w:sz w:val="20"/>
                <w:szCs w:val="20"/>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305" w:lineRule="auto"/>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 the Series 2023 Redemption Date, the Fund redeemed all of the outstanding Series 2023 Term Preferred Stock at a redemption price of $25 per share of Series 2023 Shares, plus an amount equal to all accrued and unpaid dividends and distributions on each share accumulated to (but excluding) the Series 2023 Redemption Date.</w:t>
      </w:r>
    </w:p>
    <w:p>
      <w:pPr>
        <w:spacing w:after="0" w:line="93"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8"/>
          <w:szCs w:val="18"/>
          <w:color w:val="auto"/>
        </w:rPr>
        <w:t>The Fund’s Term Preferred Share balances as of September 30, 2021, were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Series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Series 2027</w:t>
            </w: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Series 2029</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Term</w:t>
            </w: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Term</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Preferred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Preferred</w:t>
            </w: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Preferred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Shares</w:t>
            </w: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Principal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68,125,375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88,120,150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67,172,500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223,418,025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6"/>
                <w:szCs w:val="16"/>
                <w:color w:val="auto"/>
              </w:rPr>
              <w:t>Deferred issuance cost</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(916,194)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(2,334,066)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(2,268,512)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(5,518,772)</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Discount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Carrying value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67,209,181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85,786,084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64,903,988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217,899,253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Fair value</w:t>
            </w:r>
            <w:r>
              <w:rPr>
                <w:rFonts w:ascii="Arial" w:cs="Arial" w:eastAsia="Arial" w:hAnsi="Arial"/>
                <w:sz w:val="21"/>
                <w:szCs w:val="21"/>
                <w:color w:val="auto"/>
                <w:vertAlign w:val="superscript"/>
              </w:rPr>
              <w:t>(1)</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68,888,379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89,353,832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67,441,190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225,683,401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120" w:type="dxa"/>
            <w:vAlign w:val="bottom"/>
          </w:tcPr>
          <w:p>
            <w:pPr>
              <w:spacing w:after="0"/>
              <w:rPr>
                <w:sz w:val="20"/>
                <w:szCs w:val="20"/>
                <w:color w:val="auto"/>
              </w:rPr>
            </w:pPr>
            <w:r>
              <w:rPr>
                <w:rFonts w:ascii="Arial" w:cs="Arial" w:eastAsia="Arial" w:hAnsi="Arial"/>
                <w:sz w:val="16"/>
                <w:szCs w:val="16"/>
                <w:color w:val="auto"/>
              </w:rPr>
              <w:t>Fair value price per share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25.28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120" w:type="dxa"/>
            <w:vAlign w:val="bottom"/>
          </w:tcPr>
          <w:p>
            <w:pPr>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80" w:right="559" w:hanging="426"/>
        <w:spacing w:after="0" w:line="293"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September 30, 2021 closing market price per share of each respective series of Term Preferred Shares on the NASDAQ Global Select Market.</w:t>
      </w:r>
    </w:p>
    <w:p>
      <w:pPr>
        <w:sectPr>
          <w:pgSz w:w="11900" w:h="16838" w:orient="portrait"/>
          <w:cols w:equalWidth="0" w:num="1">
            <w:col w:w="9019"/>
          </w:cols>
          <w:pgMar w:left="1440" w:top="274" w:right="1440" w:bottom="804"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04"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MANDATORILY REDEEMABLE PREFERRED STOCK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terms of the Fund’s Term Preferred Share offerings are as set forth in the table below:</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Series 2024</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Series 2029</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Term</w:t>
            </w: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Series 2027</w:t>
            </w:r>
          </w:p>
        </w:tc>
        <w:tc>
          <w:tcPr>
            <w:tcW w:w="120" w:type="dxa"/>
            <w:vAlign w:val="bottom"/>
          </w:tcPr>
          <w:p>
            <w:pPr>
              <w:spacing w:after="0"/>
              <w:rPr>
                <w:sz w:val="17"/>
                <w:szCs w:val="17"/>
                <w:color w:val="auto"/>
              </w:rPr>
            </w:pPr>
          </w:p>
        </w:tc>
        <w:tc>
          <w:tcPr>
            <w:tcW w:w="1260" w:type="dxa"/>
            <w:vAlign w:val="bottom"/>
          </w:tcPr>
          <w:p>
            <w:pPr>
              <w:jc w:val="center"/>
              <w:ind w:right="34"/>
              <w:spacing w:after="0"/>
              <w:rPr>
                <w:sz w:val="20"/>
                <w:szCs w:val="20"/>
                <w:color w:val="auto"/>
              </w:rPr>
            </w:pPr>
            <w:r>
              <w:rPr>
                <w:rFonts w:ascii="Arial" w:cs="Arial" w:eastAsia="Arial" w:hAnsi="Arial"/>
                <w:sz w:val="16"/>
                <w:szCs w:val="16"/>
                <w:b w:val="1"/>
                <w:bCs w:val="1"/>
                <w:color w:val="auto"/>
                <w:w w:val="97"/>
              </w:rPr>
              <w:t>Term</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Term Preferred</w:t>
            </w:r>
          </w:p>
        </w:tc>
        <w:tc>
          <w:tcPr>
            <w:tcW w:w="120" w:type="dxa"/>
            <w:vAlign w:val="bottom"/>
          </w:tcPr>
          <w:p>
            <w:pPr>
              <w:spacing w:after="0"/>
              <w:rPr>
                <w:sz w:val="17"/>
                <w:szCs w:val="17"/>
                <w:color w:val="auto"/>
              </w:rPr>
            </w:pPr>
          </w:p>
        </w:tc>
        <w:tc>
          <w:tcPr>
            <w:tcW w:w="126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Preferred</w:t>
            </w: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260" w:type="dxa"/>
            <w:vAlign w:val="bottom"/>
          </w:tcPr>
          <w:p>
            <w:pPr>
              <w:jc w:val="center"/>
              <w:ind w:right="34"/>
              <w:spacing w:after="0"/>
              <w:rPr>
                <w:sz w:val="20"/>
                <w:szCs w:val="20"/>
                <w:color w:val="auto"/>
              </w:rPr>
            </w:pPr>
            <w:r>
              <w:rPr>
                <w:rFonts w:ascii="Arial" w:cs="Arial" w:eastAsia="Arial" w:hAnsi="Arial"/>
                <w:sz w:val="16"/>
                <w:szCs w:val="16"/>
                <w:b w:val="1"/>
                <w:bCs w:val="1"/>
                <w:color w:val="auto"/>
                <w:w w:val="86"/>
              </w:rPr>
              <w:t>Shares</w:t>
            </w:r>
          </w:p>
        </w:tc>
      </w:tr>
      <w:tr>
        <w:trPr>
          <w:trHeight w:val="46"/>
        </w:trPr>
        <w:tc>
          <w:tcPr>
            <w:tcW w:w="39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Term redemption date</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6"/>
              </w:rPr>
              <w:t>June 30, 2024</w:t>
            </w:r>
          </w:p>
        </w:tc>
        <w:tc>
          <w:tcPr>
            <w:tcW w:w="10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w w:val="95"/>
              </w:rPr>
              <w:t>February 28, 2027</w:t>
            </w:r>
          </w:p>
        </w:tc>
        <w:tc>
          <w:tcPr>
            <w:tcW w:w="12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1"/>
              </w:rPr>
              <w:t>August 31, 2029</w:t>
            </w:r>
          </w:p>
        </w:tc>
      </w:tr>
      <w:tr>
        <w:trPr>
          <w:trHeight w:val="40"/>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redemption price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Optional redemption date</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6"/>
              </w:rPr>
              <w:t>June 30, 2020</w:t>
            </w:r>
          </w:p>
        </w:tc>
        <w:tc>
          <w:tcPr>
            <w:tcW w:w="10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w w:val="95"/>
              </w:rPr>
              <w:t>February 28, 2023</w:t>
            </w:r>
          </w:p>
        </w:tc>
        <w:tc>
          <w:tcPr>
            <w:tcW w:w="12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1"/>
              </w:rPr>
              <w:t>August 31, 2024</w:t>
            </w:r>
          </w:p>
        </w:tc>
      </w:tr>
      <w:tr>
        <w:trPr>
          <w:trHeight w:val="41"/>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w:t>
            </w:r>
          </w:p>
        </w:tc>
      </w:tr>
      <w:tr>
        <w:trPr>
          <w:trHeight w:val="40"/>
        </w:trPr>
        <w:tc>
          <w:tcPr>
            <w:tcW w:w="3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3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Fund’s Term Preferred Shares had no accrued interest payable at September 30, 2021. Deferred issuance costs represent underwriting fees and other direct costs incurred that are related to the Fund’s Term Preferred Shares. As of September 30, 2021, OXLC had an unamortized deferred debt issuance cost balance of approximately $5.5 million related to the issuance of the Term Preferred Shares. This amount is amortized and is included in interest expense in the Statement of Operations over the term of the respective shares.</w:t>
      </w:r>
    </w:p>
    <w:p>
      <w:pPr>
        <w:spacing w:after="0" w:line="9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table below summarizes the components of interest expense, effective interest rates and cash paid on the Term Preferred Shares for the six months ended September 30,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Series 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Series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Series 2027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Series 2029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Term Preferred</w:t>
            </w: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Term Preferred</w:t>
            </w: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Term Preferred</w:t>
            </w:r>
          </w:p>
        </w:tc>
        <w:tc>
          <w:tcPr>
            <w:tcW w:w="10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Term Preferred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8"/>
                <w:szCs w:val="18"/>
                <w:b w:val="1"/>
                <w:bCs w:val="1"/>
                <w:color w:val="auto"/>
                <w:vertAlign w:val="superscript"/>
              </w:rPr>
              <w:t>(3)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68"/>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1"/>
              </w:rPr>
              <w:t>Stated interest expense</w:t>
            </w:r>
            <w:r>
              <w:rPr>
                <w:rFonts w:ascii="Arial" w:cs="Arial" w:eastAsia="Arial" w:hAnsi="Arial"/>
                <w:sz w:val="20"/>
                <w:szCs w:val="20"/>
                <w:color w:val="auto"/>
                <w:w w:val="91"/>
                <w:vertAlign w:val="superscript"/>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2,299,231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2,753,755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503,794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5,723,132</w:t>
            </w:r>
          </w:p>
        </w:tc>
        <w:tc>
          <w:tcPr>
            <w:tcW w:w="0" w:type="dxa"/>
            <w:vAlign w:val="bottom"/>
          </w:tcPr>
          <w:p>
            <w:pPr>
              <w:spacing w:after="0"/>
              <w:rPr>
                <w:sz w:val="1"/>
                <w:szCs w:val="1"/>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w w:val="97"/>
              </w:rPr>
              <w:t>Amortization of deferred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166,996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216,052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33,978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426,088</w:t>
            </w:r>
          </w:p>
        </w:tc>
        <w:tc>
          <w:tcPr>
            <w:tcW w:w="0" w:type="dxa"/>
            <w:vAlign w:val="bottom"/>
          </w:tcPr>
          <w:p>
            <w:pPr>
              <w:spacing w:after="0"/>
              <w:rPr>
                <w:sz w:val="1"/>
                <w:szCs w:val="1"/>
                <w:color w:val="auto"/>
              </w:rPr>
            </w:pPr>
          </w:p>
        </w:tc>
      </w:tr>
      <w:tr>
        <w:trPr>
          <w:trHeight w:val="40"/>
        </w:trPr>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expense</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185,201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2,466,227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2,969,807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537,772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6,159,007</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Effective interest rate</w:t>
            </w:r>
            <w:r>
              <w:rPr>
                <w:rFonts w:ascii="Arial" w:cs="Arial" w:eastAsia="Arial" w:hAnsi="Arial"/>
                <w:sz w:val="20"/>
                <w:szCs w:val="20"/>
                <w:color w:val="auto"/>
                <w:vertAlign w:val="superscript"/>
              </w:rPr>
              <w:t>(2)</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166,352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2,299,231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2,753,755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503,794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5,732,132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66"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Stated interest is composed of distributions declared and paid of approximately $5.7 million for the six months ended September 30, 2021.</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weighted average effective rate for each respective series of Term Preferred Shares.</w:t>
      </w:r>
    </w:p>
    <w:p>
      <w:pPr>
        <w:spacing w:after="0" w:line="18" w:lineRule="exact"/>
        <w:rPr>
          <w:rFonts w:ascii="Arial" w:cs="Arial" w:eastAsia="Arial" w:hAnsi="Arial"/>
          <w:sz w:val="16"/>
          <w:szCs w:val="16"/>
          <w:color w:val="auto"/>
        </w:rPr>
      </w:pPr>
    </w:p>
    <w:p>
      <w:pPr>
        <w:ind w:left="880" w:right="659" w:hanging="426"/>
        <w:spacing w:after="0" w:line="302"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On the Series 2023 Redemption Date, the Fund redeemed all of the outstanding Series 2023 Shares at a redemption price of $25 per share of Series 2023 Shares, plus an amount equal to all accrued and unpaid dividends and distributions on each share accumulated to (but excluding) the Series 2023 Redemption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BORROWINGS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BORROWINGS RELATED TO SECURITIES SOLD UNDER AGREEMENT TO REPURCHASE</w:t>
      </w:r>
    </w:p>
    <w:p>
      <w:pPr>
        <w:spacing w:after="0" w:line="16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On January 2, 2018, the Fund entered into a Master Repurchase Agreement (“MRA”) with Nomura Securities International, Inc. (“Nomura”). Pursuant to the MRA and a transaction confirmation, the Fund entered into a repurchase transaction (the “Repo”) with Nomura pursuant to which the Fund sold CLO securities to Nomura with a market value of approximately $106.2 million, at January 2, 2018, for a purchase price of approximately $42.5 million. At the end of the Repo term, the Fund is obligated to repurchase those securities from Nomura, and Nomura is obligated to sell the securities to the Fund, for the original purchase price of $42.5 million plus accrued but unpaid funding costs. The Repo had a nine-month term, from trade date, that could be extended by mutual agreement. The Repo has a funding cost of 3-month LIBOR plus 3.15 percent per annum, which may be adjusted in the event of an extension of the Repo term. On October 11, 2018, the MRA was amended and restated to extend the Repo term. Under this agreement, the term of the Repo was extended until July 2, 2019. On May 1, 2019, the Fund amended the Repo with Nomura to (i) extend the maturity date of the Repo from July 2, 2019 to January 2, 2020, and (ii) reduce the funding cost of the Repo from 3-month LIBOR plus 3.15% per annum to 3-month LIBOR plus 2.90% per annum effective as of July 2, 2019. The Repo was partially paid down on May 15, 2019 from $42,493,500 to $35,000,000. The partial pay down on May 15, 2019 occurred with the Fund purchasing the securities within the Repo from Nomura at a price of $42,493,500 and selling the same securities to Nomura at a price of $35,000,000, the net effect being a $7,493,500 pay down of the Repo. On August 15, 2019, the MRA was again amended to extend the maturity date of the Repo from January 2, 2020 to April 2, 2020. On November 4, 2019, in light of market conditions, the Fund elected to post additional collateral with a market value of approximately $8.2 million. On December 26, 2019, the Fund amended the MRA to extend the maturity date of the Repo from April 2, 2020 to October 2, 2020 and sold CLO securities to Nomura with a market value of approximately $50.0 million, resulting in an increase in the maximum facility size of the Repo from $35.0 million to $50.0 million. On March 17, 2020, in light of market conditions, the Fund elected to post additional collateral with a market value of approximately $20.9 million. In addition, the Repo was partially paid down on March 30, 2020 from $50,000,000 to $40,000,000. The Fund treats the transaction as a secured financing for financial reporting purposes in accordance with GAAP.</w:t>
      </w:r>
    </w:p>
    <w:p>
      <w:pPr>
        <w:spacing w:after="0" w:line="10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On May 15, 2020, the Fund elected, at its option, to repay and terminate the MRA. The Fund repurchased all of the previously sold CLO securities from Nomura at a repurchase price of $40.0 million plus accrued funding costs.</w:t>
      </w:r>
    </w:p>
    <w:p>
      <w:pPr>
        <w:spacing w:after="0" w:line="10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On October 18, 2019, the Fund entered into a $12.5 million repurchase transaction facility (the “Repo Facility”) with Nomura. Pursuant to the MRA and a transaction facility confirmation, the Fund was able to sell securities to Nomura from time to time with a corresponding repurchase obligation at an agreed-upon price 30 to 60 days after the sale date (“Reverse Repo Facility”). The Repo Facility has a funding cost of 1-month LIBOR plus 2.05% per annum for each Reverse Repo transaction and is subject to a facility fee of 0.85% per annum on the full $12.5 million facility amount. The Repo Facility expired on October 18, 2020. In accordance with the Repo Facility agreement, the Fund had the option to extend or terminate the Repo Facility. The Fund did not extend and has terminated the Repo Facility. The Fund accounted for these Reverse Repo transactions as secured financings for financial reporting purposes in accordance with GAAP. As of September 30, 2021, there was no outstanding principal, or securities sold under the Repo Facility. The Fund had no interest payable on undrawn fees as of September 30, 2021. The Fund had no interest expense for the six months ended September 30, 2021.</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BORROWINGS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PAYABLE — 6.75% UNSECURED NOTES DUE 2031</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March 16, 2021, the Fund completed an underwritten public offering, including the full exercise of the underwriters’ 30-day overallotment option, of approximately $100.0 million in aggregate principal amount of 6.75% Unsecured Notes (the “Notes”). The Notes will mature on March 31, 2031 and may be redeemed in whole or in part at any time or from time to time at the Fund’s option on or after March 16, 2024. The Notes bear interest at a rate of 6.75% per year payable quarterly on March 31, June 30, September 30, and December 31, of each year.</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aggregate accrued interest payable on the Notes as of September 30, 2021 was approximately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$19,000. As of September 30, 2021, the Fund had unamortized deferred debt issuance costs of approximately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 million, relating to the Notes. The deferred debt issuance costs are being amortized over the term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and are included in interest expense in the statement of operations. The effective annualized interest rate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September 30, 2021 was approximately 7.61%.</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PURCHASES, SALES AND REPAYMENTS OF SECURITIES</w:t>
      </w:r>
    </w:p>
    <w:p>
      <w:pPr>
        <w:spacing w:after="0" w:line="162"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During the six months ended September 30, 2021, purchases of securities totaled approximately $567.0 million including approximately $99.7 million of unsettled purchases. In addition, during the six months ended September 30, 2021, the Fund’s sales of securities totaled approximately $121.5 million including approximately $3.5 million of unsettled sales. The Fund had approximately $155.4 million in repayments, excluding short-term investments, during the six months ended September 30, 2021.</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48"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In the normal course of business, the Fund enters into a variety of undertakings containing a variety of warranties and indemnifications that may expose the Fund to some risk of loss. The risk of future loss arising from such undertakings, while not quantifiable, is expected to be remote.</w:t>
      </w:r>
    </w:p>
    <w:p>
      <w:pPr>
        <w:spacing w:after="0" w:line="11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As of September 30, 2021, the Fund had seven commitments related to Bighorn VI, Ltd Preference Warehouse Shares of approximately $17.3 million, CIFC Fenway warehouse, Ltd. Preference Warehouse Shares of approximately $6.8 million, Kings Park CLO, Ltd. subordinated notes of approximately $11.0 million, Madison Park Funding LII, Ltd. subordinated notes of approximately $5.0 million, Octagon 57, Ltd. subordinated notes of approximately $21.4 million, Regatta XXIII Funding Ltd. Preference Warehouse Shares of approximately $5.0 million, and Rockford Tower CLO 12, Ltd. subordinated notes of approximately $15.0 million.</w:t>
      </w:r>
    </w:p>
    <w:p>
      <w:pPr>
        <w:spacing w:after="0" w:line="127"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INDEMNIFICATION</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FINANCIAL HIGHLIGHTS</w:t>
      </w:r>
    </w:p>
    <w:p>
      <w:pPr>
        <w:spacing w:after="0" w:line="148" w:lineRule="exact"/>
        <w:rPr>
          <w:sz w:val="20"/>
          <w:szCs w:val="20"/>
          <w:color w:val="auto"/>
        </w:rPr>
      </w:pPr>
    </w:p>
    <w:p>
      <w:pPr>
        <w:ind w:left="460" w:right="1420" w:firstLine="432"/>
        <w:spacing w:after="0" w:line="277" w:lineRule="auto"/>
        <w:rPr>
          <w:sz w:val="20"/>
          <w:szCs w:val="20"/>
          <w:color w:val="auto"/>
        </w:rPr>
      </w:pPr>
      <w:r>
        <w:rPr>
          <w:rFonts w:ascii="Arial" w:cs="Arial" w:eastAsia="Arial" w:hAnsi="Arial"/>
          <w:sz w:val="18"/>
          <w:szCs w:val="18"/>
          <w:color w:val="auto"/>
        </w:rPr>
        <w:t>Financial highlights for the six months ended September 30, 2021 and years ended March 31, 2021, 2020, 2019, 2018, 2017, 2016, 2015, 2014, and 2013 are as follows:</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Six Months</w:t>
            </w:r>
          </w:p>
        </w:tc>
        <w:tc>
          <w:tcPr>
            <w:tcW w:w="12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Year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Year</w:t>
            </w:r>
          </w:p>
        </w:tc>
        <w:tc>
          <w:tcPr>
            <w:tcW w:w="1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Year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Year</w:t>
            </w:r>
          </w:p>
        </w:tc>
        <w:tc>
          <w:tcPr>
            <w:tcW w:w="8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Year</w:t>
            </w:r>
          </w:p>
        </w:tc>
        <w:tc>
          <w:tcPr>
            <w:tcW w:w="12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Year</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Ended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Ended</w:t>
            </w:r>
          </w:p>
        </w:tc>
        <w:tc>
          <w:tcPr>
            <w:tcW w:w="12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Ended</w:t>
            </w: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Ended</w:t>
            </w:r>
          </w:p>
        </w:tc>
        <w:tc>
          <w:tcPr>
            <w:tcW w:w="12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Ended</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March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March 31,</w:t>
            </w:r>
          </w:p>
        </w:tc>
        <w:tc>
          <w:tcPr>
            <w:tcW w:w="12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March 31,</w:t>
            </w:r>
          </w:p>
        </w:tc>
        <w:tc>
          <w:tcPr>
            <w:tcW w:w="12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March 31,</w:t>
            </w: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March 31,</w:t>
            </w:r>
          </w:p>
        </w:tc>
        <w:tc>
          <w:tcPr>
            <w:tcW w:w="12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March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March 31,</w:t>
            </w:r>
          </w:p>
        </w:tc>
        <w:tc>
          <w:tcPr>
            <w:tcW w:w="8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March 31,</w:t>
            </w:r>
          </w:p>
        </w:tc>
        <w:tc>
          <w:tcPr>
            <w:tcW w:w="12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March 31,</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left="57"/>
              <w:spacing w:after="0"/>
              <w:rPr>
                <w:sz w:val="20"/>
                <w:szCs w:val="20"/>
                <w:color w:val="auto"/>
              </w:rPr>
            </w:pPr>
            <w:r>
              <w:rPr>
                <w:rFonts w:ascii="Arial" w:cs="Arial" w:eastAsia="Arial" w:hAnsi="Arial"/>
                <w:sz w:val="13"/>
                <w:szCs w:val="13"/>
                <w:b w:val="1"/>
                <w:bCs w:val="1"/>
                <w:color w:val="auto"/>
                <w:w w:val="82"/>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left="17"/>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9"/>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b w:val="1"/>
                <w:bCs w:val="1"/>
                <w:color w:val="auto"/>
                <w:w w:val="86"/>
              </w:rPr>
              <w:t>Per Share Data</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20" w:type="dxa"/>
            <w:vAlign w:val="bottom"/>
            <w:gridSpan w:val="5"/>
          </w:tcPr>
          <w:p>
            <w:pPr>
              <w:spacing w:after="0" w:line="121" w:lineRule="exact"/>
              <w:rPr>
                <w:sz w:val="20"/>
                <w:szCs w:val="20"/>
                <w:color w:val="auto"/>
              </w:rPr>
            </w:pPr>
            <w:r>
              <w:rPr>
                <w:rFonts w:ascii="Arial" w:cs="Arial" w:eastAsia="Arial" w:hAnsi="Arial"/>
                <w:sz w:val="13"/>
                <w:szCs w:val="13"/>
                <w:color w:val="auto"/>
              </w:rPr>
              <w:t>Net asset value at</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3"/>
                <w:szCs w:val="13"/>
                <w:color w:val="auto"/>
              </w:rPr>
              <w:t>beginning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period/year</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5.94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3.58</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8.32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10.08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10.20</w:t>
            </w:r>
          </w:p>
        </w:tc>
        <w:tc>
          <w:tcPr>
            <w:tcW w:w="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7.04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14.08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16.26</w:t>
            </w: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16.20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17.05</w:t>
            </w:r>
          </w:p>
        </w:tc>
        <w:tc>
          <w:tcPr>
            <w:tcW w:w="0" w:type="dxa"/>
            <w:vAlign w:val="bottom"/>
          </w:tcPr>
          <w:p>
            <w:pPr>
              <w:spacing w:after="0"/>
              <w:rPr>
                <w:sz w:val="1"/>
                <w:szCs w:val="1"/>
                <w:color w:val="auto"/>
              </w:rPr>
            </w:pPr>
          </w:p>
        </w:tc>
      </w:tr>
      <w:tr>
        <w:trPr>
          <w:trHeight w:val="119"/>
        </w:trPr>
        <w:tc>
          <w:tcPr>
            <w:tcW w:w="1220" w:type="dxa"/>
            <w:vAlign w:val="bottom"/>
            <w:tcBorders>
              <w:top w:val="single" w:sz="8" w:color="CCEEFF"/>
            </w:tcBorders>
            <w:gridSpan w:val="5"/>
            <w:shd w:val="clear" w:color="auto" w:fill="CCEEFF"/>
          </w:tcPr>
          <w:p>
            <w:pPr>
              <w:spacing w:after="0" w:line="119" w:lineRule="exact"/>
              <w:rPr>
                <w:sz w:val="20"/>
                <w:szCs w:val="20"/>
                <w:color w:val="auto"/>
              </w:rPr>
            </w:pPr>
            <w:r>
              <w:rPr>
                <w:rFonts w:ascii="Arial" w:cs="Arial" w:eastAsia="Arial" w:hAnsi="Arial"/>
                <w:sz w:val="13"/>
                <w:szCs w:val="13"/>
                <w:color w:val="auto"/>
              </w:rPr>
              <w:t>Net investment</w:t>
            </w: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income</w:t>
            </w:r>
            <w:r>
              <w:rPr>
                <w:rFonts w:ascii="Arial" w:cs="Arial" w:eastAsia="Arial" w:hAnsi="Arial"/>
                <w:sz w:val="14"/>
                <w:szCs w:val="14"/>
                <w:color w:val="auto"/>
                <w:vertAlign w:val="superscript"/>
              </w:rPr>
              <w:t>(1)</w:t>
            </w:r>
          </w:p>
        </w:tc>
        <w:tc>
          <w:tcPr>
            <w:tcW w:w="12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0.48</w:t>
            </w: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1.41</w:t>
            </w: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21"/>
        </w:trPr>
        <w:tc>
          <w:tcPr>
            <w:tcW w:w="1220" w:type="dxa"/>
            <w:vAlign w:val="bottom"/>
            <w:gridSpan w:val="5"/>
          </w:tcPr>
          <w:p>
            <w:pPr>
              <w:spacing w:after="0" w:line="121" w:lineRule="exact"/>
              <w:rPr>
                <w:sz w:val="20"/>
                <w:szCs w:val="20"/>
                <w:color w:val="auto"/>
              </w:rPr>
            </w:pPr>
            <w:r>
              <w:rPr>
                <w:rFonts w:ascii="Arial" w:cs="Arial" w:eastAsia="Arial" w:hAnsi="Arial"/>
                <w:sz w:val="13"/>
                <w:szCs w:val="13"/>
                <w:color w:val="auto"/>
              </w:rPr>
              <w:t>Net realized and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040" w:type="dxa"/>
            <w:vAlign w:val="bottom"/>
            <w:gridSpan w:val="4"/>
          </w:tcPr>
          <w:p>
            <w:pPr>
              <w:spacing w:after="0" w:line="147" w:lineRule="exact"/>
              <w:rPr>
                <w:sz w:val="20"/>
                <w:szCs w:val="20"/>
                <w:color w:val="auto"/>
              </w:rPr>
            </w:pPr>
            <w:r>
              <w:rPr>
                <w:rFonts w:ascii="Arial" w:cs="Arial" w:eastAsia="Arial" w:hAnsi="Arial"/>
                <w:sz w:val="13"/>
                <w:szCs w:val="13"/>
                <w:color w:val="auto"/>
              </w:rPr>
              <w:t>unrealized gains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(losses)</w:t>
            </w:r>
            <w:r>
              <w:rPr>
                <w:rFonts w:ascii="Arial" w:cs="Arial" w:eastAsia="Arial" w:hAnsi="Arial"/>
                <w:sz w:val="14"/>
                <w:szCs w:val="14"/>
                <w:color w:val="auto"/>
                <w:vertAlign w:val="superscript"/>
              </w:rPr>
              <w:t>(2)</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0.83</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(0.12)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(6.28)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07"/>
        </w:trPr>
        <w:tc>
          <w:tcPr>
            <w:tcW w:w="1220" w:type="dxa"/>
            <w:vAlign w:val="bottom"/>
            <w:tcBorders>
              <w:top w:val="single" w:sz="8" w:color="CCEEFF"/>
            </w:tcBorders>
            <w:gridSpan w:val="5"/>
            <w:shd w:val="clear" w:color="auto" w:fill="CCEEFF"/>
          </w:tcPr>
          <w:p>
            <w:pPr>
              <w:spacing w:after="0" w:line="107" w:lineRule="exact"/>
              <w:rPr>
                <w:sz w:val="20"/>
                <w:szCs w:val="20"/>
                <w:color w:val="auto"/>
              </w:rPr>
            </w:pPr>
            <w:r>
              <w:rPr>
                <w:rFonts w:ascii="Arial" w:cs="Arial" w:eastAsia="Arial" w:hAnsi="Arial"/>
                <w:sz w:val="12"/>
                <w:szCs w:val="12"/>
                <w:color w:val="auto"/>
              </w:rPr>
              <w:t>Total from investment</w:t>
            </w: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operations</w:t>
            </w:r>
          </w:p>
        </w:tc>
        <w:tc>
          <w:tcPr>
            <w:tcW w:w="12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1.31</w:t>
            </w:r>
          </w:p>
        </w:tc>
        <w:tc>
          <w:tcPr>
            <w:tcW w:w="12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(4.14)</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(0.51)</w:t>
            </w: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5.41</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w:t>
            </w: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101"/>
        </w:trPr>
        <w:tc>
          <w:tcPr>
            <w:tcW w:w="1220" w:type="dxa"/>
            <w:vAlign w:val="bottom"/>
            <w:gridSpan w:val="5"/>
          </w:tcPr>
          <w:p>
            <w:pPr>
              <w:spacing w:after="0" w:line="101" w:lineRule="exact"/>
              <w:rPr>
                <w:sz w:val="20"/>
                <w:szCs w:val="20"/>
                <w:color w:val="auto"/>
              </w:rPr>
            </w:pPr>
            <w:r>
              <w:rPr>
                <w:rFonts w:ascii="Arial" w:cs="Arial" w:eastAsia="Arial" w:hAnsi="Arial"/>
                <w:sz w:val="10"/>
                <w:szCs w:val="10"/>
                <w:color w:val="auto"/>
              </w:rPr>
              <w:t>Distributions per share</w:t>
            </w: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040" w:type="dxa"/>
            <w:vAlign w:val="bottom"/>
            <w:gridSpan w:val="4"/>
          </w:tcPr>
          <w:p>
            <w:pPr>
              <w:spacing w:after="0" w:line="147" w:lineRule="exact"/>
              <w:rPr>
                <w:sz w:val="20"/>
                <w:szCs w:val="20"/>
                <w:color w:val="auto"/>
              </w:rPr>
            </w:pPr>
            <w:r>
              <w:rPr>
                <w:rFonts w:ascii="Arial" w:cs="Arial" w:eastAsia="Arial" w:hAnsi="Arial"/>
                <w:sz w:val="13"/>
                <w:szCs w:val="13"/>
                <w:color w:val="auto"/>
              </w:rPr>
              <w:t>of net investment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income</w:t>
            </w:r>
            <w:r>
              <w:rPr>
                <w:rFonts w:ascii="Arial" w:cs="Arial" w:eastAsia="Arial" w:hAnsi="Arial"/>
                <w:sz w:val="14"/>
                <w:szCs w:val="14"/>
                <w:color w:val="auto"/>
                <w:vertAlign w:val="superscript"/>
              </w:rPr>
              <w:t>(3)</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(0.34)</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(0.99)</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(1.36)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(2.40)</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(2.44)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0"/>
        </w:trPr>
        <w:tc>
          <w:tcPr>
            <w:tcW w:w="122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color w:val="auto"/>
                <w:w w:val="92"/>
              </w:rPr>
              <w:t>Distributions per share</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spacing w:after="0" w:line="147" w:lineRule="exact"/>
              <w:rPr>
                <w:sz w:val="20"/>
                <w:szCs w:val="20"/>
                <w:color w:val="auto"/>
              </w:rPr>
            </w:pPr>
            <w:r>
              <w:rPr>
                <w:rFonts w:ascii="Arial" w:cs="Arial" w:eastAsia="Arial" w:hAnsi="Arial"/>
                <w:sz w:val="13"/>
                <w:szCs w:val="13"/>
                <w:color w:val="auto"/>
                <w:w w:val="98"/>
              </w:rPr>
              <w:t>from realized gain</w:t>
            </w: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on investments</w:t>
            </w:r>
            <w:r>
              <w:rPr>
                <w:rFonts w:ascii="Arial" w:cs="Arial" w:eastAsia="Arial" w:hAnsi="Arial"/>
                <w:sz w:val="14"/>
                <w:szCs w:val="14"/>
                <w:color w:val="auto"/>
                <w:vertAlign w:val="superscript"/>
              </w:rPr>
              <w:t>(3)</w:t>
            </w:r>
          </w:p>
        </w:tc>
        <w:tc>
          <w:tcPr>
            <w:tcW w:w="12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(0.38)</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32"/>
        </w:trPr>
        <w:tc>
          <w:tcPr>
            <w:tcW w:w="1220" w:type="dxa"/>
            <w:vAlign w:val="bottom"/>
            <w:gridSpan w:val="5"/>
          </w:tcPr>
          <w:p>
            <w:pPr>
              <w:spacing w:after="0" w:line="133" w:lineRule="exact"/>
              <w:rPr>
                <w:sz w:val="20"/>
                <w:szCs w:val="20"/>
                <w:color w:val="auto"/>
              </w:rPr>
            </w:pPr>
            <w:r>
              <w:rPr>
                <w:rFonts w:ascii="Arial" w:cs="Arial" w:eastAsia="Arial" w:hAnsi="Arial"/>
                <w:sz w:val="13"/>
                <w:szCs w:val="13"/>
                <w:color w:val="auto"/>
                <w:w w:val="97"/>
              </w:rPr>
              <w:t>Distributions of return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of capital</w:t>
            </w:r>
            <w:r>
              <w:rPr>
                <w:rFonts w:ascii="Arial" w:cs="Arial" w:eastAsia="Arial" w:hAnsi="Arial"/>
                <w:sz w:val="14"/>
                <w:szCs w:val="14"/>
                <w:color w:val="auto"/>
                <w:vertAlign w:val="superscript"/>
              </w:rPr>
              <w:t>(3)</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(0.07)</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(0.42)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(0.63)</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(0.25)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22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color w:val="auto"/>
                <w:w w:val="92"/>
              </w:rPr>
              <w:t>Distributions per share</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3"/>
              </w:rPr>
              <w:t>based on weighted</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spacing w:after="0" w:line="147" w:lineRule="exact"/>
              <w:rPr>
                <w:sz w:val="20"/>
                <w:szCs w:val="20"/>
                <w:color w:val="auto"/>
              </w:rPr>
            </w:pPr>
            <w:r>
              <w:rPr>
                <w:rFonts w:ascii="Arial" w:cs="Arial" w:eastAsia="Arial" w:hAnsi="Arial"/>
                <w:sz w:val="13"/>
                <w:szCs w:val="13"/>
                <w:color w:val="auto"/>
              </w:rPr>
              <w:t>average share</w:t>
            </w: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impact</w:t>
            </w:r>
            <w:r>
              <w:rPr>
                <w:rFonts w:ascii="Arial" w:cs="Arial" w:eastAsia="Arial" w:hAnsi="Arial"/>
                <w:sz w:val="14"/>
                <w:szCs w:val="14"/>
                <w:color w:val="auto"/>
                <w:vertAlign w:val="superscript"/>
              </w:rPr>
              <w:t>(3)</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(0.09)</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(0.51)</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20"/>
        </w:trPr>
        <w:tc>
          <w:tcPr>
            <w:tcW w:w="1220" w:type="dxa"/>
            <w:vAlign w:val="bottom"/>
            <w:gridSpan w:val="5"/>
            <w:vMerge w:val="restart"/>
          </w:tcPr>
          <w:p>
            <w:pPr>
              <w:spacing w:after="0"/>
              <w:rPr>
                <w:sz w:val="20"/>
                <w:szCs w:val="20"/>
                <w:color w:val="auto"/>
              </w:rPr>
            </w:pPr>
            <w:r>
              <w:rPr>
                <w:rFonts w:ascii="Arial" w:cs="Arial" w:eastAsia="Arial" w:hAnsi="Arial"/>
                <w:sz w:val="13"/>
                <w:szCs w:val="13"/>
                <w:color w:val="auto"/>
              </w:rPr>
              <w:t>Total distributions</w:t>
            </w:r>
            <w:r>
              <w:rPr>
                <w:rFonts w:ascii="Arial" w:cs="Arial" w:eastAsia="Arial" w:hAnsi="Arial"/>
                <w:sz w:val="14"/>
                <w:szCs w:val="14"/>
                <w:color w:val="auto"/>
                <w:vertAlign w:val="superscript"/>
              </w:rPr>
              <w:t>(3)</w:t>
            </w:r>
          </w:p>
        </w:tc>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20" w:type="dxa"/>
            <w:vAlign w:val="bottom"/>
            <w:gridSpan w:val="5"/>
            <w:vMerge w:val="continue"/>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(0.99)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(1.66)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(2.50)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(2.42)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07"/>
        </w:trPr>
        <w:tc>
          <w:tcPr>
            <w:tcW w:w="1220" w:type="dxa"/>
            <w:vAlign w:val="bottom"/>
            <w:tcBorders>
              <w:top w:val="single" w:sz="8" w:color="CCEEFF"/>
            </w:tcBorders>
            <w:gridSpan w:val="5"/>
            <w:shd w:val="clear" w:color="auto" w:fill="CCEEFF"/>
          </w:tcPr>
          <w:p>
            <w:pPr>
              <w:spacing w:after="0" w:line="107" w:lineRule="exact"/>
              <w:rPr>
                <w:sz w:val="20"/>
                <w:szCs w:val="20"/>
                <w:color w:val="auto"/>
              </w:rPr>
            </w:pPr>
            <w:r>
              <w:rPr>
                <w:rFonts w:ascii="Arial" w:cs="Arial" w:eastAsia="Arial" w:hAnsi="Arial"/>
                <w:sz w:val="12"/>
                <w:szCs w:val="12"/>
                <w:color w:val="auto"/>
              </w:rPr>
              <w:t>Effect of shares</w:t>
            </w: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87"/>
              </w:rPr>
              <w:t>issued/repurchased,</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5"/>
              </w:rPr>
              <w:t>net of underwriting</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expense</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0.13</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0.21</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0.40</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0.06</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0.25</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0.11</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0.02</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(0.13)</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21"/>
        </w:trPr>
        <w:tc>
          <w:tcPr>
            <w:tcW w:w="1220" w:type="dxa"/>
            <w:vAlign w:val="bottom"/>
            <w:gridSpan w:val="5"/>
          </w:tcPr>
          <w:p>
            <w:pPr>
              <w:spacing w:after="0" w:line="121" w:lineRule="exact"/>
              <w:rPr>
                <w:sz w:val="20"/>
                <w:szCs w:val="20"/>
                <w:color w:val="auto"/>
              </w:rPr>
            </w:pPr>
            <w:r>
              <w:rPr>
                <w:rFonts w:ascii="Arial" w:cs="Arial" w:eastAsia="Arial" w:hAnsi="Arial"/>
                <w:sz w:val="13"/>
                <w:szCs w:val="13"/>
                <w:color w:val="auto"/>
              </w:rPr>
              <w:t>Effect of offering</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(0.01)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107"/>
        </w:trPr>
        <w:tc>
          <w:tcPr>
            <w:tcW w:w="1220" w:type="dxa"/>
            <w:vAlign w:val="bottom"/>
            <w:tcBorders>
              <w:top w:val="single" w:sz="8" w:color="CCEEFF"/>
            </w:tcBorders>
            <w:gridSpan w:val="5"/>
            <w:shd w:val="clear" w:color="auto" w:fill="CCEEFF"/>
          </w:tcPr>
          <w:p>
            <w:pPr>
              <w:spacing w:after="0" w:line="107" w:lineRule="exact"/>
              <w:rPr>
                <w:sz w:val="20"/>
                <w:szCs w:val="20"/>
                <w:color w:val="auto"/>
              </w:rPr>
            </w:pPr>
            <w:r>
              <w:rPr>
                <w:rFonts w:ascii="Arial" w:cs="Arial" w:eastAsia="Arial" w:hAnsi="Arial"/>
                <w:sz w:val="12"/>
                <w:szCs w:val="12"/>
                <w:color w:val="auto"/>
              </w:rPr>
              <w:t>Effect of shares</w:t>
            </w: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87"/>
              </w:rPr>
              <w:t>issued/repurchased,</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net</w:t>
            </w:r>
          </w:p>
        </w:tc>
        <w:tc>
          <w:tcPr>
            <w:tcW w:w="12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0.13</w:t>
            </w:r>
          </w:p>
        </w:tc>
        <w:tc>
          <w:tcPr>
            <w:tcW w:w="12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0.39</w:t>
            </w: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0.24</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(0.17)</w:t>
            </w: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01"/>
        </w:trPr>
        <w:tc>
          <w:tcPr>
            <w:tcW w:w="1220" w:type="dxa"/>
            <w:vAlign w:val="bottom"/>
            <w:gridSpan w:val="5"/>
          </w:tcPr>
          <w:p>
            <w:pPr>
              <w:spacing w:after="0" w:line="101" w:lineRule="exact"/>
              <w:rPr>
                <w:sz w:val="20"/>
                <w:szCs w:val="20"/>
                <w:color w:val="auto"/>
              </w:rPr>
            </w:pPr>
            <w:r>
              <w:rPr>
                <w:rFonts w:ascii="Arial" w:cs="Arial" w:eastAsia="Arial" w:hAnsi="Arial"/>
                <w:sz w:val="10"/>
                <w:szCs w:val="10"/>
                <w:color w:val="auto"/>
              </w:rPr>
              <w:t>Net asset value at end</w:t>
            </w: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of period/year</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6.97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5.94</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3.58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8.32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10.08</w:t>
            </w:r>
          </w:p>
        </w:tc>
        <w:tc>
          <w:tcPr>
            <w:tcW w:w="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10.20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7.04</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14.08</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16.26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16.20</w:t>
            </w:r>
          </w:p>
        </w:tc>
        <w:tc>
          <w:tcPr>
            <w:tcW w:w="0" w:type="dxa"/>
            <w:vAlign w:val="bottom"/>
          </w:tcPr>
          <w:p>
            <w:pPr>
              <w:spacing w:after="0"/>
              <w:rPr>
                <w:sz w:val="1"/>
                <w:szCs w:val="1"/>
                <w:color w:val="auto"/>
              </w:rPr>
            </w:pPr>
          </w:p>
        </w:tc>
      </w:tr>
      <w:tr>
        <w:trPr>
          <w:trHeight w:val="76"/>
        </w:trPr>
        <w:tc>
          <w:tcPr>
            <w:tcW w:w="1220" w:type="dxa"/>
            <w:vAlign w:val="bottom"/>
            <w:tcBorders>
              <w:top w:val="single" w:sz="8" w:color="CCEEFF"/>
            </w:tcBorders>
            <w:gridSpan w:val="5"/>
            <w:shd w:val="clear" w:color="auto" w:fill="CCEEFF"/>
          </w:tcPr>
          <w:p>
            <w:pPr>
              <w:spacing w:after="0" w:line="76" w:lineRule="exact"/>
              <w:rPr>
                <w:sz w:val="20"/>
                <w:szCs w:val="20"/>
                <w:color w:val="auto"/>
              </w:rPr>
            </w:pPr>
            <w:r>
              <w:rPr>
                <w:rFonts w:ascii="Arial" w:cs="Arial" w:eastAsia="Arial" w:hAnsi="Arial"/>
                <w:sz w:val="8"/>
                <w:szCs w:val="8"/>
                <w:color w:val="auto"/>
              </w:rPr>
              <w:t>Per share market</w:t>
            </w: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6"/>
              </w:rPr>
              <w:t>value at beginning</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of period/year</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6.30</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4.17</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9.84</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10.13</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11.13</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8.45</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14.82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16.70</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15.98</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14.60</w:t>
            </w:r>
          </w:p>
        </w:tc>
        <w:tc>
          <w:tcPr>
            <w:tcW w:w="0" w:type="dxa"/>
            <w:vAlign w:val="bottom"/>
          </w:tcPr>
          <w:p>
            <w:pPr>
              <w:spacing w:after="0"/>
              <w:rPr>
                <w:sz w:val="1"/>
                <w:szCs w:val="1"/>
                <w:color w:val="auto"/>
              </w:rPr>
            </w:pPr>
          </w:p>
        </w:tc>
      </w:tr>
      <w:tr>
        <w:trPr>
          <w:trHeight w:val="121"/>
        </w:trPr>
        <w:tc>
          <w:tcPr>
            <w:tcW w:w="1220" w:type="dxa"/>
            <w:vAlign w:val="bottom"/>
            <w:gridSpan w:val="5"/>
          </w:tcPr>
          <w:p>
            <w:pPr>
              <w:spacing w:after="0" w:line="121" w:lineRule="exact"/>
              <w:rPr>
                <w:sz w:val="20"/>
                <w:szCs w:val="20"/>
                <w:color w:val="auto"/>
              </w:rPr>
            </w:pPr>
            <w:r>
              <w:rPr>
                <w:rFonts w:ascii="Arial" w:cs="Arial" w:eastAsia="Arial" w:hAnsi="Arial"/>
                <w:sz w:val="13"/>
                <w:szCs w:val="13"/>
                <w:color w:val="auto"/>
                <w:w w:val="89"/>
              </w:rPr>
              <w:t>Per share market value</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3"/>
                <w:szCs w:val="13"/>
                <w:color w:val="auto"/>
              </w:rPr>
              <w:t>at end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period/year</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7.21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6.30</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4.17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9.84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10.13</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11.13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8.45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14.82</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16.70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15.98</w:t>
            </w: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20" w:type="dxa"/>
            <w:vAlign w:val="bottom"/>
            <w:gridSpan w:val="5"/>
            <w:shd w:val="clear" w:color="auto" w:fill="CCEEFF"/>
          </w:tcPr>
          <w:p>
            <w:pPr>
              <w:spacing w:after="0" w:line="133" w:lineRule="exact"/>
              <w:rPr>
                <w:sz w:val="20"/>
                <w:szCs w:val="20"/>
                <w:color w:val="auto"/>
              </w:rPr>
            </w:pPr>
            <w:r>
              <w:rPr>
                <w:rFonts w:ascii="Arial" w:cs="Arial" w:eastAsia="Arial" w:hAnsi="Arial"/>
                <w:sz w:val="13"/>
                <w:szCs w:val="13"/>
                <w:color w:val="auto"/>
                <w:w w:val="97"/>
              </w:rPr>
              <w:t>Total return based on</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market value</w:t>
            </w:r>
            <w:r>
              <w:rPr>
                <w:rFonts w:ascii="Arial" w:cs="Arial" w:eastAsia="Arial" w:hAnsi="Arial"/>
                <w:sz w:val="14"/>
                <w:szCs w:val="14"/>
                <w:color w:val="auto"/>
                <w:vertAlign w:val="superscript"/>
              </w:rPr>
              <w:t>(4)</w:t>
            </w:r>
          </w:p>
        </w:tc>
        <w:tc>
          <w:tcPr>
            <w:tcW w:w="12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21.15%</w:t>
            </w: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87.87%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(48.71)%</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13.47%</w:t>
            </w: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66.38%</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26.21%</w:t>
            </w:r>
          </w:p>
        </w:tc>
        <w:tc>
          <w:tcPr>
            <w:tcW w:w="0" w:type="dxa"/>
            <w:vAlign w:val="bottom"/>
          </w:tcPr>
          <w:p>
            <w:pPr>
              <w:spacing w:after="0"/>
              <w:rPr>
                <w:sz w:val="1"/>
                <w:szCs w:val="1"/>
                <w:color w:val="auto"/>
              </w:rPr>
            </w:pPr>
          </w:p>
        </w:tc>
      </w:tr>
      <w:tr>
        <w:trPr>
          <w:trHeight w:val="132"/>
        </w:trPr>
        <w:tc>
          <w:tcPr>
            <w:tcW w:w="1220" w:type="dxa"/>
            <w:vAlign w:val="bottom"/>
            <w:gridSpan w:val="5"/>
          </w:tcPr>
          <w:p>
            <w:pPr>
              <w:spacing w:after="0" w:line="133" w:lineRule="exact"/>
              <w:rPr>
                <w:sz w:val="20"/>
                <w:szCs w:val="20"/>
                <w:color w:val="auto"/>
              </w:rPr>
            </w:pPr>
            <w:r>
              <w:rPr>
                <w:rFonts w:ascii="Arial" w:cs="Arial" w:eastAsia="Arial" w:hAnsi="Arial"/>
                <w:sz w:val="13"/>
                <w:szCs w:val="13"/>
                <w:color w:val="auto"/>
                <w:w w:val="97"/>
              </w:rPr>
              <w:t>Total return based 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net asset value</w:t>
            </w:r>
            <w:r>
              <w:rPr>
                <w:rFonts w:ascii="Arial" w:cs="Arial" w:eastAsia="Arial" w:hAnsi="Arial"/>
                <w:sz w:val="14"/>
                <w:szCs w:val="14"/>
                <w:color w:val="auto"/>
                <w:vertAlign w:val="superscript"/>
              </w:rPr>
              <w:t>(5)</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24.16%</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94.20%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(37.50)%</w:t>
            </w: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14.56%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78.98%</w:t>
            </w: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1.35%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14.88%</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30"/>
        </w:trPr>
        <w:tc>
          <w:tcPr>
            <w:tcW w:w="122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color w:val="auto"/>
              </w:rPr>
              <w:t>Shares outstanding</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at end of</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period/year</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117,597,381</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5"/>
              </w:rPr>
              <w:t>100,452,835</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75,183,153</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42,547,801</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28,768,899</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22,751,432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2"/>
              </w:rPr>
              <w:t>18,751,696</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15,972,381</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15,240,729</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7,602,719</w:t>
            </w: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20" w:type="dxa"/>
            <w:vAlign w:val="bottom"/>
            <w:gridSpan w:val="5"/>
            <w:shd w:val="clear" w:color="auto" w:fill="CCEEFF"/>
          </w:tcPr>
          <w:p>
            <w:pPr>
              <w:spacing w:after="0" w:line="122" w:lineRule="exact"/>
              <w:rPr>
                <w:sz w:val="20"/>
                <w:szCs w:val="20"/>
                <w:color w:val="auto"/>
              </w:rPr>
            </w:pPr>
            <w:r>
              <w:rPr>
                <w:rFonts w:ascii="Arial" w:cs="Arial" w:eastAsia="Arial" w:hAnsi="Arial"/>
                <w:sz w:val="13"/>
                <w:szCs w:val="13"/>
                <w:b w:val="1"/>
                <w:bCs w:val="1"/>
                <w:color w:val="auto"/>
                <w:w w:val="93"/>
              </w:rPr>
              <w:t>Ratios/Supplemental</w:t>
            </w: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5"/>
              </w:rPr>
              <w:t>Data</w:t>
            </w:r>
          </w:p>
        </w:tc>
        <w:tc>
          <w:tcPr>
            <w:tcW w:w="68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20" w:type="dxa"/>
            <w:vAlign w:val="bottom"/>
            <w:gridSpan w:val="5"/>
          </w:tcPr>
          <w:p>
            <w:pPr>
              <w:spacing w:after="0" w:line="121" w:lineRule="exact"/>
              <w:rPr>
                <w:sz w:val="20"/>
                <w:szCs w:val="20"/>
                <w:color w:val="auto"/>
              </w:rPr>
            </w:pPr>
            <w:r>
              <w:rPr>
                <w:rFonts w:ascii="Arial" w:cs="Arial" w:eastAsia="Arial" w:hAnsi="Arial"/>
                <w:sz w:val="13"/>
                <w:szCs w:val="13"/>
                <w:color w:val="auto"/>
              </w:rPr>
              <w:t>Net assets at end of</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year (000’s)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819,630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596,254</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268,788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353,832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289,930</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232,048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131,950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224,933</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247,829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123,140</w:t>
            </w: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Average net assets</w:t>
            </w: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(000’s)</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702,156</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419,391</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314,446</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315,037</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254,893</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173,005</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185,211</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239,703</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154,112</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100,481</w:t>
            </w:r>
          </w:p>
        </w:tc>
        <w:tc>
          <w:tcPr>
            <w:tcW w:w="0" w:type="dxa"/>
            <w:vAlign w:val="bottom"/>
          </w:tcPr>
          <w:p>
            <w:pPr>
              <w:spacing w:after="0"/>
              <w:rPr>
                <w:sz w:val="1"/>
                <w:szCs w:val="1"/>
                <w:color w:val="auto"/>
              </w:rPr>
            </w:pPr>
          </w:p>
        </w:tc>
      </w:tr>
      <w:tr>
        <w:trPr>
          <w:trHeight w:val="121"/>
        </w:trPr>
        <w:tc>
          <w:tcPr>
            <w:tcW w:w="1220" w:type="dxa"/>
            <w:vAlign w:val="bottom"/>
            <w:gridSpan w:val="5"/>
          </w:tcPr>
          <w:p>
            <w:pPr>
              <w:spacing w:after="0" w:line="121" w:lineRule="exact"/>
              <w:rPr>
                <w:sz w:val="20"/>
                <w:szCs w:val="20"/>
                <w:color w:val="auto"/>
              </w:rPr>
            </w:pPr>
            <w:r>
              <w:rPr>
                <w:rFonts w:ascii="Arial" w:cs="Arial" w:eastAsia="Arial" w:hAnsi="Arial"/>
                <w:sz w:val="13"/>
                <w:szCs w:val="13"/>
                <w:color w:val="auto"/>
              </w:rPr>
              <w:t>Ratio of net</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3"/>
                <w:szCs w:val="13"/>
                <w:color w:val="auto"/>
                <w:w w:val="94"/>
              </w:rPr>
              <w:t>investment income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3"/>
                <w:szCs w:val="13"/>
                <w:color w:val="auto"/>
                <w:w w:val="89"/>
              </w:rPr>
              <w:t>to average daily net</w:t>
            </w:r>
          </w:p>
        </w:tc>
        <w:tc>
          <w:tcPr>
            <w:tcW w:w="12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14.84%</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18.22%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23.20%</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15.58%</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15.83%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17.78%</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15.57%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8.88%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6.55%</w:t>
            </w:r>
          </w:p>
        </w:tc>
        <w:tc>
          <w:tcPr>
            <w:tcW w:w="12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30"/>
        </w:trPr>
        <w:tc>
          <w:tcPr>
            <w:tcW w:w="122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color w:val="auto"/>
              </w:rPr>
              <w:t>Ratio of expenses to</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average daily net</w:t>
            </w: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9.92%</w:t>
            </w:r>
            <w:r>
              <w:rPr>
                <w:rFonts w:ascii="Arial" w:cs="Arial" w:eastAsia="Arial" w:hAnsi="Arial"/>
                <w:sz w:val="14"/>
                <w:szCs w:val="14"/>
                <w:color w:val="auto"/>
                <w:vertAlign w:val="superscript"/>
              </w:rPr>
              <w:t>(7)</w:t>
            </w: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15.65%</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12.80%</w:t>
            </w: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32"/>
        </w:trPr>
        <w:tc>
          <w:tcPr>
            <w:tcW w:w="1220" w:type="dxa"/>
            <w:vAlign w:val="bottom"/>
            <w:gridSpan w:val="5"/>
          </w:tcPr>
          <w:p>
            <w:pPr>
              <w:spacing w:after="0" w:line="133" w:lineRule="exact"/>
              <w:rPr>
                <w:sz w:val="20"/>
                <w:szCs w:val="20"/>
                <w:color w:val="auto"/>
              </w:rPr>
            </w:pPr>
            <w:r>
              <w:rPr>
                <w:rFonts w:ascii="Arial" w:cs="Arial" w:eastAsia="Arial" w:hAnsi="Arial"/>
                <w:sz w:val="13"/>
                <w:szCs w:val="13"/>
                <w:color w:val="auto"/>
              </w:rPr>
              <w:t>Portfolio turnover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rate</w:t>
            </w:r>
            <w:r>
              <w:rPr>
                <w:rFonts w:ascii="Arial" w:cs="Arial" w:eastAsia="Arial" w:hAnsi="Arial"/>
                <w:sz w:val="14"/>
                <w:szCs w:val="14"/>
                <w:color w:val="auto"/>
                <w:vertAlign w:val="superscript"/>
              </w:rPr>
              <w:t>(6)</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30.16%</w:t>
            </w:r>
          </w:p>
        </w:tc>
        <w:tc>
          <w:tcPr>
            <w:tcW w:w="12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44.15%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17.56%</w:t>
            </w:r>
          </w:p>
        </w:tc>
        <w:tc>
          <w:tcPr>
            <w:tcW w:w="1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64.97%</w:t>
            </w: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53.42%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69.08%</w:t>
            </w:r>
          </w:p>
        </w:tc>
        <w:tc>
          <w:tcPr>
            <w:tcW w:w="1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32.02%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69.05%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28.81%</w:t>
            </w:r>
          </w:p>
        </w:tc>
        <w:tc>
          <w:tcPr>
            <w:tcW w:w="1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12.29%</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0" w:lineRule="exact"/>
        <w:rPr>
          <w:sz w:val="20"/>
          <w:szCs w:val="20"/>
          <w:color w:val="auto"/>
        </w:rPr>
      </w:pPr>
    </w:p>
    <w:p>
      <w:pPr>
        <w:ind w:left="880" w:hanging="426"/>
        <w:spacing w:after="0"/>
        <w:tabs>
          <w:tab w:leader="none" w:pos="8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net investment income per share for the period, based upon average shares outstanding.</w:t>
      </w:r>
    </w:p>
    <w:p>
      <w:pPr>
        <w:sectPr>
          <w:pgSz w:w="11900" w:h="16838" w:orient="portrait"/>
          <w:cols w:equalWidth="0" w:num="1">
            <w:col w:w="9940"/>
          </w:cols>
          <w:pgMar w:left="1440" w:top="274" w:right="519" w:bottom="1440" w:gutter="0" w:footer="0" w:header="0"/>
        </w:sectPr>
      </w:pPr>
    </w:p>
    <w:p>
      <w:pPr>
        <w:spacing w:after="0" w:line="16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940"/>
          </w:cols>
          <w:pgMar w:left="1440" w:top="274" w:right="519"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FINANCIAL HIGHLIGHTS </w:t>
      </w:r>
      <w:r>
        <w:rPr>
          <w:rFonts w:ascii="Arial" w:cs="Arial" w:eastAsia="Arial" w:hAnsi="Arial"/>
          <w:sz w:val="18"/>
          <w:szCs w:val="18"/>
          <w:color w:val="auto"/>
        </w:rPr>
        <w:t>(cont.)</w:t>
      </w:r>
    </w:p>
    <w:p>
      <w:pPr>
        <w:spacing w:after="0" w:line="189" w:lineRule="exact"/>
        <w:rPr>
          <w:sz w:val="20"/>
          <w:szCs w:val="20"/>
          <w:color w:val="auto"/>
        </w:rPr>
      </w:pPr>
    </w:p>
    <w:p>
      <w:pPr>
        <w:ind w:left="880" w:right="619" w:hanging="426"/>
        <w:spacing w:after="0" w:line="224" w:lineRule="auto"/>
        <w:tabs>
          <w:tab w:leader="none" w:pos="878"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Net realized and unrealized capital gains and losses based upon average shares outstanding include adjustments to reconcile change in net asset value per share.</w:t>
      </w:r>
    </w:p>
    <w:p>
      <w:pPr>
        <w:ind w:left="880" w:right="479" w:hanging="426"/>
        <w:spacing w:after="0" w:line="216" w:lineRule="auto"/>
        <w:tabs>
          <w:tab w:leader="none" w:pos="878"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7. Distributions”.</w:t>
      </w:r>
    </w:p>
    <w:p>
      <w:pPr>
        <w:spacing w:after="0" w:line="2" w:lineRule="exact"/>
        <w:rPr>
          <w:rFonts w:ascii="Arial" w:cs="Arial" w:eastAsia="Arial" w:hAnsi="Arial"/>
          <w:sz w:val="13"/>
          <w:szCs w:val="13"/>
          <w:color w:val="auto"/>
        </w:rPr>
      </w:pPr>
    </w:p>
    <w:p>
      <w:pPr>
        <w:ind w:left="880" w:right="699" w:hanging="426"/>
        <w:spacing w:after="0" w:line="281" w:lineRule="auto"/>
        <w:tabs>
          <w:tab w:leader="none" w:pos="876" w:val="left"/>
        </w:tabs>
        <w:numPr>
          <w:ilvl w:val="0"/>
          <w:numId w:val="22"/>
        </w:numPr>
        <w:rPr>
          <w:rFonts w:ascii="Arial" w:cs="Arial" w:eastAsia="Arial" w:hAnsi="Arial"/>
          <w:sz w:val="10"/>
          <w:szCs w:val="10"/>
          <w:color w:val="auto"/>
        </w:rPr>
      </w:pPr>
      <w:r>
        <w:rPr>
          <w:rFonts w:ascii="Arial" w:cs="Arial" w:eastAsia="Arial" w:hAnsi="Arial"/>
          <w:sz w:val="10"/>
          <w:szCs w:val="10"/>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spacing w:after="0" w:line="1" w:lineRule="exact"/>
        <w:rPr>
          <w:rFonts w:ascii="Arial" w:cs="Arial" w:eastAsia="Arial" w:hAnsi="Arial"/>
          <w:sz w:val="10"/>
          <w:szCs w:val="10"/>
          <w:color w:val="auto"/>
        </w:rPr>
      </w:pPr>
    </w:p>
    <w:p>
      <w:pPr>
        <w:ind w:left="880" w:right="799" w:hanging="426"/>
        <w:spacing w:after="0" w:line="216" w:lineRule="auto"/>
        <w:tabs>
          <w:tab w:leader="none" w:pos="876" w:val="left"/>
        </w:tabs>
        <w:numPr>
          <w:ilvl w:val="0"/>
          <w:numId w:val="22"/>
        </w:numPr>
        <w:rPr>
          <w:rFonts w:ascii="Arial" w:cs="Arial" w:eastAsia="Arial" w:hAnsi="Arial"/>
          <w:sz w:val="13"/>
          <w:szCs w:val="13"/>
          <w:color w:val="auto"/>
        </w:rPr>
      </w:pPr>
      <w:r>
        <w:rPr>
          <w:rFonts w:ascii="Arial" w:cs="Arial" w:eastAsia="Arial" w:hAnsi="Arial"/>
          <w:sz w:val="13"/>
          <w:szCs w:val="13"/>
          <w:color w:val="auto"/>
        </w:rPr>
        <w:t>Total return based on net asset value (“NAV”) is the change in ending NAV per share plus distributions per share paid during the period assuming participation in the Fund’s distribution reinvestment plan divided by the beginning NAV per share.</w:t>
      </w:r>
    </w:p>
    <w:p>
      <w:pPr>
        <w:ind w:left="880" w:right="599" w:hanging="426"/>
        <w:spacing w:after="0" w:line="216" w:lineRule="auto"/>
        <w:tabs>
          <w:tab w:leader="none" w:pos="878"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Portfolio turnover rate is calculated using the lesser of the year-to-date purchases or sales and repayments of investments divided by the monthly average of the fair value of total investments. Excluded from both numerator and denominator is the fair value of all investments whose maturity date was one year or less.</w:t>
      </w:r>
    </w:p>
    <w:p>
      <w:pPr>
        <w:spacing w:after="0" w:line="1" w:lineRule="exact"/>
        <w:rPr>
          <w:rFonts w:ascii="Arial" w:cs="Arial" w:eastAsia="Arial" w:hAnsi="Arial"/>
          <w:sz w:val="13"/>
          <w:szCs w:val="13"/>
          <w:color w:val="auto"/>
        </w:rPr>
      </w:pPr>
    </w:p>
    <w:p>
      <w:pPr>
        <w:ind w:left="880" w:hanging="426"/>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Annualized as of September 30, 2021.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Senior Securities Table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Total Amount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c>
          <w:tcPr>
            <w:tcW w:w="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2"/>
              </w:rPr>
              <w:t>Asset</w:t>
            </w:r>
          </w:p>
        </w:tc>
        <w:tc>
          <w:tcPr>
            <w:tcW w:w="40" w:type="dxa"/>
            <w:vAlign w:val="bottom"/>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Involuntary</w:t>
            </w:r>
          </w:p>
        </w:tc>
        <w:tc>
          <w:tcPr>
            <w:tcW w:w="140" w:type="dxa"/>
            <w:vAlign w:val="bottom"/>
          </w:tcPr>
          <w:p>
            <w:pPr>
              <w:spacing w:after="0"/>
              <w:rPr>
                <w:sz w:val="17"/>
                <w:szCs w:val="17"/>
                <w:color w:val="auto"/>
              </w:rPr>
            </w:pPr>
          </w:p>
        </w:tc>
        <w:tc>
          <w:tcPr>
            <w:tcW w:w="900" w:type="dxa"/>
            <w:vAlign w:val="bottom"/>
          </w:tcPr>
          <w:p>
            <w:pPr>
              <w:jc w:val="center"/>
              <w:ind w:right="91"/>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3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Exclusive of</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Coverage</w:t>
            </w:r>
          </w:p>
        </w:tc>
        <w:tc>
          <w:tcPr>
            <w:tcW w:w="40" w:type="dxa"/>
            <w:vAlign w:val="bottom"/>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Liquidation</w:t>
            </w:r>
          </w:p>
        </w:tc>
        <w:tc>
          <w:tcPr>
            <w:tcW w:w="140" w:type="dxa"/>
            <w:vAlign w:val="bottom"/>
          </w:tcPr>
          <w:p>
            <w:pPr>
              <w:spacing w:after="0"/>
              <w:rPr>
                <w:sz w:val="17"/>
                <w:szCs w:val="17"/>
                <w:color w:val="auto"/>
              </w:rPr>
            </w:pPr>
          </w:p>
        </w:tc>
        <w:tc>
          <w:tcPr>
            <w:tcW w:w="900" w:type="dxa"/>
            <w:vAlign w:val="bottom"/>
          </w:tcPr>
          <w:p>
            <w:pPr>
              <w:jc w:val="center"/>
              <w:ind w:right="91"/>
              <w:spacing w:after="0"/>
              <w:rPr>
                <w:sz w:val="20"/>
                <w:szCs w:val="20"/>
                <w:color w:val="auto"/>
              </w:rPr>
            </w:pPr>
            <w:r>
              <w:rPr>
                <w:rFonts w:ascii="Arial" w:cs="Arial" w:eastAsia="Arial" w:hAnsi="Arial"/>
                <w:sz w:val="16"/>
                <w:szCs w:val="16"/>
                <w:b w:val="1"/>
                <w:bCs w:val="1"/>
                <w:color w:val="auto"/>
              </w:rPr>
              <w:t>Market</w:t>
            </w:r>
          </w:p>
        </w:tc>
      </w:tr>
      <w:tr>
        <w:trPr>
          <w:trHeight w:val="203"/>
        </w:trPr>
        <w:tc>
          <w:tcPr>
            <w:tcW w:w="3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Treasury</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Ratio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Preference</w:t>
            </w:r>
          </w:p>
        </w:tc>
        <w:tc>
          <w:tcPr>
            <w:tcW w:w="140" w:type="dxa"/>
            <w:vAlign w:val="bottom"/>
          </w:tcPr>
          <w:p>
            <w:pPr>
              <w:spacing w:after="0"/>
              <w:rPr>
                <w:sz w:val="17"/>
                <w:szCs w:val="17"/>
                <w:color w:val="auto"/>
              </w:rPr>
            </w:pPr>
          </w:p>
        </w:tc>
        <w:tc>
          <w:tcPr>
            <w:tcW w:w="900" w:type="dxa"/>
            <w:vAlign w:val="bottom"/>
          </w:tcPr>
          <w:p>
            <w:pPr>
              <w:jc w:val="center"/>
              <w:ind w:right="91"/>
              <w:spacing w:after="0"/>
              <w:rPr>
                <w:sz w:val="20"/>
                <w:szCs w:val="20"/>
                <w:color w:val="auto"/>
              </w:rPr>
            </w:pPr>
            <w:r>
              <w:rPr>
                <w:rFonts w:ascii="Arial" w:cs="Arial" w:eastAsia="Arial" w:hAnsi="Arial"/>
                <w:sz w:val="16"/>
                <w:szCs w:val="16"/>
                <w:b w:val="1"/>
                <w:bCs w:val="1"/>
                <w:color w:val="auto"/>
                <w:w w:val="93"/>
              </w:rPr>
              <w:t>Value</w:t>
            </w:r>
          </w:p>
        </w:tc>
      </w:tr>
      <w:tr>
        <w:trPr>
          <w:trHeight w:val="253"/>
        </w:trPr>
        <w:tc>
          <w:tcPr>
            <w:tcW w:w="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Securities</w:t>
            </w:r>
            <w:r>
              <w:rPr>
                <w:rFonts w:ascii="Arial" w:cs="Arial" w:eastAsia="Arial" w:hAnsi="Arial"/>
                <w:sz w:val="18"/>
                <w:szCs w:val="18"/>
                <w:b w:val="1"/>
                <w:bCs w:val="1"/>
                <w:color w:val="auto"/>
                <w:w w:val="85"/>
                <w:vertAlign w:val="superscript"/>
              </w:rPr>
              <w:t>(1)</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Per Unit</w:t>
            </w:r>
            <w:r>
              <w:rPr>
                <w:rFonts w:ascii="Arial" w:cs="Arial" w:eastAsia="Arial" w:hAnsi="Arial"/>
                <w:sz w:val="18"/>
                <w:szCs w:val="18"/>
                <w:b w:val="1"/>
                <w:bCs w:val="1"/>
                <w:color w:val="auto"/>
                <w:w w:val="92"/>
                <w:vertAlign w:val="superscript"/>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Per Unit</w:t>
            </w:r>
            <w:r>
              <w:rPr>
                <w:rFonts w:ascii="Arial" w:cs="Arial" w:eastAsia="Arial" w:hAnsi="Arial"/>
                <w:sz w:val="18"/>
                <w:szCs w:val="18"/>
                <w:b w:val="1"/>
                <w:bCs w:val="1"/>
                <w:color w:val="auto"/>
                <w:w w:val="92"/>
                <w:vertAlign w:val="superscript"/>
              </w:rPr>
              <w:t>(3)</w:t>
            </w:r>
          </w:p>
        </w:tc>
        <w:tc>
          <w:tcPr>
            <w:tcW w:w="140" w:type="dxa"/>
            <w:vAlign w:val="bottom"/>
          </w:tcPr>
          <w:p>
            <w:pPr>
              <w:spacing w:after="0"/>
              <w:rPr>
                <w:sz w:val="21"/>
                <w:szCs w:val="21"/>
                <w:color w:val="auto"/>
              </w:rPr>
            </w:pPr>
          </w:p>
        </w:tc>
        <w:tc>
          <w:tcPr>
            <w:tcW w:w="90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Per Unit</w:t>
            </w:r>
            <w:r>
              <w:rPr>
                <w:rFonts w:ascii="Arial" w:cs="Arial" w:eastAsia="Arial" w:hAnsi="Arial"/>
                <w:sz w:val="18"/>
                <w:szCs w:val="18"/>
                <w:b w:val="1"/>
                <w:bCs w:val="1"/>
                <w:color w:val="auto"/>
                <w:w w:val="89"/>
                <w:vertAlign w:val="superscript"/>
              </w:rPr>
              <w:t>(4)</w:t>
            </w:r>
          </w:p>
        </w:tc>
      </w:tr>
      <w:tr>
        <w:trPr>
          <w:trHeight w:val="261"/>
        </w:trPr>
        <w:tc>
          <w:tcPr>
            <w:tcW w:w="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Year</w:t>
            </w:r>
          </w:p>
        </w:tc>
        <w:tc>
          <w:tcPr>
            <w:tcW w:w="28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03"/>
        </w:trPr>
        <w:tc>
          <w:tcPr>
            <w:tcW w:w="380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50%</w:t>
            </w:r>
            <w:r>
              <w:rPr>
                <w:rFonts w:ascii="Arial" w:cs="Arial" w:eastAsia="Arial" w:hAnsi="Arial"/>
                <w:sz w:val="18"/>
                <w:szCs w:val="18"/>
                <w:b w:val="1"/>
                <w:bCs w:val="1"/>
                <w:color w:val="auto"/>
              </w:rPr>
              <w:t xml:space="preserve"> Series 2017 Term Preferred Shares</w:t>
            </w:r>
            <w:r>
              <w:rPr>
                <w:rFonts w:ascii="Arial" w:cs="Arial" w:eastAsia="Arial" w:hAnsi="Arial"/>
                <w:sz w:val="20"/>
                <w:szCs w:val="20"/>
                <w:color w:val="auto"/>
                <w:vertAlign w:val="superscript"/>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1"/>
        </w:trPr>
        <w:tc>
          <w:tcPr>
            <w:tcW w:w="380" w:type="dxa"/>
            <w:vAlign w:val="bottom"/>
            <w:tcBorders>
              <w:top w:val="single" w:sz="8" w:color="auto"/>
            </w:tcBorders>
          </w:tcPr>
          <w:p>
            <w:pPr>
              <w:spacing w:after="0"/>
              <w:rPr>
                <w:sz w:val="5"/>
                <w:szCs w:val="5"/>
                <w:color w:val="auto"/>
              </w:rPr>
            </w:pPr>
          </w:p>
        </w:tc>
        <w:tc>
          <w:tcPr>
            <w:tcW w:w="2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2015</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15,811,250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2014</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15,811,250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15,811,250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0"/>
        </w:trPr>
        <w:tc>
          <w:tcPr>
            <w:tcW w:w="32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3"/>
        </w:trPr>
        <w:tc>
          <w:tcPr>
            <w:tcW w:w="32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03"/>
        </w:trPr>
        <w:tc>
          <w:tcPr>
            <w:tcW w:w="380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w w:val="90"/>
              </w:rPr>
              <w:t>7.</w:t>
            </w:r>
            <w:r>
              <w:rPr>
                <w:rFonts w:ascii="Arial" w:cs="Arial" w:eastAsia="Arial" w:hAnsi="Arial"/>
                <w:sz w:val="18"/>
                <w:szCs w:val="18"/>
                <w:b w:val="1"/>
                <w:bCs w:val="1"/>
                <w:u w:val="single" w:color="auto"/>
                <w:color w:val="auto"/>
                <w:w w:val="90"/>
              </w:rPr>
              <w:t>50%</w:t>
            </w:r>
            <w:r>
              <w:rPr>
                <w:rFonts w:ascii="Arial" w:cs="Arial" w:eastAsia="Arial" w:hAnsi="Arial"/>
                <w:sz w:val="18"/>
                <w:szCs w:val="18"/>
                <w:b w:val="1"/>
                <w:bCs w:val="1"/>
                <w:color w:val="auto"/>
                <w:w w:val="90"/>
              </w:rPr>
              <w:t xml:space="preserve"> Series 2023 Term Preferred Shares</w:t>
            </w:r>
            <w:r>
              <w:rPr>
                <w:rFonts w:ascii="Arial" w:cs="Arial" w:eastAsia="Arial" w:hAnsi="Arial"/>
                <w:sz w:val="20"/>
                <w:szCs w:val="20"/>
                <w:color w:val="auto"/>
                <w:w w:val="90"/>
                <w:vertAlign w:val="superscript"/>
              </w:rPr>
              <w:t>(6)(10)(13)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1"/>
        </w:trPr>
        <w:tc>
          <w:tcPr>
            <w:tcW w:w="380" w:type="dxa"/>
            <w:vAlign w:val="bottom"/>
            <w:tcBorders>
              <w:top w:val="single" w:sz="8" w:color="auto"/>
            </w:tcBorders>
          </w:tcPr>
          <w:p>
            <w:pPr>
              <w:spacing w:after="0"/>
              <w:rPr>
                <w:sz w:val="5"/>
                <w:szCs w:val="5"/>
                <w:color w:val="auto"/>
              </w:rPr>
            </w:pPr>
          </w:p>
        </w:tc>
        <w:tc>
          <w:tcPr>
            <w:tcW w:w="2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2022</w:t>
            </w:r>
          </w:p>
        </w:tc>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 of September 30, 2021)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57,034,875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60,400,025</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90,400,025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90,400,025</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90,400,025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90,638,450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2015</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73,869,250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2014</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65,744,250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83"/>
        </w:trPr>
        <w:tc>
          <w:tcPr>
            <w:tcW w:w="3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8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8.</w:t>
            </w:r>
            <w:r>
              <w:rPr>
                <w:rFonts w:ascii="Arial" w:cs="Arial" w:eastAsia="Arial" w:hAnsi="Arial"/>
                <w:sz w:val="18"/>
                <w:szCs w:val="18"/>
                <w:b w:val="1"/>
                <w:bCs w:val="1"/>
                <w:u w:val="single" w:color="auto"/>
                <w:color w:val="auto"/>
                <w:w w:val="99"/>
              </w:rPr>
              <w:t>125%</w:t>
            </w:r>
            <w:r>
              <w:rPr>
                <w:rFonts w:ascii="Arial" w:cs="Arial" w:eastAsia="Arial" w:hAnsi="Arial"/>
                <w:sz w:val="18"/>
                <w:szCs w:val="18"/>
                <w:b w:val="1"/>
                <w:bCs w:val="1"/>
                <w:color w:val="auto"/>
                <w:w w:val="99"/>
              </w:rPr>
              <w:t xml:space="preserve"> Series 2024 Term Preferred Shares</w:t>
            </w:r>
            <w:r>
              <w:rPr>
                <w:rFonts w:ascii="Arial" w:cs="Arial" w:eastAsia="Arial" w:hAnsi="Arial"/>
                <w:sz w:val="20"/>
                <w:szCs w:val="20"/>
                <w:color w:val="auto"/>
                <w:w w:val="99"/>
                <w:vertAlign w:val="superscript"/>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1"/>
        </w:trPr>
        <w:tc>
          <w:tcPr>
            <w:tcW w:w="380" w:type="dxa"/>
            <w:vAlign w:val="bottom"/>
            <w:tcBorders>
              <w:top w:val="single" w:sz="8" w:color="auto"/>
            </w:tcBorders>
            <w:shd w:val="clear" w:color="auto" w:fill="CCEEFF"/>
          </w:tcPr>
          <w:p>
            <w:pPr>
              <w:spacing w:after="0"/>
              <w:rPr>
                <w:sz w:val="5"/>
                <w:szCs w:val="5"/>
                <w:color w:val="auto"/>
              </w:rPr>
            </w:pPr>
          </w:p>
        </w:tc>
        <w:tc>
          <w:tcPr>
            <w:tcW w:w="28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2018</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50,504,475</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50,539,775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60,687,500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84"/>
        </w:trPr>
        <w:tc>
          <w:tcPr>
            <w:tcW w:w="3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8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5"/>
              </w:rPr>
              <w:t>6.</w:t>
            </w:r>
            <w:r>
              <w:rPr>
                <w:rFonts w:ascii="Arial" w:cs="Arial" w:eastAsia="Arial" w:hAnsi="Arial"/>
                <w:sz w:val="18"/>
                <w:szCs w:val="18"/>
                <w:b w:val="1"/>
                <w:bCs w:val="1"/>
                <w:u w:val="single" w:color="auto"/>
                <w:color w:val="auto"/>
                <w:w w:val="95"/>
              </w:rPr>
              <w:t>75%</w:t>
            </w:r>
            <w:r>
              <w:rPr>
                <w:rFonts w:ascii="Arial" w:cs="Arial" w:eastAsia="Arial" w:hAnsi="Arial"/>
                <w:sz w:val="18"/>
                <w:szCs w:val="18"/>
                <w:b w:val="1"/>
                <w:bCs w:val="1"/>
                <w:color w:val="auto"/>
                <w:w w:val="95"/>
              </w:rPr>
              <w:t xml:space="preserve"> Series 2024 Term Preferred Shares</w:t>
            </w:r>
            <w:r>
              <w:rPr>
                <w:rFonts w:ascii="Arial" w:cs="Arial" w:eastAsia="Arial" w:hAnsi="Arial"/>
                <w:sz w:val="20"/>
                <w:szCs w:val="20"/>
                <w:color w:val="auto"/>
                <w:w w:val="95"/>
                <w:vertAlign w:val="superscript"/>
              </w:rPr>
              <w:t>(8)(10)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1"/>
        </w:trPr>
        <w:tc>
          <w:tcPr>
            <w:tcW w:w="380" w:type="dxa"/>
            <w:vAlign w:val="bottom"/>
            <w:tcBorders>
              <w:top w:val="single" w:sz="8" w:color="auto"/>
            </w:tcBorders>
            <w:shd w:val="clear" w:color="auto" w:fill="CCEEFF"/>
          </w:tcPr>
          <w:p>
            <w:pPr>
              <w:spacing w:after="0"/>
              <w:rPr>
                <w:sz w:val="5"/>
                <w:szCs w:val="5"/>
                <w:color w:val="auto"/>
              </w:rPr>
            </w:pPr>
          </w:p>
        </w:tc>
        <w:tc>
          <w:tcPr>
            <w:tcW w:w="28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420" w:type="dxa"/>
            <w:vAlign w:val="bottom"/>
            <w:gridSpan w:val="3"/>
          </w:tcPr>
          <w:p>
            <w:pPr>
              <w:ind w:left="20"/>
              <w:spacing w:after="0"/>
              <w:rPr>
                <w:sz w:val="20"/>
                <w:szCs w:val="20"/>
                <w:color w:val="auto"/>
              </w:rPr>
            </w:pPr>
            <w:r>
              <w:rPr>
                <w:rFonts w:ascii="Arial" w:cs="Arial" w:eastAsia="Arial" w:hAnsi="Arial"/>
                <w:sz w:val="18"/>
                <w:szCs w:val="18"/>
                <w:color w:val="auto"/>
              </w:rPr>
              <w:t>(as of September 30, 2021)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68,125,375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0"/>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68,125,375</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68,235,375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1"/>
        </w:trPr>
        <w:tc>
          <w:tcPr>
            <w:tcW w:w="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68,235,375</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2018</w:t>
            </w: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68,235,375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ectPr>
          <w:pgSz w:w="11900" w:h="16838" w:orient="portrait"/>
          <w:cols w:equalWidth="0" w:num="1">
            <w:col w:w="9019"/>
          </w:cols>
          <w:pgMar w:left="1440" w:top="274" w:right="1440" w:bottom="1033"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033"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FINANCIAL HIGHLIGHTS </w:t>
      </w:r>
      <w:r>
        <w:rPr>
          <w:rFonts w:ascii="Arial" w:cs="Arial" w:eastAsia="Arial" w:hAnsi="Arial"/>
          <w:sz w:val="18"/>
          <w:szCs w:val="18"/>
          <w:color w:val="auto"/>
        </w:rPr>
        <w:t>(cont.)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Total Amount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c>
          <w:tcPr>
            <w:tcW w:w="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2"/>
              </w:rPr>
              <w:t>Asset</w:t>
            </w:r>
          </w:p>
        </w:tc>
        <w:tc>
          <w:tcPr>
            <w:tcW w:w="40" w:type="dxa"/>
            <w:vAlign w:val="bottom"/>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Involuntary</w:t>
            </w:r>
          </w:p>
        </w:tc>
        <w:tc>
          <w:tcPr>
            <w:tcW w:w="140" w:type="dxa"/>
            <w:vAlign w:val="bottom"/>
          </w:tcPr>
          <w:p>
            <w:pPr>
              <w:spacing w:after="0"/>
              <w:rPr>
                <w:sz w:val="17"/>
                <w:szCs w:val="17"/>
                <w:color w:val="auto"/>
              </w:rPr>
            </w:pPr>
          </w:p>
        </w:tc>
        <w:tc>
          <w:tcPr>
            <w:tcW w:w="90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Exclusive of</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Coverage</w:t>
            </w:r>
          </w:p>
        </w:tc>
        <w:tc>
          <w:tcPr>
            <w:tcW w:w="40" w:type="dxa"/>
            <w:vAlign w:val="bottom"/>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Liquidation</w:t>
            </w:r>
          </w:p>
        </w:tc>
        <w:tc>
          <w:tcPr>
            <w:tcW w:w="140" w:type="dxa"/>
            <w:vAlign w:val="bottom"/>
          </w:tcPr>
          <w:p>
            <w:pPr>
              <w:spacing w:after="0"/>
              <w:rPr>
                <w:sz w:val="17"/>
                <w:szCs w:val="17"/>
                <w:color w:val="auto"/>
              </w:rPr>
            </w:pPr>
          </w:p>
        </w:tc>
        <w:tc>
          <w:tcPr>
            <w:tcW w:w="900" w:type="dxa"/>
            <w:vAlign w:val="bottom"/>
          </w:tcPr>
          <w:p>
            <w:pPr>
              <w:jc w:val="center"/>
              <w:ind w:right="93"/>
              <w:spacing w:after="0"/>
              <w:rPr>
                <w:sz w:val="20"/>
                <w:szCs w:val="20"/>
                <w:color w:val="auto"/>
              </w:rPr>
            </w:pPr>
            <w:r>
              <w:rPr>
                <w:rFonts w:ascii="Arial" w:cs="Arial" w:eastAsia="Arial" w:hAnsi="Arial"/>
                <w:sz w:val="16"/>
                <w:szCs w:val="16"/>
                <w:b w:val="1"/>
                <w:bCs w:val="1"/>
                <w:color w:val="auto"/>
              </w:rPr>
              <w:t>Market</w:t>
            </w:r>
          </w:p>
        </w:tc>
      </w:tr>
      <w:tr>
        <w:trPr>
          <w:trHeight w:val="203"/>
        </w:trPr>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Treasury</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Ratio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Preference</w:t>
            </w:r>
          </w:p>
        </w:tc>
        <w:tc>
          <w:tcPr>
            <w:tcW w:w="140" w:type="dxa"/>
            <w:vAlign w:val="bottom"/>
          </w:tcPr>
          <w:p>
            <w:pPr>
              <w:spacing w:after="0"/>
              <w:rPr>
                <w:sz w:val="17"/>
                <w:szCs w:val="17"/>
                <w:color w:val="auto"/>
              </w:rPr>
            </w:pPr>
          </w:p>
        </w:tc>
        <w:tc>
          <w:tcPr>
            <w:tcW w:w="9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r>
      <w:tr>
        <w:trPr>
          <w:trHeight w:val="253"/>
        </w:trPr>
        <w:tc>
          <w:tcPr>
            <w:tcW w:w="1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Securities</w:t>
            </w:r>
            <w:r>
              <w:rPr>
                <w:rFonts w:ascii="Arial" w:cs="Arial" w:eastAsia="Arial" w:hAnsi="Arial"/>
                <w:sz w:val="18"/>
                <w:szCs w:val="18"/>
                <w:b w:val="1"/>
                <w:bCs w:val="1"/>
                <w:color w:val="auto"/>
                <w:w w:val="85"/>
                <w:vertAlign w:val="superscript"/>
              </w:rPr>
              <w:t>(1)</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Per Unit</w:t>
            </w:r>
            <w:r>
              <w:rPr>
                <w:rFonts w:ascii="Arial" w:cs="Arial" w:eastAsia="Arial" w:hAnsi="Arial"/>
                <w:sz w:val="18"/>
                <w:szCs w:val="18"/>
                <w:b w:val="1"/>
                <w:bCs w:val="1"/>
                <w:color w:val="auto"/>
                <w:w w:val="92"/>
                <w:vertAlign w:val="superscript"/>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Per Unit</w:t>
            </w:r>
            <w:r>
              <w:rPr>
                <w:rFonts w:ascii="Arial" w:cs="Arial" w:eastAsia="Arial" w:hAnsi="Arial"/>
                <w:sz w:val="18"/>
                <w:szCs w:val="18"/>
                <w:b w:val="1"/>
                <w:bCs w:val="1"/>
                <w:color w:val="auto"/>
                <w:w w:val="92"/>
                <w:vertAlign w:val="superscript"/>
              </w:rPr>
              <w:t>(3)</w:t>
            </w:r>
          </w:p>
        </w:tc>
        <w:tc>
          <w:tcPr>
            <w:tcW w:w="140" w:type="dxa"/>
            <w:vAlign w:val="bottom"/>
          </w:tcPr>
          <w:p>
            <w:pPr>
              <w:spacing w:after="0"/>
              <w:rPr>
                <w:sz w:val="21"/>
                <w:szCs w:val="21"/>
                <w:color w:val="auto"/>
              </w:rPr>
            </w:pPr>
          </w:p>
        </w:tc>
        <w:tc>
          <w:tcPr>
            <w:tcW w:w="90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Per Unit</w:t>
            </w:r>
            <w:r>
              <w:rPr>
                <w:rFonts w:ascii="Arial" w:cs="Arial" w:eastAsia="Arial" w:hAnsi="Arial"/>
                <w:sz w:val="18"/>
                <w:szCs w:val="18"/>
                <w:b w:val="1"/>
                <w:bCs w:val="1"/>
                <w:color w:val="auto"/>
                <w:w w:val="89"/>
                <w:vertAlign w:val="superscript"/>
              </w:rPr>
              <w:t>(4)</w:t>
            </w:r>
          </w:p>
        </w:tc>
      </w:tr>
      <w:tr>
        <w:trPr>
          <w:trHeight w:val="200"/>
        </w:trPr>
        <w:tc>
          <w:tcPr>
            <w:tcW w:w="3720" w:type="dxa"/>
            <w:vAlign w:val="bottom"/>
            <w:tcBorders>
              <w:top w:val="single" w:sz="8" w:color="CCEEFF"/>
            </w:tcBorders>
            <w:gridSpan w:val="4"/>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93"/>
              </w:rPr>
              <w:t>6.</w:t>
            </w:r>
            <w:r>
              <w:rPr>
                <w:rFonts w:ascii="Arial" w:cs="Arial" w:eastAsia="Arial" w:hAnsi="Arial"/>
                <w:sz w:val="18"/>
                <w:szCs w:val="18"/>
                <w:b w:val="1"/>
                <w:bCs w:val="1"/>
                <w:u w:val="single" w:color="auto"/>
                <w:color w:val="auto"/>
                <w:w w:val="93"/>
              </w:rPr>
              <w:t>25%</w:t>
            </w:r>
            <w:r>
              <w:rPr>
                <w:rFonts w:ascii="Arial" w:cs="Arial" w:eastAsia="Arial" w:hAnsi="Arial"/>
                <w:sz w:val="18"/>
                <w:szCs w:val="18"/>
                <w:b w:val="1"/>
                <w:bCs w:val="1"/>
                <w:color w:val="auto"/>
                <w:w w:val="93"/>
              </w:rPr>
              <w:t xml:space="preserve"> Series 2027 Term Preferred Shares</w:t>
            </w:r>
            <w:r>
              <w:rPr>
                <w:rFonts w:ascii="Arial" w:cs="Arial" w:eastAsia="Arial" w:hAnsi="Arial"/>
                <w:sz w:val="20"/>
                <w:szCs w:val="20"/>
                <w:color w:val="auto"/>
                <w:w w:val="93"/>
                <w:vertAlign w:val="superscript"/>
              </w:rPr>
              <w:t>(9)(10)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61"/>
        </w:trPr>
        <w:tc>
          <w:tcPr>
            <w:tcW w:w="18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r>
      <w:tr>
        <w:trPr>
          <w:trHeight w:val="243"/>
        </w:trPr>
        <w:tc>
          <w:tcPr>
            <w:tcW w:w="3720" w:type="dxa"/>
            <w:vAlign w:val="bottom"/>
            <w:gridSpan w:val="4"/>
          </w:tcPr>
          <w:p>
            <w:pPr>
              <w:spacing w:after="0"/>
              <w:rPr>
                <w:sz w:val="20"/>
                <w:szCs w:val="20"/>
                <w:color w:val="auto"/>
              </w:rPr>
            </w:pPr>
            <w:r>
              <w:rPr>
                <w:rFonts w:ascii="Arial" w:cs="Arial" w:eastAsia="Arial" w:hAnsi="Arial"/>
                <w:sz w:val="18"/>
                <w:szCs w:val="18"/>
                <w:color w:val="auto"/>
              </w:rPr>
              <w:t>2022 (as of September 30, 2021)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88,120,150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580"/>
              <w:spacing w:after="0"/>
              <w:rPr>
                <w:sz w:val="20"/>
                <w:szCs w:val="20"/>
                <w:color w:val="auto"/>
              </w:rPr>
            </w:pPr>
            <w:r>
              <w:rPr>
                <w:rFonts w:ascii="Arial" w:cs="Arial" w:eastAsia="Arial" w:hAnsi="Arial"/>
                <w:sz w:val="18"/>
                <w:szCs w:val="18"/>
                <w:color w:val="auto"/>
                <w:w w:val="85"/>
              </w:rPr>
              <w:t>1.00</w:t>
            </w:r>
          </w:p>
        </w:tc>
      </w:tr>
      <w:tr>
        <w:trPr>
          <w:trHeight w:val="40"/>
        </w:trPr>
        <w:tc>
          <w:tcPr>
            <w:tcW w:w="1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88,120,150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5"/>
              </w:rPr>
              <w:t>0.89</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91,600,000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580"/>
              <w:spacing w:after="0"/>
              <w:rPr>
                <w:sz w:val="20"/>
                <w:szCs w:val="20"/>
                <w:color w:val="auto"/>
              </w:rPr>
            </w:pPr>
            <w:r>
              <w:rPr>
                <w:rFonts w:ascii="Arial" w:cs="Arial" w:eastAsia="Arial" w:hAnsi="Arial"/>
                <w:sz w:val="18"/>
                <w:szCs w:val="18"/>
                <w:color w:val="auto"/>
                <w:w w:val="85"/>
              </w:rPr>
              <w:t>0.89</w:t>
            </w:r>
          </w:p>
        </w:tc>
      </w:tr>
      <w:tr>
        <w:trPr>
          <w:trHeight w:val="40"/>
        </w:trPr>
        <w:tc>
          <w:tcPr>
            <w:tcW w:w="1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3"/>
        </w:trPr>
        <w:tc>
          <w:tcPr>
            <w:tcW w:w="18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03"/>
        </w:trPr>
        <w:tc>
          <w:tcPr>
            <w:tcW w:w="372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w w:val="97"/>
              </w:rPr>
              <w:t>6.</w:t>
            </w:r>
            <w:r>
              <w:rPr>
                <w:rFonts w:ascii="Arial" w:cs="Arial" w:eastAsia="Arial" w:hAnsi="Arial"/>
                <w:sz w:val="18"/>
                <w:szCs w:val="18"/>
                <w:b w:val="1"/>
                <w:bCs w:val="1"/>
                <w:u w:val="single" w:color="auto"/>
                <w:color w:val="auto"/>
                <w:w w:val="97"/>
              </w:rPr>
              <w:t>00%</w:t>
            </w:r>
            <w:r>
              <w:rPr>
                <w:rFonts w:ascii="Arial" w:cs="Arial" w:eastAsia="Arial" w:hAnsi="Arial"/>
                <w:sz w:val="18"/>
                <w:szCs w:val="18"/>
                <w:b w:val="1"/>
                <w:bCs w:val="1"/>
                <w:color w:val="auto"/>
                <w:w w:val="97"/>
              </w:rPr>
              <w:t xml:space="preserve"> Series 2029 Term Preferred Shares</w:t>
            </w:r>
            <w:r>
              <w:rPr>
                <w:rFonts w:ascii="Arial" w:cs="Arial" w:eastAsia="Arial" w:hAnsi="Arial"/>
                <w:sz w:val="20"/>
                <w:szCs w:val="20"/>
                <w:color w:val="auto"/>
                <w:w w:val="97"/>
                <w:vertAlign w:val="superscript"/>
              </w:rPr>
              <w:t>(14)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1"/>
        </w:trPr>
        <w:tc>
          <w:tcPr>
            <w:tcW w:w="18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63"/>
        </w:trPr>
        <w:tc>
          <w:tcPr>
            <w:tcW w:w="3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2022 (as of September 30, 2021)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67,172,500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5"/>
              </w:rPr>
              <w:t>1.00</w:t>
            </w:r>
          </w:p>
        </w:tc>
      </w:tr>
      <w:tr>
        <w:trPr>
          <w:trHeight w:val="283"/>
        </w:trPr>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7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Repurchase Agreement</w:t>
            </w:r>
            <w:r>
              <w:rPr>
                <w:rFonts w:ascii="Arial" w:cs="Arial" w:eastAsia="Arial" w:hAnsi="Arial"/>
                <w:sz w:val="20"/>
                <w:szCs w:val="20"/>
                <w:color w:val="auto"/>
                <w:vertAlign w:val="superscript"/>
              </w:rPr>
              <w:t>(11)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1"/>
        </w:trPr>
        <w:tc>
          <w:tcPr>
            <w:tcW w:w="18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w w:val="99"/>
              </w:rPr>
              <w:t>N/A</w:t>
            </w:r>
          </w:p>
        </w:tc>
      </w:tr>
      <w:tr>
        <w:trPr>
          <w:trHeight w:val="40"/>
        </w:trPr>
        <w:tc>
          <w:tcPr>
            <w:tcW w:w="1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40,000,000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42,493,500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w w:val="99"/>
              </w:rPr>
              <w:t>N/A</w:t>
            </w:r>
          </w:p>
        </w:tc>
      </w:tr>
      <w:tr>
        <w:trPr>
          <w:trHeight w:val="40"/>
        </w:trPr>
        <w:tc>
          <w:tcPr>
            <w:tcW w:w="1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42,493,500</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r>
        <w:trPr>
          <w:trHeight w:val="283"/>
        </w:trPr>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7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75%</w:t>
            </w:r>
            <w:r>
              <w:rPr>
                <w:rFonts w:ascii="Arial" w:cs="Arial" w:eastAsia="Arial" w:hAnsi="Arial"/>
                <w:sz w:val="18"/>
                <w:szCs w:val="18"/>
                <w:b w:val="1"/>
                <w:bCs w:val="1"/>
                <w:color w:val="auto"/>
              </w:rPr>
              <w:t xml:space="preserve"> Unsecured Notes due 2031</w:t>
            </w:r>
            <w:r>
              <w:rPr>
                <w:rFonts w:ascii="Arial" w:cs="Arial" w:eastAsia="Arial" w:hAnsi="Arial"/>
                <w:sz w:val="20"/>
                <w:szCs w:val="20"/>
                <w:color w:val="auto"/>
                <w:vertAlign w:val="superscript"/>
              </w:rPr>
              <w:t>(12)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1"/>
        </w:trPr>
        <w:tc>
          <w:tcPr>
            <w:tcW w:w="18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r>
      <w:tr>
        <w:trPr>
          <w:trHeight w:val="243"/>
        </w:trPr>
        <w:tc>
          <w:tcPr>
            <w:tcW w:w="3720" w:type="dxa"/>
            <w:vAlign w:val="bottom"/>
            <w:gridSpan w:val="4"/>
          </w:tcPr>
          <w:p>
            <w:pPr>
              <w:spacing w:after="0"/>
              <w:rPr>
                <w:sz w:val="20"/>
                <w:szCs w:val="20"/>
                <w:color w:val="auto"/>
              </w:rPr>
            </w:pPr>
            <w:r>
              <w:rPr>
                <w:rFonts w:ascii="Arial" w:cs="Arial" w:eastAsia="Arial" w:hAnsi="Arial"/>
                <w:sz w:val="18"/>
                <w:szCs w:val="18"/>
                <w:color w:val="auto"/>
              </w:rPr>
              <w:t>2022 (as of September 30, 2021)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100,000,000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580"/>
              <w:spacing w:after="0"/>
              <w:rPr>
                <w:sz w:val="20"/>
                <w:szCs w:val="20"/>
                <w:color w:val="auto"/>
              </w:rPr>
            </w:pPr>
            <w:r>
              <w:rPr>
                <w:rFonts w:ascii="Arial" w:cs="Arial" w:eastAsia="Arial" w:hAnsi="Arial"/>
                <w:sz w:val="18"/>
                <w:szCs w:val="18"/>
                <w:color w:val="auto"/>
                <w:w w:val="85"/>
              </w:rPr>
              <w:t>1.03</w:t>
            </w:r>
          </w:p>
        </w:tc>
      </w:tr>
      <w:tr>
        <w:trPr>
          <w:trHeight w:val="40"/>
        </w:trPr>
        <w:tc>
          <w:tcPr>
            <w:tcW w:w="1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5"/>
              </w:rPr>
              <w:t>1.00</w:t>
            </w:r>
          </w:p>
        </w:tc>
      </w:tr>
      <w:tr>
        <w:trPr>
          <w:trHeight w:val="40"/>
        </w:trPr>
        <w:tc>
          <w:tcPr>
            <w:tcW w:w="1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amount of each class of senior securities outstanding at the end of the period presented.</w:t>
      </w:r>
    </w:p>
    <w:p>
      <w:pPr>
        <w:spacing w:after="0" w:line="22" w:lineRule="exact"/>
        <w:rPr>
          <w:rFonts w:ascii="Arial" w:cs="Arial" w:eastAsia="Arial" w:hAnsi="Arial"/>
          <w:sz w:val="16"/>
          <w:szCs w:val="16"/>
          <w:color w:val="auto"/>
        </w:rPr>
      </w:pPr>
    </w:p>
    <w:p>
      <w:pPr>
        <w:ind w:left="880" w:right="499" w:hanging="426"/>
        <w:spacing w:after="0" w:line="301" w:lineRule="auto"/>
        <w:tabs>
          <w:tab w:leader="none" w:pos="871"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Asset coverage per unit is the ratio of the carrying value of our total consolidated assets, less all liabilities and indebtedness not represented by senior securities, to the aggregate amount of outstanding senior securities, as calculated separately for each of the Term Preferred Shares and the MRA in accordance with section 18(h) of the 1940 Act. With respect to the Term Preferred Shares, the asset coverage per unit is expressed in terms of a ratio per share of outstanding Term Preferred Shares (when expressing in terms of dollar amounts per share, the asset coverage ratio per unit is multiplied by the involuntary liquidation preference per unit of $25). With respect to the MRA, the asset coverage ratio per unit is expressed in terms of a ratio per unit of outstanding MRA (when expressing in terms of dollar amounts per share, the asset coverage per unit is multiplied by $1,000 per principal amount).</w:t>
      </w:r>
    </w:p>
    <w:p>
      <w:pPr>
        <w:spacing w:after="0" w:line="4" w:lineRule="exact"/>
        <w:rPr>
          <w:rFonts w:ascii="Arial" w:cs="Arial" w:eastAsia="Arial" w:hAnsi="Arial"/>
          <w:sz w:val="14"/>
          <w:szCs w:val="14"/>
          <w:color w:val="auto"/>
        </w:rPr>
      </w:pPr>
    </w:p>
    <w:p>
      <w:pPr>
        <w:ind w:left="880" w:right="719" w:hanging="426"/>
        <w:spacing w:after="0" w:line="264" w:lineRule="auto"/>
        <w:tabs>
          <w:tab w:leader="none" w:pos="8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voluntary liquidation of the issuer in preference to any security junior to it.</w:t>
      </w:r>
    </w:p>
    <w:p>
      <w:pPr>
        <w:ind w:left="880" w:right="639" w:hanging="426"/>
        <w:spacing w:after="0" w:line="281" w:lineRule="auto"/>
        <w:tabs>
          <w:tab w:leader="none" w:pos="87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With respect to the Term Preferred Shares, the Average Market Value Per Unit is calculated by taking the daily average closing price of the security for the respective period and dividing it by $25 per share to determine a unit price per share consistent with Asset Coverage Per Unit. With respect to the MRA, the Average Market Value is not applicable as there are no senior securities thereunder which are registered for public trading.</w:t>
      </w:r>
    </w:p>
    <w:p>
      <w:pPr>
        <w:spacing w:after="0" w:line="2" w:lineRule="exact"/>
        <w:rPr>
          <w:rFonts w:ascii="Arial" w:cs="Arial" w:eastAsia="Arial" w:hAnsi="Arial"/>
          <w:sz w:val="15"/>
          <w:szCs w:val="15"/>
          <w:color w:val="auto"/>
        </w:rPr>
      </w:pPr>
    </w:p>
    <w:p>
      <w:pPr>
        <w:ind w:left="880" w:hanging="426"/>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July 24, 2015, OXLC redeemed all issued and outstanding Series 2017 Term Shares at the term redemption price.</w:t>
      </w:r>
    </w:p>
    <w:p>
      <w:pPr>
        <w:spacing w:after="0" w:line="41" w:lineRule="exact"/>
        <w:rPr>
          <w:rFonts w:ascii="Arial" w:cs="Arial" w:eastAsia="Arial" w:hAnsi="Arial"/>
          <w:sz w:val="14"/>
          <w:szCs w:val="14"/>
          <w:color w:val="auto"/>
        </w:rPr>
      </w:pPr>
    </w:p>
    <w:p>
      <w:pPr>
        <w:ind w:left="880" w:right="1099" w:hanging="426"/>
        <w:spacing w:after="0" w:line="264"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March 12, 2020, OXLC redeemed 1,200,000 shares of the Series 2023 Term Preferred Shares issued and outstanding at the term redemption price.</w:t>
      </w:r>
    </w:p>
    <w:p>
      <w:pPr>
        <w:ind w:left="880" w:right="539" w:hanging="426"/>
        <w:spacing w:after="0" w:line="264"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14, 2017, OXLC redeemed all issued and outstanding 8.125% Series 2024 Term Preferred Shares at the term redemption price.</w:t>
      </w:r>
    </w:p>
    <w:p>
      <w:pPr>
        <w:ind w:left="880" w:hanging="426"/>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June 14, 2017, OXLC issued 2,729,415 shares of its newly designated Series 2024 Term Preferred Shares.</w:t>
      </w:r>
    </w:p>
    <w:p>
      <w:pPr>
        <w:spacing w:after="0" w:line="30" w:lineRule="exact"/>
        <w:rPr>
          <w:rFonts w:ascii="Arial" w:cs="Arial" w:eastAsia="Arial" w:hAnsi="Arial"/>
          <w:sz w:val="15"/>
          <w:szCs w:val="15"/>
          <w:color w:val="auto"/>
        </w:rPr>
      </w:pPr>
    </w:p>
    <w:p>
      <w:pPr>
        <w:ind w:left="880" w:right="559" w:hanging="426"/>
        <w:spacing w:after="0" w:line="301" w:lineRule="auto"/>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February 11, 2020, OXLC completed an underwritten public offering of 3,500,000 shares of its newly designated 6.25% Series 2027 Term Preferred Stock at a public offering price of $25 per share, raising approximately</w:t>
      </w:r>
    </w:p>
    <w:p>
      <w:pPr>
        <w:spacing w:after="0" w:line="1" w:lineRule="exact"/>
        <w:rPr>
          <w:rFonts w:ascii="Arial" w:cs="Arial" w:eastAsia="Arial" w:hAnsi="Arial"/>
          <w:sz w:val="14"/>
          <w:szCs w:val="14"/>
          <w:color w:val="auto"/>
        </w:rPr>
      </w:pPr>
    </w:p>
    <w:p>
      <w:pPr>
        <w:ind w:left="880" w:right="619"/>
        <w:spacing w:after="0" w:line="363" w:lineRule="auto"/>
        <w:rPr>
          <w:rFonts w:ascii="Arial" w:cs="Arial" w:eastAsia="Arial" w:hAnsi="Arial"/>
          <w:sz w:val="14"/>
          <w:szCs w:val="14"/>
          <w:color w:val="auto"/>
        </w:rPr>
      </w:pPr>
      <w:r>
        <w:rPr>
          <w:rFonts w:ascii="Arial" w:cs="Arial" w:eastAsia="Arial" w:hAnsi="Arial"/>
          <w:sz w:val="14"/>
          <w:szCs w:val="14"/>
          <w:color w:val="auto"/>
        </w:rPr>
        <w:t>$84.7 million in net proceeds. On March 10, 2020, an additional 164,000 shares were issued pursuant to an exercise of the over-allotment option granted to the underwriters, resulting in net proceeds of approximately $4.0 million.</w:t>
      </w:r>
    </w:p>
    <w:p>
      <w:pPr>
        <w:sectPr>
          <w:pgSz w:w="11900" w:h="16838" w:orient="portrait"/>
          <w:cols w:equalWidth="0" w:num="1">
            <w:col w:w="9019"/>
          </w:cols>
          <w:pgMar w:left="1440" w:top="274" w:right="1440" w:bottom="1440" w:gutter="0" w:footer="0" w:header="0"/>
        </w:sectPr>
      </w:pP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FINANCIAL HIGHLIGHTS </w:t>
      </w:r>
      <w:r>
        <w:rPr>
          <w:rFonts w:ascii="Arial" w:cs="Arial" w:eastAsia="Arial" w:hAnsi="Arial"/>
          <w:sz w:val="18"/>
          <w:szCs w:val="18"/>
          <w:color w:val="auto"/>
        </w:rPr>
        <w:t>(cont.)</w:t>
      </w:r>
    </w:p>
    <w:p>
      <w:pPr>
        <w:spacing w:after="0" w:line="193" w:lineRule="exact"/>
        <w:rPr>
          <w:sz w:val="20"/>
          <w:szCs w:val="20"/>
          <w:color w:val="auto"/>
        </w:rPr>
      </w:pPr>
    </w:p>
    <w:p>
      <w:pPr>
        <w:ind w:left="880" w:hanging="426"/>
        <w:spacing w:after="0"/>
        <w:tabs>
          <w:tab w:leader="none" w:pos="8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 May 21, 2020, the OXLC’S Board of Directors authorized a program for the purpose of repurchasing up to</w:t>
      </w:r>
    </w:p>
    <w:p>
      <w:pPr>
        <w:spacing w:after="0" w:line="33" w:lineRule="exact"/>
        <w:rPr>
          <w:rFonts w:ascii="Arial" w:cs="Arial" w:eastAsia="Arial" w:hAnsi="Arial"/>
          <w:sz w:val="15"/>
          <w:szCs w:val="15"/>
          <w:color w:val="auto"/>
        </w:rPr>
      </w:pPr>
    </w:p>
    <w:p>
      <w:pPr>
        <w:ind w:left="880" w:right="619"/>
        <w:spacing w:after="0" w:line="301" w:lineRule="auto"/>
        <w:rPr>
          <w:rFonts w:ascii="Arial" w:cs="Arial" w:eastAsia="Arial" w:hAnsi="Arial"/>
          <w:sz w:val="15"/>
          <w:szCs w:val="15"/>
          <w:color w:val="auto"/>
        </w:rPr>
      </w:pPr>
      <w:r>
        <w:rPr>
          <w:rFonts w:ascii="Arial" w:cs="Arial" w:eastAsia="Arial" w:hAnsi="Arial"/>
          <w:sz w:val="14"/>
          <w:szCs w:val="14"/>
          <w:color w:val="auto"/>
        </w:rPr>
        <w:t>$40 million worth of the outstanding shares of the its 7.50% Series 2023 Term Preferred Stock, 6.75% Series 2024 Term Preferred Stock and 6.25% Series 2027 Term Preferred Stock. During the six months ended September 30, 2020, OXLC repurchased 134,606 shares of 7.50% Series 2023 Term Preferred Stock for a total of approximately $3.2 million, 4,400 shares of 6.75% Series 2024 Term Preferred Stock for a total of approximately $0.1 million, and 139,194 shares of 6.25% Series 2027 Term Preferred Stock, for a total of approximately $3.1 million.</w:t>
      </w:r>
    </w:p>
    <w:p>
      <w:pPr>
        <w:spacing w:after="0" w:line="2" w:lineRule="exact"/>
        <w:rPr>
          <w:rFonts w:ascii="Arial" w:cs="Arial" w:eastAsia="Arial" w:hAnsi="Arial"/>
          <w:sz w:val="15"/>
          <w:szCs w:val="15"/>
          <w:color w:val="auto"/>
        </w:rPr>
      </w:pPr>
    </w:p>
    <w:p>
      <w:pPr>
        <w:ind w:left="880" w:right="479" w:hanging="426"/>
        <w:spacing w:after="0" w:line="281" w:lineRule="auto"/>
        <w:tabs>
          <w:tab w:leader="none" w:pos="874"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 May 1, 2019, the MRA was amended to (i) extend the maturity date of the Repo from July 2, 2019 to January 2, 2020, and (ii) reduce the funding cost of the MRA from 3-month LIBOR plus 3.15% per annum to 3-month LIBOR plus 2.90% per annum effective as of July 2, 2019. In addition, the Repo was partially paid down on May 15, 2019 from approximately $42.5 million to $35.0 million. On August 15, 2019, the MRA was amended to extend the maturity date of the Repo from January 2, 2020 to April 2, 2020. On November 4, 2019, in light of market conditions, OXLC elected to post additional collateral with a market value of approximately $8.2 million. On December 26, 2019, OXLC amended the MRA to extend the maturity date of the Repo from April 2, 2020 to October 2, 2020 and sold CLO securities to Nomura with a market value of approximately $50.0 million, resulting in an increase in the maximum facility size of the Repo from $35.0 million to $50.0 million. On March 17, 2020, in light of market conditions, OXLC elected to post additional collateral with a market value of approximately $20.9 million. In addition, the Repo was partially paid down on March 30, 2020 from $50,000,000 to $40,000,000. On May 15, 2020, the Fund elected, at its option, to repay and terminate its $40.0 million repurchase agreement with Nomura. The Fund repurchased all of the previously sold CLO securities from Nomura at a repurchase price of $40.0 million plus accrued funding costs.</w:t>
      </w:r>
    </w:p>
    <w:p>
      <w:pPr>
        <w:spacing w:after="0" w:line="7" w:lineRule="exact"/>
        <w:rPr>
          <w:rFonts w:ascii="Arial" w:cs="Arial" w:eastAsia="Arial" w:hAnsi="Arial"/>
          <w:sz w:val="15"/>
          <w:szCs w:val="15"/>
          <w:color w:val="auto"/>
        </w:rPr>
      </w:pPr>
    </w:p>
    <w:p>
      <w:pPr>
        <w:ind w:left="880" w:right="459" w:hanging="426"/>
        <w:spacing w:after="0" w:line="264"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March 16, 2021, OXLC completed an underwritten public offering, including the full exercise of the underwriters’ 30-day overallotment option, of approximately $100.0 million in aggregate principal amount of 6.75% Unsecured Notes.</w:t>
      </w:r>
    </w:p>
    <w:p>
      <w:pPr>
        <w:ind w:left="880" w:right="479" w:hanging="426"/>
        <w:spacing w:after="0" w:line="264"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April 15, 2021 (the “Redemption Date”), OXLC redeemed all of the outstanding Series 2023 Term Preferred Stock at a redemption price of $25 per share of Series 2023 Term Preferred Stock, plus an amount equal to all accrued and unpaid dividends and distributions on each share accumulated to (but excluding) the Series 2023 Redemption Date.</w:t>
      </w:r>
    </w:p>
    <w:p>
      <w:pPr>
        <w:ind w:left="880" w:right="559" w:hanging="426"/>
        <w:spacing w:after="0" w:line="301" w:lineRule="auto"/>
        <w:tabs>
          <w:tab w:leader="none" w:pos="839"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August 17, 2021, OXLC completed an underwritten public offering of 2,400,000 shares of its newly designated Series 2029 Shares at a public offering price of $25 per share, raising approximately $60.0 million in gross proceeds. The Fund also granted the underwriters a 30-day over-allotment option to purchase additional shares of its</w:t>
      </w:r>
    </w:p>
    <w:p>
      <w:pPr>
        <w:spacing w:after="0" w:line="1" w:lineRule="exact"/>
        <w:rPr>
          <w:rFonts w:ascii="Arial" w:cs="Arial" w:eastAsia="Arial" w:hAnsi="Arial"/>
          <w:sz w:val="14"/>
          <w:szCs w:val="14"/>
          <w:color w:val="auto"/>
        </w:rPr>
      </w:pPr>
    </w:p>
    <w:p>
      <w:pPr>
        <w:ind w:left="880" w:right="499"/>
        <w:spacing w:after="0" w:line="332" w:lineRule="auto"/>
        <w:rPr>
          <w:rFonts w:ascii="Arial" w:cs="Arial" w:eastAsia="Arial" w:hAnsi="Arial"/>
          <w:sz w:val="14"/>
          <w:szCs w:val="14"/>
          <w:color w:val="auto"/>
        </w:rPr>
      </w:pPr>
      <w:r>
        <w:rPr>
          <w:rFonts w:ascii="Arial" w:cs="Arial" w:eastAsia="Arial" w:hAnsi="Arial"/>
          <w:sz w:val="14"/>
          <w:szCs w:val="14"/>
          <w:color w:val="auto"/>
        </w:rPr>
        <w:t>Series 2029 Shares on the same terms and conditions to cover over-allotments, if any. On August 24, 2021, under this 30-day over-allotment option, the Fund issued 286,900 shares, raising approximately $7.1 million in gross proceeds. The Series 2029 Shares are listed on the NASDAQ Global Select Market and trade under the symbol “OXLCO”.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RISKS AND UNCERTAINTIES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Periods of market volatility have occurred and could continue to occur in response to pandemics or other events outside of our control. These types of events have adversely affected and could continue to adversely affect operating results for the Fund and for its investments in CLOs and their underlying collateral. For example, for much of 2020 and 2021, the COVID-19 pandemic has delivered a shock to the global economy. This outbreak has led and for an unknown period of time will continue to lead to disruptions in local, regional, national and global markets and economies affected thereby.</w:t>
      </w:r>
    </w:p>
    <w:p>
      <w:pPr>
        <w:spacing w:after="0" w:line="97"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second quarter of 2021, the economic recovery gained significant traction in countries in which comprehensive vaccination programs have led to the lifting of health and safety restrictions, such as the United States and China. However, other countries encountered more challenging circumstances as a result of slower distribution of vaccines and the spread of new variants, most notably the Delta variant. The extent to which the COVID-19 pandemic will continue to affect OXLC’s business, financial condition, liquidity and results of operations will depend on future developments, such as the speed and extent of further vaccine distribution and the impact of the Delta variant or other variants that might arise, which are highly uncertain and cannot be predicted. As of the six months ended September 30, 2021, and subsequent to September 30, 2021, the COVID-19 pandemic continues to have a significant impact on the U.S. and global economy.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the Fund and returns to the Fund, among other things. As of the date of this semi-annual report on Form N-CSR, it is impossible to determine the scope of this outbreak, or any future outbreaks, how long any such outbreak, market disruption or uncertainties may last, the effect any governmental actions will have or the full potential impact on the Fund and the Fund’s investments in CLOs and their underlying collateral.</w:t>
      </w:r>
    </w:p>
    <w:p>
      <w:pPr>
        <w:spacing w:after="0" w:line="113"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The market volatility resulting from the COVID-19 pandemic has caused, and may continue to cause, loan delinquencies, loan non-accruals, problem assets, and bankruptcies to increase. In addition, if these economic conditions continue for an extended period of time, collateral for the Fund’s loans may decline in value, which could cause loan losses to increase and the net worth and liquidity of loan guarantors could decline, impairing their ability to honor commitments to the Fund. An increase in loan delinquencies and non-accruals or a decrease in loan collateral and guarantor net worth could result in increased costs and reduced income which would have a material adverse effect on the Fund’s business, financial condition or results of operations.</w:t>
      </w:r>
    </w:p>
    <w:p>
      <w:pPr>
        <w:spacing w:after="0" w:line="111"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Further, any public health emergency, including the COVID-19 pandemic or any outbreak of other existing or new epidemic diseases, or the threat thereof, and the resulting financial and economic market uncertainty could have a significant adverse impact on the Fund and the fair value of its investments. The Fund’s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These potential impacts, while uncertain, could adversely affect the Fund’s operating results.</w:t>
      </w:r>
    </w:p>
    <w:p>
      <w:pPr>
        <w:spacing w:after="0" w:line="111"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COVID-19 pandemic and the resulting economic dislocations have had adverse consequences for the business operations of some of the Fund’s CLO investments and have adversely affected, and will likely continue to adversely affect, the Fund’s operations. The operational and financial performance of the portfolio companies in which the Fund makes investments depends on future developments, including the duration and spread of the outbreak, and such uncertainty may in turn impact the valuation of its investments.</w:t>
      </w:r>
    </w:p>
    <w:p>
      <w:pPr>
        <w:spacing w:after="0" w:line="9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Although it is difficult to predict the extent of the impact of the COVID-19 outbreak on the underlying CLO vehicles the Fund invests in, the failure by a CLO vehicle to satisfy certain financial covenants, including with respect to adequate collateralization and/or interest coverage tests, could lead to a reduction in its payments to us. In the event that a CLO vehicle fails certain tests, holders of debt senior to it may be entitled to additional payments that would, in turn, reduce the payments it would otherwise be entitled to receive. Separately, the Fund may incur expenses to the extent necessary to seek recovery upon default or to negotiate new terms with a defaulting CLO vehicle or any other investment the Fund may make. If any of these occur, it could materially and adversely affect the Fund’s operating results and cash flows. We have and continue to assess the impact of COVID-19 on our CLO investments.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the information resources of the Fund. These incidents may be an intentional attack or an unintentional event and could involve gaining unauthorized access to the Fund’s information systems or those of its third-party vendors for purposes of misappropriating assets, stealing confidential information, corrupting data or causing operational disruption. Despite careful security and controls design, the information technology systems of the Fund or its third-party vendors, may be subject to security breaches and cyber-attacks the result of which could include disrupted operations, misstated or unreliable financial data, liability for stolen assets or information, increased cybersecurity protection and insurance costs, litigation and damage to business relationships. As the Fund</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and its third party vendor’s reliance on technology has increased, so have the risks posed to its information systems, both internal and those provided by third-party service providers, and the information systems of its third-party vendors. The Fund has implemented processes, procedures and internal controls to help mitigate cybersecurity risks and cyber intrusions, but these measures, as well as its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97"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Oxford Lane Management’s investment team also presently manages the portfolios of Oxford Square Capital Corp., a publicly-traded business development company that invests principally in the debt of U.S.-based companies and CLOs. Additionally, Oxford Lane Management’s investment team manages the portfolio of Oxford Bridge, LLC, Oxford Bridge II, LLC, and Oxford Gate Master Fund, LLC, limited liability companies that invest principally in the equity of CLOs. In certain instances, the Fund may co-invest on a concurrent basis with affiliates of its investment adviser, subject to compliance with applicable regulations and regulatory guidance and written allocation policies. On June 14, 2017, the SEC issued the Order permitting us and certain of the Fund’s affiliates to complete negotiated co-investment transactions in portfolio companies, subject to certain conditions. Subject to satisfaction of certain conditions to the Order, the Fund and certain of its affiliates are now permitted, together with any future business development companies, registered closed-end funds and certain private funds, each of whose investment adviser is the Fund’s investment adviser or an investment adviser controlling, controlled by, or under common control with our investment adviser, to co-invest in negotiated investment opportunities where doing so would otherwise be prohibited under the 1940 Act, providing the Fund’s stockholders with access to a broader array of investment opportunities. Pursuant to the Order, the Fund are permitted to co-invest in such investment opportunities with our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the Fund and its stockholders and do not involve overreaching in respect of the Fund or its stockholders on the part of any person concerned, and (2) the potential co-investment transaction is consistent with the interests of the Fund’s stockholders and is consistent with its then-current investment objective and strategies.</w:t>
      </w:r>
    </w:p>
    <w:p>
      <w:pPr>
        <w:spacing w:after="0" w:line="9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Given the structure of the Fund’s Investment Advisory Agreement with Oxford Lane Management, any general increase in interest rates will likely have the effect of making it easier for Oxford Lane Management to meet the quarterly hurdle rate for payment of net investment income incentive fees under the Investment Advisory Agreement without any additional increase in relative performance on the part of Oxford Lane Management. In addition, in view of the catch-up provision applicable to income incentive fees under the Investment Advisory Agreement, Oxford Lane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Oxford Lane Management’s net investment income incentive fee resulting from such a general increase in interest rates.</w:t>
      </w:r>
    </w:p>
    <w:p>
      <w:pPr>
        <w:spacing w:after="0" w:line="118"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September 30, 2021, the CLO vehicles in which the Fund was invested had average leverage of 10.0 times and ranged from approximately 2.0 times to 14.8 times levered. In particular, investors in CLO vehicles indirectly bear risks of the underlying debt investments held by such CLO vehicles.</w:t>
      </w:r>
    </w:p>
    <w:p>
      <w:pPr>
        <w:spacing w:after="0" w:line="110"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Fund previously incurred leverage through the issuance of the Term Preferred Shares and the Notes. The Fund may incur additional leverage, directly or indirectly, through one or more special purpose vehicles, indebtedness for borrowed money, as well as leverage in the form of derivative transactions, additional shares of preferred stock, debt securities and other structures and instruments, in significant amounts and on terms that Oxford Lane Management and the Board deem appropriate, subject to applicable limitations under the 1940 Act.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Such leverage may be used for the acquisition and financing of our investments, to pay fees and expenses and for other purposes. Such leverage may be secured and/or unsecured. The more leverage the Fund employs, the more likely a substantial change will occur in its NAV. Accordingly, any event that adversely affects the value of an investment would be magnified to the extent leverage is utilized. The cumulative effect of the use of leverage with respect to any investments in a market that moves adversely to such investments could result in a substantial loss that would be greater than if our investments were not leveraged.</w:t>
      </w:r>
    </w:p>
    <w:p>
      <w:pPr>
        <w:spacing w:after="0" w:line="70"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following table is intended to illustrate the effect of the use of direct leverage on returns from an investment in the Fund’s common stock assuming various annual returns, net of expenses. The calculations in the table below are hypothetical and actual returns may be higher or lower than those appearing in the table below.</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Assumed Return on Our Portfolio (Net of Expenses)</w:t>
            </w:r>
          </w:p>
        </w:tc>
        <w:tc>
          <w:tcPr>
            <w:tcW w:w="720" w:type="dxa"/>
            <w:vAlign w:val="bottom"/>
          </w:tcPr>
          <w:p>
            <w:pPr>
              <w:jc w:val="right"/>
              <w:ind w:right="95"/>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620" w:type="dxa"/>
            <w:vAlign w:val="bottom"/>
          </w:tcPr>
          <w:p>
            <w:pPr>
              <w:jc w:val="right"/>
              <w:ind w:right="95"/>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720" w:type="dxa"/>
            <w:vAlign w:val="bottom"/>
          </w:tcPr>
          <w:p>
            <w:pPr>
              <w:jc w:val="right"/>
              <w:ind w:right="115"/>
              <w:spacing w:after="0"/>
              <w:rPr>
                <w:sz w:val="20"/>
                <w:szCs w:val="20"/>
                <w:color w:val="auto"/>
              </w:rPr>
            </w:pPr>
            <w:r>
              <w:rPr>
                <w:rFonts w:ascii="Arial" w:cs="Arial" w:eastAsia="Arial" w:hAnsi="Arial"/>
                <w:sz w:val="16"/>
                <w:szCs w:val="16"/>
                <w:b w:val="1"/>
                <w:bCs w:val="1"/>
                <w:color w:val="auto"/>
              </w:rPr>
              <w:t>10%</w:t>
            </w:r>
          </w:p>
        </w:tc>
      </w:tr>
      <w:tr>
        <w:trPr>
          <w:trHeight w:val="47"/>
        </w:trPr>
        <w:tc>
          <w:tcPr>
            <w:tcW w:w="4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6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91" w:lineRule="auto"/>
        <w:tabs>
          <w:tab w:leader="none" w:pos="926" w:val="left"/>
        </w:tabs>
        <w:numPr>
          <w:ilvl w:val="0"/>
          <w:numId w:val="25"/>
        </w:numPr>
        <w:rPr>
          <w:rFonts w:ascii="Arial" w:cs="Arial" w:eastAsia="Arial" w:hAnsi="Arial"/>
          <w:sz w:val="15"/>
          <w:szCs w:val="15"/>
          <w:color w:val="auto"/>
        </w:rPr>
      </w:pPr>
      <w:r>
        <w:rPr>
          <w:rFonts w:ascii="Arial" w:cs="Arial" w:eastAsia="Arial" w:hAnsi="Arial"/>
          <w:sz w:val="15"/>
          <w:szCs w:val="15"/>
          <w:color w:val="auto"/>
        </w:rPr>
        <w:t>Assumes (i) $1,296.8 million in pro forma total assets as of September 30, 2021 (adjusted to reflect the issuance of $68.1 million in outstanding Series 2024 Term Preferred Shares, $88.1 million in outstanding Series 2027 Term Preferred Shares, $67.2 million in outstanding Series 2029 Term Preferred Shares, and $100.0 million in outstanding Notes; (ii) $973.4 million in pro forma net assets as of September 30, 2021 (adjusted to reflect the issuances described above); and (iii) an annualized average interest rate on our indebtedness and preferred equity, as of September 30, 2021 (adjusted to reflect the issuances described above), of 6.46%.</w:t>
      </w:r>
    </w:p>
    <w:p>
      <w:pPr>
        <w:spacing w:after="0" w:line="91"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Based on our assumed leverage described above, our investment portfolio would have been required to experience an annual return of at least 1.68% to cover annual interest and dividend payments on our outstanding indebtedness and preferred equity.</w:t>
      </w:r>
    </w:p>
    <w:p>
      <w:pPr>
        <w:spacing w:after="0" w:line="8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 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the Fund. In the event that a CLO vehicle fails certain tests, holders of debt senior to the Fund may be entitled to additional payments that would, in turn, reduce the payments the Fund would otherwise be entitled to receive. Separately, the Fund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87"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w:t>
      </w:r>
    </w:p>
    <w:p>
      <w:pPr>
        <w:spacing w:after="0" w:line="1" w:lineRule="exact"/>
        <w:rPr>
          <w:sz w:val="20"/>
          <w:szCs w:val="20"/>
          <w:color w:val="auto"/>
        </w:rPr>
      </w:pPr>
    </w:p>
    <w:p>
      <w:pPr>
        <w:ind w:left="460" w:right="859" w:hanging="6"/>
        <w:spacing w:after="0" w:line="281" w:lineRule="auto"/>
        <w:tabs>
          <w:tab w:leader="none" w:pos="6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possibility that distributions from collateral securities will not be adequate to make interest or other payments; (ii) the quality of the collateral may decline in value or default; (iii) the fact that the Fund’s investments in CLO tranches will likely be subordinate to other senior classes of note tranches thereof; and</w:t>
      </w:r>
    </w:p>
    <w:p>
      <w:pPr>
        <w:spacing w:after="0" w:line="1" w:lineRule="exact"/>
        <w:rPr>
          <w:rFonts w:ascii="Arial" w:cs="Arial" w:eastAsia="Arial" w:hAnsi="Arial"/>
          <w:sz w:val="16"/>
          <w:szCs w:val="16"/>
          <w:color w:val="auto"/>
        </w:rPr>
      </w:pPr>
    </w:p>
    <w:p>
      <w:pPr>
        <w:ind w:left="460" w:right="599" w:hanging="6"/>
        <w:spacing w:after="0" w:line="253" w:lineRule="auto"/>
        <w:tabs>
          <w:tab w:leader="none" w:pos="7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complex structure of the security may not be fully understood at the time of investment and may produce disputes with the CLO vehicle or unexpected investment results. The Fund’s net asset value may also decline over time if the Fund’s principal recovery with respect to CLO equity investments is less than the price that the Fund paid for those investments.</w:t>
      </w:r>
    </w:p>
    <w:p>
      <w:pPr>
        <w:sectPr>
          <w:pgSz w:w="11900" w:h="16838" w:orient="portrait"/>
          <w:cols w:equalWidth="0" w:num="1">
            <w:col w:w="9019"/>
          </w:cols>
          <w:pgMar w:left="1440" w:top="274"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(“IBORs”). To identify a successor rate for U.S. dollar LIBOR, the Alternative Reference Rates Committee (“ARRC”), a U.S.-based group convened by the Federal Reserve Board and the Federal Reserve Bank of New York, was formed. The ARRC identified the Secured Overnight Financing Rate (“SOFR”) as its preferred alternative rate for LIBOR. SOFR is a measure of the cost of borrowing cash overnight, collateralized by U.S. Treasury securities, and is based on directly observable U.S. Treasury-backed repurchase transactions. On July 29, 2021, the ARCC formally recommended SOFR as its preferred alternative replacement rate for LIBOR. It is not possible to predict the effect of any such changes, any establishment of alternative reference rates or other reforms to LIBOR that may be enacted in the United States, United Kingdom or elsewhere or, whether the COVID-19 outbreak will have further effect on LIBOR transition plans.</w:t>
      </w:r>
    </w:p>
    <w:p>
      <w:pPr>
        <w:spacing w:after="0" w:line="101" w:lineRule="exact"/>
        <w:rPr>
          <w:sz w:val="20"/>
          <w:szCs w:val="20"/>
          <w:color w:val="auto"/>
        </w:rPr>
      </w:pPr>
    </w:p>
    <w:p>
      <w:pPr>
        <w:jc w:val="both"/>
        <w:ind w:left="460" w:right="679" w:firstLine="432"/>
        <w:spacing w:after="0" w:line="287" w:lineRule="auto"/>
        <w:rPr>
          <w:sz w:val="20"/>
          <w:szCs w:val="20"/>
          <w:color w:val="auto"/>
        </w:rPr>
      </w:pPr>
      <w:r>
        <w:rPr>
          <w:rFonts w:ascii="Arial" w:cs="Arial" w:eastAsia="Arial" w:hAnsi="Arial"/>
          <w:sz w:val="16"/>
          <w:szCs w:val="16"/>
          <w:color w:val="auto"/>
        </w:rPr>
        <w:t>Recently, the CLOs the Fund has invested in have included, or have been amended to include, language permitting the CLO investment manager, to implement a market replacement rate (like those proposed by the Alternative Reference Rates Committee of the Federal Reserve Board and the Federal Reserve Bank of</w:t>
      </w:r>
    </w:p>
    <w:p>
      <w:pPr>
        <w:spacing w:after="0" w:line="2" w:lineRule="exact"/>
        <w:rPr>
          <w:sz w:val="20"/>
          <w:szCs w:val="20"/>
          <w:color w:val="auto"/>
        </w:rPr>
      </w:pPr>
    </w:p>
    <w:p>
      <w:pPr>
        <w:ind w:left="460" w:right="579"/>
        <w:spacing w:after="0" w:line="267" w:lineRule="auto"/>
        <w:rPr>
          <w:sz w:val="20"/>
          <w:szCs w:val="20"/>
          <w:color w:val="auto"/>
        </w:rPr>
      </w:pPr>
      <w:r>
        <w:rPr>
          <w:rFonts w:ascii="Arial" w:cs="Arial" w:eastAsia="Arial" w:hAnsi="Arial"/>
          <w:sz w:val="17"/>
          <w:szCs w:val="17"/>
          <w:color w:val="auto"/>
        </w:rPr>
        <w:t>New York) upon the occurrence of certain material disruption events. However, the Fund cannot ensure that all CLOs in which it is invested will have such provisions, nor can the Fund ensure the CLO investment managers will undertake the suggested amendments when able. The Fund’s net investment income is affected by fluctuations in various interest rates, including LIBOR and prime rates. In addition, in a prolonged low interest rate environment, including a reduction of LIBOR to zero, the difference between the total interest income earned on interest earning assets and the total interest expense incurred on interest bearing liabilities may be compressed, reducing the Fund’s net interest income and potentially adversely affecting its operating results. The Fund believes that because CLO managers and other CLO market participants have been preparing for an eventual transition away from LIBOR, the Fund does not anticipate such a transition to have a material impact on the liquidity or value of any of its LIBOR-referenced CLO investments. However, because the specific effects of a transition away from LIBOR cannot be determined with certainty as of the date of this report, a transition away from LIBOR could:</w:t>
      </w:r>
    </w:p>
    <w:p>
      <w:pPr>
        <w:spacing w:after="0" w:line="103" w:lineRule="exact"/>
        <w:rPr>
          <w:sz w:val="20"/>
          <w:szCs w:val="20"/>
          <w:color w:val="auto"/>
        </w:rPr>
      </w:pPr>
    </w:p>
    <w:p>
      <w:pPr>
        <w:ind w:left="1320" w:right="479" w:hanging="434"/>
        <w:spacing w:after="0" w:line="277" w:lineRule="auto"/>
        <w:tabs>
          <w:tab w:leader="none" w:pos="13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impact the pricing, liquidity, value of, return on and trading for a broad array of financial products, including any LIBOR-linked CLO investments;</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extensive changes to documentation that governs or references LIBOR or LIBOR-based products, including, for example, pursuant to time-consuming renegotiations of existing documentation to modify the terms of outstanding investments;</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 in inquiries or other actions from regulators in respect of the Fund’s preparation and readiness for the replacement of LIBOR with one or more alternative reference rates;</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5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 in disputes, litigation or other actions with CLO investment managers, regarding the interpretation and enforceability of provisions in the Fund’s LIBOR-based CLO investments, such as fallback language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jc w:val="both"/>
        <w:ind w:left="1320" w:right="479"/>
        <w:spacing w:after="0" w:line="263" w:lineRule="auto"/>
        <w:rPr>
          <w:sz w:val="20"/>
          <w:szCs w:val="20"/>
          <w:color w:val="auto"/>
        </w:rPr>
      </w:pPr>
      <w:r>
        <w:rPr>
          <w:rFonts w:ascii="Arial" w:cs="Arial" w:eastAsia="Arial" w:hAnsi="Arial"/>
          <w:sz w:val="18"/>
          <w:szCs w:val="18"/>
          <w:color w:val="auto"/>
        </w:rPr>
        <w:t>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116" w:lineRule="exact"/>
        <w:rPr>
          <w:sz w:val="20"/>
          <w:szCs w:val="20"/>
          <w:color w:val="auto"/>
        </w:rPr>
      </w:pPr>
    </w:p>
    <w:p>
      <w:pPr>
        <w:jc w:val="both"/>
        <w:ind w:left="1320" w:right="459" w:hanging="434"/>
        <w:spacing w:after="0" w:line="259" w:lineRule="auto"/>
        <w:tabs>
          <w:tab w:leader="none" w:pos="15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transition and/or development of appropriate systems and analytics to effectively transition the Fund’s risk management processes from LIBOR-based products to those based on one or more alternative reference rates, which may prove challenging given the limited history of the proposed alternative reference rates; and</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cause the Fund to incur additional costs in relation to any of the above factors.</w:t>
      </w:r>
    </w:p>
    <w:p>
      <w:pPr>
        <w:spacing w:after="0" w:line="158"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110"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Fund may be required to include in its income its proportionate share of the income of certain CLO investments to the extent that such CLOs are PFICs for which the Fund has made a qualifying electing fund (“QEF”) election or are CFCs. To qualify as a RIC, OXLC must, among other things, derive in each taxable year at least 90% of its gross income from certain sources specified in the Code (the “90% Income Test”). The income inclusions from a QEF or a CFC will be “good income” for purposes of this 90% Income Test provided that they are derived in connection with OXLC’s business of investing in stocks and securities or the QEF or the CFC distributes such income to OXLC in the same taxable year to which the income is included in its income.</w:t>
      </w:r>
    </w:p>
    <w:p>
      <w:pPr>
        <w:spacing w:after="0" w:line="85"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Fund’s ability to pay distributions might be adversely affected by the impact of one or more of the risks discussed in this section, including the COVID-19 pandemic described above. The Fund cannot assure you that it will achieve investment results that will allow us to make a specified level of cash distributions. The fund may also distribute taxable distributions that are payable in cash or shares of its common stock at the election of each stockholder. Under certain applicable IRS guidance, distributions by publicly offered RICs that are payable in cash or in shares of stock at the election of stockholders are treated as taxable distributions. The Internal Revenue Service has published a revenue procedure indicating that this rule will apply even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the Fund decides to make any distributions consistent with this revenue procedure that are payable in part in the Fund’s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the Fund’s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its stock at the time of the sale. Furthermore, with respect to non-U.S. stockholders, the Fund may be required to withhold U.S. tax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659"/>
        <w:spacing w:after="0" w:line="311" w:lineRule="auto"/>
        <w:rPr>
          <w:sz w:val="20"/>
          <w:szCs w:val="20"/>
          <w:color w:val="auto"/>
        </w:rPr>
      </w:pPr>
      <w:r>
        <w:rPr>
          <w:rFonts w:ascii="Arial" w:cs="Arial" w:eastAsia="Arial" w:hAnsi="Arial"/>
          <w:sz w:val="16"/>
          <w:szCs w:val="16"/>
          <w:color w:val="auto"/>
        </w:rPr>
        <w:t>with respect to such distributions, including in respect of all or a portion of such distribution that is payable in stock. In addition, if a significant number of the Fund’s stockholders determine to sell shares of its stock in order to pay taxes owed on distributions, it may put downward pressure on the trading price of its stock.</w:t>
      </w:r>
    </w:p>
    <w:p>
      <w:pPr>
        <w:spacing w:after="0" w:line="8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OXLC invests will be treated as non-U.S. financial entities for this purpose, and therefore will be required to comply with these reporting requirements to avoid the 30% withholding tax. If a CLO vehicle in which OXLC invests fails to properly comply with these reporting requirements, it could reduce the amounts available to distribute to equity and junior debt holders in such CLO vehicle, which could materially and adversely affect OXLC’s operating results and cash flows.</w:t>
      </w:r>
    </w:p>
    <w:p>
      <w:pPr>
        <w:spacing w:after="0" w:line="8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spacing w:after="0" w:line="110"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The Fund’s Term Preferred Shares pay dividends at a fixed dividend rate. Prices of fixed income investments vary inversely with changes in market yields. The market yields on securities comparable to the Term Shares may increase, which would likely result in a decline in the secondary market price of such shares prior to the term redemption date. The Fund may be unable to pay dividends on the Term Preferred Shares under some circumstances. The terms of any future indebtedness OXLC may incur could preclude the payment of dividends in respect of equity securities, including such shares, under certain conditions.</w:t>
      </w:r>
    </w:p>
    <w:p>
      <w:pPr>
        <w:spacing w:after="0" w:line="9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a registered closed-end investment company, OXLC is required to comply with the asset coverage requirements of the 1940 Act and the Articles Supplementary governing OXLC’s Preferred Stock.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OXLC’s outstanding Preferred Stock). In addition, the Articles Supplementary governing OXLC’s Term Preferred Shares require that OXLC have an asset coverage of at least 200% as of the end of each fiscal quarter. With respect to senior securities representing indebtedness, such as the Notes or any bank borrowings (other than temporary borrowings as defined under the 1940 Act), OXLC is required under the 1940 Act to have asset coverage of at least 300%, as measured at the time of borrowing and calculated as the ratio of OXLC’s total consolidated assets, less all liabilities and indebtedness not represented by senior securities, over the aggregate amount of OXLC’s outstanding senior securities representing indebtedness. If the asset coverage is not at least 300% (or 200%, as applicable) as of such measurement dates, OXLC may not be able to incur additional debt or issue additional shares of Preferred Stock or Notes and could be forced to sell a portion of its investments to repurchase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559"/>
        <w:spacing w:after="0" w:line="311" w:lineRule="auto"/>
        <w:rPr>
          <w:sz w:val="20"/>
          <w:szCs w:val="20"/>
          <w:color w:val="auto"/>
        </w:rPr>
      </w:pPr>
      <w:r>
        <w:rPr>
          <w:rFonts w:ascii="Arial" w:cs="Arial" w:eastAsia="Arial" w:hAnsi="Arial"/>
          <w:sz w:val="16"/>
          <w:szCs w:val="16"/>
          <w:color w:val="auto"/>
        </w:rPr>
        <w:t>or redeem some shares of Preferred Stock or Notes when it is disadvantageous to do so, which could have a material adverse effect its operations. Further, OXLC may be restricted from making distributions to holders of the Fund’s common stock if the it does not have asset coverage of at least 300% (or 200%, as applicable).</w:t>
      </w:r>
    </w:p>
    <w:p>
      <w:pPr>
        <w:spacing w:after="0" w:line="81"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Given the ten-year original terms, and potential for early redemption, of the Term Preferred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spacing w:after="0" w:line="107"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RECENT ACCOUNTING PRONOUNCEMENTS</w:t>
      </w:r>
    </w:p>
    <w:p>
      <w:pPr>
        <w:spacing w:after="0" w:line="162"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In March 2020, the FASB issued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as of March 12, 2020 through December 31, 2022. ASU No. 2021-01 provides increased clarity as the Fund continues to evaluate the transition of reference rates and is currently evaluating the impact of adopting ASU No. 2020-04 and 2021-01 on the financial statements however, the impact of the adoption is not expected to be material.</w:t>
      </w:r>
    </w:p>
    <w:p>
      <w:pPr>
        <w:spacing w:after="0" w:line="101"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Other than the aforementioned guidance, the Fund’s management does not believe that any recently issued, but not yet effective, accounting standards, if currently adopted, would have a material effect on the accompanying financial statements.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ISSUANCES OF COMMON STOCK</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Fund sold a total of 16,283,363 shares of common stock pursuant to an “at-the-market” offering during the six months ended September 30, 2021. The total amount of capital raised under these issuances was approximately $117.4 million and net proceeds were approximately $115.9 million after deducting the sales agent’s commissions and offering expenses.</w:t>
      </w:r>
    </w:p>
    <w:p>
      <w:pPr>
        <w:spacing w:after="0" w:line="119"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The Fund sold a total of 22,734,676 shares of common stock pursuant to an “at-the-market” offering during the fiscal year ended March 31, 2021. The total amount of capital raised under these issuances was approximately $114.4 million and net proceeds were approximately $112.6 million after deducting the sales agent’s commissions and offering expenses.</w:t>
      </w:r>
    </w:p>
    <w:p>
      <w:pPr>
        <w:spacing w:after="0" w:line="119"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For the six months ended September 30, 2021, the Fund issued 861,183 shares of common stock in connection with the distribution reinvestment plan. For the year ended March 31, 2021, the Fund issued 2,535,006 shares of common stock in connection with the distribution reinvestment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SUBSEQUENT EVENTS</w:t>
      </w:r>
    </w:p>
    <w:p>
      <w:pPr>
        <w:spacing w:after="0" w:line="14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On October 28, 2021, the Board of Directors declared monthly distributions $0.075 per share on its common stock,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Month Ending</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Payment 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31, 2022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17, 2022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31, 2022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February 28, 2022</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14, 2022</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17, 2022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October 28, 2021, the Board of Directors declared the required monthly dividends on its Series 2024,</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Series 2027 and Series 2029 Term Preferred Shares (each, a “Share”),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Per Share</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Dividend</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10"/>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Declared</w:t>
            </w:r>
          </w:p>
        </w:tc>
        <w:tc>
          <w:tcPr>
            <w:tcW w:w="2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Dates</w:t>
            </w: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88"/>
              </w:rPr>
              <w:t>Payable Dates</w:t>
            </w:r>
          </w:p>
        </w:tc>
      </w:tr>
      <w:tr>
        <w:trPr>
          <w:trHeight w:val="47"/>
        </w:trPr>
        <w:tc>
          <w:tcPr>
            <w:tcW w:w="13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r>
      <w:tr>
        <w:trPr>
          <w:trHeight w:val="195"/>
        </w:trPr>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Series 2024</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0.14062500</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December 17, 2021, January 17,</w:t>
            </w:r>
          </w:p>
        </w:tc>
        <w:tc>
          <w:tcPr>
            <w:tcW w:w="100" w:type="dxa"/>
            <w:vAlign w:val="bottom"/>
            <w:shd w:val="clear" w:color="auto" w:fill="CCEEFF"/>
          </w:tcPr>
          <w:p>
            <w:pPr>
              <w:spacing w:after="0"/>
              <w:rPr>
                <w:sz w:val="16"/>
                <w:szCs w:val="16"/>
                <w:color w:val="auto"/>
              </w:rPr>
            </w:pPr>
          </w:p>
        </w:tc>
        <w:tc>
          <w:tcPr>
            <w:tcW w:w="25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December 31, 2021, January 31,</w:t>
            </w:r>
          </w:p>
        </w:tc>
      </w:tr>
      <w:tr>
        <w:trPr>
          <w:trHeight w:val="251"/>
        </w:trPr>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2022, February 14, 2022</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 February 28, 2022</w:t>
            </w: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b w:val="1"/>
                <w:bCs w:val="1"/>
                <w:color w:val="auto"/>
              </w:rPr>
              <w:t>Series 2027</w:t>
            </w: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0.13020833</w:t>
            </w:r>
          </w:p>
        </w:tc>
        <w:tc>
          <w:tcPr>
            <w:tcW w:w="24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December 17, 2021, January 17,</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88"/>
              </w:rPr>
              <w:t>December 31, 2021, January 31,</w:t>
            </w: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2022, February 14, 2022</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2022, February 28, 2022</w:t>
            </w:r>
          </w:p>
        </w:tc>
      </w:tr>
      <w:tr>
        <w:trPr>
          <w:trHeight w:val="40"/>
        </w:trPr>
        <w:tc>
          <w:tcPr>
            <w:tcW w:w="1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02"/>
        </w:trPr>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Series 2029</w:t>
            </w:r>
          </w:p>
        </w:tc>
        <w:tc>
          <w:tcPr>
            <w:tcW w:w="6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0.12500000</w:t>
            </w:r>
          </w:p>
        </w:tc>
        <w:tc>
          <w:tcPr>
            <w:tcW w:w="24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December 17, 2021, January 17,</w:t>
            </w:r>
          </w:p>
        </w:tc>
        <w:tc>
          <w:tcPr>
            <w:tcW w:w="2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December 31, 2021, January 31,</w:t>
            </w:r>
          </w:p>
        </w:tc>
      </w:tr>
      <w:tr>
        <w:trPr>
          <w:trHeight w:val="230"/>
        </w:trPr>
        <w:tc>
          <w:tcPr>
            <w:tcW w:w="1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2022, February 14, 2022</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 February 28, 2022</w:t>
            </w:r>
          </w:p>
        </w:tc>
      </w:tr>
      <w:tr>
        <w:trPr>
          <w:trHeight w:val="40"/>
        </w:trPr>
        <w:tc>
          <w:tcPr>
            <w:tcW w:w="13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Fund has evaluated subsequent events through the date of issuance and noted no other events that necessitate adjustments to or disclosure in the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REINVESTMENT PLAN</w:t>
      </w:r>
    </w:p>
    <w:p>
      <w:pPr>
        <w:spacing w:after="0" w:line="14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09"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01" w:lineRule="exact"/>
        <w:rPr>
          <w:sz w:val="20"/>
          <w:szCs w:val="20"/>
          <w:color w:val="auto"/>
        </w:rPr>
      </w:pPr>
    </w:p>
    <w:p>
      <w:pPr>
        <w:ind w:left="460" w:right="1079" w:firstLine="432"/>
        <w:spacing w:after="0" w:line="308" w:lineRule="auto"/>
        <w:rPr>
          <w:sz w:val="20"/>
          <w:szCs w:val="20"/>
          <w:color w:val="auto"/>
        </w:rPr>
      </w:pPr>
      <w:r>
        <w:rPr>
          <w:rFonts w:ascii="Arial" w:cs="Arial" w:eastAsia="Arial" w:hAnsi="Arial"/>
          <w:sz w:val="17"/>
          <w:szCs w:val="17"/>
          <w:color w:val="auto"/>
        </w:rPr>
        <w:t>Those stockholders whose shares are held by a broker or other financial intermediary may receive distributions in cash by notifying their broker or other financial intermediary of their election.</w:t>
      </w:r>
    </w:p>
    <w:p>
      <w:pPr>
        <w:spacing w:after="0" w:line="65"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17"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10"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95"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Arial" w:cs="Arial" w:eastAsia="Arial" w:hAnsi="Arial"/>
          <w:sz w:val="17"/>
          <w:szCs w:val="17"/>
          <w:i w:val="1"/>
          <w:iCs w:val="1"/>
          <w:color w:val="auto"/>
        </w:rPr>
        <w:t>www.computershare.com/investor</w:t>
      </w:r>
      <w:r>
        <w:rPr>
          <w:rFonts w:ascii="Arial" w:cs="Arial" w:eastAsia="Arial" w:hAnsi="Arial"/>
          <w:sz w:val="17"/>
          <w:szCs w:val="17"/>
          <w:color w:val="auto"/>
        </w:rPr>
        <w:t>, telephone number is 1-800-426-5523 and written correspondence can be</w:t>
      </w:r>
      <w:r>
        <w:rPr>
          <w:rFonts w:ascii="Arial" w:cs="Arial" w:eastAsia="Arial" w:hAnsi="Arial"/>
          <w:sz w:val="17"/>
          <w:szCs w:val="17"/>
          <w:i w:val="1"/>
          <w:iCs w:val="1"/>
          <w:color w:val="auto"/>
        </w:rPr>
        <w:t xml:space="preserve"> </w:t>
      </w:r>
      <w:r>
        <w:rPr>
          <w:rFonts w:ascii="Arial" w:cs="Arial" w:eastAsia="Arial" w:hAnsi="Arial"/>
          <w:sz w:val="17"/>
          <w:szCs w:val="17"/>
          <w:color w:val="auto"/>
        </w:rPr>
        <w:t>mailed to Computershare Trust Company, N.A., P.O. Box 30170, College Station, TX 77845.</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Our Board of Directors oversees our management. The Board of Directors currently consists of five members, three of whom are not “interested persons” of Oxford Lane Capital Corp. as defined in Section 2(a)</w:t>
      </w:r>
    </w:p>
    <w:p>
      <w:pPr>
        <w:ind w:left="460" w:right="499" w:hanging="6"/>
        <w:spacing w:after="0" w:line="271" w:lineRule="auto"/>
        <w:tabs>
          <w:tab w:leader="none" w:pos="8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111"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7"/>
          <w:szCs w:val="17"/>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Director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 of</w:t>
            </w:r>
          </w:p>
        </w:tc>
      </w:tr>
      <w:tr>
        <w:trPr>
          <w:trHeight w:val="210"/>
        </w:trPr>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18"/>
                <w:szCs w:val="18"/>
                <w:color w:val="auto"/>
              </w:rPr>
            </w:pPr>
          </w:p>
        </w:tc>
        <w:tc>
          <w:tcPr>
            <w:tcW w:w="2820" w:type="dxa"/>
            <w:vAlign w:val="bottom"/>
            <w:gridSpan w:val="2"/>
          </w:tcPr>
          <w:p>
            <w:pPr>
              <w:ind w:left="1080"/>
              <w:spacing w:after="0"/>
              <w:rPr>
                <w:sz w:val="20"/>
                <w:szCs w:val="20"/>
                <w:color w:val="auto"/>
              </w:rPr>
            </w:pPr>
            <w:r>
              <w:rPr>
                <w:rFonts w:ascii="Arial" w:cs="Arial" w:eastAsia="Arial" w:hAnsi="Arial"/>
                <w:sz w:val="16"/>
                <w:szCs w:val="16"/>
                <w:b w:val="1"/>
                <w:bCs w:val="1"/>
                <w:color w:val="auto"/>
              </w:rPr>
              <w:t>Position</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Since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Term</w:t>
            </w:r>
          </w:p>
        </w:tc>
      </w:tr>
      <w:tr>
        <w:trPr>
          <w:trHeight w:val="47"/>
        </w:trPr>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7"/>
        </w:trPr>
        <w:tc>
          <w:tcPr>
            <w:tcW w:w="1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Interested Directors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w w:val="97"/>
              </w:rPr>
              <w:t>Chief Executive Officer and Director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53"/>
        </w:trPr>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64"/>
        </w:trPr>
        <w:tc>
          <w:tcPr>
            <w:tcW w:w="1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Saul B. Rosenthal</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9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President and Director</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83"/>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1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Independent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5"/>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Directors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Mark J. Ashenfelter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53"/>
        </w:trPr>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63"/>
        </w:trPr>
        <w:tc>
          <w:tcPr>
            <w:tcW w:w="1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Reardon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9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David S. Shin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2024</w:t>
            </w:r>
          </w:p>
        </w:tc>
      </w:tr>
    </w:tbl>
    <w:p>
      <w:pPr>
        <w:spacing w:after="0" w:line="21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address for each of our directors is c/o Oxford Lane Capital Corp., 8 Sound Shore Drive, Suite 255, Greenwich, CT 06830.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5100" w:type="dxa"/>
            <w:vAlign w:val="bottom"/>
          </w:tcPr>
          <w:p>
            <w:pPr>
              <w:ind w:left="226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00" w:type="dxa"/>
            <w:vAlign w:val="bottom"/>
            <w:tcBorders>
              <w:bottom w:val="single" w:sz="8" w:color="auto"/>
            </w:tcBorders>
          </w:tcPr>
          <w:p>
            <w:pPr>
              <w:spacing w:after="0"/>
              <w:rPr>
                <w:sz w:val="4"/>
                <w:szCs w:val="4"/>
                <w:color w:val="auto"/>
              </w:rPr>
            </w:pPr>
          </w:p>
        </w:tc>
      </w:tr>
      <w:tr>
        <w:trPr>
          <w:trHeight w:val="243"/>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Bruce L. Rubin</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Treasurer and Corporate Secretary</w:t>
            </w: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Gerald Cummins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44" w:lineRule="exact"/>
        <w:rPr>
          <w:sz w:val="20"/>
          <w:szCs w:val="20"/>
          <w:color w:val="auto"/>
        </w:rPr>
      </w:pPr>
    </w:p>
    <w:p>
      <w:pPr>
        <w:ind w:left="460" w:right="799" w:firstLine="432"/>
        <w:spacing w:after="0" w:line="308" w:lineRule="auto"/>
        <w:rPr>
          <w:sz w:val="20"/>
          <w:szCs w:val="20"/>
          <w:color w:val="auto"/>
        </w:rPr>
      </w:pPr>
      <w:r>
        <w:rPr>
          <w:rFonts w:ascii="Arial" w:cs="Arial" w:eastAsia="Arial" w:hAnsi="Arial"/>
          <w:sz w:val="17"/>
          <w:szCs w:val="17"/>
          <w:color w:val="auto"/>
        </w:rPr>
        <w:t>Our directors have been divided into two groups — interested directors and independent directors. An interested director is an “interested person” as defined in Section 2(a)(19) of the 1940 Act.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Interested Directors</w:t>
      </w:r>
    </w:p>
    <w:p>
      <w:pPr>
        <w:spacing w:after="0" w:line="162" w:lineRule="exact"/>
        <w:rPr>
          <w:sz w:val="20"/>
          <w:szCs w:val="20"/>
          <w:color w:val="auto"/>
        </w:rPr>
      </w:pPr>
    </w:p>
    <w:p>
      <w:pPr>
        <w:jc w:val="both"/>
        <w:ind w:left="460" w:right="499" w:firstLine="432"/>
        <w:spacing w:after="0" w:line="279" w:lineRule="auto"/>
        <w:rPr>
          <w:sz w:val="20"/>
          <w:szCs w:val="20"/>
          <w:color w:val="auto"/>
        </w:rPr>
      </w:pPr>
      <w:r>
        <w:rPr>
          <w:rFonts w:ascii="Arial" w:cs="Arial" w:eastAsia="Arial" w:hAnsi="Arial"/>
          <w:sz w:val="17"/>
          <w:szCs w:val="17"/>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Oxford Funds, the administrator for Oxford Lane Capital.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b w:val="1"/>
          <w:bCs w:val="1"/>
          <w:i w:val="1"/>
          <w:iCs w:val="1"/>
          <w:color w:val="auto"/>
        </w:rPr>
        <w:t xml:space="preserve">Jonathan H. Cohen </w:t>
      </w:r>
      <w:r>
        <w:rPr>
          <w:rFonts w:ascii="Arial" w:cs="Arial" w:eastAsia="Arial" w:hAnsi="Arial"/>
          <w:sz w:val="18"/>
          <w:szCs w:val="18"/>
          <w:color w:val="auto"/>
        </w:rPr>
        <w:t>has served as Chief Executive Officer of both Oxford Lane Capital Corp. and Oxford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Lane Management since 2010. Mr. Cohen has also served since 2003 as Chief Executive Officer of both Oxford Square Capital Corp. (NasdaqGS: OXSQ), a publicly traded business development company, and Oxford Square Management, LLC, Oxford Square Capital Corp.’s investment adviser, and as the managing member of Oxford Funds.</w:t>
      </w:r>
    </w:p>
    <w:p>
      <w:pPr>
        <w:spacing w:after="0" w:line="120"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Since 2015 and 2018, respectively, Mr. Cohen has also served as the Chief Executive Officer of each of Oxford Bridge Management, LLC, or “Oxford Bridge Management,” the investment adviser to Oxford Bridge, LLC and Oxford Bridge II, LLC (collectively, the “Oxford Bridge Funds”), and Oxford Gate Management, LLC, or “Oxford Gate Management,” the investment adviser to Oxford Gate Master Fund, LLC, Oxford Gate, LLC and Oxford Gate (Bermuda), LLC (collectively, the “Oxford Gate Funds”). The Oxford Bridge Funds and the Oxford Gate Funds are private investment funds. Mr. Cohen is also a member of the Board of Directors of Oxford Square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00"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b w:val="1"/>
          <w:bCs w:val="1"/>
          <w:i w:val="1"/>
          <w:iCs w:val="1"/>
          <w:color w:val="auto"/>
        </w:rPr>
        <w:t xml:space="preserve">Saul B. Rosenthal </w:t>
      </w:r>
      <w:r>
        <w:rPr>
          <w:rFonts w:ascii="Arial" w:cs="Arial" w:eastAsia="Arial" w:hAnsi="Arial"/>
          <w:sz w:val="16"/>
          <w:szCs w:val="16"/>
          <w:color w:val="auto"/>
        </w:rPr>
        <w:t>has served as President of both Oxford Lane Capital Corp. and Oxford Lane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since 2010. Mr. Rosenthal has also served as President since 2004 of Oxford Square Capital Corp. (NasdaqGS: OXSQ), a publicly traded business development company. Mr. Rosenthal has also served as President of Oxford Bridge Management, the investment adviser to the Oxford Bridge Funds and Oxford Gate Management, the investment adviser to the Oxford Gate Funds, since 2015 and 2018, respectively.</w:t>
      </w:r>
    </w:p>
    <w:p>
      <w:pPr>
        <w:spacing w:after="0" w:line="2" w:lineRule="exact"/>
        <w:rPr>
          <w:sz w:val="20"/>
          <w:szCs w:val="20"/>
          <w:color w:val="auto"/>
        </w:rPr>
      </w:pPr>
    </w:p>
    <w:p>
      <w:pPr>
        <w:ind w:left="460" w:right="499"/>
        <w:spacing w:after="0" w:line="281" w:lineRule="auto"/>
        <w:rPr>
          <w:sz w:val="20"/>
          <w:szCs w:val="20"/>
          <w:color w:val="auto"/>
        </w:rPr>
      </w:pPr>
      <w:r>
        <w:rPr>
          <w:rFonts w:ascii="Arial" w:cs="Arial" w:eastAsia="Arial" w:hAnsi="Arial"/>
          <w:sz w:val="16"/>
          <w:szCs w:val="16"/>
          <w:color w:val="auto"/>
        </w:rPr>
        <w:t>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w:t>
      </w:r>
    </w:p>
    <w:p>
      <w:pPr>
        <w:spacing w:after="0" w:line="2" w:lineRule="exact"/>
        <w:rPr>
          <w:sz w:val="20"/>
          <w:szCs w:val="20"/>
          <w:color w:val="auto"/>
        </w:rPr>
      </w:pPr>
    </w:p>
    <w:p>
      <w:pPr>
        <w:ind w:left="460" w:right="579"/>
        <w:spacing w:after="0" w:line="255" w:lineRule="auto"/>
        <w:rPr>
          <w:sz w:val="20"/>
          <w:szCs w:val="20"/>
          <w:color w:val="auto"/>
        </w:rPr>
      </w:pPr>
      <w:r>
        <w:rPr>
          <w:rFonts w:ascii="Arial" w:cs="Arial" w:eastAsia="Arial" w:hAnsi="Arial"/>
          <w:sz w:val="18"/>
          <w:szCs w:val="18"/>
          <w:color w:val="auto"/>
        </w:rPr>
        <w:t>Mr. Rosenthal’s depth of experience in managerial positions in investment management, as well as his intimate knowledge of our business and operations, gives the Board of Directors the valuable perspective of a knowledgeable corporate leader.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The following directors are not “interested persons” of Oxford Lane Capital, as defined in the 1940 Act.</w:t>
      </w:r>
    </w:p>
    <w:p>
      <w:pPr>
        <w:spacing w:after="0" w:line="16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b w:val="1"/>
          <w:bCs w:val="1"/>
          <w:i w:val="1"/>
          <w:iCs w:val="1"/>
          <w:color w:val="auto"/>
        </w:rPr>
        <w:t xml:space="preserve">Mark J. Ashenfelter </w:t>
      </w:r>
      <w:r>
        <w:rPr>
          <w:rFonts w:ascii="Arial" w:cs="Arial" w:eastAsia="Arial" w:hAnsi="Arial"/>
          <w:sz w:val="18"/>
          <w:szCs w:val="18"/>
          <w:color w:val="auto"/>
        </w:rPr>
        <w:t>presently serves as a Senior Vice President and the General Counsel of Haebler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24" w:lineRule="exact"/>
        <w:rPr>
          <w:sz w:val="20"/>
          <w:szCs w:val="20"/>
          <w:color w:val="auto"/>
        </w:rPr>
      </w:pPr>
    </w:p>
    <w:p>
      <w:pPr>
        <w:jc w:val="both"/>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John Reardon </w:t>
      </w:r>
      <w:r>
        <w:rPr>
          <w:rFonts w:ascii="Arial" w:cs="Arial" w:eastAsia="Arial" w:hAnsi="Arial"/>
          <w:sz w:val="16"/>
          <w:szCs w:val="16"/>
          <w:color w:val="auto"/>
        </w:rPr>
        <w:t>is the founder of Reardon Consulting, LLP, a consulting firm that specializes in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and business development for technology companies. Mr. Reardon also serves as a Board Member and Audit Committee Member for Schurz Communications, Inc., a leading privately-held broadband provider.</w:t>
      </w:r>
    </w:p>
    <w:p>
      <w:pPr>
        <w:spacing w:after="0" w:line="2" w:lineRule="exact"/>
        <w:rPr>
          <w:sz w:val="20"/>
          <w:szCs w:val="20"/>
          <w:color w:val="auto"/>
        </w:rPr>
      </w:pPr>
    </w:p>
    <w:p>
      <w:pPr>
        <w:ind w:left="460" w:right="639"/>
        <w:spacing w:after="0" w:line="252" w:lineRule="auto"/>
        <w:rPr>
          <w:sz w:val="20"/>
          <w:szCs w:val="20"/>
          <w:color w:val="auto"/>
        </w:rPr>
      </w:pPr>
      <w:r>
        <w:rPr>
          <w:rFonts w:ascii="Arial" w:cs="Arial" w:eastAsia="Arial" w:hAnsi="Arial"/>
          <w:sz w:val="18"/>
          <w:szCs w:val="18"/>
          <w:color w:val="auto"/>
        </w:rPr>
        <w:t>Mr. Reardon is an independent director of Greenstone Acquisition Corporation, a special purpose acquisition company. Mr. Reardon served from 2019 until 2021 as the Director of Business Strategy, Smart Cities, for American Infrastructure Partners, LP, an infrastructure fund based in Foster City, California. Mr. Reardon previously was the Managing Director of Choctaw Telecom LLC. In addition, Mr. Reardon served as Chief Executive Officer, General Counsel, and a member of the Board of Directors of Mobex Communications, Inc. from 1997 until 2005. Mr. Reardon began his career in telecom law at the boutique Washington, DC firm of Keller and Heckman, LLP.</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86" w:lineRule="auto"/>
        <w:rPr>
          <w:sz w:val="20"/>
          <w:szCs w:val="20"/>
          <w:color w:val="auto"/>
        </w:rPr>
      </w:pPr>
      <w:r>
        <w:rPr>
          <w:rFonts w:ascii="Arial" w:cs="Arial" w:eastAsia="Arial" w:hAnsi="Arial"/>
          <w:sz w:val="17"/>
          <w:szCs w:val="17"/>
          <w:color w:val="auto"/>
        </w:rPr>
        <w:t>Mr. Reardon received a Bachelor of Arts degree, summa cum laude, from Boston University, and earned his J.D. from Columbia Law School. Mr. Reardon’s extensive experience as a senior corporate executive provides our Board of Directors the perspective of a knowledgeable corporate leader.</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b w:val="1"/>
          <w:bCs w:val="1"/>
          <w:i w:val="1"/>
          <w:iCs w:val="1"/>
          <w:color w:val="auto"/>
        </w:rPr>
        <w:t xml:space="preserve">David S. Shin </w:t>
      </w:r>
      <w:r>
        <w:rPr>
          <w:rFonts w:ascii="Arial" w:cs="Arial" w:eastAsia="Arial" w:hAnsi="Arial"/>
          <w:sz w:val="16"/>
          <w:szCs w:val="16"/>
          <w:color w:val="auto"/>
        </w:rPr>
        <w:t>presently is a consultant to a large, private equity company. Prior to this, Mr. Shin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served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b w:val="1"/>
          <w:bCs w:val="1"/>
          <w:i w:val="1"/>
          <w:iCs w:val="1"/>
          <w:color w:val="auto"/>
        </w:rPr>
        <w:t xml:space="preserve">Bruce L. Rubin </w:t>
      </w:r>
      <w:r>
        <w:rPr>
          <w:rFonts w:ascii="Arial" w:cs="Arial" w:eastAsia="Arial" w:hAnsi="Arial"/>
          <w:sz w:val="16"/>
          <w:szCs w:val="16"/>
          <w:color w:val="auto"/>
        </w:rPr>
        <w:t>has served as our Chief Financial Officer and Corporate Secretary since August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as our Treasurer and Controller since our initial public offering in 2011. Mr. Rubin has also served as Oxford Square Capital Corp.’s Controller since 2005, Oxford Square Capital Corp.’s Treasurer since 2009, and Oxford Square Capital Corp.’s Chief Financial Officer, Chief Accounting Officer and Corporate Secretary since August 2015. Mr. Rubin also currently serves as the Chief Financial Officer and Secretary of Oxford Lane Management, Oxford Square Management, LLC, Oxford Funds, Oxford Bridge Management, LLC, and Oxford Gate Management, LLC.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9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Gerald Cummins </w:t>
      </w:r>
      <w:r>
        <w:rPr>
          <w:rFonts w:ascii="Arial" w:cs="Arial" w:eastAsia="Arial" w:hAnsi="Arial"/>
          <w:sz w:val="16"/>
          <w:szCs w:val="16"/>
          <w:color w:val="auto"/>
        </w:rPr>
        <w:t>has served as our Chief Compliance Officer, as well as the Chief Compliance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Oxford Lane Management, Oxford Square Capital Corp., Oxford Square Management, LLC, since June 2015 pursuant to an agreement between us and Alaric Compliance Services, LLC (“Alaric”), a compliance consulting firm. Mr. Cummins also currently serves as the Chief Compliance Officer of Oxford Square Capital Corp., Oxford Square Management, Oxford Funds LLC, Oxford Bridge Management, LLC and Oxford Gate Management, LLC. Mr. Cummins has been a director of Alaric since June 2014 and in that capacity he also serves as the Chief Compliance Officer to a private equity firm. Prior to joining Alaric,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Directors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compensation of our directors for the six months ended September 30,</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Fees</w:t>
            </w:r>
          </w:p>
        </w:tc>
        <w:tc>
          <w:tcPr>
            <w:tcW w:w="1500" w:type="dxa"/>
            <w:vAlign w:val="bottom"/>
            <w:gridSpan w:val="3"/>
          </w:tcPr>
          <w:p>
            <w:pPr>
              <w:ind w:left="220"/>
              <w:spacing w:after="0"/>
              <w:rPr>
                <w:sz w:val="20"/>
                <w:szCs w:val="20"/>
                <w:color w:val="auto"/>
              </w:rPr>
            </w:pPr>
            <w:r>
              <w:rPr>
                <w:rFonts w:ascii="Arial" w:cs="Arial" w:eastAsia="Arial" w:hAnsi="Arial"/>
                <w:sz w:val="16"/>
                <w:szCs w:val="16"/>
                <w:b w:val="1"/>
                <w:bCs w:val="1"/>
                <w:color w:val="auto"/>
              </w:rPr>
              <w:t>All Other</w:t>
            </w:r>
          </w:p>
        </w:tc>
        <w:tc>
          <w:tcPr>
            <w:tcW w:w="1000" w:type="dxa"/>
            <w:vAlign w:val="bottom"/>
          </w:tcPr>
          <w:p>
            <w:pPr>
              <w:spacing w:after="0"/>
              <w:rPr>
                <w:sz w:val="17"/>
                <w:szCs w:val="17"/>
                <w:color w:val="auto"/>
              </w:rPr>
            </w:pPr>
          </w:p>
        </w:tc>
      </w:tr>
      <w:tr>
        <w:trPr>
          <w:trHeight w:val="25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Earned</w:t>
            </w:r>
            <w:r>
              <w:rPr>
                <w:rFonts w:ascii="Arial" w:cs="Arial" w:eastAsia="Arial" w:hAnsi="Arial"/>
                <w:sz w:val="18"/>
                <w:szCs w:val="18"/>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Compensation</w:t>
            </w:r>
            <w:r>
              <w:rPr>
                <w:rFonts w:ascii="Arial" w:cs="Arial" w:eastAsia="Arial" w:hAnsi="Arial"/>
                <w:sz w:val="18"/>
                <w:szCs w:val="18"/>
                <w:b w:val="1"/>
                <w:bCs w:val="1"/>
                <w:color w:val="auto"/>
                <w:w w:val="89"/>
                <w:vertAlign w:val="superscript"/>
              </w:rPr>
              <w:t>(2)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61"/>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Saul B. Rosenthal</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Mark J. Ashenfelter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54,000</w:t>
            </w: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Reardon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w:t>
            </w: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David S. Shin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59,000</w:t>
            </w: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59,000</w:t>
            </w:r>
          </w:p>
        </w:tc>
      </w:tr>
      <w:tr>
        <w:trPr>
          <w:trHeight w:val="291"/>
        </w:trPr>
        <w:tc>
          <w:tcPr>
            <w:tcW w:w="428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77" w:lineRule="exact"/>
        <w:rPr>
          <w:sz w:val="20"/>
          <w:szCs w:val="20"/>
          <w:color w:val="auto"/>
        </w:rPr>
      </w:pPr>
    </w:p>
    <w:p>
      <w:pPr>
        <w:ind w:left="880" w:hanging="426"/>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a discussion of the independent directors’ compensation, see below.</w:t>
      </w:r>
    </w:p>
    <w:p>
      <w:pPr>
        <w:spacing w:after="0" w:line="22" w:lineRule="exact"/>
        <w:rPr>
          <w:rFonts w:ascii="Arial" w:cs="Arial" w:eastAsia="Arial" w:hAnsi="Arial"/>
          <w:sz w:val="16"/>
          <w:szCs w:val="16"/>
          <w:color w:val="auto"/>
        </w:rPr>
      </w:pPr>
    </w:p>
    <w:p>
      <w:pPr>
        <w:ind w:left="880" w:hanging="426"/>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do not maintain a stock option plan, non-equity incentive plan or pension plan for our directors.</w:t>
      </w:r>
    </w:p>
    <w:p>
      <w:pPr>
        <w:spacing w:after="0" w:line="159"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The independent directors receive an annual fee of $90,000.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We do not have a compensation committee because our executive officers do not receive any direct compensation from the Fund.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11"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compensation of Mr. Rubin, our Chief Financial Officer, Treasurer and Corporate Secretary, is paid by our administrator, Oxford Funds, subject to reimbursement by us of an allocable portion of such compensation for services rendered by Mr. Rubin to the Fund.</w:t>
      </w:r>
    </w:p>
    <w:p>
      <w:pPr>
        <w:spacing w:after="0" w:line="116"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Mr. Cummins, our Chief Compliance Officer, is a director of Alaric, and performs his functions under the terms of an agreement between us and Alaric.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48" w:lineRule="exact"/>
        <w:rPr>
          <w:sz w:val="20"/>
          <w:szCs w:val="20"/>
          <w:color w:val="auto"/>
        </w:rPr>
      </w:pPr>
    </w:p>
    <w:p>
      <w:pPr>
        <w:ind w:left="460" w:right="739" w:firstLine="432"/>
        <w:spacing w:after="0" w:line="296" w:lineRule="auto"/>
        <w:rPr>
          <w:sz w:val="20"/>
          <w:szCs w:val="20"/>
          <w:color w:val="auto"/>
        </w:rPr>
      </w:pPr>
      <w:r>
        <w:rPr>
          <w:rFonts w:ascii="Arial" w:cs="Arial" w:eastAsia="Arial" w:hAnsi="Arial"/>
          <w:sz w:val="16"/>
          <w:szCs w:val="16"/>
          <w:color w:val="auto"/>
        </w:rPr>
        <w:t>At an in-person meeting of our Board of Directors held on July 29, 2021, our Board of Directors unanimously voted to re-approve the Investment Advisory Agreement. In reaching a decision to approve the Investment Advisory Agreement, the independent directors reviewed a significant amount of information provided by Oxford Lane Management in response to questionnaires provided by counsel to the independent directors on behalf of the independent directors and considered and concluded, among other things:</w:t>
      </w:r>
    </w:p>
    <w:p>
      <w:pPr>
        <w:spacing w:after="0" w:line="94" w:lineRule="exact"/>
        <w:rPr>
          <w:sz w:val="20"/>
          <w:szCs w:val="20"/>
          <w:color w:val="auto"/>
        </w:rPr>
      </w:pPr>
    </w:p>
    <w:p>
      <w:pPr>
        <w:ind w:left="1320" w:right="479" w:hanging="434"/>
        <w:spacing w:after="0" w:line="255"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Oxford Lane Management, including with respect to the investment process and Oxford Lane Management’s policies and guidelines currently in place to monitor and manage the risk and volatility associated with the Fund’s portfolio, and the qualifications and abilities of the professional personnel of Oxford Lane Management and the compensation structure for such personnel, and concluded that such services are satisfactory;</w:t>
      </w:r>
    </w:p>
    <w:p>
      <w:pPr>
        <w:spacing w:after="0" w:line="124"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investment performance of OXLC and Oxford Lane Management including a comparison to the performance of OXLC’s peer group, and concluded that OXLC’s performance is reasonable in comparison to its peers;</w:t>
      </w:r>
    </w:p>
    <w:p>
      <w:pPr>
        <w:spacing w:after="0" w:line="102" w:lineRule="exact"/>
        <w:rPr>
          <w:rFonts w:ascii="Arial" w:cs="Arial" w:eastAsia="Arial" w:hAnsi="Arial"/>
          <w:sz w:val="18"/>
          <w:szCs w:val="18"/>
          <w:color w:val="auto"/>
        </w:rPr>
      </w:pPr>
    </w:p>
    <w:p>
      <w:pPr>
        <w:ind w:left="1320" w:right="539" w:hanging="434"/>
        <w:spacing w:after="0" w:line="286"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Comparative data with respect to advisory fees or similar expenses paid by other closed-end management investment companies with similar investment objectives, and concluded that the total advisory fees paid by OXLC to Oxford Lane Management were not unreasonable;</w:t>
      </w:r>
    </w:p>
    <w:p>
      <w:pPr>
        <w:spacing w:after="0" w:line="97" w:lineRule="exact"/>
        <w:rPr>
          <w:rFonts w:ascii="Arial" w:cs="Arial" w:eastAsia="Arial" w:hAnsi="Arial"/>
          <w:sz w:val="17"/>
          <w:szCs w:val="17"/>
          <w:color w:val="auto"/>
        </w:rPr>
      </w:pPr>
    </w:p>
    <w:p>
      <w:pPr>
        <w:ind w:left="1320" w:right="879" w:hanging="434"/>
        <w:spacing w:after="0" w:line="263"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historical and projected operating expenses and expense ratio compared to closed-end management investment companies with similar investment objectives, and concluded that our operating expenses were reasonable;</w:t>
      </w:r>
    </w:p>
    <w:p>
      <w:pPr>
        <w:spacing w:after="0" w:line="116" w:lineRule="exact"/>
        <w:rPr>
          <w:rFonts w:ascii="Arial" w:cs="Arial" w:eastAsia="Arial" w:hAnsi="Arial"/>
          <w:sz w:val="18"/>
          <w:szCs w:val="18"/>
          <w:color w:val="auto"/>
        </w:rPr>
      </w:pPr>
    </w:p>
    <w:p>
      <w:pPr>
        <w:ind w:left="1320" w:right="1419" w:hanging="434"/>
        <w:spacing w:after="0" w:line="277"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possible benefits to Oxford Lane Management and its affiliates arising from their relationships with the Fund;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economies of scale arising from the Fund’s size and/or anticipated growth;</w:t>
      </w:r>
    </w:p>
    <w:p>
      <w:pPr>
        <w:spacing w:after="0" w:line="157"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16" w:lineRule="exact"/>
        <w:rPr>
          <w:rFonts w:ascii="Arial" w:cs="Arial" w:eastAsia="Arial" w:hAnsi="Arial"/>
          <w:sz w:val="18"/>
          <w:szCs w:val="18"/>
          <w:color w:val="auto"/>
        </w:rPr>
      </w:pPr>
    </w:p>
    <w:p>
      <w:pPr>
        <w:ind w:left="1320" w:right="639" w:hanging="434"/>
        <w:spacing w:after="0" w:line="286"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84"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Based on the information reviewed and the discussions detailed above, the Board of Directors, including all of the directors who are not “interested persons” as defined in the 1940 Act, and assisted by independent counsel, concluded that the fees payable to Oxford Lane Management pursuant to the Investment Advisory Agreement were not unreasonable,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MATTERS TO A VOTE OF STOCKHOLDERS</w:t>
      </w:r>
    </w:p>
    <w:p>
      <w:pPr>
        <w:spacing w:after="0" w:line="148"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The Fund held its Annual Meeting of Stockholders (the ‘‘Meeting’’) on October 22, 2021 and submitted one matter to the vote of the stockholders. At the Meeting, stockholders elected nominees for director, to serve for a three-year term to expire at the 2024 Annual Meeting of Stockholders based on the following votes: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Votes for</w:t>
            </w:r>
          </w:p>
        </w:tc>
        <w:tc>
          <w:tcPr>
            <w:tcW w:w="1240" w:type="dxa"/>
            <w:vAlign w:val="bottom"/>
          </w:tcPr>
          <w:p>
            <w:pPr>
              <w:jc w:val="right"/>
              <w:ind w:right="13"/>
              <w:spacing w:after="0"/>
              <w:rPr>
                <w:sz w:val="20"/>
                <w:szCs w:val="20"/>
                <w:color w:val="auto"/>
              </w:rPr>
            </w:pPr>
            <w:r>
              <w:rPr>
                <w:rFonts w:ascii="Arial" w:cs="Arial" w:eastAsia="Arial" w:hAnsi="Arial"/>
                <w:sz w:val="16"/>
                <w:szCs w:val="16"/>
                <w:b w:val="1"/>
                <w:bCs w:val="1"/>
                <w:color w:val="auto"/>
                <w:w w:val="96"/>
              </w:rPr>
              <w:t>Votes Withheld</w:t>
            </w:r>
          </w:p>
        </w:tc>
      </w:tr>
      <w:tr>
        <w:trPr>
          <w:trHeight w:val="46"/>
        </w:trPr>
        <w:tc>
          <w:tcPr>
            <w:tcW w:w="5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66,989,898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7,322,211</w:t>
            </w:r>
          </w:p>
        </w:tc>
      </w:tr>
      <w:tr>
        <w:trPr>
          <w:trHeight w:val="291"/>
        </w:trPr>
        <w:tc>
          <w:tcPr>
            <w:tcW w:w="5620" w:type="dxa"/>
            <w:vAlign w:val="bottom"/>
            <w:gridSpan w:val="2"/>
          </w:tcPr>
          <w:p>
            <w:pPr>
              <w:spacing w:after="0"/>
              <w:rPr>
                <w:sz w:val="20"/>
                <w:szCs w:val="20"/>
                <w:color w:val="auto"/>
              </w:rPr>
            </w:pPr>
            <w:r>
              <w:rPr>
                <w:rFonts w:ascii="Arial" w:cs="Arial" w:eastAsia="Arial" w:hAnsi="Arial"/>
                <w:sz w:val="18"/>
                <w:szCs w:val="18"/>
                <w:color w:val="auto"/>
              </w:rPr>
              <w:t>David S. Shin</w:t>
            </w:r>
            <w:r>
              <w:rPr>
                <w:rFonts w:ascii="Arial" w:cs="Arial" w:eastAsia="Arial" w:hAnsi="Arial"/>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5,435,402</w:t>
            </w:r>
          </w:p>
        </w:tc>
        <w:tc>
          <w:tcPr>
            <w:tcW w:w="1240" w:type="dxa"/>
            <w:vAlign w:val="bottom"/>
          </w:tcPr>
          <w:p>
            <w:pPr>
              <w:jc w:val="right"/>
              <w:spacing w:after="0"/>
              <w:rPr>
                <w:sz w:val="20"/>
                <w:szCs w:val="20"/>
                <w:color w:val="auto"/>
              </w:rPr>
            </w:pPr>
            <w:r>
              <w:rPr>
                <w:rFonts w:ascii="Arial" w:cs="Arial" w:eastAsia="Arial" w:hAnsi="Arial"/>
                <w:sz w:val="18"/>
                <w:szCs w:val="18"/>
                <w:color w:val="auto"/>
              </w:rPr>
              <w:t>787,765</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Rosenthal was elected by the holders of our common stock and preferred stock, voting together as a single class.</w:t>
      </w:r>
    </w:p>
    <w:p>
      <w:pPr>
        <w:spacing w:after="0" w:line="45" w:lineRule="exact"/>
        <w:rPr>
          <w:rFonts w:ascii="Arial" w:cs="Arial" w:eastAsia="Arial" w:hAnsi="Arial"/>
          <w:sz w:val="14"/>
          <w:szCs w:val="14"/>
          <w:color w:val="auto"/>
        </w:rPr>
      </w:pPr>
    </w:p>
    <w:p>
      <w:pPr>
        <w:ind w:left="880" w:hanging="426"/>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Shin was elected by the holders of our preferred stock, voting as a single class.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Portfolio Information</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 xml:space="preserve">The Fund prepares Form N-PORT filings, which contains a complete schedule of the Fund’s portfolio holdings, on a monthly basis, and makes its N-PORT filings with the SEC on a quarterly basis within 60 days after the end of each quarter. The Fund’s N-PORT filings for the third month of each quarter are available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Proxy Information</w:t>
      </w:r>
    </w:p>
    <w:p>
      <w:pPr>
        <w:spacing w:after="0" w:line="162"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A description of the policies and procedures that the Fund’s investment adviser uses to determine how to vote proxies relating to the Fund’s portfolio securities is available (i) without charge, upon request, by calling</w:t>
      </w:r>
    </w:p>
    <w:p>
      <w:pPr>
        <w:ind w:left="460" w:right="699" w:hanging="6"/>
        <w:spacing w:after="0" w:line="281" w:lineRule="auto"/>
        <w:tabs>
          <w:tab w:leader="none" w:pos="8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983-5275; (ii) on the Fund’s website at </w:t>
      </w:r>
      <w:r>
        <w:rPr>
          <w:rFonts w:ascii="Arial" w:cs="Arial" w:eastAsia="Arial" w:hAnsi="Arial"/>
          <w:sz w:val="16"/>
          <w:szCs w:val="16"/>
          <w:i w:val="1"/>
          <w:iCs w:val="1"/>
          <w:color w:val="auto"/>
        </w:rPr>
        <w:t>http://www.oxfordlanecapital.com</w:t>
      </w:r>
      <w:r>
        <w:rPr>
          <w:rFonts w:ascii="Arial" w:cs="Arial" w:eastAsia="Arial" w:hAnsi="Arial"/>
          <w:sz w:val="16"/>
          <w:szCs w:val="16"/>
          <w:color w:val="auto"/>
        </w:rPr>
        <w:t>. Information about how the Fund’s investment adviser voted proxies with respect to the Fund’s portfolio securities during the most recent</w:t>
      </w:r>
    </w:p>
    <w:p>
      <w:pPr>
        <w:spacing w:after="0" w:line="1" w:lineRule="exact"/>
        <w:rPr>
          <w:rFonts w:ascii="Arial" w:cs="Arial" w:eastAsia="Arial" w:hAnsi="Arial"/>
          <w:sz w:val="16"/>
          <w:szCs w:val="16"/>
          <w:color w:val="auto"/>
        </w:rPr>
      </w:pPr>
    </w:p>
    <w:p>
      <w:pPr>
        <w:ind w:left="460" w:right="559"/>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Information</w:t>
      </w:r>
    </w:p>
    <w:p>
      <w:pPr>
        <w:spacing w:after="0" w:line="162"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For tax purposes, distributions to stockholders during the six months ended September 30, 2021 were approximately $43.9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Privacy Policy</w:t>
      </w:r>
    </w:p>
    <w:p>
      <w:pPr>
        <w:spacing w:after="0" w:line="14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11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1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103"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This information is used only so that we can send you annual and semi-annual reports, proxy statements and other information required by law, and to send you information we believe may be of interest to you.</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do not share such information with any non-affiliated third party except as described below:</w:t>
      </w:r>
    </w:p>
    <w:p>
      <w:pPr>
        <w:spacing w:after="0" w:line="158" w:lineRule="exact"/>
        <w:rPr>
          <w:sz w:val="20"/>
          <w:szCs w:val="20"/>
          <w:color w:val="auto"/>
        </w:rPr>
      </w:pPr>
    </w:p>
    <w:p>
      <w:pPr>
        <w:ind w:left="1320" w:right="1399" w:hanging="434"/>
        <w:spacing w:after="0" w:line="342" w:lineRule="auto"/>
        <w:tabs>
          <w:tab w:leader="none" w:pos="13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is our policy that only authorized employees of our investment adviser, Oxford Lane Management, LLC, who need to know your personal information will have access to it.</w:t>
      </w:r>
    </w:p>
    <w:p>
      <w:pPr>
        <w:spacing w:after="0" w:line="42" w:lineRule="exact"/>
        <w:rPr>
          <w:rFonts w:ascii="Arial" w:cs="Arial" w:eastAsia="Arial" w:hAnsi="Arial"/>
          <w:sz w:val="16"/>
          <w:szCs w:val="16"/>
          <w:color w:val="auto"/>
        </w:rPr>
      </w:pPr>
    </w:p>
    <w:p>
      <w:pPr>
        <w:jc w:val="both"/>
        <w:ind w:left="1320" w:right="579" w:hanging="434"/>
        <w:spacing w:after="0" w:line="311" w:lineRule="auto"/>
        <w:tabs>
          <w:tab w:leader="none" w:pos="13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81" w:lineRule="exact"/>
        <w:rPr>
          <w:rFonts w:ascii="Arial" w:cs="Arial" w:eastAsia="Arial" w:hAnsi="Arial"/>
          <w:sz w:val="16"/>
          <w:szCs w:val="16"/>
          <w:color w:val="auto"/>
        </w:rPr>
      </w:pPr>
    </w:p>
    <w:p>
      <w:pPr>
        <w:ind w:left="1320" w:right="619" w:hanging="434"/>
        <w:spacing w:after="0" w:line="263"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16"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 xml:space="preserve">Our privacy policy is available on our website at </w:t>
      </w:r>
      <w:r>
        <w:rPr>
          <w:rFonts w:ascii="Arial" w:cs="Arial" w:eastAsia="Arial" w:hAnsi="Arial"/>
          <w:sz w:val="17"/>
          <w:szCs w:val="17"/>
          <w:i w:val="1"/>
          <w:iCs w:val="1"/>
          <w:color w:val="auto"/>
        </w:rPr>
        <w:t>https://www.oxfordfunds.com/privacy-policy/</w:t>
      </w:r>
      <w:r>
        <w:rPr>
          <w:rFonts w:ascii="Arial" w:cs="Arial" w:eastAsia="Arial" w:hAnsi="Arial"/>
          <w:sz w:val="17"/>
          <w:szCs w:val="17"/>
          <w:color w:val="auto"/>
        </w:rPr>
        <w:t>. If you have any questions or concerns about the policy, please contact by calling (203) 983-5275.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Directors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 J. Ashenfelter, Chairman of the Board of Directors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John Reardon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David S. Shin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Interested Directors</w:t>
      </w:r>
      <w:r>
        <w:rPr>
          <w:rFonts w:ascii="Arial" w:cs="Arial" w:eastAsia="Arial" w:hAnsi="Arial"/>
          <w:sz w:val="20"/>
          <w:szCs w:val="20"/>
          <w:color w:val="auto"/>
          <w:vertAlign w:val="superscript"/>
        </w:rPr>
        <w:t>(1)</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Jonathan H. Cohen</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Saul B. Rosenthal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Jonathan H. Cohen,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Saul B. Rosenthal, President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Bruce L. Rubin, Chief Financial Officer, Corporate Secretary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Gerald Cummins, Chief Compliance Officer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ADVISER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Oxford Lane Management,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Sound Shore Drive, Suite 255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880" w:right="619" w:hanging="426"/>
        <w:spacing w:after="0" w:line="293"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Interested directors are “interested persons,” as defined in section 2(a)(19) of the Investment Company Act of 1940, as amended.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Oxford Lane Capital Corp.</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 Sound Shore Drive, Suite 255 | Greenwich, CT 06830 | </w:t>
      </w:r>
      <w:r>
        <w:rPr>
          <w:rFonts w:ascii="Arial" w:cs="Arial" w:eastAsia="Arial" w:hAnsi="Arial"/>
          <w:sz w:val="16"/>
          <w:szCs w:val="16"/>
          <w:i w:val="1"/>
          <w:iCs w:val="1"/>
          <w:color w:val="auto"/>
        </w:rPr>
        <w:t>oxfordlanecapital.com</w:t>
      </w:r>
      <w:r>
        <w:rPr>
          <w:rFonts w:ascii="Arial" w:cs="Arial" w:eastAsia="Arial" w:hAnsi="Arial"/>
          <w:sz w:val="16"/>
          <w:szCs w:val="16"/>
          <w:color w:val="auto"/>
        </w:rPr>
        <w:t xml:space="preserve"> | (203) 983-5275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 Code of Ethics.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3. Audit Committee Financial Expert.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4. Principal Accountant Fees and Services.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5. Audit Committee of Listed Registrant.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 Investments.</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Please see the schedule of investments contained in the Report to Stockholders included under Item 1 of this Form N-CSR.</w:t>
      </w:r>
    </w:p>
    <w:p>
      <w:pPr>
        <w:spacing w:after="0" w:line="166" w:lineRule="exact"/>
        <w:rPr>
          <w:sz w:val="20"/>
          <w:szCs w:val="20"/>
          <w:color w:val="auto"/>
        </w:rPr>
      </w:pPr>
    </w:p>
    <w:p>
      <w:pPr>
        <w:ind w:left="460" w:right="899"/>
        <w:spacing w:after="0" w:line="282" w:lineRule="auto"/>
        <w:rPr>
          <w:sz w:val="20"/>
          <w:szCs w:val="20"/>
          <w:color w:val="auto"/>
        </w:rPr>
      </w:pPr>
      <w:r>
        <w:rPr>
          <w:rFonts w:ascii="Arial" w:cs="Arial" w:eastAsia="Arial" w:hAnsi="Arial"/>
          <w:sz w:val="18"/>
          <w:szCs w:val="18"/>
          <w:b w:val="1"/>
          <w:bCs w:val="1"/>
          <w:color w:val="auto"/>
        </w:rPr>
        <w:t>Item 7. Disclosure of Proxy Voting Policies and Procedures for Closed-End Management Investment Companies.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Portfolio Managers of Closed-End Investment Companies.</w:t>
      </w:r>
    </w:p>
    <w:p>
      <w:pPr>
        <w:spacing w:after="0" w:line="148" w:lineRule="exact"/>
        <w:rPr>
          <w:sz w:val="20"/>
          <w:szCs w:val="20"/>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required by this item is not required in a semi-annual report on Form N-CSR.</w:t>
      </w:r>
    </w:p>
    <w:p>
      <w:pPr>
        <w:spacing w:after="0" w:line="169" w:lineRule="exact"/>
        <w:rPr>
          <w:rFonts w:ascii="Arial" w:cs="Arial" w:eastAsia="Arial" w:hAnsi="Arial"/>
          <w:sz w:val="17"/>
          <w:szCs w:val="17"/>
          <w:color w:val="auto"/>
        </w:rPr>
      </w:pPr>
    </w:p>
    <w:p>
      <w:pPr>
        <w:ind w:left="1320" w:right="579" w:hanging="434"/>
        <w:spacing w:after="0" w:line="263" w:lineRule="auto"/>
        <w:tabs>
          <w:tab w:leader="none" w:pos="12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has been no change, as of the date of the filing of this semi-annual report on Form N-CSR, to any of the portfolio managers identified in response to paragraph (a)(1) of this item in the Registrant’s most recent annual report on Form N-CSR.</w:t>
      </w:r>
    </w:p>
    <w:p>
      <w:pPr>
        <w:spacing w:after="0" w:line="180" w:lineRule="exact"/>
        <w:rPr>
          <w:sz w:val="20"/>
          <w:szCs w:val="20"/>
          <w:color w:val="auto"/>
        </w:rPr>
      </w:pPr>
    </w:p>
    <w:p>
      <w:pPr>
        <w:ind w:left="460" w:right="599"/>
        <w:spacing w:after="0" w:line="282" w:lineRule="auto"/>
        <w:rPr>
          <w:sz w:val="20"/>
          <w:szCs w:val="20"/>
          <w:color w:val="auto"/>
        </w:rPr>
      </w:pPr>
      <w:r>
        <w:rPr>
          <w:rFonts w:ascii="Arial" w:cs="Arial" w:eastAsia="Arial" w:hAnsi="Arial"/>
          <w:sz w:val="18"/>
          <w:szCs w:val="18"/>
          <w:b w:val="1"/>
          <w:bCs w:val="1"/>
          <w:color w:val="auto"/>
        </w:rPr>
        <w:t>Item 9. Purchases of Equity Securities by Closed-End Management Investment Company and Affiliated Purchasers.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10. Submission of Matters to a Vote of Security Holders.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11. Controls and Procedures.</w:t>
      </w:r>
    </w:p>
    <w:p>
      <w:pPr>
        <w:spacing w:after="0" w:line="162" w:lineRule="exact"/>
        <w:rPr>
          <w:sz w:val="20"/>
          <w:szCs w:val="20"/>
          <w:color w:val="auto"/>
        </w:rPr>
      </w:pPr>
    </w:p>
    <w:p>
      <w:pPr>
        <w:ind w:left="1320" w:hanging="434"/>
        <w:spacing w:after="0"/>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an evaluation of the Disclosure Controls and Procedures (as defined in Rule 30a-</w:t>
      </w:r>
    </w:p>
    <w:p>
      <w:pPr>
        <w:spacing w:after="0" w:line="34" w:lineRule="exact"/>
        <w:rPr>
          <w:rFonts w:ascii="Arial" w:cs="Arial" w:eastAsia="Arial" w:hAnsi="Arial"/>
          <w:sz w:val="17"/>
          <w:szCs w:val="17"/>
          <w:color w:val="auto"/>
        </w:rPr>
      </w:pPr>
    </w:p>
    <w:p>
      <w:pPr>
        <w:ind w:left="1320"/>
        <w:spacing w:after="0"/>
        <w:rPr>
          <w:rFonts w:ascii="Arial" w:cs="Arial" w:eastAsia="Arial" w:hAnsi="Arial"/>
          <w:sz w:val="17"/>
          <w:szCs w:val="17"/>
          <w:color w:val="auto"/>
        </w:rPr>
      </w:pPr>
      <w:r>
        <w:rPr>
          <w:rFonts w:ascii="Arial" w:cs="Arial" w:eastAsia="Arial" w:hAnsi="Arial"/>
          <w:sz w:val="17"/>
          <w:szCs w:val="17"/>
          <w:color w:val="auto"/>
        </w:rPr>
        <w:t>3(c) under the Investment Company Act of 1940, the “Disclosure Controls”) as of a date within</w:t>
      </w:r>
    </w:p>
    <w:p>
      <w:pPr>
        <w:spacing w:after="0" w:line="20" w:lineRule="exact"/>
        <w:rPr>
          <w:rFonts w:ascii="Arial" w:cs="Arial" w:eastAsia="Arial" w:hAnsi="Arial"/>
          <w:sz w:val="17"/>
          <w:szCs w:val="17"/>
          <w:color w:val="auto"/>
        </w:rPr>
      </w:pPr>
    </w:p>
    <w:p>
      <w:pPr>
        <w:ind w:left="1320" w:right="479"/>
        <w:spacing w:after="0" w:line="268" w:lineRule="auto"/>
        <w:rPr>
          <w:rFonts w:ascii="Arial" w:cs="Arial" w:eastAsia="Arial" w:hAnsi="Arial"/>
          <w:sz w:val="17"/>
          <w:szCs w:val="17"/>
          <w:color w:val="auto"/>
        </w:rPr>
      </w:pPr>
      <w:r>
        <w:rPr>
          <w:rFonts w:ascii="Arial" w:cs="Arial" w:eastAsia="Arial" w:hAnsi="Arial"/>
          <w:sz w:val="17"/>
          <w:szCs w:val="17"/>
          <w:color w:val="auto"/>
        </w:rPr>
        <w:t>90 days prior to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15" w:lineRule="exact"/>
        <w:rPr>
          <w:rFonts w:ascii="Arial" w:cs="Arial" w:eastAsia="Arial" w:hAnsi="Arial"/>
          <w:sz w:val="17"/>
          <w:szCs w:val="17"/>
          <w:color w:val="auto"/>
        </w:rPr>
      </w:pPr>
    </w:p>
    <w:p>
      <w:pPr>
        <w:ind w:left="1320" w:right="499" w:hanging="434"/>
        <w:spacing w:after="0" w:line="301" w:lineRule="auto"/>
        <w:tabs>
          <w:tab w:leader="none" w:pos="127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There were no changes in the Registrant’s internal control over financial reporting (as defined in Rule 30a-3(d) under the Investment Company Act of 1940) that occurred during the Registrant’s last fiscal quarter of the period covered by this report that have materially affected or are reasonably likely to materially affect the Registrant’s internal control over financial reporting.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Item 12. Disclosure of Securities Lending Activities for Closed-End Management Investment Companies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Exhibits.</w:t>
      </w:r>
    </w:p>
    <w:p>
      <w:pPr>
        <w:spacing w:after="0" w:line="162"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color w:val="auto"/>
        </w:rPr>
        <w:t>(a)(1)</w:t>
        <w:tab/>
        <w:t>Not applicable.</w:t>
      </w:r>
    </w:p>
    <w:p>
      <w:pPr>
        <w:spacing w:after="0" w:line="158" w:lineRule="exact"/>
        <w:rPr>
          <w:sz w:val="20"/>
          <w:szCs w:val="20"/>
          <w:color w:val="auto"/>
        </w:rPr>
      </w:pPr>
    </w:p>
    <w:p>
      <w:pPr>
        <w:ind w:left="1520" w:right="1139" w:hanging="647"/>
        <w:spacing w:after="0" w:line="277" w:lineRule="auto"/>
        <w:tabs>
          <w:tab w:leader="none" w:pos="1500" w:val="left"/>
        </w:tabs>
        <w:rPr>
          <w:rFonts w:ascii="Arial" w:cs="Arial" w:eastAsia="Arial" w:hAnsi="Arial"/>
          <w:sz w:val="18"/>
          <w:szCs w:val="18"/>
          <w:u w:val="single" w:color="auto"/>
          <w:color w:val="215E9E"/>
        </w:rPr>
      </w:pPr>
      <w:r>
        <w:rPr>
          <w:rFonts w:ascii="Arial" w:cs="Arial" w:eastAsia="Arial" w:hAnsi="Arial"/>
          <w:sz w:val="18"/>
          <w:szCs w:val="18"/>
          <w:color w:val="auto"/>
        </w:rPr>
        <w:t>(a)(2)</w:t>
      </w:r>
      <w:r>
        <w:rPr>
          <w:sz w:val="20"/>
          <w:szCs w:val="20"/>
          <w:color w:val="auto"/>
        </w:rPr>
        <w:tab/>
      </w:r>
      <w:hyperlink w:anchor="page74">
        <w:r>
          <w:rPr>
            <w:rFonts w:ascii="Arial" w:cs="Arial" w:eastAsia="Arial" w:hAnsi="Arial"/>
            <w:sz w:val="18"/>
            <w:szCs w:val="18"/>
            <w:u w:val="single" w:color="auto"/>
            <w:color w:val="215E9E"/>
          </w:rPr>
          <w:t>Certifications of principal executive officer and principal financial officer as required by</w:t>
        </w:r>
      </w:hyperlink>
      <w:r>
        <w:rPr>
          <w:rFonts w:ascii="Arial" w:cs="Arial" w:eastAsia="Arial" w:hAnsi="Arial"/>
          <w:sz w:val="18"/>
          <w:szCs w:val="18"/>
          <w:u w:val="single" w:color="auto"/>
          <w:color w:val="215E9E"/>
        </w:rPr>
        <w:t xml:space="preserve"> </w:t>
      </w:r>
      <w:hyperlink w:anchor="page74">
        <w:r>
          <w:rPr>
            <w:rFonts w:ascii="Arial" w:cs="Arial" w:eastAsia="Arial" w:hAnsi="Arial"/>
            <w:sz w:val="18"/>
            <w:szCs w:val="18"/>
            <w:u w:val="single" w:color="auto"/>
            <w:color w:val="215E9E"/>
          </w:rPr>
          <w:t>Rule 30a-2(a) under the Investment Company Act of 1940.</w:t>
        </w:r>
      </w:hyperlink>
    </w:p>
    <w:p>
      <w:pPr>
        <w:spacing w:after="0" w:line="89"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color w:val="auto"/>
        </w:rPr>
        <w:t>(a)(3)</w:t>
        <w:tab/>
        <w:t>Not applicable.</w:t>
      </w:r>
    </w:p>
    <w:p>
      <w:pPr>
        <w:spacing w:after="0" w:line="158"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color w:val="auto"/>
        </w:rPr>
        <w:t>(a)(4)</w:t>
        <w:tab/>
        <w:t>Not applicable.</w:t>
      </w:r>
    </w:p>
    <w:p>
      <w:pPr>
        <w:spacing w:after="0" w:line="158" w:lineRule="exact"/>
        <w:rPr>
          <w:sz w:val="20"/>
          <w:szCs w:val="20"/>
          <w:color w:val="auto"/>
        </w:rPr>
      </w:pPr>
    </w:p>
    <w:p>
      <w:pPr>
        <w:ind w:left="1540" w:right="799" w:hanging="654"/>
        <w:spacing w:after="0" w:line="277" w:lineRule="auto"/>
        <w:tabs>
          <w:tab w:leader="none" w:pos="1506" w:val="left"/>
        </w:tabs>
        <w:numPr>
          <w:ilvl w:val="0"/>
          <w:numId w:val="39"/>
        </w:numPr>
        <w:rPr>
          <w:rFonts w:ascii="Arial" w:cs="Arial" w:eastAsia="Arial" w:hAnsi="Arial"/>
          <w:sz w:val="18"/>
          <w:szCs w:val="18"/>
          <w:u w:val="single" w:color="auto"/>
          <w:color w:val="215E9E"/>
        </w:rPr>
      </w:pPr>
      <w:hyperlink w:anchor="page76">
        <w:r>
          <w:rPr>
            <w:rFonts w:ascii="Arial" w:cs="Arial" w:eastAsia="Arial" w:hAnsi="Arial"/>
            <w:sz w:val="18"/>
            <w:szCs w:val="18"/>
            <w:u w:val="single" w:color="auto"/>
            <w:color w:val="215E9E"/>
          </w:rPr>
          <w:t>Certifications of chief executive officer and chief accounting officer as required by Rule 30a-</w:t>
        </w:r>
      </w:hyperlink>
      <w:hyperlink w:anchor="page76">
        <w:r>
          <w:rPr>
            <w:rFonts w:ascii="Arial" w:cs="Arial" w:eastAsia="Arial" w:hAnsi="Arial"/>
            <w:sz w:val="18"/>
            <w:szCs w:val="18"/>
            <w:u w:val="single" w:color="auto"/>
            <w:color w:val="215E9E"/>
          </w:rPr>
          <w:t>2(b) under the Investment Company Act of 1940.</w:t>
        </w:r>
      </w:hyperlink>
    </w:p>
    <w:p>
      <w:pPr>
        <w:spacing w:after="0" w:line="13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Pursuant to the requirements of the Securities Exchange Act of 1934 and the Investment Company</w:t>
      </w:r>
    </w:p>
    <w:p>
      <w:pPr>
        <w:spacing w:after="0" w:line="23" w:lineRule="exact"/>
        <w:rPr>
          <w:sz w:val="20"/>
          <w:szCs w:val="20"/>
          <w:color w:val="auto"/>
        </w:rPr>
      </w:pPr>
    </w:p>
    <w:p>
      <w:pPr>
        <w:ind w:left="460" w:right="619"/>
        <w:spacing w:after="0" w:line="260" w:lineRule="auto"/>
        <w:rPr>
          <w:sz w:val="20"/>
          <w:szCs w:val="20"/>
          <w:color w:val="auto"/>
        </w:rPr>
      </w:pPr>
      <w:r>
        <w:rPr>
          <w:rFonts w:ascii="Arial" w:cs="Arial" w:eastAsia="Arial" w:hAnsi="Arial"/>
          <w:sz w:val="18"/>
          <w:szCs w:val="18"/>
          <w:color w:val="auto"/>
        </w:rPr>
        <w:t>Act of 1940, the Registrant has duly caused this report to be signed on its behalf by the undersigned, thereunto duly authorized.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H. Cohen</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Jonathan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-130175</wp:posOffset>
            </wp:positionV>
            <wp:extent cx="18173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Cohen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October 29, 2021</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Pursuant to the requirements of the Securities Exchange Act of 1934 and the Investment Company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 of 1940, this report has been signed below by the following persons on behalf of the Registrant and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capacities and on the dates indicated.</w:t>
      </w:r>
    </w:p>
    <w:p>
      <w:pPr>
        <w:spacing w:after="0" w:line="197" w:lineRule="exact"/>
        <w:rPr>
          <w:sz w:val="20"/>
          <w:szCs w:val="20"/>
          <w:color w:val="auto"/>
        </w:rPr>
      </w:pPr>
    </w:p>
    <w:p>
      <w:pPr>
        <w:ind w:left="526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H. Cohen</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Jonathan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-130175</wp:posOffset>
            </wp:positionV>
            <wp:extent cx="18084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Cohen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October 29, 2021</w:t>
      </w:r>
    </w:p>
    <w:p>
      <w:pPr>
        <w:spacing w:after="0" w:line="251" w:lineRule="exact"/>
        <w:rPr>
          <w:sz w:val="20"/>
          <w:szCs w:val="20"/>
          <w:color w:val="auto"/>
        </w:rPr>
      </w:pPr>
    </w:p>
    <w:p>
      <w:pPr>
        <w:ind w:left="5240"/>
        <w:spacing w:after="0"/>
        <w:tabs>
          <w:tab w:leader="none" w:pos="5680" w:val="left"/>
        </w:tabs>
        <w:rPr>
          <w:sz w:val="20"/>
          <w:szCs w:val="20"/>
          <w:color w:val="auto"/>
        </w:rPr>
      </w:pPr>
      <w:r>
        <w:rPr>
          <w:rFonts w:ascii="Arial" w:cs="Arial" w:eastAsia="Arial" w:hAnsi="Arial"/>
          <w:sz w:val="18"/>
          <w:szCs w:val="18"/>
          <w:color w:val="auto"/>
        </w:rPr>
        <w:t>By:</w:t>
        <w:tab/>
        <w:t>/s/ Bruce L. Rubin</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-130175</wp:posOffset>
            </wp:positionV>
            <wp:extent cx="18084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October 29,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jc w:val="right"/>
        <w:ind w:right="459"/>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13(a)(2)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144" w:lineRule="exact"/>
        <w:rPr>
          <w:sz w:val="20"/>
          <w:szCs w:val="20"/>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N-CSR of Oxford Lane Capital Corp.;</w:t>
      </w:r>
    </w:p>
    <w:p>
      <w:pPr>
        <w:spacing w:after="0" w:line="157" w:lineRule="exact"/>
        <w:rPr>
          <w:rFonts w:ascii="Arial" w:cs="Arial" w:eastAsia="Arial" w:hAnsi="Arial"/>
          <w:sz w:val="18"/>
          <w:szCs w:val="18"/>
          <w:color w:val="auto"/>
        </w:rPr>
      </w:pPr>
    </w:p>
    <w:p>
      <w:pPr>
        <w:ind w:left="1320" w:right="519" w:hanging="434"/>
        <w:spacing w:after="0" w:line="311" w:lineRule="auto"/>
        <w:tabs>
          <w:tab w:leader="none" w:pos="12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left="1320" w:right="499" w:hanging="434"/>
        <w:spacing w:after="0" w:line="279" w:lineRule="auto"/>
        <w:tabs>
          <w:tab w:leader="none" w:pos="12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0" w:lineRule="exact"/>
        <w:rPr>
          <w:rFonts w:ascii="Arial" w:cs="Arial" w:eastAsia="Arial" w:hAnsi="Arial"/>
          <w:sz w:val="17"/>
          <w:szCs w:val="17"/>
          <w:color w:val="auto"/>
        </w:rPr>
      </w:pPr>
    </w:p>
    <w:p>
      <w:pPr>
        <w:ind w:left="1320" w:right="799" w:hanging="434"/>
        <w:spacing w:after="0" w:line="279" w:lineRule="auto"/>
        <w:tabs>
          <w:tab w:leader="none" w:pos="129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03" w:lineRule="exact"/>
        <w:rPr>
          <w:rFonts w:ascii="Arial" w:cs="Arial" w:eastAsia="Arial" w:hAnsi="Arial"/>
          <w:sz w:val="17"/>
          <w:szCs w:val="17"/>
          <w:color w:val="auto"/>
        </w:rPr>
      </w:pPr>
    </w:p>
    <w:p>
      <w:pPr>
        <w:ind w:left="1760" w:right="519" w:hanging="442"/>
        <w:spacing w:after="0" w:line="301" w:lineRule="auto"/>
        <w:tabs>
          <w:tab w:leader="none" w:pos="17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1760" w:right="639" w:hanging="442"/>
        <w:spacing w:after="0" w:line="301" w:lineRule="auto"/>
        <w:tabs>
          <w:tab w:leader="none" w:pos="17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760" w:right="479" w:hanging="442"/>
        <w:spacing w:after="0" w:line="259" w:lineRule="auto"/>
        <w:tabs>
          <w:tab w:leader="none" w:pos="173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9" w:lineRule="exact"/>
        <w:rPr>
          <w:rFonts w:ascii="Arial" w:cs="Arial" w:eastAsia="Arial" w:hAnsi="Arial"/>
          <w:sz w:val="18"/>
          <w:szCs w:val="18"/>
          <w:color w:val="auto"/>
        </w:rPr>
      </w:pPr>
    </w:p>
    <w:p>
      <w:pPr>
        <w:ind w:left="1760" w:right="599" w:hanging="442"/>
        <w:spacing w:after="0" w:line="259" w:lineRule="auto"/>
        <w:tabs>
          <w:tab w:leader="none" w:pos="17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1320" w:right="519" w:hanging="434"/>
        <w:spacing w:after="0" w:line="342" w:lineRule="auto"/>
        <w:tabs>
          <w:tab w:leader="none" w:pos="12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760" w:right="499" w:hanging="442"/>
        <w:spacing w:after="0" w:line="286" w:lineRule="auto"/>
        <w:tabs>
          <w:tab w:leader="none" w:pos="1738"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7"/>
          <w:szCs w:val="17"/>
          <w:color w:val="auto"/>
        </w:rPr>
      </w:pPr>
    </w:p>
    <w:p>
      <w:pPr>
        <w:ind w:left="1760" w:right="559" w:hanging="442"/>
        <w:spacing w:after="0" w:line="277" w:lineRule="auto"/>
        <w:tabs>
          <w:tab w:leader="none" w:pos="17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29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October, 2021</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40640</wp:posOffset>
            </wp:positionV>
            <wp:extent cx="23056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Jonathan H. Cohen</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Exhibit 13(a)(2)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30a-2(a) Certification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144" w:lineRule="exact"/>
        <w:rPr>
          <w:sz w:val="20"/>
          <w:szCs w:val="20"/>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N-CSR of Oxford Lane Capital Corp.;</w:t>
      </w:r>
    </w:p>
    <w:p>
      <w:pPr>
        <w:spacing w:after="0" w:line="157" w:lineRule="exact"/>
        <w:rPr>
          <w:rFonts w:ascii="Arial" w:cs="Arial" w:eastAsia="Arial" w:hAnsi="Arial"/>
          <w:sz w:val="18"/>
          <w:szCs w:val="18"/>
          <w:color w:val="auto"/>
        </w:rPr>
      </w:pPr>
    </w:p>
    <w:p>
      <w:pPr>
        <w:ind w:left="1320" w:right="519" w:hanging="434"/>
        <w:spacing w:after="0" w:line="311" w:lineRule="auto"/>
        <w:tabs>
          <w:tab w:leader="none" w:pos="12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left="1320" w:right="499" w:hanging="434"/>
        <w:spacing w:after="0" w:line="279" w:lineRule="auto"/>
        <w:tabs>
          <w:tab w:leader="none" w:pos="12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0" w:lineRule="exact"/>
        <w:rPr>
          <w:rFonts w:ascii="Arial" w:cs="Arial" w:eastAsia="Arial" w:hAnsi="Arial"/>
          <w:sz w:val="17"/>
          <w:szCs w:val="17"/>
          <w:color w:val="auto"/>
        </w:rPr>
      </w:pPr>
    </w:p>
    <w:p>
      <w:pPr>
        <w:ind w:left="1320" w:right="799" w:hanging="434"/>
        <w:spacing w:after="0" w:line="279" w:lineRule="auto"/>
        <w:tabs>
          <w:tab w:leader="none" w:pos="129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03" w:lineRule="exact"/>
        <w:rPr>
          <w:rFonts w:ascii="Arial" w:cs="Arial" w:eastAsia="Arial" w:hAnsi="Arial"/>
          <w:sz w:val="17"/>
          <w:szCs w:val="17"/>
          <w:color w:val="auto"/>
        </w:rPr>
      </w:pPr>
    </w:p>
    <w:p>
      <w:pPr>
        <w:ind w:left="1760" w:right="519" w:hanging="442"/>
        <w:spacing w:after="0" w:line="301" w:lineRule="auto"/>
        <w:tabs>
          <w:tab w:leader="none" w:pos="1738"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1760" w:right="639" w:hanging="442"/>
        <w:spacing w:after="0" w:line="301" w:lineRule="auto"/>
        <w:tabs>
          <w:tab w:leader="none" w:pos="1748"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760" w:right="479" w:hanging="442"/>
        <w:spacing w:after="0" w:line="259" w:lineRule="auto"/>
        <w:tabs>
          <w:tab w:leader="none" w:pos="173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9" w:lineRule="exact"/>
        <w:rPr>
          <w:rFonts w:ascii="Arial" w:cs="Arial" w:eastAsia="Arial" w:hAnsi="Arial"/>
          <w:sz w:val="18"/>
          <w:szCs w:val="18"/>
          <w:color w:val="auto"/>
        </w:rPr>
      </w:pPr>
    </w:p>
    <w:p>
      <w:pPr>
        <w:ind w:left="1760" w:right="599" w:hanging="442"/>
        <w:spacing w:after="0" w:line="259" w:lineRule="auto"/>
        <w:tabs>
          <w:tab w:leader="none" w:pos="17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1320" w:right="519" w:hanging="434"/>
        <w:spacing w:after="0" w:line="342" w:lineRule="auto"/>
        <w:tabs>
          <w:tab w:leader="none" w:pos="12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760" w:right="499" w:hanging="442"/>
        <w:spacing w:after="0" w:line="286" w:lineRule="auto"/>
        <w:tabs>
          <w:tab w:leader="none" w:pos="1738"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7"/>
          <w:szCs w:val="17"/>
          <w:color w:val="auto"/>
        </w:rPr>
      </w:pPr>
    </w:p>
    <w:p>
      <w:pPr>
        <w:ind w:left="1760" w:right="559" w:hanging="442"/>
        <w:spacing w:after="0" w:line="277" w:lineRule="auto"/>
        <w:tabs>
          <w:tab w:leader="none" w:pos="17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29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October, 2021</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40640</wp:posOffset>
            </wp:positionV>
            <wp:extent cx="23056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Bruce L. Rubin</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p>
      <w:pPr>
        <w:jc w:val="right"/>
        <w:ind w:right="459"/>
        <w:spacing w:after="0"/>
        <w:rPr>
          <w:sz w:val="20"/>
          <w:szCs w:val="20"/>
          <w:color w:val="auto"/>
        </w:rPr>
      </w:pPr>
      <w:r>
        <w:rPr>
          <w:rFonts w:ascii="Arial" w:cs="Arial" w:eastAsia="Arial" w:hAnsi="Arial"/>
          <w:sz w:val="18"/>
          <w:szCs w:val="18"/>
          <w:b w:val="1"/>
          <w:bCs w:val="1"/>
          <w:color w:val="auto"/>
        </w:rPr>
        <w:t>Exhibit 99.906 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30a-2(b) Certification</w:t>
      </w:r>
    </w:p>
    <w:p>
      <w:pPr>
        <w:spacing w:after="0" w:line="14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connection with the Report on Form N-CSR for the period ended September 30, 2020 (the “Report”) of Oxford Lane Capital Corp. (the “Registrant”), as filed with the Securities and Exchange Commission on the date hereof, I, Jonathan H. Cohen, the Chief Executive Officer of the Registrant, hereby certify, to the best of my knowledge, that:</w:t>
      </w:r>
    </w:p>
    <w:p>
      <w:pPr>
        <w:spacing w:after="0" w:line="106" w:lineRule="exact"/>
        <w:rPr>
          <w:sz w:val="20"/>
          <w:szCs w:val="20"/>
          <w:color w:val="auto"/>
        </w:rPr>
      </w:pPr>
    </w:p>
    <w:p>
      <w:pPr>
        <w:ind w:left="1320" w:right="1199" w:hanging="434"/>
        <w:spacing w:after="0" w:line="277" w:lineRule="auto"/>
        <w:tabs>
          <w:tab w:leader="none" w:pos="12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1320" w:right="1079" w:hanging="434"/>
        <w:spacing w:after="0" w:line="277" w:lineRule="auto"/>
        <w:tabs>
          <w:tab w:leader="none" w:pos="12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JONATHAN H. COHEN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-130175</wp:posOffset>
            </wp:positionV>
            <wp:extent cx="2108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Date: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314960</wp:posOffset>
            </wp:positionV>
            <wp:extent cx="51435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Exhibit 13(b)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30a-2(b) Certification</w:t>
      </w:r>
    </w:p>
    <w:p>
      <w:pPr>
        <w:spacing w:after="0" w:line="14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connection with the Report on Form N-CSR for the period ended September 30, 2020 (the “Report”) of Oxford Lane Capital Corp. (the “Registrant”), as filed with the Securities and Exchange Commission on the date hereof, I, Bruce L. Rubin, the Chief Financial Officer of the Registrant, hereby certify, to the best of my knowledge, that:</w:t>
      </w:r>
    </w:p>
    <w:p>
      <w:pPr>
        <w:spacing w:after="0" w:line="106" w:lineRule="exact"/>
        <w:rPr>
          <w:sz w:val="20"/>
          <w:szCs w:val="20"/>
          <w:color w:val="auto"/>
        </w:rPr>
      </w:pPr>
    </w:p>
    <w:p>
      <w:pPr>
        <w:ind w:left="1320" w:right="1199" w:hanging="434"/>
        <w:spacing w:after="0" w:line="277" w:lineRule="auto"/>
        <w:tabs>
          <w:tab w:leader="none" w:pos="12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1320" w:right="1079" w:hanging="434"/>
        <w:spacing w:after="0" w:line="277" w:lineRule="auto"/>
        <w:tabs>
          <w:tab w:leader="none" w:pos="12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BRUCE L. RUBIN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-130175</wp:posOffset>
            </wp:positionV>
            <wp:extent cx="2108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Date: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314960</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2"/>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0"/>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lowerRoman"/>
      <w:start w:val="4"/>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9"/>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203"/>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2"/>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2021-10-29T16:09:43Z</dcterms:created>
  <dcterms:modified xsi:type="dcterms:W3CDTF">2021-10-29T16:09:43Z</dcterms:modified>
</cp:coreProperties>
</file>