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Oxford Lane Capital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Preferred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0000FF"/>
        </w:rPr>
        <w:t>Courtney Fandrick</w:t>
      </w:r>
    </w:p>
    <w:p>
      <w:pPr>
        <w:spacing w:after="0" w:line="8"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0000FF"/>
        </w:rPr>
        <w:t>600 Steamboat Road, Suite 202,</w:t>
      </w:r>
    </w:p>
    <w:p>
      <w:pPr>
        <w:ind w:left="3800"/>
        <w:spacing w:after="0" w:line="230" w:lineRule="auto"/>
        <w:rPr>
          <w:sz w:val="20"/>
          <w:szCs w:val="20"/>
          <w:color w:val="auto"/>
        </w:rPr>
      </w:pPr>
      <w:r>
        <w:rPr>
          <w:rFonts w:ascii="Times New Roman" w:cs="Times New Roman" w:eastAsia="Times New Roman" w:hAnsi="Times New Roman"/>
          <w:sz w:val="22"/>
          <w:szCs w:val="22"/>
          <w:b w:val="1"/>
          <w:bCs w:val="1"/>
          <w:color w:val="0000FF"/>
        </w:rPr>
        <w:t>Greenwich, CT, 06830</w:t>
      </w:r>
    </w:p>
    <w:p>
      <w:pPr>
        <w:spacing w:after="0" w:line="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0000FF"/>
        </w:rPr>
        <w:t>203 340 8536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Eagle Point Credit Management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1,671,158.00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1,671,158.00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1,671,158.00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Thomas Philip Majewski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5,500.00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1,671,158.00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5,500.00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1,671,158.00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1,676,658.00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20.05 %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Preferred Shares</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Oxford Lane Capital Corp.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8 Sound Shore Drive, Suite 255, Greenwich, CONNECTICUT , 06830.</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Eagle Point Credit Management LLC</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600 Steamboat Road, Suite 202, Greenwich, CT 06830 United States.</w:t>
      </w:r>
    </w:p>
    <w:p>
      <w:pPr>
        <w:spacing w:after="0" w:line="44" w:lineRule="exact"/>
        <w:rPr>
          <w:rFonts w:ascii="Times New Roman" w:cs="Times New Roman" w:eastAsia="Times New Roman" w:hAnsi="Times New Roman"/>
          <w:sz w:val="22"/>
          <w:szCs w:val="22"/>
          <w:color w:val="auto"/>
        </w:rPr>
      </w:pPr>
    </w:p>
    <w:p>
      <w:pPr>
        <w:ind w:left="940" w:right="2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Schedule 13D is jointly filed pursuant to a Joint Filing Agreement attached hereto as Exhibit A by (i) Eagle Point Credit Management LLC ("EPCM"), a Delaware limited liability company, and (ii) Thomas Philip Majewski ("Mr. Majewski"), a United States citizen (the "Reporting Persons"). The principal business address for the Reporting Persons is 600 Steamboat Road, Suite 202, Greenwich, CT 06830 United States. EPCM is a registered investment adviser and serves as investment adviser to certain private funds and separately managed accounts which hold the Preferred Shares described herein (collectively, the "Accounts"). Pursuant to an investment management agreement between EPCM and each Account, EPCM has discretionary investment authority and voting power with respect to the Preferred Shares directly held by the Accounts. As such, EPCM can be deemed to beneficially own the Preferred Shares directly held by the Accounts. EPCM is ultimately wholly owned by Eagle Point Holdings LP ("EP Holdings") through intermediary holding companies. Eagle Point Holdings GP LLC ("EP Holdings GP") is the sole general partner of EP Holdings. EP Holdings GP is managed by a board of managers (the "EP Holdings Board") of which the majority of the members are appointed by Trident EP-II Holdings LLC ("EP-II LLC"), which also owns a</w:t>
      </w:r>
    </w:p>
    <w:p>
      <w:pPr>
        <w:spacing w:after="0" w:line="5" w:lineRule="exact"/>
        <w:rPr>
          <w:rFonts w:ascii="Times New Roman" w:cs="Times New Roman" w:eastAsia="Times New Roman" w:hAnsi="Times New Roman"/>
          <w:sz w:val="22"/>
          <w:szCs w:val="22"/>
          <w:color w:val="auto"/>
        </w:rPr>
      </w:pPr>
    </w:p>
    <w:p>
      <w:pPr>
        <w:ind w:left="940" w:hanging="932"/>
        <w:spacing w:after="0" w:line="231"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majority of the voting interests in EP Holdings GP. EP Holdings is a Delaware limited partnership and EP Holdings GP is a Delaware limited liability company. The principal business address of each of these entities is c/o Eagle Point Credit Management LLC, 600 Steamboat Road, Suite 202, Greenwich, CT 06830. EP-II LLC is a Delaware limited liability company. Its principal business address is c/o Stone Point Capital LLC, 20 Horseneck Lane, Greenwich, CT 06830. Set forth below is the name and principal occupation of each member of the Board of EP Holdings GP. Each of the following individuals is a United States citizen. Name Principal Occupation Principal Business Address Chris C. Stroup Managing Director, Stone Point c/o Stone Point Capital LLC, Capital LLC 20 Horseneck Lane, Greenwich, CT 06830 Thomas P. Majewski Managing Partner, c/o Eagle Point Credit Management LLC, EPCM (and certain affiliated 600 Steamboat Road, Suite 202, advisers) Greenwich, CT 06830 James R. Matthews Managing Director, Stone Point c/o Stone Point Capital LLC, Capital LLC 20 Horseneck Lane, Greenwich, CT 06830 Additional information regarding EPCM's ownership and governance structure is set forth in its Form ADV, as filed with the Securities and Exchange Commission (SEC File No. 801-77721), under the Investment Advisers Act of 1940, as amended, and is incorporated herein by reference.</w:t>
      </w:r>
    </w:p>
    <w:p>
      <w:pPr>
        <w:sectPr>
          <w:pgSz w:w="11900" w:h="16838" w:orient="portrait"/>
          <w:cols w:equalWidth="0" w:num="1">
            <w:col w:w="11120"/>
          </w:cols>
          <w:pgMar w:left="360" w:top="102" w:right="419" w:bottom="0" w:gutter="0" w:footer="0" w:header="0"/>
        </w:sectPr>
      </w:pPr>
    </w:p>
    <w:bookmarkStart w:id="3" w:name="page4"/>
    <w:bookmarkEnd w:id="3"/>
    <w:p>
      <w:pPr>
        <w:ind w:left="940" w:right="280" w:hanging="932"/>
        <w:spacing w:after="0" w:line="256" w:lineRule="auto"/>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past five years, none of the Disclosed Parties has been convicted in any criminal proceeding (excluding traffic violations or similar misdemeanors).</w:t>
      </w: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past five years, none of the Disclosed Parties was a party to a civil proceeding of a judicial or</w:t>
      </w:r>
    </w:p>
    <w:p>
      <w:pPr>
        <w:spacing w:after="0" w:line="14" w:lineRule="exact"/>
        <w:rPr>
          <w:rFonts w:ascii="Times New Roman" w:cs="Times New Roman" w:eastAsia="Times New Roman" w:hAnsi="Times New Roman"/>
          <w:sz w:val="22"/>
          <w:szCs w:val="22"/>
          <w:color w:val="auto"/>
        </w:rPr>
      </w:pPr>
    </w:p>
    <w:p>
      <w:pPr>
        <w:ind w:left="940" w:right="240" w:hanging="932"/>
        <w:spacing w:after="0" w:line="184" w:lineRule="auto"/>
        <w:tabs>
          <w:tab w:leader="none" w:pos="94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EPCM: Delaware Thomas Philip Majewski: United States</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jc w:val="both"/>
        <w:ind w:left="940" w:right="160"/>
        <w:spacing w:after="0" w:line="244" w:lineRule="auto"/>
        <w:rPr>
          <w:sz w:val="20"/>
          <w:szCs w:val="20"/>
          <w:color w:val="auto"/>
        </w:rPr>
      </w:pPr>
      <w:r>
        <w:rPr>
          <w:rFonts w:ascii="Times New Roman" w:cs="Times New Roman" w:eastAsia="Times New Roman" w:hAnsi="Times New Roman"/>
          <w:sz w:val="22"/>
          <w:szCs w:val="22"/>
          <w:color w:val="auto"/>
        </w:rPr>
        <w:t>All of the Preferred Shares reported herein were acquired over a period of time in multiple secondary transactions at various market prices. The funds used to acquire each of the Preferred Shares were from each applicable Account's available investment capital.</w:t>
      </w:r>
    </w:p>
    <w:p>
      <w:pPr>
        <w:spacing w:after="0" w:line="1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jc w:val="both"/>
        <w:ind w:left="940" w:right="300"/>
        <w:spacing w:after="0" w:line="244" w:lineRule="auto"/>
        <w:rPr>
          <w:sz w:val="20"/>
          <w:szCs w:val="20"/>
          <w:color w:val="auto"/>
        </w:rPr>
      </w:pPr>
      <w:r>
        <w:rPr>
          <w:rFonts w:ascii="Times New Roman" w:cs="Times New Roman" w:eastAsia="Times New Roman" w:hAnsi="Times New Roman"/>
          <w:sz w:val="22"/>
          <w:szCs w:val="22"/>
          <w:color w:val="auto"/>
        </w:rPr>
        <w:t>EPCM caused the Accounts to acquire the Preferred Shares they hold for investment purposes and will continue to analyze such investments on an ongoing basis. EPCM, on behalf of the Accounts, reserves the right to increase or decrease the Accounts' ownership of the Preferred Shares over time.</w:t>
      </w:r>
    </w:p>
    <w:p>
      <w:pPr>
        <w:spacing w:after="0" w:line="1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60"/>
        <w:spacing w:after="0" w:line="245" w:lineRule="auto"/>
        <w:rPr>
          <w:sz w:val="20"/>
          <w:szCs w:val="20"/>
          <w:color w:val="auto"/>
        </w:rPr>
      </w:pPr>
      <w:r>
        <w:rPr>
          <w:rFonts w:ascii="Times New Roman" w:cs="Times New Roman" w:eastAsia="Times New Roman" w:hAnsi="Times New Roman"/>
          <w:sz w:val="21"/>
          <w:szCs w:val="21"/>
          <w:color w:val="auto"/>
        </w:rPr>
        <w:t>The Reporting Person may be deemed to beneficially own an aggregate of 1,671,158 Preferred Shares, which represents approximately 19.99% of all of the Issuer's outstanding preferred shares. The number of Preferred Shares which may be deemed to be beneficially owned by the Disclosed Parties are as follows: Shares Deemed to be Beneficially Nature of Ownership Percentage of Class Owned By: Eagle Point Credit Management Sole Voting and Sole Dispositive 19.99% LLC: 1,671,158 Power (1) Thomas Philip Majewski: Shared Voting and Shared 20.05% 1,676,358 Dispositive Power (2) EP Holdings (3): - - - EP Holdings GP (3): - - - EP Holdings Board members (3): - -</w:t>
      </w:r>
    </w:p>
    <w:p>
      <w:pPr>
        <w:ind w:left="940"/>
        <w:spacing w:after="0" w:line="233" w:lineRule="auto"/>
        <w:rPr>
          <w:sz w:val="20"/>
          <w:szCs w:val="20"/>
          <w:color w:val="auto"/>
        </w:rPr>
      </w:pPr>
      <w:r>
        <w:rPr>
          <w:rFonts w:ascii="Times New Roman" w:cs="Times New Roman" w:eastAsia="Times New Roman" w:hAnsi="Times New Roman"/>
          <w:sz w:val="22"/>
          <w:szCs w:val="22"/>
          <w:color w:val="auto"/>
        </w:rPr>
        <w:t>- EP-II LLC (3): - - - (1) Pursuant to an investment management agreement between EPCM and each Account,</w:t>
      </w:r>
    </w:p>
    <w:p>
      <w:pPr>
        <w:ind w:left="940" w:hanging="932"/>
        <w:spacing w:after="0" w:line="232" w:lineRule="auto"/>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EPCM has discretionary investment authority and voting power with respect to the Preferred Shares held by the Accounts. Thus, EPCM could be deemed to have the sole power to vote and dispose or direct the disposition of such Preferred Shares. (2) As managing partner and portfolio manager for EPCM, Mr. Majewski has the ability to exercise investment discretion over the Accounts. Thus, he could be deemed to share the power to vote and dispose or direct the disposition of the Preferred Shares held by the Accounts. (3) EP Holdings is a holding company for EPCM. While EP Holdings, EP Holdings GP, each of the EP Holdings Board members, and EP-II LLC could be deemed to share beneficial ownership of the securities held by the Accounts and beneficially owned by EPCM, each of the foregoing fully disclaim beneficial ownership of such securities.</w:t>
      </w:r>
    </w:p>
    <w:p>
      <w:pPr>
        <w:spacing w:after="0" w:line="17"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1,671,158</w:t>
      </w:r>
    </w:p>
    <w:p>
      <w:pPr>
        <w:spacing w:after="0" w:line="44" w:lineRule="exact"/>
        <w:rPr>
          <w:rFonts w:ascii="Times New Roman" w:cs="Times New Roman" w:eastAsia="Times New Roman" w:hAnsi="Times New Roman"/>
          <w:sz w:val="22"/>
          <w:szCs w:val="22"/>
          <w:color w:val="auto"/>
        </w:rPr>
      </w:pPr>
    </w:p>
    <w:p>
      <w:pPr>
        <w:ind w:left="94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past sixty days, the Accounts engaged in the following secondary transactions: Date Security Acquisition/Sale Number of Price per Preferred Preferred Shares Share 3/13/2026 6.25% Series 2027 Term Preferred Shares Sale 485 24.90 3/13/2026 8.25% Series 2031 Term Preferred Shares Purchase 435,000 24.57 3/16/2026 6.25% Series 2027 Term Preferred Shares Sale 5,451 24.87 3/18/2026 8.25% Series 2031 Term Preferred Shares Purchase 56,000 24.59 3/23/2026 8.25% Series 2031 Term Preferred Shares Purchase 8,857 24.50 3/24/2026 8.25% Series 2031 Term Preferred Shares Purchase 18,900 24.50 3/25/2026 8.25% Series 2031 Term Preferred Shares Purchase 1,000 24.55 3/26/2026 8.25% Series 2031 Term Preferred Shares Purchase 5,000 24.57 3/27/2026 8.25% Series 2031 Term Preferred Shares Purchase 13,295 24.54 3/30/2026 8.25% Series 2031 Term Preferred Shares Purchase 1,500 24.52 3/31/2026 8.25% Series 2031 Term Preferred Shares Purchase 9,200 24.54 4/1/2026 6.25% Series 2027 Term Preferred Shares Sale 9,915 24.88 4/1/2026 8.25% Series 2031 Term Preferred Shares Purchase 9,800 24.64 4/2/2026 6.25% Series 2027 Term Preferred Shares Sale 15,760 24.87 4/2/2026 8.25% Series 2031 Term Preferred Shares Purchase 2,600 24.65 4/6/2026 8.25% Series 2031 Term Preferred Shares Purchase 5,000 24.70 4/15/2026 6.00%</w:t>
      </w:r>
    </w:p>
    <w:p>
      <w:pPr>
        <w:spacing w:after="0" w:line="6" w:lineRule="exact"/>
        <w:rPr>
          <w:rFonts w:ascii="Times New Roman" w:cs="Times New Roman" w:eastAsia="Times New Roman" w:hAnsi="Times New Roman"/>
          <w:sz w:val="22"/>
          <w:szCs w:val="22"/>
          <w:color w:val="auto"/>
        </w:rPr>
      </w:pPr>
    </w:p>
    <w:p>
      <w:pPr>
        <w:ind w:left="940" w:hanging="932"/>
        <w:spacing w:after="0" w:line="207" w:lineRule="auto"/>
        <w:tabs>
          <w:tab w:leader="none" w:pos="94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Series 2029 Term Preferred Shares Sale 1,090 23.80 4/16/2026 8.25% Series 2031 Term Preferred Shares Purchase 100 24.65 4/16/2026 8.25% Series 2031 Term Preferred Shares Sale 265 24.80 4/20/2026 8.25% Series 2031 Term Preferred Shares Sale 10,987 24.87 4/21/2026 8.25% Series 2031 Term Preferred Shares Sale 10,100 24.90 4/22/2026 8.25% Series 2031 Term Preferred Shares Sale 1,511 24.90 4/23/2026 8.25% Series 2031 Term Preferred Shares Sale 1,203 24.94 4/24/2026 8.25% Series 2031 Term Preferred Shares Sale 500 24.95 4/27/2026 8.25% Series 2031 Term Preferred Shares Sale 5,978 24.97 4/28/2026 8.25% Series 2031 Term Preferred Shares Sale 3,039 25.02 4/29/2026</w:t>
      </w:r>
    </w:p>
    <w:p>
      <w:pPr>
        <w:ind w:left="940" w:right="40"/>
        <w:spacing w:after="0" w:line="232"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8.25% Series 2031 Term Preferred Shares Sale 5,200 25.07 4/30/2026 8.25% Series 2031 Term Preferred Shares Sale 1,854 25.09 5/1/2026 6.25% Series 2027 Term Preferred Shares Redemption 81,761 25.00 5/1/2026 8.25% Series 2031 Term Preferred Shares Sale 4,890 25.15 5/5/2026 8.25% Series 2031 Term Preferred Shares Sale 3,798 25.25 5/5/2026 7.125% Series 2029 Term Preferred Shares Sale 6 24.90 5/6/2026 7.125% Series 2029 Term Preferred Shares Sale 1,356 24.90 5/6/2026 8.25% Series 2031 Term Preferred Shares Sale 834 25.25 5/7/2026 7.125% Series 2029 Term Preferred Shares Sale 258 24.95 5/7/2026 8.25% Series 2031 Term Preferred Shares Sale 2,057 25.28 5/8/2026 7.125% Series 2029 Term Preferred Shares Sale 34 24.95 5/8/2026 8.25% Series 2031 Term Preferred Shares Sale 4,334 25.30</w:t>
      </w:r>
    </w:p>
    <w:p>
      <w:pPr>
        <w:spacing w:after="0" w:line="17"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40" w:right="1640" w:hanging="931"/>
        <w:spacing w:after="0" w:line="281" w:lineRule="auto"/>
        <w:tabs>
          <w:tab w:leader="none" w:pos="92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The relationships between the Disclosing Parties are described in response to Item 2.</w:t>
      </w:r>
    </w:p>
    <w:p>
      <w:pPr>
        <w:spacing w:after="0" w:line="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Exhibit A Joint Filing Agreement We, the undersigned, hereby express our agreement that the attached Schedule 13D</w:t>
      </w:r>
    </w:p>
    <w:p>
      <w:pPr>
        <w:sectPr>
          <w:pgSz w:w="11900" w:h="16838" w:orient="portrait"/>
          <w:cols w:equalWidth="0" w:num="1">
            <w:col w:w="11140"/>
          </w:cols>
          <w:pgMar w:left="360" w:top="112" w:right="399" w:bottom="0" w:gutter="0" w:footer="0" w:header="0"/>
        </w:sectPr>
      </w:pPr>
    </w:p>
    <w:bookmarkStart w:id="4" w:name="page5"/>
    <w:bookmarkEnd w:id="4"/>
    <w:p>
      <w:pPr>
        <w:ind w:left="720" w:right="40"/>
        <w:spacing w:after="0" w:line="235" w:lineRule="auto"/>
        <w:rPr>
          <w:sz w:val="20"/>
          <w:szCs w:val="20"/>
          <w:color w:val="auto"/>
        </w:rPr>
      </w:pPr>
      <w:r>
        <w:rPr>
          <w:rFonts w:ascii="Times New Roman" w:cs="Times New Roman" w:eastAsia="Times New Roman" w:hAnsi="Times New Roman"/>
          <w:sz w:val="22"/>
          <w:szCs w:val="22"/>
          <w:color w:val="auto"/>
        </w:rPr>
        <w:t>is, and any further amendments thereto signed by each of the undersigned shall be, filed on behalf of each of us pursuant to and in accordance with the provisions of Rule 13d-1(k) under the Securities Exchange Act of 1934, as amended.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 Dated: May 8, 2026 EAGLE POINT CREDIT MANAGEMENT LLC By: /s/ Courtney Fandrick Name: Courtney Fandrick Title: Chief Compliance Officer THOMAS PHILIP MAJEWSKI By: /s/ Thomas P. Majewski Name: Thomas P. Majewski All other materials which may be required to be filed as exhibits have been incorporated by reference herein.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Eagle Point Credit Management LLC</w:t>
      </w:r>
    </w:p>
    <w:p>
      <w:pPr>
        <w:spacing w:after="0" w:line="152" w:lineRule="exact"/>
        <w:rPr>
          <w:sz w:val="20"/>
          <w:szCs w:val="20"/>
          <w:color w:val="auto"/>
        </w:rPr>
      </w:pPr>
    </w:p>
    <w:p>
      <w:pPr>
        <w:ind w:left="506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Courtney Fandrick</w:t>
      </w:r>
    </w:p>
    <w:p>
      <w:pPr>
        <w:spacing w:after="0" w:line="4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Name/Title: Courtney Fandrick, Chief Compliance Officer</w:t>
      </w:r>
    </w:p>
    <w:p>
      <w:pPr>
        <w:spacing w:after="0" w:line="44" w:lineRule="exact"/>
        <w:rPr>
          <w:sz w:val="20"/>
          <w:szCs w:val="20"/>
          <w:color w:val="auto"/>
        </w:rPr>
      </w:pPr>
    </w:p>
    <w:p>
      <w:pPr>
        <w:ind w:left="506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Thomas Philip Majewski</w:t>
      </w:r>
    </w:p>
    <w:p>
      <w:pPr>
        <w:spacing w:after="0" w:line="152"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P. Majewski</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Thomas P. Majewski</w:t>
      </w:r>
    </w:p>
    <w:p>
      <w:pPr>
        <w:spacing w:after="0" w:line="44"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2026-05-08T20:00:27Z</dcterms:created>
  <dcterms:modified xsi:type="dcterms:W3CDTF">2026-05-08T20:00:27Z</dcterms:modified>
</cp:coreProperties>
</file>