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false"/>
        <w:pageBreakBefore w:val="false"/>
        <w:widowControl/>
        <w:pBdr/>
        <w:bidi w:val="0"/>
        <w:spacing w:before="16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424(b)(2)</w:t>
        <w:br/>
        <w:t>File No. 333-283109</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br/>
        <w:t>(to Prospectus dated November 8, 2024)</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$36,000,000</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09625" cy="8718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871855"/>
                    </a:xfrm>
                    <a:prstGeom prst="rect">
                      <a:avLst/>
                    </a:prstGeom>
                  </pic:spPr>
                </pic:pic>
              </a:graphicData>
            </a:graphic>
          </wp:inline>
        </w:drawing>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Oxford Lane Capital Corp.</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Preferred Stock</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Shares, 8.25% Series 2031</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Liquidation Preference $25 per Share</w:t>
      </w:r>
    </w:p>
    <w:p>
      <w:pPr>
        <w:pStyle w:val="TextBody"/>
        <w:keepNext w:val="tru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closed-end management investment company that has registered as an investment company under the Investment Company Act of 1940, as amended, or the “1940 Act.” Our investment objective is to maximize our portfolio’s risk-adjusted total return. We have implemented our investment objective by purchasing portions of equity and junior debt tranches of collateralized loan obligation, or “CLO,” vehicles. Structurally, CLO vehicles are entities formed to originate and/or acquire a portfolio of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offering 1,440,000 shares of our 8.25% Series 2031 preferred stock, or the “8.25% Series 2031 Term Preferred Shares.” We pay monthly dividends on the 8.25% Series 2031 Term Preferred Shares at an annual rate of 8.25% of the $25 liquidation preference per share, or $2.0625 per 8.25% Series 2031 Term Preferred Share per year, on the last business day of each month, commencing November 30, 2026. The 8.25% Series 2031 Term Preferred Shares offered hereby are a further issuance of the 8.25% Series 2031 preferred stock that we initially issued on March 20, 2026 in the aggregate liquidation preference of $69,000,000, after giving effect to the underwriters’ full exercise of their over-allotment option (the “Existing Shares”). The additional 8.25% Series 2031 Term Preferred Shares issued pursuant to this offering will not be entitled to receive the distribution payable to the holders of the Existing Shares on October 30, 2026. Unless the context otherwise requires, references herein to the “8.25% Series 2031 Term Preferred Shares” include the shares offered hereby and the Existing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redeem all of the outstanding 8.25% Series 2031 Term Preferred Shares on March 20, 2031 at a redemption price equal to $25 per share plus an amount equal to accumulated but unpaid dividends, if any, to, but excluding, the date of redemption. We cannot effect any amendment, alteration or repeal of our obligation to redeem all of the 8.25% Series 2031 Term Preferred Shares on March 20, 2031 without the prior unanimous consent of the holders of 8.25% Series 2031 Term Preferred Shares. If we fail to maintain an asset coverage ratio of at least 200% (as described in this prospectus supplement), we will redeem a portion of the outstanding 8.25% Series 2031 Term Preferred Shares in an amount at least equal to the lesser of (1) the minimum number of shares of 8.25% Series 2031 Term Preferred Shares necessary to cause us to meet our required asset coverage ratio and (2) the maximum number of 8.25% Series 2031 Term Preferred Shares that we can redeem out of cash legally available for such redemption. At any time on or after March 20, 2028, at our sole option, we may redeem the 8.25% Series 2031 Term Preferred Shares at a redemption price per share equal to the sum of the $25 liquidation preference per share plus an amount equal to accumulated but unpaid dividends, if any, on the 8.25% Series 2031 Term Preferred Shares, to, but excluding, the date fixed for such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An investment in our securities is subject to significant risks and involves a heightened risk of total loss of investment. The price of shares of our preferred stock may be highly volatile. The interests of the CLO securities in which we invest are subject to a high degree of special risks, including: CLO structures are highly complicated and may be subject to disadvantageous tax treatment; CLO vehicles are highly levered (with CLO equity securities typically being leveraged between nine and thirteen times) and are made up of below investment grade loans in which we typically have a residual interest that is much riskier than the loans that make up the CLO vehicle; and the market price for CLO vehicles may fluctuate dramatically, which may make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portfolio valuations unreliable and negatively impact our net asset value (“NAV”) and our ability to make distributions to our stockholders. Some instruments issued by CLO vehicles may not be readily marketable and may be subject to restrictions on resale. Securities issued by CLO vehicles are generally not listed on any U.S. national securities exchange and no active trading market may exist for the securities of CLO vehicles in which we may invest. Although a secondary market may exist for our investments in CLO vehicles, the market for our investments in CLO vehicles may be subject to irregular trading activity, wide bid/ask spreads and extended trade settlement periods. As a result, these types of investments will be more difficult to value. See “Risk Factors” beginning on page S-18</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supplement and page 15 of the accompanying prospectus and under similar headings in the documents that are incorporated by reference into this prospectus supplement and the accompanying prospectus, to read about factors you should consider, including the risk of leverage, before investing in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we have issued and outstanding the 6.00% Series 2029 Term Preferred Shares (the “6.00% Series 2029 Term Preferred Shares”), the 7.125% Series 2029 Term Preferred Shares (the “7.125% Series 2029 Term Preferred Shares”), and the Existing Shares (together with the 6.00% Series 2029 Term Preferred Shares and the 7.125% Series 2029 Term Preferred Shares, the “Term Preferred Shares”), and the 6.75% Notes due 2031 (the “2031 Notes”), the 5.00% Notes due 2027 (the “2027 Notes”), the 8.75% Notes due 2030 (the “2030 Notes”), and the 7.95% Notes due 2032 (the “2032 Notes,” and, together with the 2031 Notes, the 2027 Notes and the 2030 Notes, the “Notes”). As of October 12, 2026, there was an aggregate of $200.0 million of our Term Preferred Shares issued and outstanding, consisting of $67.2 million of our 6.00% Series 2029 Term Preferred Shares, $63.8 million of our 7.125% Series 2029 Term Preferred Shares and $69.0 million of our Existing Shares. As of October 12, 2026, there was an aggregate of $440.0 million principal amount of our Notes issued and outstanding, consisting of $100.0 million in aggregate principal amount of our 2031 Notes, $40.0 million in aggregate principal amount of our 2027 Notes, $115.0 million in aggregate principal amount of our 2030 Notes and $185.0 million in aggregate principal amount of our 2032 Notes. As of September 30, 2026, there were no accumulated but unpaid dividends on our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8.25% Series 2031 Term Preferred Shares will rank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equally, in right of payment with the 6.00% Series 2029 Term Preferred Shares and the 7.125% Series 2029 Term Preferred Shares, and all other shares of preferred stock that we may issue in the future (collectively, “Preferred Stock”). The 8.25% Series 2031 Term Preferred Shares will rank senior in right of payment to our common stock, and subordinated in right of payment to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8.25% Series 2031 Term Preferred Shares are traded on the NASDAQ Global Select Market under the symbol “OXLCM.” On October 12, 2026, the last sales price of our 8.25% Series 2031 Term Preferred Shares on the NASDAQ Global Select Market was $24.98 per share. Our common stock is traded on the NASDAQ Global Select Market under the symbol “OXLC.” On October 12, 2026, the last reported sales price on the NASDAQ Global Select Market for our common stock was $8.60 per share. Our 6.00% Series 2029 Term Preferred Shares are traded on the NASDAQ Global Select Market under the symbol “OXLCO.” On October 12, 2026, the last sale price of our 6.00% Series 2029 Term Preferred Shares as reported on NASDAQ Global Select Market was $23.60 per share. Our 7.125% Series 2029 Term Preferred Shares are traded on the NASDAQ Global Select Market under the symbol “OXLCN.” On October 12, 2026, the last sale price of our 7.125% Series 2029 Term Preferred Shares as reported on NASDAQ Global Select Market was $24.48 per share. Our 2031 Notes are traded on the NASDAQ Global Select Market under the symbol “OXLCL.” On October 12, 2026, the last sale price of our 2031 Notes as reported on NASDAQ Global Select Market was $23.84. Our 2027 Notes are traded on the NASDAQ Global Select Market under the symbol “OXLCZ.” On October 12, 2026, the last sale price of our 2027 Notes as reported on NASDAQ Global Select Market was $24.90. Our 2030 Notes are traded on the NASDAQ Global Select Market under the symbol “OXLCI.” On October 12, 2026, the last sale price of our 2030 Notes as reported on NASDAQ Global Select Market was $25.18. Our 2032 Notes are traded on the NASDAQ Global Select Market under the symbol “OXLCG.” On October 12, 2026, the last sale price of our 2032 Notes as reported on NASDAQ Global Select Market was $24.52. The 8.25% Series 2031 Term Preferred Shares are not convertible into our common stock or any other security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determine NAV per share of our common stock on a quarterly basis. Our NAV per share of our common stock as of June 30, 2026 was $10.74.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Please read this prospectus supplement, the accompanying prospectus, and the documents incorporated by reference into this prospectus supplement and the accompanying prospectus before investing in our securities and keep each for future reference. This prospectus supplement, the accompanying prospectus, and the documents incorporated by reference into this prospectus supplement and the accompanying prospectus contain important information about us that a prospective investor should know before investing in our securities. We are required to file annual and semi-annual reports, proxy statements and other information about us with the Securities and Exchange Commission, or the “SEC.” This information is available free of charge by contacting us by mail at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xml:space="preserve">. The SEC also maintains a website at </w:t>
      </w:r>
      <w:r>
        <w:rPr>
          <w:rFonts w:ascii="Times New Roman PS Std;serif" w:hAnsi="Times New Roman PS Std;serif"/>
          <w:b w:val="false"/>
          <w:i/>
          <w:caps w:val="false"/>
          <w:smallCaps w:val="false"/>
          <w:sz w:val="20"/>
        </w:rPr>
        <w:t xml:space="preserve">http://www.sec.gov </w:t>
      </w:r>
      <w:r>
        <w:rPr>
          <w:rFonts w:ascii="Times New Roman PS Std;serif" w:hAnsi="Times New Roman PS Std;serif"/>
          <w:b w:val="false"/>
          <w:i w:val="false"/>
          <w:caps w:val="false"/>
          <w:smallCaps w:val="false"/>
          <w:sz w:val="20"/>
        </w:rPr>
        <w:t>that contains such information. Information contained on our website is not incorporated by reference into this prospectus supplement or the accompanying prospectus, and you should not consider such information to be part of this prospectus supplement or the accompanying prospectus, except documents incorporated by reference into this prospectus supplement or the accompanying prospectus.</w:t>
      </w:r>
    </w:p>
    <w:tbl>
      <w:tblPr>
        <w:tblW w:w="8922" w:type="dxa"/>
        <w:jc w:val="left"/>
        <w:tblInd w:w="0" w:type="dxa"/>
        <w:tblLayout w:type="fixed"/>
        <w:tblCellMar>
          <w:top w:w="0" w:type="dxa"/>
          <w:left w:w="0" w:type="dxa"/>
          <w:bottom w:w="0" w:type="dxa"/>
          <w:right w:w="0" w:type="dxa"/>
        </w:tblCellMar>
      </w:tblPr>
      <w:tblGrid>
        <w:gridCol w:w="5461"/>
        <w:gridCol w:w="146"/>
        <w:gridCol w:w="286"/>
        <w:gridCol w:w="1306"/>
        <w:gridCol w:w="146"/>
        <w:gridCol w:w="286"/>
        <w:gridCol w:w="1291"/>
      </w:tblGrid>
      <w:tr>
        <w:trPr/>
        <w:tc>
          <w:tcPr>
            <w:tcW w:w="54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Total(1)</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35,784,000</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(Underwriting Discounts and Commissions)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0.7765625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1,118,250</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the Company (before expenses)(2)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24.0734375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34,665,750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 have granted the underwriters a 30-day option to purchase up to an additional 216,000 of 8.25% Series 2031 Term Preferred Shares from us to cover over-allotments, if any. If such option is exercised in full, the public offering price, underwriting discounts and commissions and proceeds, before expenses, to us would be $41,151,600.00, $1,285,987.50 and $39,865,612.50, respectively. See “Underwriting”.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 expenses of the offering payable by us, excluding underwriting discounts and commissions, are estimated to be $292,000. Payment of this additional underwriting compensation will reduce the proceeds to us, before expenses. See “Underwriting.”</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expect to deliver the shares on or about October 23, 2026.</w:t>
      </w:r>
    </w:p>
    <w:p>
      <w:pPr>
        <w:pStyle w:val="TextBody"/>
        <w:keepNext w:val="tru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w:t>
      </w:r>
    </w:p>
    <w:tbl>
      <w:tblPr>
        <w:tblW w:w="6178" w:type="dxa"/>
        <w:jc w:val="left"/>
        <w:tblInd w:w="0" w:type="dxa"/>
        <w:tblLayout w:type="fixed"/>
        <w:tblCellMar>
          <w:top w:w="0" w:type="dxa"/>
          <w:left w:w="0" w:type="dxa"/>
          <w:bottom w:w="0" w:type="dxa"/>
          <w:right w:w="0" w:type="dxa"/>
        </w:tblCellMar>
      </w:tblPr>
      <w:tblGrid>
        <w:gridCol w:w="2341"/>
        <w:gridCol w:w="146"/>
        <w:gridCol w:w="3691"/>
      </w:tblGrid>
      <w:tr>
        <w:trPr/>
        <w:tc>
          <w:tcPr>
            <w:tcW w:w="6178" w:type="dxa"/>
            <w:gridSpan w:val="3"/>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Joint Book-Running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Managers</w:t>
            </w:r>
          </w:p>
        </w:tc>
      </w:tr>
      <w:tr>
        <w:trPr/>
        <w:tc>
          <w:tcPr>
            <w:tcW w:w="234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Piper Sandler</w:t>
            </w:r>
          </w:p>
        </w:tc>
        <w:tc>
          <w:tcPr>
            <w:tcW w:w="146" w:type="dxa"/>
            <w:tcBorders/>
            <w:vAlign w:val="bottom"/>
          </w:tcPr>
          <w:p>
            <w:pPr>
              <w:pStyle w:val="TableContents"/>
              <w:bidi w:val="0"/>
              <w:spacing w:before="0" w:after="283"/>
              <w:jc w:val="left"/>
              <w:rPr/>
            </w:pPr>
            <w:r>
              <w:rPr/>
              <w:t> </w:t>
            </w:r>
          </w:p>
        </w:tc>
        <w:tc>
          <w:tcPr>
            <w:tcW w:w="369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Lucid Capital Markets</w:t>
            </w:r>
          </w:p>
        </w:tc>
      </w:tr>
    </w:tbl>
    <w:tbl>
      <w:tblPr>
        <w:tblW w:w="2848" w:type="dxa"/>
        <w:jc w:val="left"/>
        <w:tblInd w:w="0" w:type="dxa"/>
        <w:tblLayout w:type="fixed"/>
        <w:tblCellMar>
          <w:top w:w="0" w:type="dxa"/>
          <w:left w:w="0" w:type="dxa"/>
          <w:bottom w:w="0" w:type="dxa"/>
          <w:right w:w="0" w:type="dxa"/>
        </w:tblCellMar>
      </w:tblPr>
      <w:tblGrid>
        <w:gridCol w:w="1111"/>
        <w:gridCol w:w="146"/>
        <w:gridCol w:w="1591"/>
      </w:tblGrid>
      <w:tr>
        <w:trPr/>
        <w:tc>
          <w:tcPr>
            <w:tcW w:w="2848" w:type="dxa"/>
            <w:gridSpan w:val="3"/>
            <w:tcBorders/>
            <w:vAlign w:val="bottom"/>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Lead Managers</w:t>
            </w:r>
          </w:p>
        </w:tc>
      </w:tr>
      <w:tr>
        <w:trPr/>
        <w:tc>
          <w:tcPr>
            <w:tcW w:w="111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A.G.P.</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InspereX</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 dated October 21,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tbl>
      <w:tblPr>
        <w:tblW w:w="9733" w:type="dxa"/>
        <w:jc w:val="left"/>
        <w:tblInd w:w="0" w:type="dxa"/>
        <w:tblLayout w:type="fixed"/>
        <w:tblCellMar>
          <w:top w:w="0" w:type="dxa"/>
          <w:left w:w="0" w:type="dxa"/>
          <w:bottom w:w="0" w:type="dxa"/>
          <w:right w:w="0" w:type="dxa"/>
        </w:tblCellMar>
      </w:tblPr>
      <w:tblGrid>
        <w:gridCol w:w="8866"/>
        <w:gridCol w:w="146"/>
        <w:gridCol w:w="721"/>
      </w:tblGrid>
      <w:tr>
        <w:trPr/>
        <w:tc>
          <w:tcPr>
            <w:tcW w:w="88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0">
              <w:r>
                <w:rPr>
                  <w:rStyle w:val="InternetLink"/>
                  <w:rFonts w:ascii="Times New Roman PS Std;serif" w:hAnsi="Times New Roman PS Std;serif"/>
                  <w:b w:val="false"/>
                  <w:i w:val="false"/>
                  <w:caps w:val="false"/>
                  <w:smallCaps w:val="false"/>
                  <w:sz w:val="20"/>
                </w:rPr>
                <w:t xml:space="preserve">About this Prospectus Supplement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S-iii</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S-12</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S-16</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 xml:space="preserve">Supplementary 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S-18</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S-21</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Capitalization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S-22</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Description of the 8.25% Series 2031 Term Preferred Shares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S-23</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Certain Additional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S-32</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09">
              <w:r>
                <w:rPr>
                  <w:rStyle w:val="InternetLink"/>
                  <w:rFonts w:ascii="Times New Roman PS Std;serif" w:hAnsi="Times New Roman PS Std;serif"/>
                  <w:b w:val="false"/>
                  <w:i w:val="false"/>
                  <w:caps w:val="false"/>
                  <w:smallCaps w:val="false"/>
                  <w:sz w:val="20"/>
                </w:rPr>
                <w:t xml:space="preserve">Underwriting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S-36</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10">
              <w:r>
                <w:rPr>
                  <w:rStyle w:val="InternetLink"/>
                  <w:rFonts w:ascii="Times New Roman PS Std;serif" w:hAnsi="Times New Roman PS Std;serif"/>
                  <w:b w:val="false"/>
                  <w:i w:val="false"/>
                  <w:caps w:val="false"/>
                  <w:smallCaps w:val="false"/>
                  <w:sz w:val="20"/>
                </w:rPr>
                <w:t xml:space="preserve">Custodian, Transfer Agent, Dividend Disbursing Agent and Redemption and Paying Agent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S-39</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11">
              <w:r>
                <w:rPr>
                  <w:rStyle w:val="InternetLink"/>
                  <w:rFonts w:ascii="Times New Roman PS Std;serif" w:hAnsi="Times New Roman PS Std;serif"/>
                  <w:b w:val="false"/>
                  <w:i w:val="false"/>
                  <w:caps w:val="false"/>
                  <w:smallCaps w:val="false"/>
                  <w:sz w:val="20"/>
                </w:rPr>
                <w:t xml:space="preserve">Miscellaneous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S-39</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12">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S-39</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1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S-40</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14">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S-40</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15">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S-40</w:t>
            </w:r>
          </w:p>
        </w:tc>
      </w:tr>
      <w:tr>
        <w:trPr/>
        <w:tc>
          <w:tcPr>
            <w:tcW w:w="8866" w:type="dxa"/>
            <w:tcBorders/>
            <w:shd w:fill="CCEEFF" w:val="clear"/>
            <w:vAlign w:val="bottom"/>
          </w:tcPr>
          <w:p>
            <w:pPr>
              <w:pStyle w:val="TableContents"/>
              <w:keepNext w:val="false"/>
              <w:widowControl/>
              <w:pBdr/>
              <w:bidi w:val="0"/>
              <w:spacing w:before="0" w:after="283"/>
              <w:ind w:left="200" w:right="0" w:hanging="200"/>
              <w:jc w:val="left"/>
              <w:rPr/>
            </w:pPr>
            <w:hyperlink w:anchor="T99116">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S-41</w:t>
            </w:r>
          </w:p>
        </w:tc>
      </w:tr>
      <w:tr>
        <w:trPr/>
        <w:tc>
          <w:tcPr>
            <w:tcW w:w="8866" w:type="dxa"/>
            <w:tcBorders/>
            <w:vAlign w:val="bottom"/>
          </w:tcPr>
          <w:p>
            <w:pPr>
              <w:pStyle w:val="TableContents"/>
              <w:keepNext w:val="false"/>
              <w:widowControl/>
              <w:pBdr/>
              <w:bidi w:val="0"/>
              <w:spacing w:before="0" w:after="283"/>
              <w:ind w:left="200" w:right="0" w:hanging="200"/>
              <w:jc w:val="left"/>
              <w:rPr/>
            </w:pPr>
            <w:hyperlink w:anchor="T99117">
              <w:r>
                <w:rPr>
                  <w:rStyle w:val="InternetLink"/>
                  <w:rFonts w:ascii="Times New Roman PS Std;serif" w:hAnsi="Times New Roman PS Std;serif"/>
                  <w:b w:val="false"/>
                  <w:i w:val="false"/>
                  <w:caps w:val="false"/>
                  <w:smallCaps w:val="false"/>
                  <w:sz w:val="20"/>
                </w:rPr>
                <w:t xml:space="preserve">Exhibit A — Form of Articles Supplementary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S-A-1</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bl>
      <w:tblPr>
        <w:tblW w:w="8323" w:type="dxa"/>
        <w:jc w:val="left"/>
        <w:tblInd w:w="0" w:type="dxa"/>
        <w:tblLayout w:type="fixed"/>
        <w:tblCellMar>
          <w:top w:w="0" w:type="dxa"/>
          <w:left w:w="0" w:type="dxa"/>
          <w:bottom w:w="0" w:type="dxa"/>
          <w:right w:w="0" w:type="dxa"/>
        </w:tblCellMar>
      </w:tblPr>
      <w:tblGrid>
        <w:gridCol w:w="7456"/>
        <w:gridCol w:w="146"/>
        <w:gridCol w:w="721"/>
      </w:tblGrid>
      <w:tr>
        <w:trPr/>
        <w:tc>
          <w:tcPr>
            <w:tcW w:w="74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02">
              <w:r>
                <w:rPr>
                  <w:rStyle w:val="InternetLink"/>
                  <w:rFonts w:ascii="Times New Roman PS Std;serif" w:hAnsi="Times New Roman PS Std;serif"/>
                  <w:b w:val="false"/>
                  <w:i w:val="false"/>
                  <w:caps w:val="false"/>
                  <w:smallCaps w:val="false"/>
                  <w:sz w:val="20"/>
                </w:rPr>
                <w:t xml:space="preserve">Offerings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3">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04">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06">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7">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08">
              <w:r>
                <w:rPr>
                  <w:rStyle w:val="InternetLink"/>
                  <w:rFonts w:ascii="Times New Roman PS Std;serif" w:hAnsi="Times New Roman PS Std;serif"/>
                  <w:b w:val="false"/>
                  <w:i w:val="false"/>
                  <w:caps w:val="false"/>
                  <w:smallCaps w:val="false"/>
                  <w:sz w:val="20"/>
                </w:rPr>
                <w:t xml:space="preserve">Price Range of Common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09">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0">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1">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2">
              <w:r>
                <w:rPr>
                  <w:rStyle w:val="InternetLink"/>
                  <w:rFonts w:ascii="Times New Roman PS Std;serif" w:hAnsi="Times New Roman PS Std;serif"/>
                  <w:b w:val="false"/>
                  <w:i w:val="false"/>
                  <w:caps w:val="false"/>
                  <w:smallCaps w:val="false"/>
                  <w:sz w:val="20"/>
                </w:rPr>
                <w:t xml:space="preserve">Portfolio 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3">
              <w:r>
                <w:rPr>
                  <w:rStyle w:val="InternetLink"/>
                  <w:rFonts w:ascii="Times New Roman PS Std;serif" w:hAnsi="Times New Roman PS Std;serif"/>
                  <w:b w:val="false"/>
                  <w:i w:val="false"/>
                  <w:caps w:val="false"/>
                  <w:smallCaps w:val="false"/>
                  <w:sz w:val="20"/>
                </w:rPr>
                <w:t xml:space="preserve">Investment Advisory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4">
              <w:r>
                <w:rPr>
                  <w:rStyle w:val="InternetLink"/>
                  <w:rFonts w:ascii="Times New Roman PS Std;serif" w:hAnsi="Times New Roman PS Std;serif"/>
                  <w:b w:val="false"/>
                  <w:i w:val="false"/>
                  <w:caps w:val="false"/>
                  <w:smallCaps w:val="false"/>
                  <w:sz w:val="20"/>
                </w:rPr>
                <w:t xml:space="preserve">Administration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5">
              <w:r>
                <w:rPr>
                  <w:rStyle w:val="InternetLink"/>
                  <w:rFonts w:ascii="Times New Roman PS Std;serif" w:hAnsi="Times New Roman PS Std;serif"/>
                  <w:b w:val="false"/>
                  <w:i w:val="false"/>
                  <w:caps w:val="false"/>
                  <w:smallCaps w:val="false"/>
                  <w:sz w:val="20"/>
                </w:rPr>
                <w:t xml:space="preserve">Certain Relationships and Transactions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6">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7">
              <w:r>
                <w:rPr>
                  <w:rStyle w:val="InternetLink"/>
                  <w:rFonts w:ascii="Times New Roman PS Std;serif" w:hAnsi="Times New Roman PS Std;serif"/>
                  <w:b w:val="false"/>
                  <w:i w:val="false"/>
                  <w:caps w:val="false"/>
                  <w:smallCaps w:val="false"/>
                  <w:sz w:val="20"/>
                </w:rPr>
                <w:t xml:space="preserve">Regulation as a Registered Closed-End Management Investment Company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18">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19">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20">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21">
              <w:r>
                <w:rPr>
                  <w:rStyle w:val="InternetLink"/>
                  <w:rFonts w:ascii="Times New Roman PS Std;serif" w:hAnsi="Times New Roman PS Std;serif"/>
                  <w:b w:val="false"/>
                  <w:i w:val="false"/>
                  <w:caps w:val="false"/>
                  <w:smallCaps w:val="false"/>
                  <w:sz w:val="20"/>
                </w:rPr>
                <w:t xml:space="preserve">Description of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22">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23">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7456" w:type="dxa"/>
            <w:tcBorders/>
            <w:vAlign w:val="bottom"/>
          </w:tcPr>
          <w:p>
            <w:pPr>
              <w:pStyle w:val="TableContents"/>
              <w:keepNext w:val="false"/>
              <w:widowControl/>
              <w:pBdr/>
              <w:bidi w:val="0"/>
              <w:spacing w:before="0" w:after="283"/>
              <w:ind w:left="200" w:right="0" w:hanging="200"/>
              <w:jc w:val="left"/>
              <w:rPr/>
            </w:pPr>
            <w:hyperlink w:anchor="T5024">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7456" w:type="dxa"/>
            <w:tcBorders/>
            <w:shd w:fill="CCEEFF" w:val="clear"/>
            <w:vAlign w:val="bottom"/>
          </w:tcPr>
          <w:p>
            <w:pPr>
              <w:pStyle w:val="TableContents"/>
              <w:keepNext w:val="false"/>
              <w:widowControl/>
              <w:pBdr/>
              <w:bidi w:val="0"/>
              <w:spacing w:before="0" w:after="283"/>
              <w:ind w:left="200" w:right="0" w:hanging="200"/>
              <w:jc w:val="left"/>
              <w:rPr/>
            </w:pPr>
            <w:hyperlink w:anchor="T5025">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003" w:type="dxa"/>
        <w:jc w:val="left"/>
        <w:tblInd w:w="0" w:type="dxa"/>
        <w:tblLayout w:type="fixed"/>
        <w:tblCellMar>
          <w:top w:w="0" w:type="dxa"/>
          <w:left w:w="0" w:type="dxa"/>
          <w:bottom w:w="0" w:type="dxa"/>
          <w:right w:w="0" w:type="dxa"/>
        </w:tblCellMar>
      </w:tblPr>
      <w:tblGrid>
        <w:gridCol w:w="9136"/>
        <w:gridCol w:w="146"/>
        <w:gridCol w:w="721"/>
      </w:tblGrid>
      <w:tr>
        <w:trPr/>
        <w:tc>
          <w:tcPr>
            <w:tcW w:w="91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6">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7">
              <w:r>
                <w:rPr>
                  <w:rStyle w:val="InternetLink"/>
                  <w:rFonts w:ascii="Times New Roman PS Std;serif" w:hAnsi="Times New Roman PS Std;serif"/>
                  <w:b w:val="false"/>
                  <w:i w:val="false"/>
                  <w:caps w:val="false"/>
                  <w:smallCaps w:val="false"/>
                  <w:sz w:val="20"/>
                </w:rPr>
                <w:t xml:space="preserve">Custodian, Transfer Agent, Distribution Disbursing Agent and Redemption and Paying Agent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8">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9">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30">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31">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32">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100"/>
      <w:bookmarkEnd w:id="1"/>
      <w:r>
        <w:rPr>
          <w:rFonts w:ascii="Times New Roman PS Std;serif" w:hAnsi="Times New Roman PS Std;serif"/>
          <w:b/>
          <w:i w:val="false"/>
          <w:caps w:val="false"/>
          <w:smallCaps w:val="false"/>
          <w:sz w:val="20"/>
        </w:rPr>
        <w:t xml:space="preserve">ABOUT THIS PROSPECTUS SUPPLEMENT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(File Nos. 333-283109 and 811-22432) utilizing a shelf registration process relating to the securities described in this prospectus supplement, which registration statement became effective on November 8,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is in two parts. The first part is the prospectus supplement, which describes the terms of this offering of the 8.25% Series 2031 Term Preferred Shares and also adds to and updates information contained in the accompanying prospectus. The second part is the accompanying prospectus, which gives more general information and disclosure. To the extent the information contained in this prospectus supplement differs from or is additional to the information contained in the accompanying prospectus, you should rely only on the information contained in this prospectus supplement and the documents incorporated by reference herein. Please carefully read and consider all of the information contained in this prospectus supplement and the accompanying prospectus, including the information described under the headings “Incorporation of Certain Information by Reference,” “Available Information,” and “Supplementary Risk Factors” in this prospectus supplement and under the headings “Incorporation of Certain Information by Reference,” “Available Information” and “Risk Factors” included in the accompanying prospectus, respectively, before investing in the 8.25% Series 2031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in this prospectus supplement and the accompanying prospectus. Neither we nor the underwriters have authorized any dealer, salesman or other person to give any information or to make any representation other than those contained in or incorporated by reference into this prospectus supplement and the accompanying prospectus. If anyone provides you with different or inconsistent information, you should not rely on it. This prospectus supplement and the accompanying prospectus do not constitute an offer to sell or a solicitation of an offer to buy any security other than the registered securities to which they relate, nor do they constitute an offer to sell or a solicitation of any offer to buy any securities in any jurisdiction or to any person to whom it is unlawful to make such an offer or solicitation in such jurisdiction. The information contained in or incorporated by reference into this prospectus supplement and the accompanying prospectus is accurate as of their respective dates or such earlier date as indicated therein, regardless of the time of delivery of this prospectus supplement and the accompanying prospectus or any sales of the 8.25% Series 2031 Term Preferred Shares. Our financial condition, results of operations and prospects may have changed since those dates. To the extent required by law, we will amend or supplement the information contained in or incorporated by reference into this prospectus supplement and the accompanying prospectus to reflect any material changes subsequent to the date of this prospectus supplement and the accompanying prospectus and prior to the completion of any offering pursuant to this prospectus supplement and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8.25% Series 2031 Term Preferred Shares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 w:name="T99101"/>
      <w:bookmarkEnd w:id="2"/>
      <w:r>
        <w:rPr>
          <w:rFonts w:ascii="Times New Roman PS Std;serif" w:hAnsi="Times New Roman PS Std;serif"/>
          <w:b/>
          <w:i w:val="false"/>
          <w:caps w:val="false"/>
          <w:smallCaps w:val="false"/>
          <w:sz w:val="20"/>
          <w:bdr w:val="single" w:sz="8" w:space="10" w:color="000000"/>
        </w:rPr>
        <w:t xml:space="preserve">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contains basic information about the offering of the 8.25% Series 2031 Term Preferred Shares pursuant to this prospectus supplement and the accompanying prospectus. It is not complete and may not contain all the information that is important to you. For a more complete understanding of the offering of shares of the 8.25% Series 2031 Term Preferred Shares pursuant to this prospectus supplement, we encourage you to read this entire prospectus supplement and the accompanying prospectus, including any documents incorporated by reference into this prospectus supplement or the accompanying prospectus, and the documents to which we have referred in this prospectus supplement and the accompanying prospectus. Together, these documents describe the specific terms of the shares we are offering. You should carefully read the sections entitled “Risk Factors,” “Business,” “Incorporation of Certain Information By Reference” and our financial statements included in the accompanying prospectus and the sections entitled “Supplementary Risk Factors” and “Incorporation of Certain Information by Reference” in this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Except where the context requires otherwise, the terms “Oxford Lane Capital,” the “Company,” the “Fund,” “we,” “us” and “our” refer to Oxford Lane Capital Corp.; “Oxford Lane Management” and “investment adviser” refer to Oxford Lane Management, LLC; “Oxford Funds” and “administrator” refer to Oxford Funds, LLC.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closed-end management investment company that has registered as an investment company under the 1940 Act. Our investment objective is to maximize our portfolio’s risk-adjusted total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or “Senior Loans,” and, to a limited extent, subordinated and/or unsecured loans and bonds (together with the Senior Loans, the “CLO Assets”).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ability to make distributions to our stockholders. Our financial results may be affected adversely if one or more of our significant equity or junior debt investments in such CLO vehicles defaults on its payment obligations or fails to perform as we expect.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“passive foreign investment companies,” or “PFICs.” Because we acquire investments in PFICs (including equity tranche investments in CLO vehicles that are PFICs), unless we make certain elections with respect to such investments, we may be subject to U.S. federal income tax on a portion of any “excess distribution” or gain from the disposition of such investments even if such income is distributed as a taxable dividend by us to our stockholders. See “Principal Risks — Risks Related to Our Investments” in our most recent annual report on Form N-CSR or semi-annual report on Form N-CSRS to read about factors you should consider before investing in our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activities are managed by Oxford Lane Management, which is an investment adviser that has registered under the Investment Advisers Act of 1940, or the “Advisers Act.” Under our investment advisory agreement with Oxford Lane Management, which we refer to as our “Investment Advisory Agreement,” we have agreed to pay Oxford Lane Management an annual base management fee based on our gross assets, as well as an incentive fee based on our performance. See “Investment Advisory Agreement” in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expect to benefit from the ability of Oxford Lane Management’s team to identify attractive opportunities, conduct diligence on and value prospective investments, negotiate terms where appropriate, and manage and monitor our portfolio. Oxford Lane Management’s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reimburse Oxford Funds, an affiliate of Oxford Lane Management, our allocable portion of overhead and other expenses incurred by Oxford Funds in performing its obligations under an administration agreement by and among us and Oxford Funds, or the “Administration Agreement,” including, but not limited to, rent, the fees and expenses associated with performing administrative functions, and our allocable portion of the compensation of our Chief Financial Officer and any administrative support staff, including accounting personnel. We will also reimburse Oxford Funds for the costs associated with the functions performed by our Chief Compliance Officer that Oxford Funds pays on the Company’s behalf pursuant to the terms of an agreement between us and ACA Group, LLC. These arrangements could create conflicts of interest that our board of directors (“Board of Directors”) must monitor.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Focus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objective is to maximize our portfolio’s risk-adjusted total return. Our current focus is to seek that return by investing in structured finance investments, specifically the equity and junior debt tranches of CLO vehicles, which are collateralized primarily by a diverse portfolio of Senior Loans, and which generally have very little or no exposure to real estate loans, or mortgage loans or to pools of consumer-based debt, such as credit card receivables or auto loans. As of September 30, 2026, we held equity investments in 229 different CLO structures and debt investments in 9 different CLO structures. Our investment strategy also includes investing in warehouse facilities, which are financing structures intended to aggregate Senior Loans that may be used to form the basis of a CLO vehicle. We may also invest, on an opportunistic basis, in a variety of other types of corporate credits.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CLO investments we currently hold in our portfolio generally represent either a residual economic interest, in the case of an equity tranche, or a debt investment collateralized by a portfolio of Senior Loans and other CLO Assets. The value of our CLO investments generally depend on both the quality and nature of the underlying portfolio it references and also on the specific structural characteristics of the CLO itself.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CLO Structural Elements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diagram below is for illustrative purposes only. The CLO structure highlighted below is illustrative only and CLO vehicles in which we may invest may vary substantially from the illustrative example set forth below.</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421005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10050" cy="20574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typically invest in the equity tranches, which are not rated, and to a lesser extent the “B” and “BB” tranches of CLO vehicles. As of September 30, 2026, approximately 98.3% of our portfolio on a fair value basis was invested in the equity tranches of CLO vehicles.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Syndicated Senior Loan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while the syndicated leveraged corporate loan market is relatively large, with Morningstar LSTA Leveraged Loan Index estimating the total par value outstanding at approximately $1.58 trillion as of September 30, 2026,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Senior Loan market is characterized by various factors, including: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Floating rate instruments.    </w:t>
      </w:r>
      <w:r>
        <w:rPr>
          <w:rFonts w:ascii="Times New Roman PS Std;serif" w:hAnsi="Times New Roman PS Std;serif"/>
          <w:b w:val="false"/>
          <w:i w:val="false"/>
          <w:caps w:val="false"/>
          <w:smallCaps w:val="false"/>
          <w:sz w:val="20"/>
          <w:bdr w:val="single" w:sz="8" w:space="10" w:color="000000"/>
        </w:rPr>
        <w:t>Senior Loans and other types of CLO Assets typically contain a 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Frequency of interest payments.    </w:t>
      </w:r>
      <w:r>
        <w:rPr>
          <w:rFonts w:ascii="Times New Roman PS Std;serif" w:hAnsi="Times New Roman PS Std;serif"/>
          <w:b w:val="false"/>
          <w:i w:val="false"/>
          <w:caps w:val="false"/>
          <w:smallCaps w:val="false"/>
          <w:sz w:val="20"/>
          <w:bdr w:val="single" w:sz="8" w:space="10" w:color="000000"/>
        </w:rPr>
        <w:t>Senior Loans and other CLO Assets typically provide for scheduled interest payments no less frequently than quarterly.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the market for CLO-related assets provides us with opportunities to generate attractive risk-adjusted returns over the long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Leverage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We may use leverage as and to the extent permitted by the 1940 Act. We are permitted to obtain leverage using any form of financial leverage instruments, including funds borrowed from banks or other financial institutions, margin facilities, notes or preferred stock and leverage attributable to reverse repurchase agreements or similar transactions. Instruments that create leverage are generally considered to be senior securities under the 1940 Act. Under the 1940 Act, we are only permitted to incur additional indebtedness to the extent our asset coverage, as defined under the 1940 Act, is at least 300% immediately after each such borrowing. With respect to our outstanding Preferred Stock, we will generally be required to meet an asset coverage ratio, as defined under the 1940 Act, of at least 200% immediately after each issuance of such Preferred Stock. </w:t>
      </w:r>
      <w:r>
        <w:rPr>
          <w:rFonts w:ascii="Times New Roman PS Std;serif" w:hAnsi="Times New Roman PS Std;serif"/>
          <w:b/>
          <w:i w:val="false"/>
          <w:caps w:val="false"/>
          <w:smallCaps w:val="false"/>
          <w:sz w:val="20"/>
          <w:bdr w:val="single" w:sz="8" w:space="10" w:color="000000"/>
        </w:rPr>
        <w:t>In addition, our Articles Supplementary for the Term Preferred Shares prohibit us from declaring a common stock distribution if, at the time of declaration, our asset coverage ratio is not at least 200% after deducting the amount of such distribution.</w:t>
      </w:r>
      <w:r>
        <w:rPr>
          <w:rFonts w:ascii="Times New Roman PS Std;serif" w:hAnsi="Times New Roman PS Std;serif"/>
          <w:b w:val="false"/>
          <w:i w:val="false"/>
          <w:caps w:val="false"/>
          <w:smallCaps w:val="false"/>
          <w:sz w:val="20"/>
          <w:bdr w:val="single" w:sz="8" w:space="10" w:color="000000"/>
        </w:rPr>
        <w:t xml:space="preserve"> If we do not meet these asset coverage requirements, we may be required to sell a portion of our investments and, depending on the nature of our leverage, repay a portion of our indebtedness or redeem outstanding shares of Preferred Stock, in each case at a time when doing so may be disadvantageous. See “Regulation as a Registered Closed-End Management Investment Company” in the accompanying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Board of Directors may classify any unissued shares of stock and reclassify any previously classified but unissued shares of stock of any class or series from time to time, in one or more classes or series of stock, including Preferred Stock. We have authorized 50 million shares of mandatorily redeemable Preferred Stock, at a par value of $0.01 per share, and had 7,996,900 shares issued and outstanding at September 30, 2026. As of September 30,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2026, we had the following series of Preferred Stock outstanding: the 6.00% Series 2029 Term Preferred Shares, the 7.125% Series 2029 Term Preferred Shares, and the Existing Shares, each issued in an underwritten public offering. We are required to redeem all of the outstanding 6.00% Series 2029 Term Preferred Shares, 7.125% Series 2029 Term Preferred Shares and Existing Shares on their respective redemption dates, at a redemption price equal to $25 per share plus an amount equal to accumulated but unpaid dividends, if any, to, but excluding, the date of the redemption. We cannot effect any amendment, alteration, or repeal of our obligation to redeem all of the Term Preferred Shares without the prior unanimous vote or consent of the holders of such Term Preferred Shares. At any time on or after the optional redemption date, at our sole option, we may redeem the 6.00% Series 2029 Term Preferred Shares, 7.125% Series 2029 Term Preferred Shares and the Existing Shares at a redemption price per share equal to the sum of the $25 liquidation preference per share plus an amount equal to accumulated but unpaid dividends, if any, on such Term Preferred Shares to, but excluding, the date fixed for redemption. There was $67.2 million of our 6.00% Series 2029 Term Preferred Shares, $63.8 million of our 7.125% Series 2029 Term Preferred Shares and $69.0 million of our Existing Shares issued and outstanding as of September 30, 2026. As of September 30, 2026, there were no accumulated but unpaid dividends on our Term Preferred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2027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13, 2022, we completed an underwritten public offering, including the full exercise of the underwriters’ 30-day overallotment option, of $100.0 million in aggregate principal amount of 2027 Notes. The 2027 Notes will mature on January 31, 2027 and may be redeemed in whole or in part at any time or from time to time at our option on or after January 31, 2024. The 2027 Notes bear interest at a rate of 5.00% per year payable quarterly on March 31, June 30, September 30, and December 31, of each year, commencing March 31,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28, 2026, we caused notice to be issued to the holders of our 2027 Notes regarding our exercise of our option to redeem, in part, the issued and outstanding 2027 Notes. We redeemed $30.0 million in aggregate principal amount of the $100.0 million in aggregate principal amount of issued and outstanding 2027 Notes on August 27, 2026, or the “August Redemption Date.” These 2027 Notes were redeemed at 100% of their principal amount ($25 per Note), plus the accrued and unpaid interest thereon from June 30, 2026 to, but not including, the August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September 2, 2026, we caused notice to be issued to the holders of our 2027 Notes regarding our exercise of our option to redeem, in part, the issued and outstanding 2027 Notes. We redeemed an additional $30.0 million in aggregate principal amount of the 2027 Notes on October 2, 2026, or the “October Redemption Date.” These 2027 Notes were redeemed at 100% of their principal amount ($25 per Note), plus the accrued and unpaid interest thereon from September 30, 2026 to, but not including, the October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October 12, 2026, there is $40.0 million in aggregate principal amount of 2027 Notes issued and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2031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16, 2021, we completed an underwritten public offering, including the full exercise of the underwriters’ 30-day overallotment option, of $100.0 million in aggregate principal amount of the 2031 Notes. The 2031 Notes will mature on March 31, 2031 and may be redeemed in whole or in part at any time or from time to time at our option on or after March 16, 2024. The 2031 Notes bear interest at a rate of 6.75% per year payable quarterly on March 31, June 30, September 30, and December 31, of each year, commencing June 30,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2030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8, 2024, we completed an underwritten public offering, including the full exercise of the underwriters’ 30-day overallotment option, of $115.0 million in aggregate principal amount of the 2030 Notes. The 2030 Notes will mature on June 30, 2030 and may be redeemed in whole or in part at any time or from time to time at our option on or after June 30, 2028. The 2030 Notes bear interest at a rate of 8.75% per year payable quarterly on March 31, June 30, September 30, and December 31, of each year, commencing September 30,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2032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27, 2025, we completed an underwritten public offering, including the partial exercise of the underwriters’ 30-day overallotment option, of $185.0 million in aggregate principal amount of the 2032 Notes. The 2032 Notes will mature on February 29, 2032 and may be redeemed in whole or in part at any time or from time to time at our option on or after February 28, 2030. The 2032 Notes bear interest at a rate of 7.95% per year payable quarterly on March 31, June 30, September 30, and December 31, of each year, commencing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limitations under the 1940 Act, we may incur additional leverage opportunistically or not at all and may choose to increase or decrease our leverage. We may use different types or combinations of leveraging instruments at any time based on Oxford Lane Management’s assessment of market conditions and the investment environment, including forms of leverage other than preferred stock, debt securities and/or credit facilities. In addition, we may also borrow amounts up to 5% of the value of our gross assets for temporary purposes without regard to asset coverage requirements described above. By leveraging our investment portfolio, we may create an opportunity for increased net income and capital appreciation. However, the use of leverage also involves significant risks and expenses, which will be borne entirely by our stockholders, and our leverage strategy may not be successful. For example, the more leverage is employed, the more likely a substantial change will occur in our NAV per share of our common stock. See “Principal Risks — Risks Related to Our Investments — We may borrow money and/or issue preferred stock to leverage our portfolio, which would magnify the potential for gain or loss on amounts invested and will increase the risk of investing in us” in our most recent annual report on Form N-CSR or semi-annual report on Form N-CSRS.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the 8.25% Series 2031 Term Preferred Shares involves significant risks. The following is a summary of certain risks that you should carefully consider before investing in the 8.25% Series 2031 Term Preferred Shares. For a further discussion of these risk factors, please see “Supplementary Risk Factors” beginning on page S-18 of this prospectus supplement and “Risk Factors” beginning on page 15 of the accompanying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Related to the 8.25% Series 2031 Term Preferred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investment in Term Preferred Shares with a fixed interest rate bears interest rate risk.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While a trading market developed after issuing the Existing Shares, we cannot assure you that an active trading market for the 8.25% Series 2031 Term Preferred Shares will be maintained.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8.25% Series 2031 Term Preferred Shares bear a risk of early redemption by 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Claims of holders of the 8.25% Series 2031 Term Preferred Shares are subject to a risk of subordination relative to holders of our debt instruments, including the Notes.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risks related to a general credit crisis and related liquidity risks.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Holders of the 8.25% Series 2031 Term Preferred Shares bear reinvestment risk.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Holders of 8.25% Series 2031 Term Preferred Shares bear dividend risk.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is a risk of delay in our redemption of the 8.25% Series 2031 Term Preferred Shares, and we may fail to redeem such securities as required by their terms.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unable to invest a significant portion of the net proceeds from this offering, which could adversely impact our financial condition and operating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downgrade, suspension or withdrawal of the credit rating assigned by a rating agency to us or the 8.25% Series 2031 Term Preferred Shares, if any, could cause the liquidity or market value of the 8.25% Series 2031 Term Preferred Shares to decline significantly.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Operating and Regulatory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Lane Capital is a Maryland corporation that is a closed-end management investment company that has registered as an investment company under the 1940 Act. As a registered closed-end fund, we are required to meet regulatory tests. See “Regulation as a Registered Closed-End Management Investment Company” in the accompanying prospectus. We may also borrow funds to make investments. In addition, we have elected to be treated for U.S. federal income tax purposes, and intend to qualify annually, as a regulated investment company (“RIC”) under Subchapter M of the Internal Revenue Code of 1986, as amended (the “Code”). See “Certain Additional U.S. Federal Income Tax Considerations” in this prospectus supplement and “Certain U.S. Federal Income Tax Considerations” in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activities are managed by Oxford Lane Management and supervised by our Board of Directors. Oxford Lane Management is an investment adviser that is registered under the Advisers Act. Under our Investment Advisory Agreement, we have agreed to pay Oxford Lane Management an annual base management fee based on our gross assets as well as an incentive fee based on our performance. See “Investment Advisory Agreement” in the accompanying prospectus. We have also entered into an Administration Agreement with Oxford Funds, under which we have agreed to reimburse Oxford Funds for our allocable portion of overhead and other expenses incurred by Oxford Funds in performing its obligations under the Administration Agreement, including furnishing us with office facilities, equipment and clerical, bookkeeping and record keeping services at such facilities, as well as providing us with other administrative services. See “Administration Agreement” in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Funds also serves as the managing member of Oxford Lane Management. Messrs. Cohen and Rosenthal, in turn, serve as the managing member and non-managing member, respectively, of Oxford Funds.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FIRST QUARTER FINANCIAL HIGHLIGHTS AND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On July 23, 2026, our Board of Directors declared the following distributions on our common stock:</w:t>
      </w:r>
    </w:p>
    <w:tbl>
      <w:tblPr>
        <w:tblW w:w="8001" w:type="dxa"/>
        <w:jc w:val="left"/>
        <w:tblInd w:w="0" w:type="dxa"/>
        <w:tblLayout w:type="fixed"/>
        <w:tblCellMar>
          <w:top w:w="0" w:type="dxa"/>
          <w:left w:w="0" w:type="dxa"/>
          <w:bottom w:w="0" w:type="dxa"/>
          <w:right w:w="0" w:type="dxa"/>
        </w:tblCellMar>
      </w:tblPr>
      <w:tblGrid>
        <w:gridCol w:w="124"/>
        <w:gridCol w:w="146"/>
        <w:gridCol w:w="2026"/>
        <w:gridCol w:w="146"/>
        <w:gridCol w:w="2026"/>
        <w:gridCol w:w="146"/>
        <w:gridCol w:w="2026"/>
        <w:gridCol w:w="146"/>
        <w:gridCol w:w="378"/>
        <w:gridCol w:w="837"/>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Month Ending</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w:t>
              <w:br/>
              <w:t>Per Share</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2026</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16, 2026</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2026</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2026</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2026</w:t>
            </w:r>
          </w:p>
        </w:tc>
        <w:tc>
          <w:tcPr>
            <w:tcW w:w="146" w:type="dxa"/>
            <w:tcBorders/>
            <w:shd w:fill="CCEEFF" w:val="clear"/>
            <w:vAlign w:val="bottom"/>
          </w:tcPr>
          <w:p>
            <w:pPr>
              <w:pStyle w:val="TableContents"/>
              <w:bidi w:val="0"/>
              <w:spacing w:before="0" w:after="283"/>
              <w:jc w:val="left"/>
              <w:rPr/>
            </w:pPr>
            <w:r>
              <w:rP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r>
    </w:tbl>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NAV per share as of June 30, 2026 stood at $10.74, compared with a NAV per share on March 31, 2026 of $10.56.</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Net investment income (“NII”), calculated in accordance with U.S. generally accepted accounting principles (“GAAP”), was approximately $50.2 million, or $0.51 per share, for the quarter ended June 30, 2026.</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core net investment income (“Core NII”) was approximately $93.4 million, or $0.95 per share, for the quarter ended June 30, 2026.</w:t>
      </w:r>
    </w:p>
    <w:p>
      <w:pPr>
        <w:pStyle w:val="TextBody"/>
        <w:keepNext w:val="false"/>
        <w:pageBreakBefore w:val="false"/>
        <w:widowControl/>
        <w:pBdr/>
        <w:bidi w:val="0"/>
        <w:spacing w:before="14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Core NII incorporates all applicable cash distributions received, or entitled to be received (if any, in either case), on our CLO equity investments. See additional information under “Supplemental Information Regarding Core Net Investment Income” below.</w:t>
      </w:r>
    </w:p>
    <w:p>
      <w:pPr>
        <w:pStyle w:val="TextBody"/>
        <w:keepNext w:val="false"/>
        <w:pageBreakBefore w:val="false"/>
        <w:widowControl/>
        <w:pBdr/>
        <w:bidi w:val="0"/>
        <w:spacing w:before="14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emphasize that our taxable income may differ materially from our GAAP NII and/or our Core NII, and that neither GAAP NII nor Core NII should be relied upon as indicators of our taxable income.</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Total investment income for the quarter ended June 30, 2026 amounted to approximately $87.0 million, which represented a decrease of approximately $6.9 million from the quarter ended March 31, 2026.</w:t>
      </w:r>
    </w:p>
    <w:p>
      <w:pPr>
        <w:pStyle w:val="TextBody"/>
        <w:keepNext w:val="false"/>
        <w:pageBreakBefore w:val="false"/>
        <w:widowControl/>
        <w:pBdr/>
        <w:bidi w:val="0"/>
        <w:spacing w:before="14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For the quarter ended June 30, 2026, we recorded investment income as follows:</w:t>
      </w:r>
    </w:p>
    <w:p>
      <w:pPr>
        <w:pStyle w:val="TextBody"/>
        <w:keepNext w:val="false"/>
        <w:pageBreakBefore w:val="false"/>
        <w:widowControl/>
        <w:pBdr/>
        <w:bidi w:val="0"/>
        <w:spacing w:before="140" w:after="283"/>
        <w:ind w:left="192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Approximately $83.7 million from our CLO equity and CLO warehouse investments, and</w:t>
      </w:r>
    </w:p>
    <w:p>
      <w:pPr>
        <w:pStyle w:val="TextBody"/>
        <w:keepNext w:val="false"/>
        <w:pageBreakBefore w:val="false"/>
        <w:widowControl/>
        <w:pBdr/>
        <w:bidi w:val="0"/>
        <w:spacing w:before="140" w:after="283"/>
        <w:ind w:left="192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Approximately $3.4 million from our CLO debt investments and other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total expenses for the quarter ended June 30, 2026 were approximately $36.8 million, compared with total expenses of approximately $39.4 million for the quarter ended March 31, 2026.</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of June 30, 2026, the following metrics applied (note that none of these metrics represented a total return to shareholders):</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weighted average effective yield of our CLO equity investments at current cost was 11.1%, down from 11.7% as of March 31, 2026.</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weighted average cash distribution yield of our CLO equity investments at current cost was 16.3%, down from 16.7% as of March 31, 2026.</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For the quarter ended June 30, 2026, we recorded a net increase in net assets resulting from operations of approximately $76.3 million, or $0.78 per share, comprised of:</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NII of approximately $50.2 million;</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Net realized losses of approximately $28.4 million; and</w:t>
      </w:r>
    </w:p>
    <w:p>
      <w:pPr>
        <w:pStyle w:val="TextBody"/>
        <w:keepNext w:val="false"/>
        <w:pageBreakBefore w:val="false"/>
        <w:widowControl/>
        <w:pBdr/>
        <w:bidi w:val="0"/>
        <w:spacing w:before="160" w:after="283"/>
        <w:ind w:left="144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Net unrealized appreciation of approximately $54.5 million.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During the quarter ended June 30, 2026, we made additional investments of approximately $37.8 million, and received approximately $50.7 million from sales and repayments of our CLO investments.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of June 30, 2026, we had approximately 98.0 million shares of common stock outstanding.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On July 23, 2026, our Board of Directors declared the required monthly dividends on our 6.00% Series 2029 Term Preferred Shares, 7.125% Series 2029 Term Preferred Shares, and 8.25% Series 2031 Term Preferred Shares as follows:</w:t>
      </w:r>
    </w:p>
    <w:tbl>
      <w:tblPr>
        <w:tblW w:w="8933" w:type="dxa"/>
        <w:jc w:val="left"/>
        <w:tblInd w:w="0" w:type="dxa"/>
        <w:tblLayout w:type="fixed"/>
        <w:tblCellMar>
          <w:top w:w="0" w:type="dxa"/>
          <w:left w:w="0" w:type="dxa"/>
          <w:bottom w:w="0" w:type="dxa"/>
          <w:right w:w="0" w:type="dxa"/>
        </w:tblCellMar>
      </w:tblPr>
      <w:tblGrid>
        <w:gridCol w:w="2476"/>
        <w:gridCol w:w="146"/>
        <w:gridCol w:w="286"/>
        <w:gridCol w:w="1306"/>
        <w:gridCol w:w="146"/>
        <w:gridCol w:w="2191"/>
        <w:gridCol w:w="146"/>
        <w:gridCol w:w="2236"/>
      </w:tblGrid>
      <w:tr>
        <w:trPr/>
        <w:tc>
          <w:tcPr>
            <w:tcW w:w="24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Preferred Shares Type</w:t>
            </w:r>
          </w:p>
        </w:tc>
        <w:tc>
          <w:tcPr>
            <w:tcW w:w="146" w:type="dxa"/>
            <w:tcBorders/>
            <w:vAlign w:val="bottom"/>
          </w:tcPr>
          <w:p>
            <w:pPr>
              <w:pStyle w:val="TableContents"/>
              <w:bidi w:val="0"/>
              <w:spacing w:before="0" w:after="283"/>
              <w:jc w:val="left"/>
              <w:rPr/>
            </w:pPr>
            <w:r>
              <w:rPr/>
              <w:t> </w:t>
            </w:r>
          </w:p>
        </w:tc>
        <w:tc>
          <w:tcPr>
            <w:tcW w:w="15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Dividend </w:t>
              <w:br/>
              <w:t xml:space="preserve">Amount </w:t>
              <w:br/>
              <w:t>Declared</w:t>
            </w:r>
          </w:p>
        </w:tc>
        <w:tc>
          <w:tcPr>
            <w:tcW w:w="146" w:type="dxa"/>
            <w:tcBorders/>
            <w:vAlign w:val="bottom"/>
          </w:tcPr>
          <w:p>
            <w:pPr>
              <w:pStyle w:val="TableContents"/>
              <w:bidi w:val="0"/>
              <w:spacing w:before="0" w:after="283"/>
              <w:jc w:val="left"/>
              <w:rPr/>
            </w:pPr>
            <w:r>
              <w:rPr/>
              <w:t> </w:t>
            </w:r>
          </w:p>
        </w:tc>
        <w:tc>
          <w:tcPr>
            <w:tcW w:w="21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rPr/>
            </w:pPr>
            <w:r>
              <w:rPr/>
              <w:t> </w:t>
            </w:r>
          </w:p>
        </w:tc>
        <w:tc>
          <w:tcPr>
            <w:tcW w:w="22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Dates</w:t>
            </w:r>
          </w:p>
        </w:tc>
      </w:tr>
      <w:tr>
        <w:trPr/>
        <w:tc>
          <w:tcPr>
            <w:tcW w:w="24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 – Series 2029</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0.12500000</w:t>
            </w:r>
          </w:p>
        </w:tc>
        <w:tc>
          <w:tcPr>
            <w:tcW w:w="146" w:type="dxa"/>
            <w:tcBorders/>
            <w:shd w:fill="CCEEFF" w:val="clear"/>
          </w:tcPr>
          <w:p>
            <w:pPr>
              <w:pStyle w:val="TableContents"/>
              <w:bidi w:val="0"/>
              <w:spacing w:before="0" w:after="283"/>
              <w:jc w:val="left"/>
              <w:rPr/>
            </w:pPr>
            <w:r>
              <w:rPr/>
              <w:t> </w:t>
            </w:r>
          </w:p>
        </w:tc>
        <w:tc>
          <w:tcPr>
            <w:tcW w:w="21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16, 2026, </w:t>
              <w:br/>
              <w:t xml:space="preserve">October 16, 2026, </w:t>
              <w:br/>
              <w:t>November 16, 2026</w:t>
            </w:r>
          </w:p>
        </w:tc>
        <w:tc>
          <w:tcPr>
            <w:tcW w:w="146" w:type="dxa"/>
            <w:tcBorders/>
            <w:shd w:fill="CCEEFF" w:val="clear"/>
          </w:tcPr>
          <w:p>
            <w:pPr>
              <w:pStyle w:val="TableContents"/>
              <w:bidi w:val="0"/>
              <w:spacing w:before="0" w:after="283"/>
              <w:jc w:val="left"/>
              <w:rPr/>
            </w:pPr>
            <w:r>
              <w:rPr/>
              <w:t> </w:t>
            </w:r>
          </w:p>
        </w:tc>
        <w:tc>
          <w:tcPr>
            <w:tcW w:w="223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30, 2026, </w:t>
              <w:br/>
              <w:t xml:space="preserve">October 30, 2026, </w:t>
              <w:br/>
              <w:t>November 30, 2026</w:t>
            </w:r>
          </w:p>
        </w:tc>
      </w:tr>
      <w:tr>
        <w:trPr/>
        <w:tc>
          <w:tcPr>
            <w:tcW w:w="247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 – Series 2029</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0.14843750</w:t>
            </w:r>
          </w:p>
        </w:tc>
        <w:tc>
          <w:tcPr>
            <w:tcW w:w="146" w:type="dxa"/>
            <w:tcBorders/>
          </w:tcPr>
          <w:p>
            <w:pPr>
              <w:pStyle w:val="TableContents"/>
              <w:bidi w:val="0"/>
              <w:spacing w:before="0" w:after="283"/>
              <w:jc w:val="left"/>
              <w:rPr/>
            </w:pPr>
            <w:r>
              <w:rPr/>
              <w:t> </w:t>
            </w:r>
          </w:p>
        </w:tc>
        <w:tc>
          <w:tcPr>
            <w:tcW w:w="21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16, 2026, </w:t>
              <w:br/>
              <w:t xml:space="preserve">October 16, 2026, </w:t>
              <w:br/>
              <w:t>November 16, 2026</w:t>
            </w:r>
          </w:p>
        </w:tc>
        <w:tc>
          <w:tcPr>
            <w:tcW w:w="146" w:type="dxa"/>
            <w:tcBorders/>
          </w:tcPr>
          <w:p>
            <w:pPr>
              <w:pStyle w:val="TableContents"/>
              <w:bidi w:val="0"/>
              <w:spacing w:before="0" w:after="283"/>
              <w:jc w:val="left"/>
              <w:rPr/>
            </w:pPr>
            <w:r>
              <w:rPr/>
              <w:t> </w:t>
            </w:r>
          </w:p>
        </w:tc>
        <w:tc>
          <w:tcPr>
            <w:tcW w:w="223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30, 2026, </w:t>
              <w:br/>
              <w:t xml:space="preserve">October 30, 2026, </w:t>
              <w:br/>
              <w:t>November 30, 2026</w:t>
            </w:r>
          </w:p>
        </w:tc>
      </w:tr>
      <w:tr>
        <w:trPr/>
        <w:tc>
          <w:tcPr>
            <w:tcW w:w="2476"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 – Series 2031</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0.17187500</w:t>
            </w:r>
          </w:p>
        </w:tc>
        <w:tc>
          <w:tcPr>
            <w:tcW w:w="146" w:type="dxa"/>
            <w:tcBorders/>
            <w:shd w:fill="CCEEFF" w:val="clear"/>
          </w:tcPr>
          <w:p>
            <w:pPr>
              <w:pStyle w:val="TableContents"/>
              <w:bidi w:val="0"/>
              <w:spacing w:before="0" w:after="283"/>
              <w:jc w:val="left"/>
              <w:rPr/>
            </w:pPr>
            <w:r>
              <w:rPr/>
              <w:t> </w:t>
            </w:r>
          </w:p>
        </w:tc>
        <w:tc>
          <w:tcPr>
            <w:tcW w:w="21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16, 2026, </w:t>
              <w:br/>
              <w:t xml:space="preserve">October 16, 2026, </w:t>
              <w:br/>
              <w:t>November 16, 2026</w:t>
            </w:r>
          </w:p>
        </w:tc>
        <w:tc>
          <w:tcPr>
            <w:tcW w:w="146" w:type="dxa"/>
            <w:tcBorders/>
            <w:shd w:fill="CCEEFF" w:val="clear"/>
          </w:tcPr>
          <w:p>
            <w:pPr>
              <w:pStyle w:val="TableContents"/>
              <w:bidi w:val="0"/>
              <w:spacing w:before="0" w:after="283"/>
              <w:jc w:val="left"/>
              <w:rPr/>
            </w:pPr>
            <w:r>
              <w:rPr/>
              <w:t> </w:t>
            </w:r>
          </w:p>
        </w:tc>
        <w:tc>
          <w:tcPr>
            <w:tcW w:w="223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September 30, 2026, </w:t>
              <w:br/>
              <w:t xml:space="preserve">October 30, 2026, </w:t>
              <w:br/>
              <w:t>November 30, 2026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accordance with their terms, each of the 6.00% Series 2029 Term Preferred Shares, 7.125% Series 2029 Term Preferred Shares, and 8.25% Series 2031 Term Preferred Shares will pay a monthly dividend at a fixed rate of 6.00%, 7.125%, and 8.25%, respectively, of the $25.00 per share liquidation preference, or $1.5000, $1.78125, and $2.0625 per share per year, respectively. This fixed annual dividend rate is subject to adjustment under certain circumstances, but will not, in any case, be lower than 6.00%, 7.125%, and 8.25% per year, respectively, for each of the 6.00% Series 2029 Term Preferred Shares, 7.125% Series 2029 Term Preferred Shares, and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Supplemental Information Regarding Core Net Investment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information relating to Core NII (a non-GAAP measure) on a supplemental basis. This measure is not provided as a substitute for GAAP NII, but in addition to it. Our non-GAAP measures may differ from similar measures by other companies, even in the event of similar terms being utilized to identify such measures. Core NII represents GAAP NII adjusted for additional applicable cash distributions received, or entitled to be received (if any, in either case), on our CLO equity investments. The Company’s management uses this information in its internal analysis of results and believes that this information may be informative in assessing the quality of the Company’s financial performance, identifying trends in its results and providing meaningful period-to-period comparisons.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Income from investments in the “equity” class securities of CLO vehicles, for GAAP purposes, is recorded using the effective interest method; this is based on an effective yield to the expected redemption utilizing estimated cash flows, at current cost, including those CLO equity investments that have not made their inaugural distribution for the relevant period end. The result is an effective yield for the investment in which the respective investment’s cost basis is adjusted quarterly based on the difference between the actual cash received, or distributions entitled to be received, and the effective yield calculation. Accordingly, investment income recognized on CLO equity securities in the GAAP statement of operations differs from the cash distributions actually received by the Company during the period (referred to below as “CLO equity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in order for the Company to continue qualifying as a RIC for tax purposes, we are required, among other things, to distribute at least 90% of our investment company taxable income annually. While Core NII may provide a better indication of our estimated taxable income than GAAP NII during certain periods, we can offer no assurance that will be the case, however, as the ultimate tax character of our earnings cannot be determined until after tax returns are prepared at the close of a fiscal year. We note that this non-GAAP measure may not serve as a useful indicator of taxable earnings, particularly during periods of market disruption and volatility, and, as such, our taxable income may differ materially from our Core NII.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provides a reconciliation of GAAP NII to Core NII for the three months ended June 30, 2026:</w:t>
      </w:r>
    </w:p>
    <w:tbl>
      <w:tblPr>
        <w:tblW w:w="6115" w:type="dxa"/>
        <w:jc w:val="left"/>
        <w:tblInd w:w="0" w:type="dxa"/>
        <w:tblLayout w:type="fixed"/>
        <w:tblCellMar>
          <w:top w:w="0" w:type="dxa"/>
          <w:left w:w="0" w:type="dxa"/>
          <w:bottom w:w="0" w:type="dxa"/>
          <w:right w:w="0" w:type="dxa"/>
        </w:tblCellMar>
      </w:tblPr>
      <w:tblGrid>
        <w:gridCol w:w="3016"/>
        <w:gridCol w:w="146"/>
        <w:gridCol w:w="286"/>
        <w:gridCol w:w="1246"/>
        <w:gridCol w:w="146"/>
        <w:gridCol w:w="397"/>
        <w:gridCol w:w="878"/>
      </w:tblGrid>
      <w:tr>
        <w:trPr/>
        <w:tc>
          <w:tcPr>
            <w:tcW w:w="3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 2026</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Amount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GAAP Net 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50,220,730</w:t>
            </w:r>
          </w:p>
        </w:tc>
        <w:tc>
          <w:tcPr>
            <w:tcW w:w="14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0.51</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 adjustments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43,163,473</w:t>
            </w:r>
          </w:p>
        </w:tc>
        <w:tc>
          <w:tcPr>
            <w:tcW w:w="146" w:type="dxa"/>
            <w:tcBorders/>
            <w:vAlign w:val="bottom"/>
          </w:tcPr>
          <w:p>
            <w:pPr>
              <w:pStyle w:val="TableContents"/>
              <w:bidi w:val="0"/>
              <w:spacing w:before="0" w:after="283"/>
              <w:jc w:val="left"/>
              <w:rPr/>
            </w:pPr>
            <w:r>
              <w:rPr/>
              <w:t> </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Core Net investment income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93,384,203</w:t>
            </w:r>
          </w:p>
        </w:tc>
        <w:tc>
          <w:tcPr>
            <w:tcW w:w="146" w:type="dxa"/>
            <w:tcBorders/>
            <w:shd w:fill="CCEEFF" w:val="clear"/>
            <w:vAlign w:val="bottom"/>
          </w:tcPr>
          <w:p>
            <w:pPr>
              <w:pStyle w:val="TableContents"/>
              <w:bidi w:val="0"/>
              <w:spacing w:before="0" w:after="283"/>
              <w:jc w:val="left"/>
              <w:rPr/>
            </w:pPr>
            <w:r>
              <w:rPr/>
              <w:t> </w:t>
            </w:r>
          </w:p>
        </w:tc>
        <w:tc>
          <w:tcPr>
            <w:tcW w:w="3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AUGUST 2026 NET ASSET VALUE UPDATE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September 14, 2026, we announced the following NAV estimate as of August 31, 2026.</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Management’s unaudited estimate of the range of the NAV per share of our common stock as of August 31, 2026, is between $10.34 and $10.64. This estimate is not a comprehensive statement of our financial condition or results for the month ended August 31, 2026. This estimate did not undergo the Company’s typical quarter-end financial closing procedures and was not approved by the Company’s Board of Directors. We advise you that our NAV per share for the quarter ending September 30, 2026 may differ materially from this estimate, which is given only as of August 31, 2026.</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of August 31, 2026, the Company had approximately 98.0 million shares of common stock issued and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fair value of the Company’s portfolio investments may be materially impacted after August 31, 2026, by circumstances and events that are not yet known. To the extent the Company’s portfolio investments are impacted by market volatility in the U.S. or worldwide, the Company may experience a material impact on its future net investment income, the fair value of its portfolio investments, its financial condition and the financial condition of its portfolio investments. Investing in our securities involves a number of significant risks. For a discussion of the additional risks applicable to an investment in our securities, please refer to the section titled “Risk Factors” in our prospectus and the section titled “Principal Risks” in our most recent annual report or semi-annual report,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preliminary financial data included in this prospectus supplement has been prepared by, and is the responsibility of, Oxford Lane Capital Corp.’s management. The Company’s independent registered public accounting firm has not audited, reviewed, compiled, or applied agreed-upon</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procedures with respect to the preliminary financial data. Accordingly, the Company’s independent registered public accounting firm does not express an opinion or any other form of assurance with respect thereto.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SECOND QUARTER PRELIMINARY ESTIMATES AND FINANCIAL HIGHLIGHTS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Company’s preliminary estimates and financial highlights as of and for the three months ended September 30, 2026, which are estimated as of October 15, 2026, are as follows:</w:t>
      </w:r>
    </w:p>
    <w:tbl>
      <w:tblPr>
        <w:tblW w:w="8083" w:type="dxa"/>
        <w:jc w:val="left"/>
        <w:tblInd w:w="0" w:type="dxa"/>
        <w:tblLayout w:type="fixed"/>
        <w:tblCellMar>
          <w:top w:w="0" w:type="dxa"/>
          <w:left w:w="0" w:type="dxa"/>
          <w:bottom w:w="0" w:type="dxa"/>
          <w:right w:w="0" w:type="dxa"/>
        </w:tblCellMar>
      </w:tblPr>
      <w:tblGrid>
        <w:gridCol w:w="5146"/>
        <w:gridCol w:w="146"/>
        <w:gridCol w:w="2791"/>
      </w:tblGrid>
      <w:tr>
        <w:trPr/>
        <w:tc>
          <w:tcPr>
            <w:tcW w:w="51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Preliminary Estimates (unaudited)</w:t>
            </w:r>
          </w:p>
        </w:tc>
        <w:tc>
          <w:tcPr>
            <w:tcW w:w="146" w:type="dxa"/>
            <w:tcBorders/>
            <w:vAlign w:val="bottom"/>
          </w:tcPr>
          <w:p>
            <w:pPr>
              <w:pStyle w:val="TableContents"/>
              <w:bidi w:val="0"/>
              <w:spacing w:before="0" w:after="283"/>
              <w:jc w:val="left"/>
              <w:rPr/>
            </w:pPr>
            <w:r>
              <w:rPr/>
              <w:t> </w:t>
            </w:r>
          </w:p>
        </w:tc>
        <w:tc>
          <w:tcPr>
            <w:tcW w:w="27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Ranges for </w:t>
              <w:br/>
              <w:t xml:space="preserve">the Three Months Ended </w:t>
              <w:br/>
              <w:t>September 30, 2026</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income(1)</w:t>
            </w:r>
          </w:p>
        </w:tc>
        <w:tc>
          <w:tcPr>
            <w:tcW w:w="146" w:type="dxa"/>
            <w:tcBorders/>
            <w:shd w:fill="CCEEFF" w:val="clear"/>
            <w:vAlign w:val="bottom"/>
          </w:tcPr>
          <w:p>
            <w:pPr>
              <w:pStyle w:val="TableContents"/>
              <w:bidi w:val="0"/>
              <w:spacing w:before="0" w:after="283"/>
              <w:jc w:val="left"/>
              <w:rPr/>
            </w:pPr>
            <w:r>
              <w:rPr/>
              <w:t> </w:t>
            </w:r>
          </w:p>
        </w:tc>
        <w:tc>
          <w:tcPr>
            <w:tcW w:w="27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 – $0.54</w:t>
            </w:r>
          </w:p>
        </w:tc>
      </w:tr>
      <w:tr>
        <w:trPr/>
        <w:tc>
          <w:tcPr>
            <w:tcW w:w="5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Realized (losses)/gains(1)</w:t>
            </w:r>
          </w:p>
        </w:tc>
        <w:tc>
          <w:tcPr>
            <w:tcW w:w="146" w:type="dxa"/>
            <w:tcBorders/>
            <w:vAlign w:val="bottom"/>
          </w:tcPr>
          <w:p>
            <w:pPr>
              <w:pStyle w:val="TableContents"/>
              <w:bidi w:val="0"/>
              <w:spacing w:before="0" w:after="283"/>
              <w:jc w:val="left"/>
              <w:rPr/>
            </w:pPr>
            <w:r>
              <w:rPr/>
              <w:t> </w:t>
            </w:r>
          </w:p>
        </w:tc>
        <w:tc>
          <w:tcPr>
            <w:tcW w:w="27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 – $(0.18)</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unrealized (depreciation)/appreciation(1)</w:t>
            </w:r>
          </w:p>
        </w:tc>
        <w:tc>
          <w:tcPr>
            <w:tcW w:w="146" w:type="dxa"/>
            <w:tcBorders/>
            <w:shd w:fill="CCEEFF" w:val="clear"/>
            <w:vAlign w:val="bottom"/>
          </w:tcPr>
          <w:p>
            <w:pPr>
              <w:pStyle w:val="TableContents"/>
              <w:bidi w:val="0"/>
              <w:spacing w:before="0" w:after="283"/>
              <w:jc w:val="left"/>
              <w:rPr/>
            </w:pPr>
            <w:r>
              <w:rPr/>
              <w:t> </w:t>
            </w:r>
          </w:p>
        </w:tc>
        <w:tc>
          <w:tcPr>
            <w:tcW w:w="27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$(0.55) – $(0.35)</w:t>
            </w:r>
          </w:p>
        </w:tc>
      </w:tr>
      <w:tr>
        <w:trPr/>
        <w:tc>
          <w:tcPr>
            <w:tcW w:w="5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91" w:type="dxa"/>
            <w:tcBorders/>
            <w:vAlign w:val="bottom"/>
          </w:tcPr>
          <w:p>
            <w:pPr>
              <w:pStyle w:val="TableContents"/>
              <w:bidi w:val="0"/>
              <w:spacing w:before="0" w:after="283"/>
              <w:jc w:val="left"/>
              <w:rPr/>
            </w:pPr>
            <w:r>
              <w:rPr/>
              <w:t> </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Core net investment income(1)</w:t>
            </w:r>
          </w:p>
        </w:tc>
        <w:tc>
          <w:tcPr>
            <w:tcW w:w="146" w:type="dxa"/>
            <w:tcBorders/>
            <w:shd w:fill="CCEEFF" w:val="clear"/>
            <w:vAlign w:val="bottom"/>
          </w:tcPr>
          <w:p>
            <w:pPr>
              <w:pStyle w:val="TableContents"/>
              <w:bidi w:val="0"/>
              <w:spacing w:before="0" w:after="283"/>
              <w:jc w:val="left"/>
              <w:rPr/>
            </w:pPr>
            <w:r>
              <w:rPr/>
              <w:t> </w:t>
            </w:r>
          </w:p>
        </w:tc>
        <w:tc>
          <w:tcPr>
            <w:tcW w:w="27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 – $0.74</w:t>
            </w:r>
          </w:p>
        </w:tc>
      </w:tr>
      <w:tr>
        <w:trPr/>
        <w:tc>
          <w:tcPr>
            <w:tcW w:w="5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w:t>
            </w:r>
          </w:p>
        </w:tc>
        <w:tc>
          <w:tcPr>
            <w:tcW w:w="146" w:type="dxa"/>
            <w:tcBorders/>
            <w:vAlign w:val="bottom"/>
          </w:tcPr>
          <w:p>
            <w:pPr>
              <w:pStyle w:val="TableContents"/>
              <w:bidi w:val="0"/>
              <w:spacing w:before="0" w:after="283"/>
              <w:jc w:val="left"/>
              <w:rPr/>
            </w:pPr>
            <w:r>
              <w:rPr/>
              <w:t> </w:t>
            </w:r>
          </w:p>
        </w:tc>
        <w:tc>
          <w:tcPr>
            <w:tcW w:w="27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 – $10.10</w:t>
            </w:r>
          </w:p>
        </w:tc>
      </w:tr>
    </w:tbl>
    <w:tbl>
      <w:tblPr>
        <w:tblW w:w="9628" w:type="dxa"/>
        <w:jc w:val="left"/>
        <w:tblInd w:w="0" w:type="dxa"/>
        <w:tblLayout w:type="fixed"/>
        <w:tblCellMar>
          <w:top w:w="0" w:type="dxa"/>
          <w:left w:w="0" w:type="dxa"/>
          <w:bottom w:w="0" w:type="dxa"/>
          <w:right w:w="0" w:type="dxa"/>
        </w:tblCellMar>
      </w:tblPr>
      <w:tblGrid>
        <w:gridCol w:w="7216"/>
        <w:gridCol w:w="146"/>
        <w:gridCol w:w="2266"/>
      </w:tblGrid>
      <w:tr>
        <w:trPr/>
        <w:tc>
          <w:tcPr>
            <w:tcW w:w="72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 Details (unaudited)</w:t>
            </w:r>
          </w:p>
        </w:tc>
        <w:tc>
          <w:tcPr>
            <w:tcW w:w="146" w:type="dxa"/>
            <w:tcBorders/>
            <w:vAlign w:val="bottom"/>
          </w:tcPr>
          <w:p>
            <w:pPr>
              <w:pStyle w:val="TableContents"/>
              <w:bidi w:val="0"/>
              <w:spacing w:before="0" w:after="283"/>
              <w:jc w:val="left"/>
              <w:rPr/>
            </w:pPr>
            <w:r>
              <w:rPr/>
              <w:t> </w:t>
            </w:r>
          </w:p>
        </w:tc>
        <w:tc>
          <w:tcPr>
            <w:tcW w:w="22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as of </w:t>
              <w:br/>
              <w:t>September 30, 2026</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per share paid on common stock during the quarter</w:t>
            </w:r>
          </w:p>
        </w:tc>
        <w:tc>
          <w:tcPr>
            <w:tcW w:w="146" w:type="dxa"/>
            <w:tcBorders/>
            <w:shd w:fill="CCEEFF" w:val="clear"/>
            <w:vAlign w:val="bottom"/>
          </w:tcPr>
          <w:p>
            <w:pPr>
              <w:pStyle w:val="TableContents"/>
              <w:bidi w:val="0"/>
              <w:spacing w:before="0" w:after="283"/>
              <w:jc w:val="left"/>
              <w:rPr/>
            </w:pPr>
            <w:r>
              <w:rPr/>
              <w:t> </w:t>
            </w:r>
          </w:p>
        </w:tc>
        <w:tc>
          <w:tcPr>
            <w:tcW w:w="22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$0.60</w:t>
            </w:r>
          </w:p>
        </w:tc>
      </w:tr>
      <w:tr>
        <w:trPr/>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shares outstanding (approximately)</w:t>
            </w:r>
          </w:p>
        </w:tc>
        <w:tc>
          <w:tcPr>
            <w:tcW w:w="146" w:type="dxa"/>
            <w:tcBorders/>
            <w:vAlign w:val="bottom"/>
          </w:tcPr>
          <w:p>
            <w:pPr>
              <w:pStyle w:val="TableContents"/>
              <w:bidi w:val="0"/>
              <w:spacing w:before="0" w:after="283"/>
              <w:jc w:val="left"/>
              <w:rPr/>
            </w:pPr>
            <w:r>
              <w:rPr/>
              <w:t> </w:t>
            </w:r>
          </w:p>
        </w:tc>
        <w:tc>
          <w:tcPr>
            <w:tcW w:w="22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 million</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portfolio investments</w:t>
            </w:r>
          </w:p>
        </w:tc>
        <w:tc>
          <w:tcPr>
            <w:tcW w:w="146" w:type="dxa"/>
            <w:tcBorders/>
            <w:shd w:fill="CCEEFF" w:val="clear"/>
            <w:vAlign w:val="bottom"/>
          </w:tcPr>
          <w:p>
            <w:pPr>
              <w:pStyle w:val="TableContents"/>
              <w:bidi w:val="0"/>
              <w:spacing w:before="0" w:after="283"/>
              <w:jc w:val="left"/>
              <w:rPr/>
            </w:pPr>
            <w:r>
              <w:rPr/>
              <w:t> </w:t>
            </w:r>
          </w:p>
        </w:tc>
        <w:tc>
          <w:tcPr>
            <w:tcW w:w="22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r>
      <w:tr>
        <w:trPr/>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company preferred stock and debt outstanding</w:t>
            </w:r>
          </w:p>
        </w:tc>
        <w:tc>
          <w:tcPr>
            <w:tcW w:w="146" w:type="dxa"/>
            <w:tcBorders/>
            <w:vAlign w:val="bottom"/>
          </w:tcPr>
          <w:p>
            <w:pPr>
              <w:pStyle w:val="TableContents"/>
              <w:bidi w:val="0"/>
              <w:spacing w:before="0" w:after="283"/>
              <w:jc w:val="left"/>
              <w:rPr/>
            </w:pPr>
            <w:r>
              <w:rPr/>
              <w:t> </w:t>
            </w:r>
          </w:p>
        </w:tc>
        <w:tc>
          <w:tcPr>
            <w:tcW w:w="22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$669.9 million</w:t>
            </w:r>
          </w:p>
        </w:tc>
      </w:tr>
      <w:tr>
        <w:trPr/>
        <w:tc>
          <w:tcPr>
            <w:tcW w:w="72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of common stock outstanding (approximately)</w:t>
            </w:r>
          </w:p>
        </w:tc>
        <w:tc>
          <w:tcPr>
            <w:tcW w:w="146" w:type="dxa"/>
            <w:tcBorders/>
            <w:shd w:fill="CCEEFF" w:val="clear"/>
            <w:vAlign w:val="bottom"/>
          </w:tcPr>
          <w:p>
            <w:pPr>
              <w:pStyle w:val="TableContents"/>
              <w:bidi w:val="0"/>
              <w:spacing w:before="0" w:after="283"/>
              <w:jc w:val="left"/>
              <w:rPr/>
            </w:pPr>
            <w:r>
              <w:rPr/>
              <w:t> </w:t>
            </w:r>
          </w:p>
        </w:tc>
        <w:tc>
          <w:tcPr>
            <w:tcW w:w="22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 million</w:t>
            </w:r>
          </w:p>
        </w:tc>
      </w:tr>
      <w:tr>
        <w:trPr/>
        <w:tc>
          <w:tcPr>
            <w:tcW w:w="7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(approximately)</w:t>
            </w:r>
          </w:p>
        </w:tc>
        <w:tc>
          <w:tcPr>
            <w:tcW w:w="146" w:type="dxa"/>
            <w:tcBorders/>
            <w:vAlign w:val="bottom"/>
          </w:tcPr>
          <w:p>
            <w:pPr>
              <w:pStyle w:val="TableContents"/>
              <w:bidi w:val="0"/>
              <w:spacing w:before="0" w:after="283"/>
              <w:jc w:val="left"/>
              <w:rPr/>
            </w:pPr>
            <w:r>
              <w:rPr/>
              <w:t> </w:t>
            </w:r>
          </w:p>
        </w:tc>
        <w:tc>
          <w:tcPr>
            <w:tcW w:w="22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 million</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Per share amounts based on weighted average shares outstanding for the quarter presented.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will release its second fiscal quarter 2027 operating results in November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preliminary financial data included in this prospectus supplement has been prepared by, and is the responsibility of, the Company’s management. The Company’s independent registered public accounting firm has not audited, reviewed, compiled, or applied agreed-upon</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procedures with respect to the preliminary financial data. Accordingly, the Company’s independent registered public accounting firm does not express an opinion or any other form of assurance with respect thereto. The preliminary financial data is subject to completion of our financial closing and review procedures and is not a comprehensive statement of our financial results or valuations as of, or for the period ended, September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30, 2026. Actual results may differ materially from this preliminary financial data as a result of the completion of our financial closing and review procedures, final adjustments, valuation process and other developments that may arise between now and the time that our financial results for such period are finalized.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Supplemental Information Regarding Core Net Investment Income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information relating to Core NII on a supplemental basis. This measure is not provided as a substitute for GAAP NII, but in addition to it. Our non-GAAP measures may differ from similar measures by other companies, even in the event of similar terms being utilized to identify such measures. Core NII represents GAAP NII adjusted for additional applicable cash distributions received, or entitled to be received (if any, in either case), on our CLO equity investments. The Company’s management uses this information in its internal analysis of results and believes that this information may be informative in assessing the quality of the Company’s financial performance, identifying trends in its results and providing meaningful period-to-period comparisons.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Income from investments in the “equity” class securities of CLO vehicles, for GAAP purposes, is recorded using the effective interest method; this is based on an effective yield to the expected redemption utilizing estimated cash flows, at current cost, including those CLO equity investments that have not made their inaugural distribution for the relevant period end. The result is an effective yield for the investment in which the respective investment’s cost basis is adjusted quarterly based on the difference between the actual cash received, or distributions entitled to be received, and the effective yield calculation.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in order for the Company to continue qualifying as a regulated investment company for tax purposes, we are required, among other things, to distribute at least 90% of our investment company taxable income annually. While Core NII may provide a better indication of our estimated taxable income than GAAP NII during certain periods, we can offer no assurance that will be the case, however, as the ultimate tax character of our earnings cannot be determined until after tax returns are prepared at the close of a fiscal year. We note that this non-GAAP measure may not serve as a useful indicator of taxable earnings, particularly during periods of market disruption and volatility, and, as such, our taxable income may differ materially from our Core NII.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provides preliminary estimate ranges for the reconciliation of GAAP NII to Core NII for three months ended September 30, 2026:</w:t>
      </w:r>
    </w:p>
    <w:tbl>
      <w:tblPr>
        <w:tblW w:w="6313" w:type="dxa"/>
        <w:jc w:val="left"/>
        <w:tblInd w:w="0" w:type="dxa"/>
        <w:tblLayout w:type="fixed"/>
        <w:tblCellMar>
          <w:top w:w="0" w:type="dxa"/>
          <w:left w:w="0" w:type="dxa"/>
          <w:bottom w:w="0" w:type="dxa"/>
          <w:right w:w="0" w:type="dxa"/>
        </w:tblCellMar>
      </w:tblPr>
      <w:tblGrid>
        <w:gridCol w:w="3436"/>
        <w:gridCol w:w="146"/>
        <w:gridCol w:w="2731"/>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Preliminary </w:t>
              <w:br/>
              <w:t xml:space="preserve">Estimate Ranges for the </w:t>
              <w:br/>
              <w:t xml:space="preserve">Three Months Ended </w:t>
              <w:br/>
              <w:t xml:space="preserve">September 30, 2026 </w:t>
              <w:br/>
              <w:t>(Per Share Amounts)</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GAAP net investment income(2)</w:t>
            </w:r>
          </w:p>
        </w:tc>
        <w:tc>
          <w:tcPr>
            <w:tcW w:w="146" w:type="dxa"/>
            <w:tcBorders/>
            <w:shd w:fill="CCEEFF" w:val="clear"/>
            <w:vAlign w:val="bottom"/>
          </w:tcPr>
          <w:p>
            <w:pPr>
              <w:pStyle w:val="TableContents"/>
              <w:bidi w:val="0"/>
              <w:spacing w:before="0" w:after="283"/>
              <w:jc w:val="left"/>
              <w:rPr/>
            </w:pPr>
            <w:r>
              <w:rPr/>
              <w:t> </w:t>
            </w:r>
          </w:p>
        </w:tc>
        <w:tc>
          <w:tcPr>
            <w:tcW w:w="27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$0.44 – 0.54</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 adjustments</w:t>
            </w:r>
          </w:p>
        </w:tc>
        <w:tc>
          <w:tcPr>
            <w:tcW w:w="146" w:type="dxa"/>
            <w:tcBorders/>
            <w:vAlign w:val="bottom"/>
          </w:tcPr>
          <w:p>
            <w:pPr>
              <w:pStyle w:val="TableContents"/>
              <w:bidi w:val="0"/>
              <w:spacing w:before="0" w:after="283"/>
              <w:jc w:val="left"/>
              <w:rPr/>
            </w:pPr>
            <w:r>
              <w:rPr/>
              <w:t> </w:t>
            </w:r>
          </w:p>
        </w:tc>
        <w:tc>
          <w:tcPr>
            <w:tcW w:w="27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$0.18 – 0.20</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Core net investment income(1)(2)</w:t>
            </w:r>
          </w:p>
        </w:tc>
        <w:tc>
          <w:tcPr>
            <w:tcW w:w="146" w:type="dxa"/>
            <w:tcBorders/>
            <w:shd w:fill="CCEEFF" w:val="clear"/>
            <w:vAlign w:val="bottom"/>
          </w:tcPr>
          <w:p>
            <w:pPr>
              <w:pStyle w:val="TableContents"/>
              <w:bidi w:val="0"/>
              <w:spacing w:before="0" w:after="283"/>
              <w:jc w:val="left"/>
              <w:rPr/>
            </w:pPr>
            <w:r>
              <w:rPr/>
              <w:t> </w:t>
            </w:r>
          </w:p>
        </w:tc>
        <w:tc>
          <w:tcPr>
            <w:tcW w:w="27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$0.62 – 0.74</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See the information in this “Supplemental Information Regarding Core Net Investment Income Estimates” section above for more information.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Based on the net investment income per share range disclosed above.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offices are located at 8 Sound Shore Drive, Suite 255, Greenwich, CT 06830, and our telephone number is (203) 983-5275.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2"/>
      <w:bookmarkEnd w:id="3"/>
      <w:r>
        <w:rPr>
          <w:rFonts w:ascii="Times New Roman PS Std;serif" w:hAnsi="Times New Roman PS Std;serif"/>
          <w:b/>
          <w:i w:val="false"/>
          <w:caps w:val="false"/>
          <w:smallCaps w:val="false"/>
          <w:sz w:val="20"/>
        </w:rPr>
        <w:t xml:space="preserve">THE OFFERING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is a brief summary of the terms of this offering. For a more complete description of the rights, preferences and other terms of the 8.25% Series 2031 Term Preferred Shares, see “Description of the 8.25% Series 2031 Term Preferred Shares” in this prospectus supplement.</w:t>
      </w:r>
    </w:p>
    <w:tbl>
      <w:tblPr>
        <w:tblW w:w="10205" w:type="dxa"/>
        <w:jc w:val="left"/>
        <w:tblInd w:w="0" w:type="dxa"/>
        <w:tblLayout w:type="fixed"/>
        <w:tblCellMar>
          <w:top w:w="0" w:type="dxa"/>
          <w:left w:w="0" w:type="dxa"/>
          <w:bottom w:w="0" w:type="dxa"/>
          <w:right w:w="0" w:type="dxa"/>
        </w:tblCellMar>
      </w:tblPr>
      <w:tblGrid>
        <w:gridCol w:w="1249"/>
        <w:gridCol w:w="146"/>
        <w:gridCol w:w="8810"/>
      </w:tblGrid>
      <w:tr>
        <w:trPr/>
        <w:tc>
          <w:tcPr>
            <w:tcW w:w="124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Issuer</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Title of the Securities</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8.25% Series 2031 Term Preferred Shares</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are currently listed on the NASDAQ Global Select Market under the symbol “ OXLCM.” Our 6.00% Series 2029 Term Preferred Shares are currently listed on the NASDAQ Global Select Market under the symbol “OXLCO.” Our 7.125% Series 2029 Term Preferred Shares are currently listed on the NASDAQ Global Select Market under the symbol “OXLCN.” Our 2027 Notes are currently listed on the NASDAQ Global Select Market under the symbol “OXLCZ.” Our 2031 Notes are currently listed on the NASDAQ Global Select Market under the symbol “OXLCL.” Our 2030 Notes are currently listed on the NASDAQ Global Select Market under the symbol “OXLCI.” Our 2032 Notes are currently listed on the NASDAQ Global Select Market under the symbol “OXLCG.” Our common stock is currently listed on the NASDAQ Global Select Market under the symbol “OXLC.”</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Offered</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1,440,000 shares of the 8.25% Series 2031 Term Preferred Shares (1,656,000 shares if the underwriters exercise their over-allotment option in full).</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Liquidation Preference</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$25 per share, plus accrued but unpaid dividends, if any, to, but excluding the payment date. In the event of any liquidation, dissolution or winding up of our affairs, holders of the 8.25% Series 2031 Term Preferred Shares,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or equally, with the holders of the 6.00% Series 2029 Term Preferred Shares and the 7.125% Series 2029 Term Preferred Shares, will be entitled to receive a liquidation distribution per share equal to $25 per share (which we refer to in this prospectus supplement as the Liquidation Preference), plus an amount equal to all accrued but unpaid dividends, if any, and distributions accumulated to (but excluding) the date fixed for distribution or payment, whether or not earned or declared by us, but excluding interest on any such distribution or payment. See “Description of the 8.25% Series 2031 Term Preferred Shares — Liquidation Rights.”</w:t>
            </w:r>
          </w:p>
        </w:tc>
      </w:tr>
      <w:tr>
        <w:trPr/>
        <w:tc>
          <w:tcPr>
            <w:tcW w:w="124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tc>
        <w:tc>
          <w:tcPr>
            <w:tcW w:w="146" w:type="dxa"/>
            <w:tcBorders/>
          </w:tcPr>
          <w:p>
            <w:pPr>
              <w:pStyle w:val="TableContents"/>
              <w:bidi w:val="0"/>
              <w:spacing w:before="0" w:after="283"/>
              <w:jc w:val="left"/>
              <w:rPr/>
            </w:pPr>
            <w:r>
              <w:rPr/>
              <w:t> </w:t>
            </w:r>
          </w:p>
        </w:tc>
        <w:tc>
          <w:tcPr>
            <w:tcW w:w="881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pay a monthly dividend at a fixed annual rate of 8.25% of the Liquidation Preference, or $2.0625 per share per year, which we refer to as the Fixed Dividend Rate. The Fixed Dividend Rate is subject to adjustment under certain circumstances.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Cumulative cash dividends or distributions on each 8.25% Series 2031 Term Preferred Share are payable monthly, when, as and if declared, or under authority granted, by our Board of Directors out of funds legally available for such payment. We will pay monthly dividends on the 8.25% Series 2031 Term Preferred Shares offered pursuant to this prospectus supplement, commencing on November 30, 2026. The additional 8.25% Series 2031 Term Preferred Shares issued pursuant to this offering will not be entitled to receive the distribution payable to the holders of the Existing Shares on October 30, 2026.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24"/>
        <w:gridCol w:w="146"/>
        <w:gridCol w:w="8635"/>
      </w:tblGrid>
      <w:tr>
        <w:trPr/>
        <w:tc>
          <w:tcPr>
            <w:tcW w:w="1424"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Ranking</w:t>
            </w:r>
          </w:p>
        </w:tc>
        <w:tc>
          <w:tcPr>
            <w:tcW w:w="146" w:type="dxa"/>
            <w:tcBorders/>
          </w:tcPr>
          <w:p>
            <w:pPr>
              <w:pStyle w:val="TableContents"/>
              <w:bidi w:val="0"/>
              <w:spacing w:before="0" w:after="283"/>
              <w:jc w:val="left"/>
              <w:rPr/>
            </w:pPr>
            <w:r>
              <w:rPr/>
              <w:t> </w:t>
            </w:r>
          </w:p>
        </w:tc>
        <w:tc>
          <w:tcPr>
            <w:tcW w:w="8635"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are senior securities that constitute capital stock of the Company.</w:t>
            </w:r>
          </w:p>
          <w:p>
            <w:pPr>
              <w:pStyle w:val="TableContents"/>
              <w:keepNext w:val="false"/>
              <w:widowControl/>
              <w:pBdr/>
              <w:bidi w:val="0"/>
              <w:spacing w:before="2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rank:</w:t>
            </w:r>
          </w:p>
          <w:p>
            <w:pPr>
              <w:pStyle w:val="TableContents"/>
              <w:keepNext w:val="false"/>
              <w:widowControl/>
              <w:pBdr/>
              <w:bidi w:val="0"/>
              <w:spacing w:before="20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senior to our common stock in priority of payment of dividends and as to the distribution of assets upon dissolution, liquidation or winding-up or our affairs;</w:t>
            </w:r>
          </w:p>
          <w:p>
            <w:pPr>
              <w:pStyle w:val="TableContents"/>
              <w:keepNext w:val="false"/>
              <w:widowControl/>
              <w:pBdr/>
              <w:bidi w:val="0"/>
              <w:spacing w:before="20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equal in priority with the 6.00% Series 2029 Term Preferred Shares, the 7.125% Series 2029 Term Preferred Shares and all other future series of Preferred Stock we may issue, which we refer to in this prospectus supplement, collectively with the 8.25% Series 2031 Term Preferred Shares, as the Preferred Stock, as well as any other series of Term Preferred Shares (as such term is defined in the Articles Supplementary), or the “Term Preferred Shares,” as to priority of payment of dividends and as to distributions of assets upon dissolution, liquidation or the winding-up of our affairs; and</w:t>
            </w:r>
          </w:p>
          <w:p>
            <w:pPr>
              <w:pStyle w:val="TableContents"/>
              <w:keepNext w:val="false"/>
              <w:widowControl/>
              <w:pBdr/>
              <w:bidi w:val="0"/>
              <w:spacing w:before="20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subordinate in priority of payment to any senior indebtedness, including the Notes.</w:t>
            </w:r>
          </w:p>
          <w:p>
            <w:pPr>
              <w:pStyle w:val="TableContents"/>
              <w:keepNext w:val="false"/>
              <w:widowControl/>
              <w:pBdr/>
              <w:bidi w:val="0"/>
              <w:spacing w:before="20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asset coverage requirements of the 1940 Act, we may issue additional series of Preferred Stock (or additional shares of the 8.25% Series 2031 Term Preferred Shares), but we may not issue additional classes of capital stock that rank senior or junior to the 8.25% Series 2031 Term Preferred Shares as to priority of payment of dividends or as to the distribution of assets upon dissolution, liquidation or winding-up of our affairs.</w:t>
            </w:r>
          </w:p>
        </w:tc>
      </w:tr>
      <w:tr>
        <w:trPr/>
        <w:tc>
          <w:tcPr>
            <w:tcW w:w="142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 Redemption</w:t>
            </w:r>
          </w:p>
        </w:tc>
        <w:tc>
          <w:tcPr>
            <w:tcW w:w="146" w:type="dxa"/>
            <w:tcBorders/>
          </w:tcPr>
          <w:p>
            <w:pPr>
              <w:pStyle w:val="TableContents"/>
              <w:bidi w:val="0"/>
              <w:spacing w:before="0" w:after="283"/>
              <w:jc w:val="left"/>
              <w:rPr/>
            </w:pPr>
            <w:r>
              <w:rPr/>
              <w:t> </w:t>
            </w:r>
          </w:p>
        </w:tc>
        <w:tc>
          <w:tcPr>
            <w:tcW w:w="863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redeem all outstanding 8.25% Series 2031 Term Preferred Shares on March 20, 2031, or the “Term Redemption Date,” at a redemption price equal to the Liquidation Preference plus an amount equal to accumulated but unpaid dividends, if any, on such shares (whether or not earned or declared, but excluding interest on such dividends) to, but excluding, the redemption date. We cannot effect any amendment, alteration or repeal of our obligation to redeem all of the 8.25% Series 2031 Term Preferred Shares on March 20, 2031 without the prior unanimous vote or consent of holders of the 8.25% Series 2031 Term Preferred Shares. See “Description of the 8.25% Series 2031 Term Preferred Shares — Redemption” and “— Voting Rights.</w:t>
            </w:r>
          </w:p>
        </w:tc>
      </w:tr>
      <w:tr>
        <w:trPr/>
        <w:tc>
          <w:tcPr>
            <w:tcW w:w="1424"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Mandatory Redemption for Asset </w:t>
              <w:br/>
              <w:t>Coverage</w:t>
            </w:r>
          </w:p>
        </w:tc>
        <w:tc>
          <w:tcPr>
            <w:tcW w:w="146" w:type="dxa"/>
            <w:tcBorders/>
          </w:tcPr>
          <w:p>
            <w:pPr>
              <w:pStyle w:val="TableContents"/>
              <w:bidi w:val="0"/>
              <w:spacing w:before="0" w:after="283"/>
              <w:jc w:val="left"/>
              <w:rPr/>
            </w:pPr>
            <w:r>
              <w:rPr/>
              <w:t> </w:t>
            </w:r>
          </w:p>
        </w:tc>
        <w:tc>
          <w:tcPr>
            <w:tcW w:w="863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If we fail to maintain an asset coverage ratio (as defined below) of at least 200% as of the close of business on any Business Day on which asset coverage is required to be calculated, and such failure is not cured by the close of business on the date that is 30 calendar days following such Business Day (referred to in this prospectus supplement as an Asset Coverage Cure Date), then we are required to redeem, within 90 calendar days of the Asset Coverage Cure Date, shares of Preferred Stock equal to the lesser of (1) the minimum number of shares of Preferred Stock that will result in our having an asset coverage ratio of at least 200% and (2) the maximum number of shares of Preferred Stock that can be redeemed out of funds legally available for such redemption. Also, at our sole discretion, we may redeem such number of shares of Preferred Stock (including shares of Preferred Stock required to be redeemed)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95"/>
        <w:gridCol w:w="146"/>
        <w:gridCol w:w="8764"/>
      </w:tblGrid>
      <w:tr>
        <w:trPr/>
        <w:tc>
          <w:tcPr>
            <w:tcW w:w="1295"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will result in our having an asset coverage ratio of up to and including 285%. The Preferred Stock to be redeemed may include, at our sole option, any number or proportion of the 8.25% Series 2031 Term Preferred Shares and other series of Preferred Stock. If the 8.25% Series 2031 Term Preferred Shares are to be redeemed in such an event, they will be redeemed at a redemption price equal to their liquidation preference per share plus accumulated but unpaid dividends, if any, on such liquidation preference (whether or not declared, but excluding, interest on accrued but unpaid dividends, if any) to, but excluding, the date fixed for such redemption.</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 coverage for purposes of our Preferred Stock is a ratio calculated under Section 18(h) of the 1940 Act. We estimate that, on October 23, 2026, our asset coverage, based on the composition and value of our portfolio as of June 30, 2026, and after giving effect to (1) the issuance of 1,440,000 8.25% Series 2031 Term Preferred Shares in this offering (and prior to the application of proceeds as described under “Use of Proceeds”), (2) the redemption of $60.0 million 2027 Notes subsequent to June 30, 2026 and prior to the date hereof and (3) the payment of estimated offering costs payable by us of $292,000 in connection with this offering, will be 254% See “Description of the 8.25% Series 2031 Term Preferred Shares — Asset Coverage.”</w:t>
            </w:r>
          </w:p>
        </w:tc>
      </w:tr>
      <w:tr>
        <w:trPr/>
        <w:tc>
          <w:tcPr>
            <w:tcW w:w="129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Optional Redemption</w:t>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on or after March 20, 2028, at our sole option, we may redeem, from time to time, the 8.25% Series 2031 Term Preferred Shares in whole or in part, out of funds legally available for such redemption, at a price per share equal to the sum of the Liquidation Preference plus an amount equal to accumulated but unpaid dividends, if any, on such shares (whether or not earned or declared, but excluding interest on such dividends) to, but excluding, the date fixed for such redemption. See “Description of the 8.25% Series 2031 Term Preferred Shares — Redemption — Optional Redemption.”</w:t>
            </w:r>
          </w:p>
        </w:tc>
      </w:tr>
      <w:tr>
        <w:trPr/>
        <w:tc>
          <w:tcPr>
            <w:tcW w:w="129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our Articles of Amendment and Restatement to the Articles of Incorporation (as amended, the “Articles of Incorporation”) or as otherwise required by law, (1) each holder of Preferred Stock (including the 8.25% Series 2031 Term Preferred Shares, the 6.00% Series 2029 Term Preferred Shares and the 7.125% Series 2029 Term Preferred Shares) will be entitled to one vote for each share of Preferred Stock held by such holder on each matter submitted to a vote of our stockholders and (2) the holders of all outstanding Preferred Stock and our common stock will vote together as a single class; provided that holders of Preferred Stock, voting separately as a class, will elect two of our directors and will be entitled to elect a majority of our directors if we fail to pay dividends on any outstanding shares of Preferred Stock in an amount equal to two full years of dividends and continuing during that period until we correct that failure. Holders of Preferred Stock will also vote separately as a class on any matter that materially and adversely affects any preference, right or power of holders of Preferred Stock. See “Description of the 8.25% Series 2031 Term Preferred Shares — Voting Rights.”</w:t>
            </w:r>
          </w:p>
        </w:tc>
      </w:tr>
      <w:tr>
        <w:trPr/>
        <w:tc>
          <w:tcPr>
            <w:tcW w:w="129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Rights</w:t>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will have no conversion rights.</w:t>
            </w:r>
          </w:p>
        </w:tc>
      </w:tr>
      <w:tr>
        <w:trPr/>
        <w:tc>
          <w:tcPr>
            <w:tcW w:w="129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76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from this offering (after the payment of estimated expenses of the offering of approximately $292,000) to redeem a portion of our outstanding 2027 Notes. See “Use of Proceeds.”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81"/>
        <w:gridCol w:w="146"/>
        <w:gridCol w:w="8578"/>
      </w:tblGrid>
      <w:tr>
        <w:trPr/>
        <w:tc>
          <w:tcPr>
            <w:tcW w:w="148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Leverage</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use leverage as, and to the extent, permitted by the 1940 Act. Instruments that create leverage are generally considered to be senior securities under the 1940 Act. With respect to senior securities that are stocks (i.e., the Preferred Stock), we are required to have an asset coverage of at least 200%, as measured at the time of the issuance of any such shares of preferred stock and calculated as the ratio of our total assets (less all liabilities and indebtedness not represented by senior securities) over the aggregate amount of our outstanding senior securities representing indebtedness plus the aggregate liquidation preference of any outstanding shares of Preferred stock.</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senior securities representing indebtedness (i.e., the Notes), other than temporary borrowings as defined under the 1940 Act, we are required to have an asset coverage of at least 300%, as measured at the time of borrowing and calculated as the ratio of our total assets (less all liabilities and indebtedness not represented by senior securities) over the aggregate amount of our outstanding senior securities representing indebtedness.</w:t>
            </w:r>
          </w:p>
        </w:tc>
      </w:tr>
      <w:tr>
        <w:trPr/>
        <w:tc>
          <w:tcPr>
            <w:tcW w:w="148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Federal Income Taxes</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Prospective investors are urged to consult their own tax advisors regarding these matters in light of their personal investment circumstances.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treated for U.S. federal income tax purposes, and intend to continue to so qualify each year, as a RIC under Subchapter M of the Code, and we generally do not expect to be subject to U.S. federal income tax at the fund-level (provided that certain requirements are met). See “Certain Additional U.S. Federal Income Tax Considerations” in this prospectus supplement and “Certain U.S. Federal Income Tax Considerations” in the accompanying prospectus.</w:t>
            </w:r>
          </w:p>
        </w:tc>
      </w:tr>
      <w:tr>
        <w:trPr/>
        <w:tc>
          <w:tcPr>
            <w:tcW w:w="148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the 8.25% Series 2031 Term Preferred Shares involves risks. You should carefully consider the information set forth in the sections of this prospectus supplement, the accompanying prospectus and any documents incorporated by reference into this prospectus supplement and the accompanying prospectus entitled “Risk Factors” before deciding whether to invest in our 8.25% Series 2031 Term Preferred Shares. See “Risk Factors” beginning on page S-18 of this prospectus supplement and page 15 of the accompanying prospectus.</w:t>
            </w:r>
          </w:p>
        </w:tc>
      </w:tr>
      <w:tr>
        <w:trPr/>
        <w:tc>
          <w:tcPr>
            <w:tcW w:w="148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Rights</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any period in which we are not subject to the reporting requirements of the Securities Exchange Act of 1934, as amended (the “Exchange Act”), and any 8.25% Series 2031 Term Preferred Shares are outstanding, we will provide holders of 8.25% Series 2031 Term Preferred Shares, without cost, copies of our annual and semi-annual reports, proxy statements and other information that we would have been required to file with the SEC pursuant to the Exchange Act if we were subject to such requirements.</w:t>
            </w:r>
          </w:p>
        </w:tc>
      </w:tr>
      <w:tr>
        <w:trPr/>
        <w:tc>
          <w:tcPr>
            <w:tcW w:w="1481"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 and Paying Agent</w:t>
            </w:r>
          </w:p>
        </w:tc>
        <w:tc>
          <w:tcPr>
            <w:tcW w:w="146" w:type="dxa"/>
            <w:tcBorders/>
          </w:tcPr>
          <w:p>
            <w:pPr>
              <w:pStyle w:val="TableContents"/>
              <w:bidi w:val="0"/>
              <w:spacing w:before="0" w:after="283"/>
              <w:jc w:val="left"/>
              <w:rPr/>
            </w:pPr>
            <w:r>
              <w:rPr/>
              <w:t> </w:t>
            </w:r>
          </w:p>
        </w:tc>
        <w:tc>
          <w:tcPr>
            <w:tcW w:w="857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an amendment to our Transfer Agency and Service Agreement with Computershare Trust Company, N.A., which we refer to as the Redemption and Paying Agent in this prospectus supplement. Under this amendment, the Redemption and Paying Agent serves as transfer agent and registrar, dividend disbursing agent and redemption and paying agent with respect to the 8.25% Series 2031 Term Preferred Shares.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3"/>
      <w:bookmarkEnd w:id="4"/>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and the accompanying prospectus, including the documents incorporated by reference herein and therein, contain forward-looking statements that involve substantial risks and uncertainties. These forward-looking statements are not historical facts, but rather are based on current expectations, estimates and projections about our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in this prospectus supplement and the accompanying prospectus, including the documents incorporated by reference herein and therein, involve risks and uncertainties, including statements as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 including our ability to achieve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prospects and the prospects of a CLO vehicle’s portfolio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investments that we expect to make;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contractual arrangements and relationships with third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and our ability to access alternative debt markets and additional debt and equity capital;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a CLO vehicle’s portfolio companies to achieve their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valuation of our investments in CLOs, particularly those having no liquid trading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expected financings and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Oxford Lane Management to locate suitable investments for us and to monitor and administer our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adequacy of our cash resources and working capital;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cash flows, if any, from our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political and industry trends and other external factors, including government shutdowns, geopolitical conflict, and uncertainty surrounding the financial and political stability of the United States and other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contraction of available credit and/or an inability to access the equity markets could impair our investment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interest rate volatility could adversely affect our results, particularly if we elect to use leverage as part of our investment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fluctuations could adversely affect the results of our investments in foreign companies, particularly to the extent that we receive payments denominated in foreign currency rather than U.S. dollars;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information technology system failures, data security breaches, data privacy compliance, network disruptions and cybersecurity attacks, and the increasing use of artificial intelligence and machine learning technology;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uncertainties and other factors we identify in “Supplementary Risk Factors” in this prospectus supplement and “Risk Factors” in the accompanying prospectus and in our filings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those described or identified in “Supplementary Risk Factors” in this prospectus supplement and “Risk Factors” in the accompanying prospectus and elsewhere in this prospectus supplement and the accompanying prospectus, including any subsequent SEC filings incorporated by reference to this prospectus supplement or the accompanying prospectus. You should not place undue reliance on these forward-looking statements, which are based on information available to us as of the applicable dates of this prospectus supplement and the accompanying prospectus, including any documents incorporated by reference to this prospectus supplement or the accompanying prospectus,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we will update this prospectus supplement and the documents incorporated by reference herein to reflect any material changes to the information contained herein. The forward-looking statements contained in this prospectus supplement and the accompanying prospectus, including the documents incorporated by reference herein and therein, are excluded from the safe harbor protection provided by Section 27A of the Securities Act of 1933, as amended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104"/>
      <w:bookmarkEnd w:id="5"/>
      <w:r>
        <w:rPr>
          <w:rFonts w:ascii="Times New Roman PS Std;serif" w:hAnsi="Times New Roman PS Std;serif"/>
          <w:b/>
          <w:i w:val="false"/>
          <w:caps w:val="false"/>
          <w:smallCaps w:val="false"/>
          <w:sz w:val="20"/>
        </w:rPr>
        <w:t xml:space="preserve">SUPPLEMENTARY 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Investing in our securities involves a number of significant risks. Before you invest in our 8.25% Series 2031 Term Preferred Shares, you should be aware of various risks, including those described below and those set forth in the accompanying prospectus, as well as those risks described in any documents incorporated by reference in this prospectus supplement and the accompanying prospectus. The risks set out below are not the only risks we face. Additional risks and uncertainties not presently known to us or not presently deemed material by us may also impair our operations and performance and the value of the 8.25% Series 2031 Term Preferred Shares. If any of the following events occur, our business, financial condition, results of operations and cash flows could be materially and adversely affected, and the value of the </w:t>
      </w:r>
      <w:r>
        <w:rPr>
          <w:rFonts w:ascii="Times New Roman PS Std;serif" w:hAnsi="Times New Roman PS Std;serif"/>
          <w:b w:val="false"/>
          <w:i w:val="false"/>
          <w:caps w:val="false"/>
          <w:smallCaps w:val="false"/>
          <w:sz w:val="20"/>
        </w:rPr>
        <w:t>8.25</w:t>
      </w:r>
      <w:r>
        <w:rPr>
          <w:rFonts w:ascii="Times New Roman PS Std;serif" w:hAnsi="Times New Roman PS Std;serif"/>
          <w:b w:val="false"/>
          <w:i/>
          <w:caps w:val="false"/>
          <w:smallCaps w:val="false"/>
          <w:sz w:val="20"/>
        </w:rPr>
        <w:t xml:space="preserve">% Series 2031 Term Preferred Shares may be impaired. In such case, our NAV and the trading price of the </w:t>
      </w:r>
      <w:r>
        <w:rPr>
          <w:rFonts w:ascii="Times New Roman PS Std;serif" w:hAnsi="Times New Roman PS Std;serif"/>
          <w:b w:val="false"/>
          <w:i w:val="false"/>
          <w:caps w:val="false"/>
          <w:smallCaps w:val="false"/>
          <w:sz w:val="20"/>
        </w:rPr>
        <w:t>8.25</w:t>
      </w:r>
      <w:r>
        <w:rPr>
          <w:rFonts w:ascii="Times New Roman PS Std;serif" w:hAnsi="Times New Roman PS Std;serif"/>
          <w:b w:val="false"/>
          <w:i/>
          <w:caps w:val="false"/>
          <w:smallCaps w:val="false"/>
          <w:sz w:val="20"/>
        </w:rPr>
        <w:t xml:space="preserve">% Series 2031 Term Preferred Shares could decline, and you may lose all or part of your investment. The risk factors described below, together with those set forth in the accompanying prospectus and the documents incorporated by reference in this prospectus supplement and the accompanying prospectus, are the principal risk factors associated with an investment in our </w:t>
      </w:r>
      <w:r>
        <w:rPr>
          <w:rFonts w:ascii="Times New Roman PS Std;serif" w:hAnsi="Times New Roman PS Std;serif"/>
          <w:b w:val="false"/>
          <w:i w:val="false"/>
          <w:caps w:val="false"/>
          <w:smallCaps w:val="false"/>
          <w:sz w:val="20"/>
        </w:rPr>
        <w:t>8.25</w:t>
      </w:r>
      <w:r>
        <w:rPr>
          <w:rFonts w:ascii="Times New Roman PS Std;serif" w:hAnsi="Times New Roman PS Std;serif"/>
          <w:b w:val="false"/>
          <w:i/>
          <w:caps w:val="false"/>
          <w:smallCaps w:val="false"/>
          <w:sz w:val="20"/>
        </w:rPr>
        <w:t>% Series 2031 Term Preferred Shares as well as those factors generally associated with an investment company with investment objectives, investment policies, capital structure, or trading markets similar to ours.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investment in Term Preferred Shares with a fixed interest rate bears interest rate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Preferred Shares pay dividends at a fixed dividend rate. Prices of fixed income investments vary inversely with changes in market yields. The market yields on securities comparable to the 8.25% Series 2031 Term Preferred Shares may increase, which would likely result in a decline in the secondary market price of the 8.25% Series 2031 Term Preferred Shares prior to the Term Redemption Date. For additional information concerning dividends on the 8.25% Series 2031 Term Preferred Shares, see “Description of the 8.25% Series 2031 Term Preferred Shares — Dividends and Dividend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While a trading market developed after issuing the Existing Shares, we cannot assure you that an active trading market will be maintained.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are listed on Nasdaq under the symbol “OXLCM.” While a trading market developed, we cannot provide any assurances that the trading market will be active or that you will be able to sell your 8.25% Series 2031 Term Preferred Shares. Holders of the 8.25% Series 2031 Term Preferred Shares may be able to sell such shares only at substantial discounts from the Liquidation Preference. There is a risk that the 8.25% Series 2031 Term Preferred Shares may be thinly traded, and the market for such shares may be relatively illiquid compared to the market for other types of securities, with the spread between the bid and asked prices considerably greater than the spreads of other securities with comparable terms and features. Accordingly, you may be required to bear the financial risk of an investment in the 8.25% Series 2031 Term Preferred Shares for an indefinite period of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bear a risk of early redemption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voluntarily redeem some or all of the 8.25% Series 2031 Term Preferred Shares on or after March 20, 2028 and we may be forced to redeem some or all of the 8.25% Series 2031 Term Preferred Shares to meet regulatory requirements and the asset coverage requirements of such shares. Any such redemptions may occur at a time that is unfavorable to holders of the 8.25% Series 2031 Term Preferred Shares. We may have an incentive to redeem the 8.25% Series 2031 Term Preferred Shares voluntarily before the Term Redemption Date if market conditions allow us to issue other Preferred Stock or debt securities at a rate that is lower than the Fixed Dividend Rate on the 8.25% Series 2031 Term Preferred Shares. For further information regarding our ability to redeem the 8.25% Series 2031 Term Preferred Shares, see “Description of the 8.25% Series 2031 Term Preferred Shares — Redemption” and “— Asset Coverage.”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Claims of holders of 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are subject to a risk of subordination relative to holders of our debt instruments, including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holders of 8.25% Series 2031 Term Preferred Shares will be equal to the rights of holders of the 6.00% Series 2029 Term Preferred Shares and the 7.125% Series 2029 Term Preferred Shares. However, rights of holders of the 8.25% Series 2031 Term Preferred Shares, the 6.00% Series 2029 Term Preferred Shares and the 7.125% Series 2029 Term Preferred Shares will be subordinated to the rights of holders of our indebtedness, including holders of our Notes. Therefore, dividends, distributions and other payments to holders of Term Preferred Shares in liquidation or otherwise may be subject to prior payments due to the holders of our indebtedness, including holders of our Notes. In addition, under some circumstances the 1940 Act may provide debt holders with voting rights that are superior to the voting rights of holders of the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risks related to a general credit crisis and related liquidity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market uncertainty and extraordinary conditions in the credit markets may impact the liquidity of our investment portfolio. In turn, during extraordinary circumstances, this uncertainty could impact our distributions and/or ability to redeem the 8.25% Series 2031 Term Preferred Shares in accordance with their terms. Further, there may be market imbalances of sellers and buyers of 8.25% Series 2031 Term Preferred Shares during periods of extreme illiquidity and volatility in the credit markets. Such market conditions may lead to periods of thin trading in any secondary market for the 8.25% Series 2031 Term Preferred Shares and may make valuation of the 8.25% Series 2031 Term Preferred Shares uncertain. As a result, the spread between bid and ask prices is likely to increase significantly such that an investor in the 8.25% Series 2031 Term Preferred Shares may have difficulty selling his or her shares. Less liquid and more volatile trading environments could also result in sudden and significant valuation declines in the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Holders of 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bear reinvestment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five year term and potential for early redemption of the 8.25% Series 2031 Term Preferred Shares, holders of such shares may face an increased reinvestment risk, which is the risk that the return on an investment purchased with proceeds from the sale or redemption of the 8.25% Series 2031 Term Preferred Shares may be lower than the return previously obtained from the investment in such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Holders of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bear dividend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unable to pay dividends on the 8.25% Series 2031 Term Preferred Shares under some circumstances. We may redeem, from time to time, our 6.00% Series 2029 Term Preferred Shares and/or 7.125% Series 2029 Term Preferred Shares in whole or in part, at our sole option, following the expiration of the respective no-call periods on August 31, 2024 and June 30, 2024. As a result, any redemption of the 6.00% Series 2029 Term Preferred Shares and the 7.125% Series 2029 Term Preferred Shares may impact our ability to continue to pay dividends on the 8.25% Series 2031 Term Preferred Shares. In addition, the terms of any future indebtedness we may incur could preclude the payment of dividends in respect of equity securities, including the 8.25% Series 2031 Term Preferred Shares, under certain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There is a risk of delay in our redemption of 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and we may fail to redeem such securities as required by their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make investments in CLO vehicles whose securities are not traded in any public market. Substantially all of the investments we presently hold and the investments we expect to acquire in the future are, and will be, subject to legal and other restrictions on resale and will otherwise be less liquid than publicly traded securities. The illiquidity of our investments may make it difficult for us to obtain cash equal to the value at which we record our investments quickly if a need arises. Additionally, our 6.00% Series 2029 Term Preferred Shares and the 7.125% Series 2029 Term Preferred Shares are subject to the mandatory redemption provisions described in “Description of the 8.25% Series 2031 Term Preferred Shares — Mandatory Redemption for Asset Coverage” prior to a mandatory redemption date. If we are unable to obtain sufficient liquidity prior to the Term Redemption Date, we may be forced to engage in a partial redemption or to delay a required redemption. If such a partial redemption or delay were to occur, the market price of the 8.25% Series 2031 Term Preferred Shares might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 xml:space="preserve">A downgrade, suspension or withdrawal of the credit rating assigned by a rating agency to us or the 8.25% Series 2031 Term Preferred Shares, if any, could cause the liquidity or market value of the </w:t>
      </w:r>
      <w:r>
        <w:rPr>
          <w:rFonts w:ascii="Times New Roman PS Std;serif" w:hAnsi="Times New Roman PS Std;serif"/>
          <w:b/>
          <w:i w:val="false"/>
          <w:caps w:val="false"/>
          <w:smallCaps w:val="false"/>
          <w:sz w:val="20"/>
        </w:rPr>
        <w:t>8.25</w:t>
      </w:r>
      <w:r>
        <w:rPr>
          <w:rFonts w:ascii="Times New Roman PS Std;serif" w:hAnsi="Times New Roman PS Std;serif"/>
          <w:b/>
          <w:i/>
          <w:caps w:val="false"/>
          <w:smallCaps w:val="false"/>
          <w:sz w:val="20"/>
        </w:rPr>
        <w:t>% Series 2031 Term Preferred Shares to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credit ratings, if any, are an assessment by rating agencies of our ability to pay our debts when due. Consequently, real or anticipated changes in our credit ratings will generally affect the market value of the 8.25% Series 2031 Term Preferred Shares. These credit ratings may not reflect the potential impact of risks relating to the structure or marketing of the 8.25% Series 2031 Term Preferred Shares. Credit ratings are paid for by the issuer and are not a recommendation to buy, sell or hold any security, and may be revised or withdrawn at any time by the issuing organization in its sole discretion. An explanation of the significance of ratings may be obtained from the rating agency. Generally, rating agencies base their ratings on such material and information, and such of their own investigations, studies and assumptions, as they deem appropriate. Neither we nor any underwriter undertakes any obligation to maintain our credit ratings or to advise holders of the 8.25% Series 2031 Term Preferred Shares of any changes in our credit ratings. There can be no assurance that our credit ratings will remain for any given period of time or that such credit ratings will not be lowered or withdrawn entirely by the rating agency if in their judgment future circumstances relating to the basis of the credit ratings, such as adverse changes in our company, so warrant.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5"/>
      <w:bookmarkEnd w:id="6"/>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to us from this offering will be approximately $34,373,750.00 (or approximately $39,573,612.50 if the underwriters fully exercise their overallotment option), after deducting the payment of underwriting discounts and commissions of $1,118,250.00 (or approximately $1,285,987.50 if the underwriters fully exercise their overallotment option) and estimated offering expenses of approximately $292,000.00 payable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all of the net proceeds from this offering to redeem a portion of our outstanding 2027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substantially all of the net proceeds of this offering will be used for the above purposes within approximately three to six months from the consummation of such offering, depending on the availability of appropriate investment opportunities consistent with our investment objective and market conditions. We cannot assure you we will achieve our targeted investment pace.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such investments, we will invest the net proceeds primarily in cash, cash equivalents, U.S. government securities and other high-quality investments that mature in one year or less from the date of investment. The management fee payable by us will not be reduced while our assets are invested in such securities. See “Regulation as a Closed-End Management Investment Company — Temporary Investments” in the accompanying prospectus for additional information about temporary investments we may make while waiting to make longer-term investments in pursuit of our investment objective.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6"/>
      <w:bookmarkEnd w:id="7"/>
      <w:r>
        <w:rPr>
          <w:rFonts w:ascii="Times New Roman PS Std;serif" w:hAnsi="Times New Roman PS Std;serif"/>
          <w:b/>
          <w:i w:val="false"/>
          <w:caps w:val="false"/>
          <w:smallCaps w:val="false"/>
          <w:sz w:val="20"/>
        </w:rPr>
        <w:t xml:space="preserve">CAPITALIZATION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on an actual basis as of June 30, 2026;</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 on a pro forma basis to give effect to the partial redemption of $30.0 million in aggregate principal amount of our 2027 Notes on August 27, 2026 and the partial redemption of $30.0 million in aggregate principal amount of our 2027 Notes on October 2, 2026 including the write-off of approximately $306,000 of deferred issuance costs;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 on an as adjusted basis to give effect to the offering of the additional 8.25% Series 2031 Term Preferred Shares at a public offering price of $24.85 per share, after deducting the underwriting discounts and commissions of approximately $1,118,250 and estimated offering expenses of approximately $292,000 payable by us and the application of the proceeds thereof.</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table should be read in conjunction with “Use of Proceeds” and financial statements and notes thereto included in this prospectus supplement and our “Business” section included in the accompanying prospectus.</w:t>
      </w:r>
    </w:p>
    <w:tbl>
      <w:tblPr>
        <w:tblW w:w="10205" w:type="dxa"/>
        <w:jc w:val="left"/>
        <w:tblInd w:w="0" w:type="dxa"/>
        <w:tblLayout w:type="fixed"/>
        <w:tblCellMar>
          <w:top w:w="0" w:type="dxa"/>
          <w:left w:w="0" w:type="dxa"/>
          <w:bottom w:w="0" w:type="dxa"/>
          <w:right w:w="0" w:type="dxa"/>
        </w:tblCellMar>
      </w:tblPr>
      <w:tblGrid>
        <w:gridCol w:w="3278"/>
        <w:gridCol w:w="146"/>
        <w:gridCol w:w="286"/>
        <w:gridCol w:w="1621"/>
        <w:gridCol w:w="241"/>
        <w:gridCol w:w="146"/>
        <w:gridCol w:w="286"/>
        <w:gridCol w:w="1621"/>
        <w:gridCol w:w="241"/>
        <w:gridCol w:w="146"/>
        <w:gridCol w:w="286"/>
        <w:gridCol w:w="1621"/>
        <w:gridCol w:w="286"/>
      </w:tblGrid>
      <w:tr>
        <w:trPr/>
        <w:tc>
          <w:tcPr>
            <w:tcW w:w="327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8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2026</w:t>
            </w:r>
          </w:p>
        </w:tc>
      </w:tr>
      <w:tr>
        <w:trPr/>
        <w:tc>
          <w:tcPr>
            <w:tcW w:w="32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21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c>
          <w:tcPr>
            <w:tcW w:w="146" w:type="dxa"/>
            <w:tcBorders/>
            <w:vAlign w:val="bottom"/>
          </w:tcPr>
          <w:p>
            <w:pPr>
              <w:pStyle w:val="TableContents"/>
              <w:bidi w:val="0"/>
              <w:spacing w:before="0" w:after="283"/>
              <w:jc w:val="left"/>
              <w:rPr/>
            </w:pPr>
            <w:r>
              <w:rPr/>
              <w:t> </w:t>
            </w:r>
          </w:p>
        </w:tc>
        <w:tc>
          <w:tcPr>
            <w:tcW w:w="21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Adjusted</w:t>
            </w:r>
          </w:p>
        </w:tc>
      </w:tr>
      <w:tr>
        <w:trPr/>
        <w:tc>
          <w:tcPr>
            <w:tcW w:w="3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1,761,276,834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1,701,276,834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1,701,276,834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Mandatorily redeemable preferred stock, par value $0.01 per share, net of unamortized deferred issuance costs of $4,679,937 on an Actual and Pro Forma basis and $6,090,187 on an As Adjusted basis, and net of an unamortized discount of $216,000 on an As Adjusted basis (50,000,000 shares authorized; 7,996,900 shares issued and outstanding on an Actual and Pro Forma basis and 9,436,900 shares issued and outstanding on an As Adjusted basis), as of June 30, 2026(1)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195,242,563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195,242,563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229,616,313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7.95% unsecured notes, net of unamortized deferred issuance costs of $5,207,927 as of June 30,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179,792,073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179,792,073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179,792,073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8.75% unsecured notes, net of unamortized deferred issuance costs of $2,690,076 as of June 30,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112,309,924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112,309,924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112,309,924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5.00% unsecured notes, net of unamortized deferred issuance costs of $397,299, $90,916 and $12,788 as of June 30, 2026, on an Actual, Pro Forma and As Adjusted basis, respectively(2)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99,602,701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39,909,084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5,613,462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6.75% unsecured notes, net of unamortized deferred issuance costs of $1,689,608 as of June 30,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98,310,392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98,310,392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98,310,392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23,626,611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23,626,611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23,626,611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708,884,264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649,190,647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649,268,775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1,052,392,570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1,052,086,187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1,052,008,059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 consist of:</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$0.01 par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980,302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in excess of par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2,710,691,881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2,710,691,881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2,710,691,881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distributable earnings/(accumulated losses)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(1,659,279,613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(1,659,585,996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(1,659,664,124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7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1,052,392,570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1,052,086,187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1,052,008,059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Actual amount represents 2,760,000 shares of Existing Shares, 2,686,900 shares of 6.00% Series 2029 Term Preferred Shares and 2,550,000 shares of the 7.125% Series 2029 Term Preferred Shares outstanding as of June 30,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Pro forma amount represents $40,000,000 in aggregate principal amount of 2027 Notes outstanding as of October 20, 2026. The as adjusted amount represents $5,626,250 in aggregate principal amount of the 2027 Notes outstanding after the offering and application of the net proceeds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7"/>
      <w:bookmarkEnd w:id="8"/>
      <w:r>
        <w:rPr>
          <w:rFonts w:ascii="Times New Roman PS Std;serif" w:hAnsi="Times New Roman PS Std;serif"/>
          <w:b/>
          <w:i w:val="false"/>
          <w:caps w:val="false"/>
          <w:smallCaps w:val="false"/>
          <w:sz w:val="20"/>
        </w:rPr>
        <w:t xml:space="preserve">DESCRIPTION OF THE 8.25% SERIES 2031 TERM PREFERRED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is a brief description of the terms of our Term Preferred Shares, including specific terms of the 8.25% Series 2031 Term Preferred Shares. This is not a complete description and is subject to, and entirely qualified by reference to, the Articles of Incorporation, as supplemented by the Articles Supplementary, Appendix A to the Articles Supplementary, Appendix B to the Articles Supplementary, Appendix C to the Articles Supplementary and Appendix D to the Articles Supplementary, dated March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13, 2026 (the “March 2026 Articles Supplementary”), and as further supplemented by the Articles Supplementary to be dated October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22, 2026 (the “October 2026 Articles Supplementary” and collectively, the “Articles Supplementary”). The form of October 2026 Articles Supplementary is attached to this prospectus supplement as Exhibit A. The final October 2026 Articles Supplementary will be filed with the SEC as an exhibit to the registration statement of which this prospectus supplement and the accompanying prospectus are a part. You may obtain copies of these documents as described under “Available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authorized to issue 50,000,000 shares of Term Preferred Shares. We have designated 2,760,000 of these shares as Existing Shares and are designating 1,656,000 of these shares as additional 8.25% Series 2031 Term Preferred Shares. As of October 12, 2026, we had 2,760,000 shares of Existing Shares, 2,686,900 shares of 6.00% Series 2029 Term Preferred Shares and 2,550,000 shares of 7.125% Series 2029 Term Preferred Shares issued and outstanding. Terms of the Term Preferred Shares are set forth in the Articles Supplementary. Terms of the additional 8.25% Series 2031 Term Preferred Shares offered hereby are the same as those of our Existing Shares, the 6.00% Series 2029 Term Preferred Shares and the 7.125% Series 2029 Term Preferred Shares, except as set forth in Articles Supplementary.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issuance, any Term Preferred Shares, including the 8.25% Series 2031 Term Preferred Shares, will be fully paid and non-assessable and will have no preemptive, conversion, or exchange rights or rights to cumulative voting. The 8.25% Series 2031 Term Preferred Shares will rank equally with shares of the 6.00% Series 2029 Term Preferred Shares and the 7.125% Series 2029 Term Preferred Shares, and all our other Preferred Stock that might be issued in the future, as to payment of dividends and the distribution of our assets upon dissolution, liquidation or winding up of our affairs. The Term Preferred Shares are, and all other Preferred Stock that we may issue in the future will be, senior as to dividends and distributions to the common stock and subordinated in the right of payment to senior indebtedness, including the Notes. We may issue additional series of Term Preferred Shares or other Preferred Stock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certain limited circumstances, holders of the Term Preferred Shares will not receive certificates representing their ownership interest in such shares, and the shares of Term Preferred Shares will be represented by a global certificate to be held by the Securities Depository for the Term Preferred Shares. The Depository Trust Company will initially act as Securities Depository with respect to the Term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 and Dividend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w:t>
      </w:r>
      <w:r>
        <w:rPr>
          <w:rFonts w:ascii="Times New Roman PS Std;serif" w:hAnsi="Times New Roman PS Std;serif"/>
          <w:b w:val="false"/>
          <w:i w:val="false"/>
          <w:caps w:val="false"/>
          <w:smallCaps w:val="false"/>
          <w:sz w:val="20"/>
        </w:rPr>
        <w:t>The holders of the Term Preferred Shares will be entitled to receive cumulative cash dividends and distributions on such shares, when, as and if declared by, or under authority granted by, our Board of Directors out of funds legally available for payment and in preference to dividends and distributions on Common Stock, calculated separately for each dividend period, or the “Dividend Period,” for such Term Preferred Shares at the dividend rate, or the “Dividend Rate,” for such Term Preferred Shares in effect during such Dividend Period. The Dividend Rate is computed on the basis of a 360-day year consisting of twelve 30-day months. Dividends so declared and payable will be paid to the extent permitted under state law and our Articles of Incorporation, and to the extent available, in preference to and priority over any dividend declared and payable on the Common Stock. If we are unable to distribute the full dividend amount due in a Dividend Period on the 8.25% Series 2031 Term Preferred Shares, the 6.00% Series 2029 Term Preferred Shares and the 7.125% Series 2029 Term Preferred Shares, the dividends will be distributed on a pro rata basis among the holders of the 8.25% Series 2031 Term Preferred Shares, the 6.00% Series 2029 Term Preferred Shares and the 7.125% Series 2029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Fixed Dividend Rate.    </w:t>
      </w:r>
      <w:r>
        <w:rPr>
          <w:rFonts w:ascii="Times New Roman PS Std;serif" w:hAnsi="Times New Roman PS Std;serif"/>
          <w:b w:val="false"/>
          <w:i w:val="false"/>
          <w:caps w:val="false"/>
          <w:smallCaps w:val="false"/>
          <w:sz w:val="20"/>
        </w:rPr>
        <w:t>The Fixed Dividend Rate is an annual rate of 8.25% for the 8.25% Series 2031 Term Preferred Shares. The Fixed Dividend Rate for Term Preferred Shares may be adjusted in certain circumstances, including upon the occurrence of certain events resulting in a Default Period (as defined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Payment of Dividends and Dividend Periods.    </w:t>
      </w:r>
      <w:r>
        <w:rPr>
          <w:rFonts w:ascii="Times New Roman PS Std;serif" w:hAnsi="Times New Roman PS Std;serif"/>
          <w:b w:val="false"/>
          <w:i w:val="false"/>
          <w:caps w:val="false"/>
          <w:smallCaps w:val="false"/>
          <w:sz w:val="20"/>
        </w:rPr>
        <w:t>Each Dividend Period will be a calendar month (or the portion thereof occurring prior to the redemption of such 8.25% Series 2031 Term Preferred Shares). Dividends are payable monthly in arrears on the Dividend Payment Date — the last Business Day of the month of the Dividend Period and upon redemption of the Term Preferred Shares. Dividends with respect to any monthly Dividend Period will be declared and paid to holders of record of Term Preferred Shares as their names shall appear on our registration books at the close of business on the applicable record date, which shall be such date designated by our Board of Directors that is not more than 20, nor less than 10, calendar days prior to such Dividend Payment Date. The first Dividend Period for the additional 8.25% Series 2031 Term Preferred Shares offered pursuant to this prospectus supplement will commence on November 1, 2026 to, and including, November 30, 2026. Holders of the additional 8.25% Series 2031 Term Preferred Shares will not be entitled to receive the dividend payable on October 30, 2026 to the holders of the Existing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Term Preferred Shares on the record date for a Dividend Period will be entitled to receive dividends and distributions payable with respect to such Dividend Period, and holders of Term Preferred Shares who sell shares before such a record date and purchasers of Term Preferred Shares who purchase shares after such a record date should take the effect of the foregoing provisions into account in evaluating the price to be received or paid for such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dividends will accrue and be paid monthly, the record date for holders of Term Preferred Shares entitled to receive dividend payments may vary from month-to-month. We will notify holders of the Term Preferred Shares of each record date by issuance of a quarterly press release.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Mechanics of Payment of Dividends.    </w:t>
      </w:r>
      <w:r>
        <w:rPr>
          <w:rFonts w:ascii="Times New Roman PS Std;serif" w:hAnsi="Times New Roman PS Std;serif"/>
          <w:b w:val="false"/>
          <w:i w:val="false"/>
          <w:caps w:val="false"/>
          <w:smallCaps w:val="false"/>
          <w:sz w:val="20"/>
        </w:rPr>
        <w:t>Not later than 12:00 noon, New York City time, on a Dividend Payment Date, we are required to deposit with the Redemption and Paying Agent sufficient funds for the payment of dividends in the form of Deposit Securities. Deposit Securities will generally consist of (1) cash or cash equivalents; (2) direct obligations of the United States or its agencies or instrumentalities that are entitled to the full faith and credit of the United States, which we refer to as the U.S. Government Obligations; (3) investments in money market funds registered under the 1940 Act that qualify under Rule 2a-7 under the 1940 Act and certain similar investment vehicles that invest in U.S. Government Obligations or any combination thereof; or (4) any letter of credit from a bank or other financial institution that has a credit rating from at least one ratings agency that is the highest applicable rating generally ascribed by such ratings agency to bank deposits or short-term debt of similar banks or other financial institutions, in each case either that is a demand obligation payable to the holder on any Business Day or that has a maturity date, mandatory redemption date or mandatory payment date, preceding the relevant Redemption Date, Dividend Payment Date or other payment date. We do not intend to establish any reserves for the payment of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Deposit Securities paid to the Redemption and Paying Agent for the payment of dividends will be held in trust for the payment of such dividends to the holders of Term Preferred Shares. Dividends will be paid by the Redemption and Paying Agent to the holders of Term Preferred Shares as their names appear on our registration books. Dividends that are in arrears for any past Dividend Period may be declared and paid at any time, without reference to any regular Dividend Payment Date. Such payments are made to holders of Term Preferred Shares as their names appear on our registration books on such date, not exceeding 20 nor less than 10 calendar days preceding the payment date thereof, as may be fixed by our Board of Directors. Any payment of dividends in arrears will first be credited against the earliest accumulated but unpaid dividends. No interest or sum of money in lieu of interest will be payable in respect of any dividend payment or payments on any Term Preferred Shares which may be in arrears. See “— Adjustment to Fixed Dividend Rate — Default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failure to pay dividends for at least two years, the holders of Term Preferred Shares will acquire certain additional voting rights. See “— Voting Rights” below. Such rights shall be the exclusive remedy of the holders of Term Preferred Shares upon any failure to pay dividends on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Adjustment to Fixed Dividend Rate — Default Period.    </w:t>
      </w:r>
      <w:r>
        <w:rPr>
          <w:rFonts w:ascii="Times New Roman PS Std;serif" w:hAnsi="Times New Roman PS Std;serif"/>
          <w:b w:val="false"/>
          <w:i w:val="false"/>
          <w:caps w:val="false"/>
          <w:smallCaps w:val="false"/>
          <w:sz w:val="20"/>
        </w:rPr>
        <w:t>Subject to the cure provisions below, a default period with respect to Term Preferred Shares will commence on a date we fail to deposit the Deposit Securities as required as described above, or the “Default Period.” A Default Period with respect to a Dividend Default (as defined in the Articles Supplementary) or a Redemption Default (as defined in the Articles Supplementary) shall end on the Business Day on which, by 12:00 noon, New York City time, an amount equal to all unpaid dividends and any unpaid redemption price shall have been deposited irrevocably in trust in same-day funds with the Redemption and Paying Agent. In the case of a Default (as defined in the Articles Supplementary), the applicable dividend rate for each day during the Default Period will be equal to the Default Rate. The “Default Rate” for any calendar day will be equal to the applicable Dividend Rate in effect on such day plus two percent (2%) per annum.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Default Period with respect to a Dividend Default or Redemption Default will be deemed to commence if the amount of any dividend or any redemption price due (if such Default is not solely due to our willful failure) is deposited irrevocably in trust, in same-day funds with the Redemption and Paying Agent by 12:00 noon, New York City time, on a Business Day that is not later than three Business Days after the applicable Dividend Payment Date or Redemption Date, together with an amount equal to the Default Rate applied to the amount and period of such non-payment based on the actual number of calendar days comprising such period divided by 360.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Restrictions on Dividend, Redemption, Other Payments and Issuance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full dividends and distributions will be declared or paid on Term Preferred Shares for any Dividend Period, or a part of a Dividend Period, unless the full cumulative dividends and distributions due through the most recent dividend payment dates for all outstanding shares of Preferred Stock (including shares of other series of Term Preferred Shares, if any) have been, or contemporaneously are, declared and paid through the most recent dividend payment dates for each share of Preferred Stock. If full cumulative dividends and distributions due have not been paid on all outstanding shares of Preferred Stock of any series, any dividends and distributions being declared and paid on Term Preferred Shares will be declared and paid as nearly pro rata as possible in proportion to the respective amounts of dividends and distributions accumulated but unpaid on the shares of each such series of Preferred Stock on the relevant dividend payment date. No holders of Term Preferred Shares will be entitled to any dividends and distributions in excess of full cumulative dividends and distributions as provided in the Articles Supplementary.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so long as any shares of Term Preferred Shares are outstanding, we will not: (x) declare any dividend or other distribution (other than a dividend or distribution paid in Common Stock) in respect of the Common Stock, (y) call for redemption, redeem, purchase or otherwise acquire for consideration any such Common Stock, or (z) pay any proceeds of the liquidation of the Company in respect of such Common Stock, unless, in each case, (A) immediately thereafter, we will be in compliance with the 200% asset coverage limitations set forth under the 1940 Act with respect to a class of senior security which is stock, after deducting the amount of such dividend or distribution or redemption or purchasing price or liquidation proceeds, (B) all cumulative dividends and distributions of shares of all series of Term Preferred Shares and all other series of Preferred Stock, if any, ranking on parity with the Term Preferred Shares due on or prior to the date of the applicable dividend, distribution, redemption, purchase or acquisition shall have been declared and paid (or shall have been declared and sufficient funds or Deposit Securities as permitted by the terms of such Preferred Stock for the payment thereof shall have been deposited irrevocably with the applicable paying agent) and (C) we have deposited Deposit Securities with the Redemption and Paying Agent in accordance with the requirements described herein with respect to outstanding Term Preferred Shares of any series to be redeemed pursuant to a Term Redemption (as defined below) or asset coverage mandatory redemption resulting from the failure to comply with the asset coverage requirements as described below for which a Notice of Redemption shall have been given or shall have been required to be given in accordance with the terms described herein on or prior to the date of the applicable dividend, distribution, redemption, purchase or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required by law, we will not redeem any shares of Term Preferred Shares unless all accumulated and unpaid dividends and distributions on all outstanding shares of Term Preferred Shares and other series of Preferred Stock, if any, ranking on parity with the Term Preferred Shares with respect to dividends and distributions for all applicable past dividend periods (whether or not earned or declared by us) (x) will have been or are contemporaneously paid or (y) will have been or are contemporaneously declared and Deposit Securities or sufficient funds (in accordance with the terms of such Preferred Stock) for the payment of such dividends and distributions will have been or are contemporaneously deposited with the Redemption and Paying Agent or other applicable paying agent, provided, however, that the foregoing will not prevent the purchase or acquisition of outstanding shares of Term Preferred Shares pursuant to an otherwise lawful purchase or exchange offer made on the same terms to holders of all outstanding shares of Term Preferred Shares and any other series of Preferred Stock, if any, for which all accumulated and unpaid dividends and distributions have not been paid.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issue debt in one or more classes or series. Under the 1940 Act, we may not (1) declare any dividend with respect to any Preferred Stock if, at the time of such declaration (and after giving effect thereto), our asset coverage with respect to any of our borrowings that are senior securities representing indebtedness (as determined in accordance with Section 18(h) under the 1940 Act), would be less than 200% (or such other percentage as may in the future be specified in or under the 1940 Act as the minimum asset coverage for senior securities representing indebtedness of a closed-end investment company as a condition of declaring dividends on its Preferred Stock) or (2) declare any other distribution on the Preferred Stock or purchase or redeem Preferred Stock if at the time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declaration or redemption (and after giving effect thereto), asset coverage with respect to such borrowings that are senior securities representing indebtedness would be less than 200% (or such higher percentage as may in the future be specified in or under the 1940 Act as the minimum asset coverage for senior securities representing indebtedness of a closed-end investment company as a condition of declaring distributions, purchases or redemptions of its shares). “Senior securities representing indebtedness” generally means any bond, debenture, note or similar obligation or instrument constituting a security (other than shares of capital stock) and evidencing indebtedness and could include our obligations under any borrowings. For purposes of determining our asset coverage for senior securities representing indebtedness in connection with the payment of dividends or other distributions on or purchases or redemptions of stock, the term senior security does not include any promissory note or other evidence of indebtedness issued in consideration of any loan, extension or renewal thereof, made by a bank or other person and privately arranged, and not intended to be publicly distributed. The term senior security also does not include any such promissory note or other evidence of indebtedness in any case where such a loan is for temporary purposes only and in an amount not exceeding 5% of the value of our total assets at the time when the loan is made; a loan is presumed under the 1940 Act to be for temporary purposes if it is repaid within 60 calendar days and is not extended or renewed; otherwise such loan is presumed not to be for temporary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 Coverage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maintain asset coverage of at least 200% as of the close of business on the last Business Day of a Calendar Quarter, the Term Preferred Shares may become subject to mandatory redemption as provided below. “Asset coverage” means asset coverage of a class of senior security which is a stock, as defined for purposes of Section 18(h) of the 1940 Act as in effect on the date of the Articles Supplementary. For purposes of this determination, no shares of Term Preferred Shares or other Preferred Stock, if any, will be deemed to be outstanding for purposes of the computation of asset coverage if, prior to or concurrently with such determination, either sufficient Deposit Securities or other sufficient funds (in accordance with the terms of such Preferred Stock) to pay the full redemption price for such Preferred Stock (or the portion thereof to be redeemed) will have been deposited in trust with the paying agent for such Preferred Stock and the requisite notice of redemption for such Preferred Stock (or the portion thereof to be redeemed) will have been given or sufficient Deposit Securities or other sufficient funds (in accordance with the terms of such Preferred Stock) to pay the full redemption price for such Preferred Stock (or the portion thereof to be redeemed) will have been segregated by us and our custodian, or Custodian, from our assets, by means of appropriate identification on the Custodian’s books and records or otherwise in accordance with the Custodian’s normal procedures. In such event, the Deposit Securities or other sufficient funds so deposited or segregated will not be included as our assets for purposes of the computation of asset coverage.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Term Redemption.    </w:t>
      </w:r>
      <w:r>
        <w:rPr>
          <w:rFonts w:ascii="Times New Roman PS Std;serif" w:hAnsi="Times New Roman PS Std;serif"/>
          <w:b w:val="false"/>
          <w:i w:val="false"/>
          <w:caps w:val="false"/>
          <w:smallCaps w:val="false"/>
          <w:sz w:val="20"/>
        </w:rPr>
        <w:t>We are required to provide for the mandatory redemption, or the Term Redemption, of all of the 8.25% Series 2031 Term Preferred Shares on March 20, 2031 at a redemption price equal to the Liquidation Preference per share plus an amount equal to accumulated but unpaid dividends thereon (whether or not earned or declared but excluding interest thereon) to (but excluding) the Term Redemption Date, which we refer to as the Term Redemption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Mandatory Redemption for Asset Coverage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Asset Coverage.    </w:t>
      </w:r>
      <w:r>
        <w:rPr>
          <w:rFonts w:ascii="Times New Roman PS Std;serif" w:hAnsi="Times New Roman PS Std;serif"/>
          <w:b w:val="false"/>
          <w:i w:val="false"/>
          <w:caps w:val="false"/>
          <w:smallCaps w:val="false"/>
          <w:sz w:val="20"/>
        </w:rPr>
        <w:t xml:space="preserve">If we fail to have asset coverage of at least 200% as provided in the Articles Supplementary and such failure is not cured as of the close of business on the Asset Coverage Cure Date, we will fix a redemption date and proceed to redeem the number of shares of Preferred Stock as described below at a price per share equal to the liquidation price per share of the applicable Preferred Stock, which in the case of the Term Preferred Shares is equal to the Liquidation Preference per share plus accumulated but unpaid dividends and distributions thereon (whether or not earned or declared but excluding interest thereon) to (but excluding) the date fixed for redemption by our Board of Directors. We will redeem out of funds legally available the number of shares of Preferred Stock (which may include at our sole option any number or proportion of Term Preferred Shares) equal to the lesser of (i) the minimum number of shares of Preferred Stock, the redemption of which, if deemed to have occurred immediately prior to the opening of business on the Asset Coverage Cure Date, would result in us having asset coverage of at least 200% and (ii) the maximum number of shares of Preferred Stock that can be redeemed out of funds expected to be legally available in accordance with our Articles of Incorporation and applicable law. Notwithstanding the foregoing sentence, in the event that shares of Preferred Stock are redeemed pursuant to the Articles Supplementary, we may at our sole option, but 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required to, redeem a sufficient number of shares of Term Preferred Shares that, when aggregated with other shares of Preferred Stock redeemed by us, permits us to have with respect to the shares of Preferred Stock (including Term Preferred Shares) remaining outstanding after such redemption, asset coverage on such Asset Coverage Cure Date of as much as 285%. We will effect a redemption on the date fixed by us, which date will not be later than 90 calendar days after the Asset Coverage Cure Date, except that if we do not have funds legally available for the redemption of all of the required number of shares of Term Preferred Shares and other shares of Preferred Stock which have been designated to be redeemed or we otherwise are unable to effect such redemption on or prior to 90 calendar days after the Asset Coverage Cure Date, we will redeem those shares of Term Preferred Shares and other shares of Preferred Stock which we were unable to redeem on the earliest practicable date on which we are able to effect such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Optional Redemption.    </w:t>
      </w:r>
      <w:r>
        <w:rPr>
          <w:rFonts w:ascii="Times New Roman PS Std;serif" w:hAnsi="Times New Roman PS Std;serif"/>
          <w:b w:val="false"/>
          <w:i w:val="false"/>
          <w:caps w:val="false"/>
          <w:smallCaps w:val="false"/>
          <w:sz w:val="20"/>
        </w:rPr>
        <w:t>On or after March 20 , 2028 or, any such date, an “Optional Redemption Date,” we may redeem in whole, or from time to time in part, the outstanding 8.25% Series 2031 Term Preferred Shares, at a redemption price equal to the Liquidation Preference, plus an amount equal to all unpaid dividends and distributions accumulated to (but excluding) the Optional Redemption Date (whether or not earned or declared by us, but excluding interest thereon) or, the “Optional Redemption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the Articles Supplementary and applicable law, our Board of Directors will have the full power and authority to prescribe the terms and conditions upon which shares of Term Preferred Shares will be redeemed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on any date deliver a notice of redemption to redeem any shares of Term Preferred Shares pursuant to the optional redemption provisions described above unless on such date we have available Deposit Securities for the Optional Redemption Date contemplated by such notice of redemption having a Market Value not less than the amount (including any applicable premium) due to holders of shares of Term Preferred Shares by reason of the redemption of such shares of Term Preferred Shares on such Optional Redemption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Procedures.    </w:t>
      </w:r>
      <w:r>
        <w:rPr>
          <w:rFonts w:ascii="Times New Roman PS Std;serif" w:hAnsi="Times New Roman PS Std;serif"/>
          <w:b w:val="false"/>
          <w:i w:val="false"/>
          <w:caps w:val="false"/>
          <w:smallCaps w:val="false"/>
          <w:sz w:val="20"/>
        </w:rPr>
        <w:t>We will file a notice of our intention to redeem with the SEC so as to provide the 30 calendar day notice period contemplated by Rule 23c-2 under the 1940 Act, or such shorter notice period as may be permitted by the SEC or its staff.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shall determine or be required to redeem, in whole or in part, shares of a series of Term Preferred Shares, we will deliver a notice of redemption, or a Notice of Redemption, by overnight delivery, by first class mail, postage prepaid or by electronic means to the holders of such series of shares of Term Preferred Shares to be redeemed, or request the Redemption and Paying Agent, on our behalf, to promptly do so by overnight delivery, by first class mail or by electronic means. A Notice of Redemption will be provided not more than 45 calendar days prior to the date fixed for redemption in such Notice of Redemption, which we refer to as the Redemption Date. If fewer than all of the outstanding shares of such series of Term Preferred Shares are to be redeemed pursuant to either the asset coverage mandatory redemption provisions or the optional redemption provisions, the shares of such series of Term Preferred Shares to be redeemed will be selected either (1) pro rata among such series of Term Preferred Shares, (2) by lot or (3) in such other manner as our Board of Directors may determine to be fair and equitable. If fewer than all shares of a series of Term Preferred Shares held by any holder are to be redeemed, the Notice of Redemption mailed to such holder shall also specify the number of shares of such series of Term Preferred Shares to be redeemed from such holder or the method of determining such number. We may provide in any Notice of Redemption relating to a redemption contemplated to be effected pursuant to the Articles Supplementary that such redemption is subject to one or more conditions precedent and that we will not be required to effect such redemption unless each such condition has been satisfied. No defect in any Notice of Redemption or delivery thereof will affect the validity of redemption proceedings except as required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give a Notice of Redemption, then at any time from and after the giving of such Notice of Redemption and prior to 12:00 noon, New York City time, on the Redemption Date (so long as any conditions precedent to such redemption have been met or waived by us), we will (i) deposit with the Redemption and Paying Agent Deposit Securities having an aggregate Market Value at the time of deposit no less than the redemption price of the shares of such series of Term Preferred Shares to be redeemed on the Redemption Date and (ii) give the Redemption and Paying Agent irrevocable instructions and authority to pay the applicable redemption price to the holders of shares of such series of Term Preferred Shares called for redemption on the Redemption Date. Notwithstanding the foregoing, if the Redemption Date is the Term Redemption Date, then such deposit of Deposit Securities will be made no later than 15 calendar days prior to the Term Redemption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date of the deposit of Deposit Securities by us for purposes of redemption of shares of a series of Term Preferred Shares, all rights of the holders of such series of Term Preferred Shares so called for redemption shall cease and terminate except the right of the holders thereof to receive the Term Redemption Price, Mandatory Redemption Price or Optional Redemption Price thereof, as applicable (any of the foregoing referred to in this prospectus supplement as the Redemption Price, and such shares of such series of Term Preferred Shares will no longer be deemed outstanding for any purpose whatsoever (other than the transfer thereof prior to the applicable Redemption Date and other than the accumulation of dividends on such stock in accordance with the terms of the such series of Term Preferred Shares up to (but excluding) the applicable Redemption Date). We will be entitled to receive, promptly after the Redemption Date, any Deposit Securities in excess of the aggregate Redemption Price of shares of such series of Term Preferred Shares called for redemption on the Redemption Date. Any Deposit Securities so deposited that are unclaimed at the end of 90 calendar days from the Redemption Date will, to the extent permitted by law, be repaid to us, after which the holders of shares of such series of Term Preferred Shares so called for redemption shall look only to us for payment of the Redemption Price. We will be entitled to receive, from time to time after the Redemption Date, any interest on the Deposit Securities so deposited.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or after a Redemption Date, each holder of shares of such series of Term Preferred Shares in certificated form (if any) that are subject to redemption will surrender the certificate(s) evidencing such shares of such series of Term Preferred Shares to us at the place designated in the Notice of Redemption and will then be entitled to receive the Redemption Price, without interest, and in the case of a redemption of fewer than all shares of such series of Term Preferred Shares represented by such certificate(s), a new certificate representing shares of such series of Term Preferred Shares that were not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redemption for which a Notice of Redemption has been provided is not made by reason of the absence of our legally available funds in accordance with the Articles Supplementary and applicable law, such redemption shall be made as soon as practicable to the extent such funds become available. No Redemption Default will be deemed to have occurred if we have failed to deposit in trust with the Redemption and Paying Agent the applicable Redemption Price with respect to any shares where (1) the Notice of Redemption relating to such redemption provided that such redemption was subject to one or more conditions precedent and (2) any such condition precedent has not been satisfied at the time or times and in the manner specified in such Notice of Redemption. Notwithstanding the fact that a Notice of Redemption has been provided with respect to any shares of a series of Term Preferred Shares, dividends may be declared and paid on such shares of such series of Term Preferred Shares in accordance with their terms if Deposit Securities for the payment of the Redemption Price of such shares of such series of Term Preferred Shares shall not have been deposited in trust with the Redemption and Paying Agent for that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our sole discretion and without a stockholder vote, modify the redemption procedures with respect to notification of redemption for a series of Term Preferred Shares, provided that such modification does not materially and adversely affect the holders of such series of Term Preferred Shares or cause us to violate any applicable law, rule or regulation.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of any liquidation, dissolution or winding up of our affairs, whether voluntary or involuntary, the holders of the 8.25% Series 2031 Term Preferred Shares will be entitled to receive, pari passu, or equally, with the holders of the 6.00% Series 2029 Term Preferred Shares and the 7.125% Series 2029 Term Preferred Shares, out of our assets available for distribution to stockholders, after satisfying claims of creditors but before any distribution or payment will be made in respect of the Common Stock, a liquidation distribution equal to the Liquidation Preference of $25 per share, plus an amount equal to all unpaid dividends and distributions accumulated to (but excluding) the date fixed for such distribution or payment (whether or not earned or declared by us, but excluding interest thereon), and such holders will be entitled to no further participation in any distribution or payment in connection with any such liquidation, dissolution or winding up. If, upon any liquidation, dissolution or winding up of our affairs, whether voluntary or involuntary, our assets available for distribution among the holders of all Term Preferred Shares, and any other outstanding shares of Preferred Stock, if any, will be insufficient to permit the payment in full to such holders of Term Preferred Shares of the Liquidation Preference plus accumulated and unpaid dividends and distributions and the amounts due upon liquidation with respect to such other shares of Preferred Stock, then the available assets will be distributed among the holders of such Term Preferred Shares and such other series of Preferred Stock ratably in proportion to the respective preferential liquidation amounts to which they are entitled. In connection with any liquidation, dissolution or winding up of our affairs whether voluntary or involuntary, unless and until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Liquidation Preference on each outstanding share of Term Preferred Shares plus accumulated and unpaid dividends and distributions has been paid in full to the holders of Term Preferred Shares, no dividends, distributions or other payments will be made on, and no redemption, repurchase or other acquisition by us will be made by us in respect of, the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sale of all or substantially all of the property or business of the Company, nor the merger, consolidation or our reorganization into or with any other business or corporation, statutory trust or other entity, nor the merger, consolidation or reorganization of any other business or corporation, statutory trust or other entity into or with us will be a dissolution, liquidation or winding up, whether voluntary or involuntary, for purposes of the provisions relating to liquidation set forth in the Articles Supplementary.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our Articles of Incorporation, the Articles Supplementary, or as otherwise required by applicable law, each holder of Term Preferred Shares will be entitled to one vote for each share of Term Preferred Shares held by such holder on each matter submitted to a vote of our stockholders and the holders of outstanding shares of any Preferred Stock, including the Term Preferred Shares, will vote together with holders of Common Stock as a single class. Under applicable rules of NASDAQ, we are currently required to hold annual meetings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holders of outstanding shares of any Preferred Stock, including the Term Preferred Shares, will be entitled, as a class, to the exclusion of the holders of all other securities and classes of Common Stock, to elect two of our directors at all times (regardless of the total number of directors serving on the Board of Directors). We refer to these directors as the Preferred Directors. The holders of outstanding shares of Common Stock and Preferred Stock, including Term Preferred Shares, voting together as a single class, will elect the balance of our directors. Under our bylaws, our directors are divided into three classes. Each class consists, as nearly as possible, of one-third of the total number of directors, and each class has a three year term. At each annual meeting of our stockholders, the successors to the class of directors whose term expires at such meeting will be elected to hold office for a term expiring at the annual meeting of stockholders held in the third year following the year of their election. Our two Preferred Directors will be up for re-election in 2027 and 2028,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owe accumulated dividends (whether or not earned or declared) on our Preferred Stock equal to at least two full years of dividends (and sufficient cash or securities have not been deposited with a paying agent for the payment of the accumulated dividends) the number of directors constituting the board will be increased by the number of directors, which we refer to as the New Preferred Directors, that when added to the Preferred Directors will constitute a majority. We will then call a special meeting of shareholders to permit the election of the New Preferred Directors. The term of the New Preferred Directors will last for so long as we are in arrears on our dividends as described above. The ability of the Term Preferred Shareholders to elect the New Preferred Directors will also terminate, subject to reinstatement, once we have a Dividend Payment Date on which we are no longer in arrears on our dividends to the extent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Notwithstanding the foregoing, if (1) at the close of business on any dividend payment date for dividends on any outstanding share of any Preferred Stock, including any outstanding shares of Term Preferred Shares, accumulated dividends (whether or not earned or declared) on the shares of Preferred Stock, including the Term Preferred Shares, equal to at least two full years’ dividends shall be due and unpaid and sufficient cash or specified securities shall not have been deposited with the Redemption and Paying Agent or other applicable paying agent for the payment of such accumulated dividends; or (2) at any time holders of any shares of Preferred Stock are entitled under the 1940 Act to elect a majority of our directors (a period when either of the foregoing conditions exists, a “Voting Period”), then the number of members constituting our Board of Directors will automatically be increased by the smallest number that, when added to the two directors elected exclusively by the holders of shares of any Preferred Stock, including the Term Preferred Shares, as described above, would constitute a majority of our Board of Directors as so increased by such smallest number; and the holders of the shares of Preferred Stock, including the Term Preferred Shares, will be entitled as a class on a one-vote-per-share basis, to elect such additional directors. The terms of office of the persons who are directors at the time of that election will not be affected by the election of the additional directors. If we thereafter shall pay, or declare and set apart for payment, in full all dividends payable on all outstanding shares of Preferred Stock, including Term Preferred Shares, for all past dividend periods, or the Voting Period is otherwise terminated, (1) the voting rights stated above shall cease, subject always, however, to the revesting of such voting rights in the holders of shares of Preferred Stock upon the further occurrence of any of the events described herein, and (2) the terms of office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all of the additional directors so elected will terminate automatically. Any Preferred Stock, including Term Preferred Shares, issued after the date hereof will vote with Term Preferred Shares as a single class on the matters described above, and the issuance of any other Preferred Stock, including Term Preferred Shares, by us may reduce the voting power of the holders of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accrual of any right of the holders of shares of Preferred Stock to elect additional directors as described above, we will call a special meeting of such holders and notify the Redemption and Paying Agent and/or such other person as is specified in the terms of such Preferred Stock to receive notice, (i) by mailing or delivery by electronic means or (ii) in such other manner and by such other means as are specified in the terms of such Preferred Stock, a notice of such special meeting to such holders, such meeting to be held not less than 10 nor more than 30 calendar days after the date of the delivery by electronic means or mailing of such notice. If we fail to call such a special meeting, it may be called at our expense by any such holder on like notice. The record date for determining the holders of shares of Preferred Stock entitled to notice of and to vote at such special meeting shall be the close of business on the fifth Business Day preceding the calendar day on which such notice is mailed. At any such special meeting and at each meeting of holders of shares of Preferred Stock held during a Voting Period at which directors are to be elected, such holders, voting together as a class (to the exclusion of the holders of all our other securities and classes of capital stock), will be entitled to elect the number of additional directors prescribed above on a one-vote-per-share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permitted by the terms of the Articles Supplementary, so long as any shares of Term Preferred Shares are outstanding, we will not, without the affirmative vote or consent of the holders of at least two-thirds of shares of Term Preferred Shares, voting as a separate class, amend, alter or repeal the provisions of the Articles of Incorporation or the Articles Supplementary, whether by merger, consolidation or otherwise, so as to materially and adversely affect any preference, right or power of the Term Preferred Shares or the holders thereof; provided, however, that (i) a change in our capitalization as described under the heading “— Issuance of Additional Preferred Stock” will not be considered to materially and adversely affect the rights and preferences of Term Preferred Shares, and (ii) a division of a share of Term Preferred Shares will be deemed to affect such preferences, rights or powers only if the terms of such division materially and adversely affect the holders of Term Preferred Shares. For purposes of the foregoing, no matter shall be deemed to adversely affect any preference, right or power of a share of Term Preferred Shares of such series or the holder thereof unless such matter (i) alters or abolishes any preferential right of such share of Term Preferred Shares, or (ii) creates, alters or abolishes any right in respect of redemption of such Term Preferred Shares (other than as a result of a division of such Term Preferred Shares). So long as any shares of Term Preferred Shares are outstanding, we will not, without the affirmative vote or consent of at least 662/3% of the holders of the shares of Term Preferred Shares outstanding at the time, voting as a separate class, file a voluntary application for relief under federal bankruptcy law or any similar application under state law for so long as we are solvent and does not foresee becoming insolvent.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at least a “majority of the shares of Preferred Stock,” including the shares of Term Preferred Shares outstanding at the time, voting as a separate class, will be required (i) to approve us ceasing to be, or to withdraw our election as, a registered investment company, or (ii) to approve any plan of “reorganization” (as such term is defined in Section 2(a)(33) of the 1940 Act) adversely affecting such shares of Preferred Stock. For purposes of the foregoing, the vote of a “majority of the outstanding shares of Preferred Stock” means the vote at an annual or special meeting duly called of (a) 67% or more of such shares present at a meeting, if the holders of more than 50% of such outstanding shares are present or represented by proxy at such meeting, or (b) more than 50% of such outstanding shares, whichever is 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determining any rights of the holders of Term Preferred Shares to vote on any matter, whether such right is created by the Articles Supplementary, by the provisions of the Articles of Incorporation, by statute or otherwise, no holder of Term Preferred Shares will be entitled to vote any shares of Term Preferred Shares and no share of Term Preferred Shares will be deemed to be “outstanding” for the purpose of voting or determining the number of shares required to constitute a quorum if, prior to or concurrently with the time of determination of shares entitled to vote or the time of the actual vote on the matter, as the case may be, the requisite Notice of Redemption with respect to such Term Preferred Shares will have been given in accordance with the Articles Supplementary, and the Redemption Price for the redemption of such shares of Term Preferred Shares will have been irrevocably deposited with the Redemption and Paying Agent for that purpose. No shares of Term Preferred Shares held by us will have any voting rights or be deemed to be outstanding for voting or for calculating the voting percentage required on any other matter or other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required by law or the Articles of Incorporation, holders of Term Preferred Shares will not have any relative rights or preferences or other special rights with respect to voting other than those specifically set forth in the “Voting Rights” section of the Articles Supplementary. The holders of shares of Term Preferred Shares will have no rights to cumulative voting. In the event that we fail to declare or pay any dividends on Term Preferred Shares, the exclusive remedy of the holders will be the right to vote for additional directors as discussed above; provided that the foregoing does not affect our obligation to accumulate and, if permitted by applicable law and the Articles Supplementary, pay dividends at the Default Rate as discussed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Additional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 long as any shares of Term Preferred Shares are outstanding, we may, without the vote or consent of the holders thereof, authorize, establish and create and issue and sell shares of one or more series of a class of our senior securities representing stock under Section 18 of the 1940 Act, ranking on parity with the Term Preferred Shares as to payment of dividends and distribution of assets upon dissolution, liquidation or the winding up of our affairs, in addition to then outstanding shares of Term Preferred Shares, including additional series of Term Preferred Shares, and authorize, issue and sell additional shares of any such series of Preferred Stock then outstanding or so established and created, including additional Term Preferred Shares, in each case in accordance with applicable law, provided that we will, immediately after giving effect to the issuance of such additional Preferred Stock and to its receipt and application of the proceeds thereof, including to the redemption of Preferred Stock with such proceeds, have asset coverage of at least 200%.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Actions on Other than Business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provided in the Articles Supplementary, if the date for making any payment, performing any act or exercising any right is not a Business Day, such payment will be made, act performed or right exercised on the next succeeding Business Day, with the same force and effect as if made or done on the nominal date provided therefor, and, with respect to any payment so made, no dividends, interest or other amount will accrue for the period between such nominal date and the date of payment.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without the vote of the holders of Term Preferred Shares, may interpret, supplement or amend the provisions of the Articles Supplementary or any appendix thereto to supply any omission, resolve any inconsistency or ambiguity or to cure, correct or supplement any defective or inconsistent provision, including any provision that becomes defective after the date hereof because of impossibility of performance or any provision that is inconsistent with any provision of any other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8"/>
      <w:bookmarkEnd w:id="9"/>
      <w:r>
        <w:rPr>
          <w:rFonts w:ascii="Times New Roman PS Std;serif" w:hAnsi="Times New Roman PS Std;serif"/>
          <w:b/>
          <w:i w:val="false"/>
          <w:caps w:val="false"/>
          <w:smallCaps w:val="false"/>
          <w:sz w:val="20"/>
        </w:rPr>
        <w:t xml:space="preserve">CERTAIN ADDITIONAL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considerations applicable to us and to an investment in our shares of 8.25% Series 2031 Term Preferred Shares and serves as a supplement to the discussion in the accompanying prospectus under the heading “Certain U.S. Federal Income Tax Considerations.” This summary does not purport to be a complete description of the U.S. federal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8.25% Series 2031 Term Preferred Shares as capital assets (within the meaning of Section 1221 of the Code). The discussion is based upon the Code, regulations promulgated under the Code by the U.S. Department of the Treasury (“Treasury Regulations”), and administrative and judicial interpretations, each as of the date of this prospectus and all of which are subject to change, potentially with retroactive effect. You should consult your own tax advisor with respect to tax considerations that pertain to your purchase, ownership and disposition of our 8.25% Series 2031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discussion deals only with 8.25% Series 2031 Term Preferred Shares held as capital assets within the meaning of Section 1221 of the Code (generally, property held for investment) and does not purport to deal with persons in special tax situations, such as financial institutions, insurance companies, controlled foreign corporations, passive foreign investment companies and RICs (and shareholders of such corporations), dealers in securities or currencies, traders in securities, former citizens of the United States, persons holding the 8.25% Series 2031 Term Preferred Shares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or persons whose functional currency is not the U.S. dollar. It also does not address the U.S. federal income tax consequences to beneficial owners of the 8.25% Series 2031 Term Preferred Shares subject to the special tax accounting rules under Section 451(b) of the Code. In addition, this discussion only addresses U.S. federal income tax consequences, and, except as otherwise noted below, does not address any U.S. state or local or non-U.S. tax consequences. If you are considering purchasing the 8.25% Series 2031 Term Preferred Shares, you should consult your own tax advisor concerning the application of any tax laws applicable to you in light of your particular situation, as well as any consequences to you of purchasing, owning and disposing of the 8.25% Series 2031 Term Preferred Shares under the laws of any other taxing jurisdiction.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the term “U.S. preferred stockholder” means a beneficial owner of shares of our 8.25% Series 2031 Term Preferred Shares that is, for U.S. federal income tax purposes, (i) an individual citizen or resident of the United States, (ii) a corporation or other entity treated as a corporation for U.S. federal income tax purposes, created or organized in or under the laws of the United States or any State thereof or the District of Columbia, (iii) a trust (a) subject to the control of one or more U.S. persons and the primary supervision of a court in the United States, or (b) that existed on August 20, 1996 and has made a valid election (under applicable Treasury Regulations) to be treated as a domestic trust, or (iv) an estate the income of which is subject to U.S. federal income taxation regardless of its source. The term “Non-U.S. preferred stockholder” means a beneficial owner of shares of our 8.25% Series 2031 Term Preferred Shares that is neither a U.S. preferred stockholder nor a partnership (including an entity or arrangement treated as a partnership for U.S. federal income tax purposes). An individual may, subject to exceptions, be deemed to be a resident alien,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U.S. federal income tax as if they were U.S. citizens.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U.S. federal income tax purposes) holds shares of our 8.25% Series 2031 Term Preferred Shares, the U.S. federal income tax treatment of a partner of the partnership generally will depend upon the status of the partner, the activities of the partnership and certain determinations made at the partner level. Partners of partnerships holding shares of our 8.25% Series 2031 Term Preferred Shares should consult their own tax advisers.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to be Taxed as a RIC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treated, and intend to continue to so qualify each year, as a RIC under Subchapter M of the Code. As a RIC, we generally will not have to pay fund-level U.S. federal income taxes on any income that we distribute to our stockholders (including preferred stockholders) as dividends. The requirements to qualify as a RIC are described in the accompanying prospectus under the heading “Certain U.S. Federal Income Tax Considerations.” The remainder of this discussion assumes that we qualify as a RIC.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U.S. Preferred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by us generally are taxable to U.S. preferred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preferred stockholders to the extent of our current or accumulated earnings and profits. To the extent such distributions paid by us to non-corporate U.S. preferred stockholders (including individuals) are attributable to dividends from U.S. corporations and certain qualified foreign corporations, such distributions (“Qualifying Dividends”) may be eligible for a maximum tax rate of 20%. In this regard, it is anticipated that distributions paid by us will generally not be attributable to dividends and, therefore, generally will not qualify for the 20% maximum rate applicable to Qualifying Dividends. Distributions of our net capital gains (which are generally our realized net long-term capital gains in excess of realized net short-term capital losses) and properly reported by us as “capital gain dividends” will be taxable to a U.S. preferred stockholder as long-term capital gains that are currently taxable at a maximum rate of 20% in the case of individuals, trusts or estates, regardless of the U.S. preferred stockholder’s holding period for his, her or its 8.25% Series 2031 Term Preferred Shares. Distributions in excess of our earnings and profits first will reduce a U.S. preferred stockholder’s adjusted tax basis in such stockholder’s 8.25% Series 2031 Term Preferred Shares (which will increase the stockholder’s potential gain or reduce the stockholder’s potential loss on the subsequent sale or other disposition of such 8.25% Series 2031 Term Preferred Shares) and, after the adjusted basis is reduced to zero, will constitute either short-term or long-term capital gains to such U.S. preferred stockholder depending on certain holding period thresholds. In determining the extent to which a distribution will be treated as being made from our earnings and profits, our earnings and profits will be allocated, on a pro rata basis, first to distributions with respect to our 8.25% Series 2031 Term Preferred Shares, and then to shares of our common stock. No assurance can be given regarding the future tax character of our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Internal Revenue Service (“IRS”) currently requires that a RIC that has two or more classes of stock allocate to each such class proportionate amounts of each type of its income (such as ordinary income and capital gains) based upon the percentage of total dividends paid to each class for a tax year. Accordingly, we intend to allocate capital gain dividends, if any, between shares of our common stock and our 8.25% Series 2031 Term Preferred Shares in proportion to the total dividends paid to each class with respect to such tax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dividend declared by us in October, November or December of any calendar year, payable to stockholders of record on a specified date in such a month and actually paid during January of the following year, will be treated as if it had been received by our U.S. preferred stockholders on December 31 of the year in which the dividend was declared.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preferred stockholder generally will recognize taxable gain or loss if the stockholder sells or otherwise disposes of his, her or its shares of our 8.25% Series 2031 Term Preferred Shares. The amount of gain or loss will be measured by the difference between such stockholder’s adjusted tax basis in the 8.25% Series 2031 Term Preferred Shares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8.25% Series 2031 Term Preferred Shares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8.25% Series 2031 Term Preferred Shares may be disallowed if other shares of our stock are purchased (whether through reinvestment of distributions or otherwise) within 30 days before or after the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Gain or loss, if any, resulting from our redemption of the 8.25% Series 2031 Term Preferred Shares will generally be taxed as gain or loss from a sale or exchange of the 8.25% Series 2031 Term Preferred Shares rather than as a dividend, but only if the redemption distribution (a) is deemed not to be essentially equivalent to a dividend, (b) 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complete redemption of a holder’s interest in us, (c) is substantially disproportionate with respect to the holder, or (d) with respect to non-corporate holders, is in partial liquidation of us. For purposes of (a), (b) and (c) above, a U.S. preferred stockholder’s ownership of our common stock will be taken into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portion of the amount received by a U.S. preferred stockholder on either the sale, or our redemption, of the 8.25% Series 2031 Term Preferred Shares may be characterized as dividend income to the extent it is attributable to declared but unpaid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rate of tax on long-term capital gains for non-corporate U.S. preferred stockholders is currently 20%, which is less than the maximum rate of tax as ordinary income for such stockholders. In addition, non-corporate U.S. preferred stockholders that are individuals with income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Corporate U.S. preferred stockholders currently are subject to U.S. federal income tax on net capital gain at the maximum 21% rate also applied to ordinary income. Non-corporate U.S. preferred stockholders with net capital losses for a year (i.e., capital losses in excess of capital gains) generally may deduct up to $3,000 of such losses against their ordinary income each year; any net capital losses of a non-corporate U.S. preferred stockholder in excess of $3,000 generally may be carried forward and used in subsequent years as provided in the Code. Corporate U.S. preferred stockholders generally may not deduct any net capital losses for a year against ordinary income, but may carry back such losses for three years or carry forward such losses for five years so as to use them as offsets to capital gains.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will report to each of our U.S. preferred stockholders, as promptly as possible after the end of each calendar year, the amounts includible in such U.S. preferred stockholder’s taxable income for such year as ordinary income and as long-term capital gain. In addition, the federal tax status of each year’s distributions generally will be reported to the IRS (including the amount of dividends, if any, eligible for the 20%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preferred stockholder’s particular situation.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may be required to withhold U.S. federal income tax (“backup withholding”) from all distributions to any U.S. preferred stockholder (other than a corporation, a financial institution, or a stockholder that otherwise qualifies for, and furnishes with us a certificate (generally on Form W-9) claiming entitlement to, an exemption) (1) who fails to furnish us with a correct taxpayer identification number or a certificate that such stockholder is exempt from backup withholding (generally on Form W-9) or (2) with respect to whom the IRS notifies us that such stockholder has failed to properly report certain interest and dividend income to the IRS and to respond to notices to that effect. An individual’s taxpayer identification number is his or her social security number. Any amount withheld under backup withholding is allowed as a credit against the U.S. preferred stockholder’s U.S. federal income tax liability, provided that proper information is provided to the IRS.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Non-U.S. Preferred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an investment in our 8.25% Series 2031 Term Preferred Shares is appropriate for a Non-U.S. preferred stockholder will depend upon that person’s particular circumstances. An investment in our 8.25% Series 2031 Term Preferred Shares by a Non-U.S. preferred stockholder may have adverse tax consequences. Non-U.S. preferred stockholders should consult their tax advisers before investing in our 8.25% Series 2031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(whether actual or constructive distributions) of our “investment company taxable income” to Non-U.S. preferred stockholders (including interest income and realized net short-term capital gains in excess of realized long-term capital losses, which generally would be free of withholding if received directly by Non-U.S. preferred stockholders) will generally be subject to withholding of U.S. federal tax at a 30% rate (or lower rate provided by an applicable treaty) to the extent of our current and accumulated earnings and profits unless an applicable exception applies. However, we are generally not required to withhold any amounts with respect to certain distributions to Non-U.S. preferred stockholders to the extent that we properly report such distributions as “interest-related dividends” or “short-term capital gain dividends” and certain other requirements are satisfied. No assurance can be given whether any of our distributions will be reported as eligible for this exemption from withholding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distributions are effectively connected with a U.S. trade or business of the Non-U.S. preferred stockholder, we will not be required to withhold U.S. federal tax if the Non-U.S. preferred stockholder complies with applicable certification and disclosure requirements, although the distributions will be subject to U.S. federal income tax at the rates applicable to U.S. persons. Special certification requirements apply to a Non-U.S. preferred stockholder that is a foreign partnership or a foreign trust, and such entities are urged to consult their own tax advisers.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our net capital gains to a stockholder that is a Non-U.S. preferred stockholder, and gains realized by a Non-U.S. preferred stockholder upon the sale or redemption of our 8.25% Series 2031 Term Preferred Shares, will not be subject to U.S. federal income tax unless the distributions or gains, as the case may be, are effectively connected with a U.S. trade or business of the Non-U.S. preferred stockholder (and, if an income tax treaty applies, are attributable to a permanent establishment maintained by the Non-U.S. preferred stockholder in the United States,) or, in the case of an individual, the Non-U.S. preferred stockholder was present in the United States for 183 days or more during the taxable year and certain other conditions are met. However, to the extent that a redemption or sale of our 8.25% Series 2031 Term Preferred Shares would be treated as a dividend pursuant to the rules discussed above with respect to U.S. preferred stockholders, such amounts will be dividends for purposes of the withholding tax rules discussed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corporate Non-U.S. preferred stockholder, distributions (both actual and deemed), and gains realized upon the sale or redemption of our 8.25% Series 2031 Term Preferred Shares that are effectively connected to a U.S. trade or business may, under certain circumstances, be subject to an additional “branch profits tax” at a 30% rate (or at a lower rate if provided for by an applicable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preferred stockholder who is a non-resident alien individual, and who is otherwise subject to withholding of federal tax, may be subject to information reporting and backup withholding of U.S. federal income tax on dividends unless the Non-U.S. preferred stockholder provides us or the dividend paying agent with an IRS Form W-8BEN, IRS Form W-8BEN-E, or an acceptable substitute form or otherwise meets documentary evidence requirements for establishing that it is a Non-U.S. preferred stockholder or otherwise establishes an exemption from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persons should consult their own tax advisers with respect to the U.S. federal income tax and withholding tax, and state, local and non-U.S. tax consequences of an investment in the shares of 8.25% Series 2031 Term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Account Tax Compliance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withholding under FATCA would have also been required on payments of the gross proceeds from the sale of any property occurring after December 31, 2018, that could produce U.S.-source interest or dividends, such as the 8.25% Series 2031 Term Preferred Shares, the U.S. Treasury Department has indicated its intent to eliminate this requirement in proposed regulations, which state that taxpayers may rely on the proposed regulations until final regulations are issued.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preferred stockholder and the status of the intermediaries through which they hold their shares of our 8.25% Series 2031 Term Preferred Shares, Non-U.S. preferred stockholders could be subject to this 30% withholding tax with respect to distributions on their shares of our Term Preferred Shares and potentially proceeds from the sale of their shares of our 8.25% Series 2031 Term Preferred Shares. Under certain circumstances, a Non-U.S. preferred stockholder might be eligible for refunds or credits of such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consult your own tax advisor with respect to the particular tax consequences to you of an investment in our 8.25% Series 2031 Term Preferred Shares, including the possible effect of any pending legislation or proposed regulations, which are subject to change, potentially with retroactive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09"/>
      <w:bookmarkEnd w:id="10"/>
      <w:r>
        <w:rPr>
          <w:rFonts w:ascii="Times New Roman PS Std;serif" w:hAnsi="Times New Roman PS Std;serif"/>
          <w:b/>
          <w:i w:val="false"/>
          <w:caps w:val="false"/>
          <w:smallCaps w:val="false"/>
          <w:sz w:val="20"/>
        </w:rPr>
        <w:t xml:space="preserve">UNDERWRITING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Piper Sandler &amp; Co. is acting as representative of the underwriters named below. Subject to the terms and conditions stated in the underwriting agreement dated October 21, 2026, each underwriter named below has agreed to purchase, and we have agreed to sell to that underwriter, the number of 8.25% Series 2031 Term Preferred Shares set forth opposite the underwriter’s name.</w:t>
      </w:r>
    </w:p>
    <w:tbl>
      <w:tblPr>
        <w:tblW w:w="4828" w:type="dxa"/>
        <w:jc w:val="left"/>
        <w:tblInd w:w="0" w:type="dxa"/>
        <w:tblLayout w:type="fixed"/>
        <w:tblCellMar>
          <w:top w:w="0" w:type="dxa"/>
          <w:left w:w="0" w:type="dxa"/>
          <w:bottom w:w="0" w:type="dxa"/>
          <w:right w:w="0" w:type="dxa"/>
        </w:tblCellMar>
      </w:tblPr>
      <w:tblGrid>
        <w:gridCol w:w="3106"/>
        <w:gridCol w:w="146"/>
        <w:gridCol w:w="1576"/>
      </w:tblGrid>
      <w:tr>
        <w:trPr/>
        <w:tc>
          <w:tcPr>
            <w:tcW w:w="3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Underwriter</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8.25% Series </w:t>
              <w:br/>
              <w:t xml:space="preserve">2031 Term </w:t>
              <w:br/>
              <w:t xml:space="preserve">Preferred </w:t>
              <w:br/>
              <w:t>Shares</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Piper Sandler &amp; Co.</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187,226</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Lucid Capital Markets, LLC</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601,384</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A.G.P./Alliance Global Partners</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537,490</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InspereX LLC</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113,900</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5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agreement provides that the obligations of the underwriters to purchase the 8.25% Series 2031 Term Preferred Shares included in this offering are subject to approval of legal matters by counsel and to other conditions. The underwriters are obligated to purchase all the 8.25% Series 2031 Term Preferred Shares (other than those covered by the overallotment option described below) if they purchase any of the 8.25% Series 2031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propose to offer some of the 8.25% Series 2031 Term Preferred Shares directly to the public at the public offering price set forth on the cover page of this prospectus supplement and some of the 8.25% Series 2031 Term Preferred Shares to dealers at the public offering price less a concession not to exceed $0.50 per 8.25% Series 2031 Term Preferred Share, and the dealers may reallow a concession not to exceed $0.50 per 8.25% Series 2031 Term Preferred Share. The underwriting discount of $0.7765625 per 8.25% Series 2031 Term Preferred Share is equal to 3.125% of the initial offering price. If all of the 8.25% Series 2031 Term Preferred Shares are not sold at the initial offering price, the representatives may change the public offering price and other selling terms. Investors must pay for any 8.25% Series 2031 Term Preferred Shares purchased on or before October 23, 2026. The representatives have advised us that the underwriters do not intend to confirm any sales to any accounts over which they exercise discretionary authority.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hold an option, exercisable for 30 days from the date of this prospectus, to purchase up to an additional 216,000 of 8.25% Series 2031 Term Preferred Shares at the public offering price less the underwriting discount; provided, however, that the price of any such option shares will be reduced by the amount of any distributions declared and payable on the shares sold on the initial closing date but not payable on such option shares. The underwriters may exercise the option solely for the purpose of covering overallotments, if any, in connection with this offering. To the extent such option is exercised, each underwriter must purchase a number of additional 8.25% Series 2031 Term Preferred Shares approximately proportionate to that underwriter’s initial purchase commitment.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that, for a period of 90 days from the date of this prospectus supplement, we will not, without the prior written consent of Piper Sandler &amp; Co. on behalf of the underwriters, offer, pledge, sell, contract to sell or otherwise dispose of or agree to sell or otherwise dispose of, directly or indirectly or hedge any 8.25% Series 2031 Term Preferred Shares or any securities convertible into or exchangeable for 8.25% Series 2031 Term Preferred Shares. Piper Sandler &amp; Co. in its sole discretion may release any of the securities subject to this lock-up agreement at any time without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8.25% Series 2031 Term Preferred Shares are listed on the NASDAQ Global Select Market under the symbol “OXLCM.” The 6.00% Series 2029 Term Preferred Shares are listed on the NASDAQ Global Select Market under the symbol “OXLCO.” The 7.125% Series 2029 Term Preferred Shares are listed on the NASDAQ Global Select Market under the symbol “OXLCN.”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shows the underwriting discounts to be paid to the underwriters in connection with this offering. These amounts are shown assuming both no exercise and full exercise of the underwriters’ option to purchase additional 8.25% Series 2031 Term Preferred Shares. In addition, we have agreed to reimburse Piper Sandler &amp; Co.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aggregate amount up to $25,000 for its out-of-pocket accountable expenses (including the reasonable fees and disbursements of its counsel) actually incurred by it in connection with this offering. This offering will conform with the requirements set forth in Financial Industry Regulatory Authority Rule 5110. The sum of all compensation to the underwriters in connection with this offering of 8.25% Series 2031 Term Preferred Shares, including the underwriting discount, will not exceed 8% of the total public offering price of the 8.25% Series 2031 Term Preferred Shares sold in this offering.</w:t>
      </w:r>
    </w:p>
    <w:tbl>
      <w:tblPr>
        <w:tblW w:w="8202" w:type="dxa"/>
        <w:jc w:val="left"/>
        <w:tblInd w:w="0" w:type="dxa"/>
        <w:tblLayout w:type="fixed"/>
        <w:tblCellMar>
          <w:top w:w="0" w:type="dxa"/>
          <w:left w:w="0" w:type="dxa"/>
          <w:bottom w:w="0" w:type="dxa"/>
          <w:right w:w="0" w:type="dxa"/>
        </w:tblCellMar>
      </w:tblPr>
      <w:tblGrid>
        <w:gridCol w:w="4441"/>
        <w:gridCol w:w="146"/>
        <w:gridCol w:w="286"/>
        <w:gridCol w:w="1426"/>
        <w:gridCol w:w="146"/>
        <w:gridCol w:w="286"/>
        <w:gridCol w:w="1471"/>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 Exercise</w:t>
            </w:r>
          </w:p>
        </w:tc>
        <w:tc>
          <w:tcPr>
            <w:tcW w:w="146" w:type="dxa"/>
            <w:tcBorders/>
            <w:vAlign w:val="bottom"/>
          </w:tcPr>
          <w:p>
            <w:pPr>
              <w:pStyle w:val="TableContents"/>
              <w:bidi w:val="0"/>
              <w:spacing w:before="0" w:after="283"/>
              <w:jc w:val="left"/>
              <w:rPr/>
            </w:pPr>
            <w:r>
              <w:rPr/>
              <w:t> </w:t>
            </w:r>
          </w:p>
        </w:tc>
        <w:tc>
          <w:tcPr>
            <w:tcW w:w="17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Full Exercise</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8.25% Series 2031 Term Preferred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0.7765625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0.7765625</w:t>
            </w:r>
          </w:p>
        </w:tc>
      </w:tr>
      <w:tr>
        <w:trPr/>
        <w:tc>
          <w:tcPr>
            <w:tcW w:w="4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1,118,250.00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1,285,987.50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investment adviser have each agreed to indemnify the underwriters against certain liabilities, including liabilities under the Securities Act of 1933, or to contribute to payments the underwriters may be required to make because of any of those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underwriters may make a market in the 8.25% Series 2031 Term Preferred Shares. No underwriter is, however, obligated to conduct market-making activities and any such activities may be discontinued at any time without notice, at the sole discretion of the underwriter. No assurance can be given as to the liquidity of, or the trading market for, the shares as a result of any market-making activities undertaken by any underwriter. This prospectus supplement and the accompanying prospectus are to be used by any underwriter in connection with the offering and, during the period in which a prospectus must be delivered, with offers and sales of the 8.25% Series 2031 Term Preferred Shares in market-making transactions in the over-the-counter market at negotiated prices related to prevailing market prices at the time of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offering, Piper Sandler &amp; Co., on behalf of the underwriters, may purchase and sell 8.25% Series 2031 Term Preferred Shares in the open market. These transactions may include short sales, syndicate covering transactions and stabilizing transactions. Short sales involve syndicate sales of 8.25% Series 2031 Term Preferred Shares in excess of the number of 8.25% Series 2031 Term Preferred Shares to be purchased by the underwriters in the offering, which creates a syndicate short position. “Covered” short sales are sales of 8.25% Series 2031 Term Preferred Shares made in an amount up to the number of 8.25% Series 2031 Term Preferred Shares represented by the underwriters’ overallotment option. In determining the source of 8.25% Series 2031 Term Preferred Shares to close out the covered syndicate short position, the underwriters will consider, among other things, the price of 8.25% Series 2031 Term Preferred Shares available for purchase in the open market as compared to the price at which they may purchase 8.25% Series 2031 Term Preferred Shares through the overallotment option. Transactions to close out the covered syndicate short position involve either purchases of 8.25% Series 2031 Term Preferred Shares in the open market after the distribution has been completed or the exercise of the overallotment option. The underwriters may also make “naked” short sales of 8.25% Series 2031 Term Preferred Shares in excess of the overallotment option. The underwriters must close out any naked short position by purchasing 8.25% Series 2031 Term Preferred Shares in the open market. A naked short position is more likely to be created if the underwriters are concerned that there may be downward pressure on the price of shares in the open market after pricing that could adversely affect investors who purchase in the offering. Stabilizing transactions consist of bids for or purchases of 8.25% Series 2031 Term Preferred Shares in the open market while the offering is in progress.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also may impose a penalty bid. Penalty bids permit the underwriters to reclaim a selling concession from a syndicate member when Piper Sandler &amp; Co. repurchases 8.25% Series 2031 Term Preferred Shares originally sold by that syndicate member in order to cover syndicate short positions or make stabilizing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activities may have the effect of preventing or retarding a decline in the market price of 8.25% Series 2031 Term Preferred Shares. They may also cause the price of 8.25% Series 2031 Term Preferred Shares to be higher than the price that would otherwise exist in the open market in the absence of these transactions. The underwriters may conduct these transactions on the NASDAQ Global Select Market, or in the over-the-counter market, or otherwise. The 8.25% Series 2031 Term Preferred Shares currently trade on the NASDAQ Global Select Market. If the underwriters commence any of these transactions, they may discontinue them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our portion of the total expenses of this offering, excluding the underwriting discounts and commissions, will be approximately $292,000.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in electronic format may be made available on the websites maintained by one or more of the underwriters. The representative may agree to allocate a number of 8.25% Series 2031 Term Preferred Shares to underwriters for sale to their online brokerage account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from time to time, certain underwriters may act as brokers or dealers in connection with the execution of our portfolio transactions after they have ceased to be underwriters and, subject to certain restrictions, may act as brokers while they are underwriters.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underwriters may have performed investment banking and advisory services for us, our investment adviser and our affiliates from time to time, for which they have received customary fees and expenses. Certain underwriters may, from time to time, engage in transactions with or perform services for us, our investment adviser and our affiliates in the ordinary course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our initial public offering in 2011, Lucid Capital Markets, LLC and its affiliates, as well as certain of the other underwriters, have provided, and may in the future continue to provide, various investment banking, commercial banking, financial advisory, brokerage and other services to us and our affiliates for which services they have received, and may in the future receive, customary fees and expense reimbursement. Lucid Capital Markets, LLC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Lucid Capital Markets, LLC and its affiliates may in the future perform, various financial advisory and investment banking services for us, for which they will receive customary fees and reimbursement of expenses, including acting as underwriters for our securities offerings. In the ordinary course of its various business activities, Lucid Capital Markets, LLC and its affiliates may make or hold a broad array of investments and actively trade debt and equity securities (or related derivative securities) and financial instruments (including bank loans) for its own account and for the accounts of its customers and such investment and securities activities may involve securities and/or instruments of our company. Lucid Capital Markets, LLC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business address of Piper Sandler &amp; Co. is 1251 Avenue of the Americas, 6th Floor, New York, New York 10020.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Settlement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delivery of the 8.25% Series 2031 Term Preferred Shares will be made against payment therefor on or about October 23, 2026, which will be the first business day following the date of the pricing of the 8.25% Series 2031 Term Preferred Shares. Under Rule 15c6-1 under the Exchange Act, trades in the secondary market generally are required to settle in one business day, unless the parties to any such trade expressly agree otherwise.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Jurisdictions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8.25% Series 2031 Term Preferred Shares offered by this prospectus may not be offered or sold, directly or indirectly, nor may this prospectus or any other offering material or advertisements in connection with the offer and sale of any such 8.25% Series 2031 Term Preferred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 relating to the offering and the distribution of this prospectus. This prospectus does not constitute an offer to sell or a solicitation of an offer to buy the 8.25% Series 2031 Term Preferred Shares offered by this prospectus in any jurisdiction in which such an offer or a solicitation is unlawful.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10"/>
      <w:bookmarkEnd w:id="11"/>
      <w:r>
        <w:rPr>
          <w:rFonts w:ascii="Times New Roman PS Std;serif" w:hAnsi="Times New Roman PS Std;serif"/>
          <w:b/>
          <w:i w:val="false"/>
          <w:caps w:val="false"/>
          <w:smallCaps w:val="false"/>
          <w:sz w:val="20"/>
        </w:rPr>
        <w:t xml:space="preserve">CUSTODIAN, TRANSFER AGENT, DIVIDEND DISBURSING AGENT </w:t>
        <w:br/>
        <w:t>AND REDEMPTION AND PAYING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are held under a custody agreement by U.S. Bank National Association. The address of the custodian is 8 Greenway Plaza Suite 1100, Houston, TX 77046. Computershare Trust Company, N.A., acts as our transfer agent, dividend disbursing agent and redemption and paying agent. The principal business address of our transfer agent is 250 Royall Street, Canton, MA 02021.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11"/>
      <w:bookmarkEnd w:id="12"/>
      <w:r>
        <w:rPr>
          <w:rFonts w:ascii="Times New Roman PS Std;serif" w:hAnsi="Times New Roman PS Std;serif"/>
          <w:b/>
          <w:i w:val="false"/>
          <w:caps w:val="false"/>
          <w:smallCaps w:val="false"/>
          <w:sz w:val="20"/>
        </w:rPr>
        <w:t xml:space="preserve">MISCELLANEOUS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a holder of Term Preferred Shares is directly or indirectly a beneficial owner of more than 10% of any class of our outstanding shares (meaning, for purposes of holders of Term Preferred Shares, more than 10% of our outstanding Preferred Stock), such 10% beneficial owner would be subject to the short-swing profit rules that are imposed pursuant to Section 16 of the Exchange Act (and related reporting requirements). These rules generally provide that such a 10% beneficial owner may have to disgorge any profits made on purchases and sales, or sales and purchases, of our equity securities (including the 6.00% Series 2029 Term Preferred Shares, the 7.125% Series 2029 Term Preferred Shares, the 8.25% Series 2031 Term Preferred Shares and Common Stock) within any six-month time period. Investors should consult with their own counsel to determine the applicability of these rules.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12"/>
      <w:bookmarkEnd w:id="13"/>
      <w:r>
        <w:rPr>
          <w:rFonts w:ascii="Times New Roman PS Std;serif" w:hAnsi="Times New Roman PS Std;serif"/>
          <w:b/>
          <w:i w:val="false"/>
          <w:caps w:val="false"/>
          <w:smallCaps w:val="false"/>
          <w:sz w:val="20"/>
        </w:rPr>
        <w:t xml:space="preserve">BROKERAGE ALLOCATION AND OTHER PRACTICES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 broker-dealer is involved in a transaction that we participate in, the price paid or received by us may reflect a mark-up or mark-down. Subject to policies established by our Board of Directors, our investment adviser is responsible for the execution of securities transactions in our portfolio. The investment adviser in making decisions regarding the selection of broker-dealers used to find a buyer or seller for transactions, takes into account the following factors: (i) whether the broker-dealer has any special knowledge of the security; (ii) whether the broker-dealer originally underwrote or sponsored the security (iii) the ability of the broker-dealer to find a natural buyer or seller for the security (iv) the operational efficiency with which transactions are effected (such as prompt and accurate confirmation and delivery), taking into account the size of order and difficulty of execution; (v) the financial strength, integrity and stability of the broker-dealer; (vi) the value of brokerage services over and above trade execution provided to the Company; and (vii) any other factors the investment adviser considers to be in the best interest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investment adviser nor the Company has any “soft dollars” arrangement in which a broker-dealer for commissions contracts with and pays a third party on behalf of the investment adviser so that the third party may provide research or brokerage services to the investment adviser. The investment adviser may receive research directly from the broker-dealers with whom it transacts. However, the investment adviser does not “pay up” for such information nor is receipt of the information a primary consideration in broker-dealer selection.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113"/>
      <w:bookmarkEnd w:id="14"/>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in connection with the securities offered by this prospectus supplement will be passed upon for us by Dechert LLP, Washington, D.C. Certain legal matters in connection with this offering will be passed upon for the underwriters by Blank Rome LLP, New York, New York.</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114"/>
      <w:bookmarkEnd w:id="15"/>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incorporated in this Prospectus, by reference to the Annual Report on Form N-CSR for the year ended March 31, 2026 have been so incorporated in reliance on the reports of PricewaterhouseCoopers LLP, an independent registered public accounting firm, given on the authority of said firm as experts in auditing and accounting.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115"/>
      <w:bookmarkEnd w:id="16"/>
      <w:r>
        <w:rPr>
          <w:rFonts w:ascii="Times New Roman PS Std;serif" w:hAnsi="Times New Roman PS Std;serif"/>
          <w:b/>
          <w:i w:val="false"/>
          <w:caps w:val="false"/>
          <w:smallCaps w:val="false"/>
          <w:sz w:val="20"/>
        </w:rPr>
        <w:t xml:space="preserve">AVAILABLE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together with all amendments and related exhibits under the Securities Act. The registration statement contains additional information about us and the securities being offered by this prospectus supplement and the accompanying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file with or submit to the SEC annual and semi-annual reports, proxy statements and other information meeting the informational requirements of the Exchange Act. The SEC maintains an Internet site that contains reports, proxy and information statements and other information filed electronically by us with the SEC which are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Copies of these reports, proxy and information statements and other information may be obtained, after paying a duplicating fee, by electronic request at the following e-mail address: </w:t>
      </w:r>
      <w:r>
        <w:rPr>
          <w:rFonts w:ascii="Times New Roman PS Std;serif" w:hAnsi="Times New Roman PS Std;serif"/>
          <w:b w:val="false"/>
          <w:i/>
          <w:caps w:val="false"/>
          <w:smallCaps w:val="false"/>
          <w:sz w:val="20"/>
        </w:rPr>
        <w:t>publicinfo@sec.gov</w:t>
      </w:r>
      <w:r>
        <w:rPr>
          <w:rFonts w:ascii="Times New Roman PS Std;serif" w:hAnsi="Times New Roman PS Std;serif"/>
          <w:b w:val="false"/>
          <w:i w:val="false"/>
          <w:caps w:val="false"/>
          <w:smallCaps w:val="false"/>
          <w:sz w:val="20"/>
        </w:rPr>
        <w:t xml:space="preserve">. This information is also available free of charge by contacting us at Oxford Lane Capital Corp.,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Information contained on our website or on the SEC’s website about us is not incorporated into this prospectus supplement and you should not consider information contained on our website or on the SEC’s website to be part of this prospectus, except for documents incorporated by reference to this prospectus supplement or the accompanying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116"/>
      <w:bookmarkEnd w:id="17"/>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is part of a registration statement that we have filed with the SEC (File Nos. 333-283109 and 811-22432). We are permitted to “incorporate by reference” the information in documents that we file with the SEC, which means that we can disclose important information to you by referring you to those documents. The information incorporated by reference herein is considered to be part of this prospectus supplement, and later information that we file with the SEC will automatically update and supersede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the documents listed below, and any reports and other documents we subsequently file with the SEC, pursuant to Section 30(b)(2) of the 1940 Act and Sections 13(a), 13(c), 14 or 15(d) of the Exchange Act, after the date of this prospectus supplement until all of the securities offered by this prospectus supplement and the accompanying prospectus have been sold or we otherwise terminate the offering of these securities; provided, however, that any document, report, exhibit (or portion of any of the foregoing) or other information “furnished” to the SEC pursuant to the Exchange Act shall not be incorporated by reference into this prospectus supplement (unless specifically set forth in such filing):</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w:t>
      </w:r>
      <w:hyperlink r:id="rId4">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2026, filed with the SEC on May 22,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5">
        <w:r>
          <w:rPr>
            <w:rStyle w:val="InternetLink"/>
            <w:rFonts w:ascii="Times New Roman PS Std;serif" w:hAnsi="Times New Roman PS Std;serif"/>
            <w:b w:val="false"/>
            <w:i w:val="false"/>
            <w:caps w:val="false"/>
            <w:smallCaps w:val="false"/>
            <w:sz w:val="20"/>
          </w:rPr>
          <w:t>Form DEF 14A</w:t>
        </w:r>
      </w:hyperlink>
      <w:r>
        <w:rPr>
          <w:rFonts w:ascii="Times New Roman PS Std;serif" w:hAnsi="Times New Roman PS Std;serif"/>
          <w:b w:val="false"/>
          <w:i w:val="false"/>
          <w:caps w:val="false"/>
          <w:smallCaps w:val="false"/>
          <w:sz w:val="20"/>
        </w:rPr>
        <w:t xml:space="preserve"> for the annual meeting of the stockholders, filed with the SEC on September 3,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referenced in our Registration Statement on </w:t>
      </w:r>
      <w:hyperlink r:id="rId6">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January 19, 2011, including any amendment or report filed for the purpose of updating such description prior to the termination of the offering of the common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6.75% Notes due 2031 referenced in our Registration Statement on </w:t>
      </w:r>
      <w:hyperlink r:id="rId7">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March 16, 2021, including any amendment or report filed for the purpose of updating such description prior to the termination of the offering of the notes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6.00% Series 2029 Term Preferred Shares referenced in our Registration Statement on </w:t>
      </w:r>
      <w:hyperlink r:id="rId8">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August 17, 2021,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5.00% Notes due 2027 referenced in our Registration Statement on </w:t>
      </w:r>
      <w:hyperlink r:id="rId9">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January 13, 2022, including any amendment or report filed for the purpose of updating such description prior to the termination of the offering of the notes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7.125% Series 2029 Term Preferred Shares referenced in our Registration Statement on </w:t>
      </w:r>
      <w:hyperlink r:id="rId10">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June 16, 2022,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8.75% Notes due 2030 referenced in our Registration Statement on </w:t>
      </w:r>
      <w:hyperlink r:id="rId11">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July 8, 2024, including any amendment or report filed for the purpose of updating such description prior to the termination of the offering of the notes registered hereby;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7.95% Notes due 2032 referenced in our Registration Statement on </w:t>
      </w:r>
      <w:hyperlink r:id="rId12">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February 27, 2025, including any amendment or report filed for the purpose of updating such description prior to the termination of the offering of the notes registered hereby;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8.25% Series 2031 Term Preferred Shares referenced in our Registration Statement on </w:t>
      </w:r>
      <w:hyperlink r:id="rId13">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March 20, 2026, including any amendment or report filed for the purpose of updating such description prior to the termination of the offering of the preferred stock registered hereby.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periodic reports filed pursuant to Section 30(b)(2) of the 1940 Act and Sections 13 or 15(d) of the Exchange Act, as well as this prospectus supplement and the accompanying prospectus, are available on our website at </w:t>
      </w:r>
      <w:r>
        <w:rPr>
          <w:rFonts w:ascii="Times New Roman PS Std;serif" w:hAnsi="Times New Roman PS Std;serif"/>
          <w:b w:val="false"/>
          <w:i/>
          <w:caps w:val="false"/>
          <w:smallCaps w:val="false"/>
          <w:sz w:val="20"/>
        </w:rPr>
        <w:t>www.oxfordlanecapital.com.</w:t>
      </w:r>
      <w:r>
        <w:rPr>
          <w:rFonts w:ascii="Times New Roman PS Std;serif" w:hAnsi="Times New Roman PS Std;serif"/>
          <w:b w:val="false"/>
          <w:i w:val="false"/>
          <w:caps w:val="false"/>
          <w:smallCaps w:val="false"/>
          <w:sz w:val="20"/>
        </w:rPr>
        <w:t xml:space="preserve"> Information contained on our website is not incorporated into this prospectus supplement and you should not consider information contained on our website to be part of this prospectus supplement, except for documents specifically incorporated by reference into this prospectus supplement or the accompanying prospectus. You may also request a copy of these filings (other than exhibits, unless the exhibits are specifically incorporated by reference into these documents) at no cost by writing or calling Investor Relations at the following address and telephone number: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w:t>
        <w:br/>
        <w:t>8 Sound Shore Drive</w:t>
        <w:br/>
        <w:t>Suite 255</w:t>
        <w:br/>
        <w:t>Greenwich, Connecticut</w:t>
        <w:br/>
        <w:t>(203) 983-5275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incorporated by reference into or provided in this prospectus supplement or the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the accompanying prospectus or in the documents incorporated by reference herein is accurate as of any date other than the date on the front of this prospectus supplement, the accompanying prospectus or those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18" w:name="T99117"/>
      <w:bookmarkEnd w:id="18"/>
      <w:r>
        <w:rPr>
          <w:rFonts w:ascii="Times New Roman PS Std;serif" w:hAnsi="Times New Roman PS Std;serif"/>
          <w:b/>
          <w:i w:val="false"/>
          <w:caps w:val="false"/>
          <w:smallCaps w:val="false"/>
          <w:sz w:val="20"/>
        </w:rPr>
        <w:t xml:space="preserve">Exhibit A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Articles Supplementary</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 a Maryland corporation (hereinafter, the “Corporation”), hereby certifies to the State Department of Assessments and Taxation of the State of Maryland that:</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 Corporation previously authorized and issued 2,760,000 shares of 8.25% Series 2031 Term Preferred Shares (the “8.25% Series 2031 Term Preferred Shares”).</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Pursuant to authority expressly vested in the Board of Directors of the Corporation by Section 2-208 of the Maryland General Corporation Law and the Corporation’s charter, the Corporation and its Board of Directors wish to classify 1,656,000 shares of Capital Stock as additional shares of 8.25% Series 2031 Term Preferred Shares. After the classification of the Capital Stock of the Corporation set forth herein, the Corporation will have the authority to issue 4,416,000 shares of 8.25% Series 2031 Term Preferred Shares.</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The additional 1,656,000 shares of the 8.25% Series 2031 Term Preferred Shares shall be subject in all respects to the terms and conditions of the Corporation’s charter and shall have the preferences, conversion and other rights, voting powers, restrictions, limitations as to dividends, qualifications, and terms and conditions of redemption that are applicable to the existing shares of the 8.25% Series 2031 Term Preferred Shares and the other Preferred Stock of the Corporation.</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These Articles Supplementary shall be effective as of the 22nd day of October 2026.</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[Signatures on next page]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OXFORD LANE CAPITAL CORP. has caused these Articles Supplementary to be signed in its name and on its behalf by the person named below who acknowledges that these Articles Supplementary are the act of the Corporation and that, as to all matters and facts required to be verified under oath and to the best of his knowledge, information, and belief under the penalties of perjury, the matters and facts set forth herein are true in all material respects, as of this 22nd day of October 2026.</w:t>
      </w:r>
    </w:p>
    <w:tbl>
      <w:tblPr>
        <w:tblW w:w="9398" w:type="dxa"/>
        <w:jc w:val="left"/>
        <w:tblInd w:w="0" w:type="dxa"/>
        <w:tblLayout w:type="fixed"/>
        <w:tblCellMar>
          <w:top w:w="0" w:type="dxa"/>
          <w:left w:w="0" w:type="dxa"/>
          <w:bottom w:w="0" w:type="dxa"/>
          <w:right w:w="0" w:type="dxa"/>
        </w:tblCellMar>
      </w:tblPr>
      <w:tblGrid>
        <w:gridCol w:w="766"/>
        <w:gridCol w:w="146"/>
        <w:gridCol w:w="4681"/>
        <w:gridCol w:w="146"/>
        <w:gridCol w:w="146"/>
        <w:gridCol w:w="146"/>
        <w:gridCol w:w="839"/>
        <w:gridCol w:w="163"/>
        <w:gridCol w:w="2028"/>
        <w:gridCol w:w="146"/>
        <w:gridCol w:w="191"/>
      </w:tblGrid>
      <w:tr>
        <w:trPr/>
        <w:tc>
          <w:tcPr>
            <w:tcW w:w="5593"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ATTEST:</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30"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5593"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30"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Bruce L. Rubin</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63" w:type="dxa"/>
            <w:tcBorders/>
          </w:tcPr>
          <w:p>
            <w:pPr>
              <w:pStyle w:val="TableContents"/>
              <w:bidi w:val="0"/>
              <w:spacing w:before="0" w:after="283"/>
              <w:jc w:val="left"/>
              <w:rPr/>
            </w:pPr>
            <w:r>
              <w:rPr/>
              <w:t> </w:t>
            </w:r>
          </w:p>
        </w:tc>
        <w:tc>
          <w:tcPr>
            <w:tcW w:w="20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7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Corporate Secretary</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63" w:type="dxa"/>
            <w:tcBorders/>
          </w:tcPr>
          <w:p>
            <w:pPr>
              <w:pStyle w:val="TableContents"/>
              <w:bidi w:val="0"/>
              <w:spacing w:before="0" w:after="283"/>
              <w:jc w:val="left"/>
              <w:rPr/>
            </w:pPr>
            <w:r>
              <w:rPr/>
              <w:t> </w:t>
            </w:r>
          </w:p>
        </w:tc>
        <w:tc>
          <w:tcPr>
            <w:tcW w:w="20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true"/>
        <w:pageBreakBefore w:val="false"/>
        <w:widowControl/>
        <w:pBdr/>
        <w:bidi w:val="0"/>
        <w:spacing w:before="160" w:after="283"/>
        <w:jc w:val="center"/>
        <w:rPr>
          <w:caps w:val="false"/>
          <w:smallCaps w:val="false"/>
        </w:rPr>
      </w:pPr>
      <w:r>
        <w:rPr>
          <w:caps w:val="false"/>
          <w:smallCaps w:val="false"/>
        </w:rPr>
        <w:drawing>
          <wp:inline distT="0" distB="0" distL="0" distR="0">
            <wp:extent cx="809625" cy="8718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809625" cy="87185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Oxford Lane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Common Stock</w:t>
        <w:br/>
        <w:t>Preferred Stock</w:t>
        <w:br/>
        <w:t>Subscription Rights</w:t>
        <w:br/>
        <w:t>Debt Securities</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closed-end management investment company that has registered as an investment company under the Investment Company Act of 1940, or the “1940 Act.” Our investment objective is to maximize our portfolio’s risk-adjusted total return. We have implemented our investment objective by purchasing portions of equity and junior debt tranches of collateralized loan obligation, or “CLO,” vehicles. Structurally, CLO vehicles are entities formed to originate and/or acquire a portfolio of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 investment in our securities is subject to significant risks and involves a heightened risk of total loss of investment. The price of shares of our common stock may be highly volatile and our common stock may frequently trade at a discount to our net asset value. The interests of the CLO securities in which we invest are subject to a high degree of special risks, including: CLO structures are highly complicated and may be subject to disadvantageous tax treatment; CLO vehicles are highly levered (with CLO equity securities typically being leveraged between nine and thirteen times) and are made up of below investment grade loans in which we typically have a residual interest that is much riskier than the loans that make up the CLO vehicle; and the market price for CLO vehicles may fluctuate dramatically, which may make portfolio valuations unreliable and negatively impact our net asset value and our ability to make distributions to our stockholders. Some instruments issued by CLO vehicles may not be readily marketable and may be subject to restrictions on resale. Securities issued by CLO vehicles are generally not listed on any U.S. national securities exchange and no active trading market may exist for the securities of CLO vehicles in which we may invest. Although a secondary market may exist for our investments in CLO vehicles, the market for our investments in CLO vehicles may be subject to irregular trading activity, wide bid/ask spreads and extended trade settlement periods. As a result, these types of investments may be more difficult to value. See “Risk factors” beginning on page 15 to read about factors you should consider, including risk of leverage, before investing in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one or more offerings or series, our common stock, preferred stock, subscription rights to purchase shares of our common stock or debt securities, which we refer to, collectively, as our “securities.” The preferred stock, subscription rights and debt securities offered hereby may be convertible or exchangeable into shares of our common stock. The securities may be offered at prices and on terms to be described in one or more supplements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(as defined in the 1940 Act) of our common stockholders or (iii) under such other circumstances as the Securities and Exchange Commission, or the “SEC,” may permit.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securities may be offered directly to one or more purchasers, or through agents designated from time to time by us, or to or through underwriters or dealers. Each prospectus supplement relating to an offering will identify any agents or underwriters involved in the sale of our securities, and will disclose any applicable purchase price, fee, discount or commissions arrangement between us and our agents or underwriters or among our underwriters or the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common stock is traded on the NASDAQ Global Select Market under the symbol “OXLC.” On November 5, 2024, the last reported sales price on the NASDAQ Global Select Market for our common stock was $5.30 per share, which was at a premium of 11.3% to the net asset value per share of our common stock as of September 30, 2024. Our 6.25% Series 2027 Term Preferred Shares, (the “Series 2027 Term Preferred Shares”), 6.00% Series 2029 Term Preferred Shares (the “6.00% Series 2029 Term Preferred Shares”), 7.125% Series 2029 Term Preferred Shares, (the “7.125% Series 2029 Term Preferred Shares” and, together with the Series 2027 Term Preferred Shares and 6.00% Series 2029 Term Preferred Shares, the “Term Preferred Shares”), 5.00% Unsecured Notes due 2027, (the “2027 Notes”), 6.75% Unsecured Notes due 2031, the (“2031 Notes”) and the 8.75% Unsecured Notes due 2030 (the “2030 Notes” and, together with the 2027 Notes and the 2031 Notes, the “Notes”) are also traded on the NASDAQ Global Select Market under the symbols “OXLCP,” “OXLCO,” “OXLCN,” “OXLCZ,” “OXLCL,” and “OXLCI,” respectively. On November 5, 2024, the last reported sales prices on the NASDAQ Global Select Market of our Series 2027 Term Preferred Shares, 6.00% Series 2029 Term Preferred Shares, 7.125% Series 2029 Term Preferred Shares, 2027 Notes, 2031 Notes and 2030 Notes were $24.08, $23.06, $24.14, $23.64, $23.85, and $25.96, respectively. We are required to determine the net asset value per share of our common stock on a quarterly basis. Our net asset value per share of our common stock as of September 30, 2024 was $4.76.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Before investing in our securities, you should read the discussion of the material risks of investing in our securities, including the risk of leverage, described in the section titled “Risk Factors”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are required to file annual and semi-annual reports, proxy statements and other information about us with the SEC. This information is available free of charge by contacting us by mail at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xml:space="preserve">. The SEC also maintains a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that contains such information. Information contained on our website is not incorporated by reference into this prospectus, and you should not consider that information to be part of this prospectus.</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used to consummate sales of our securities unless accompanied by a prospectus supplement. This prospectus and any accompanying prospectus supplement will together constitute the prospectus for an offering of the Company’s securities.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November 8, 2024.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collectively, in this prospectus, any accompanying prospectus supplements, and the documents incorporated by reference herein or therein, before investing and keep each for future use. We have not authorized any person to give any information or to make any representation other than those contained in this prospectus, any accompanying prospectus supplements, and the documents incorporated by reference herein and therein. If anyone provides you with different or inconsistent information, you should not rely on it. This prospectus, any accompanying prospectus supplements, and the documents incorporated by reference herein or therein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any accompanying prospectus supplements, and the documents incorporated by reference herein or therein is accurate as of the dates on their covers; however, the prospectus, any accompanying prospectus supplements, and the documents incorporated by reference herein or therein will be updated to reflect any material changes.</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CAPITAL CORP.</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10003" w:type="dxa"/>
        <w:jc w:val="left"/>
        <w:tblInd w:w="0" w:type="dxa"/>
        <w:tblLayout w:type="fixed"/>
        <w:tblCellMar>
          <w:top w:w="0" w:type="dxa"/>
          <w:left w:w="0" w:type="dxa"/>
          <w:bottom w:w="0" w:type="dxa"/>
          <w:right w:w="0" w:type="dxa"/>
        </w:tblCellMar>
      </w:tblPr>
      <w:tblGrid>
        <w:gridCol w:w="9136"/>
        <w:gridCol w:w="146"/>
        <w:gridCol w:w="721"/>
      </w:tblGrid>
      <w:tr>
        <w:trPr/>
        <w:tc>
          <w:tcPr>
            <w:tcW w:w="91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02">
              <w:r>
                <w:rPr>
                  <w:rStyle w:val="InternetLink"/>
                  <w:rFonts w:ascii="Times New Roman PS Std;serif" w:hAnsi="Times New Roman PS Std;serif"/>
                  <w:b w:val="false"/>
                  <w:i w:val="false"/>
                  <w:caps w:val="false"/>
                  <w:smallCaps w:val="false"/>
                  <w:sz w:val="20"/>
                </w:rPr>
                <w:t xml:space="preserve">Offerings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3">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04">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06">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7">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08">
              <w:r>
                <w:rPr>
                  <w:rStyle w:val="InternetLink"/>
                  <w:rFonts w:ascii="Times New Roman PS Std;serif" w:hAnsi="Times New Roman PS Std;serif"/>
                  <w:b w:val="false"/>
                  <w:i w:val="false"/>
                  <w:caps w:val="false"/>
                  <w:smallCaps w:val="false"/>
                  <w:sz w:val="20"/>
                </w:rPr>
                <w:t xml:space="preserve">Price Range of Common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09">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0">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1">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2">
              <w:r>
                <w:rPr>
                  <w:rStyle w:val="InternetLink"/>
                  <w:rFonts w:ascii="Times New Roman PS Std;serif" w:hAnsi="Times New Roman PS Std;serif"/>
                  <w:b w:val="false"/>
                  <w:i w:val="false"/>
                  <w:caps w:val="false"/>
                  <w:smallCaps w:val="false"/>
                  <w:sz w:val="20"/>
                </w:rPr>
                <w:t xml:space="preserve">Portfolio 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3">
              <w:r>
                <w:rPr>
                  <w:rStyle w:val="InternetLink"/>
                  <w:rFonts w:ascii="Times New Roman PS Std;serif" w:hAnsi="Times New Roman PS Std;serif"/>
                  <w:b w:val="false"/>
                  <w:i w:val="false"/>
                  <w:caps w:val="false"/>
                  <w:smallCaps w:val="false"/>
                  <w:sz w:val="20"/>
                </w:rPr>
                <w:t xml:space="preserve">Investment Advisory Agreement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4">
              <w:r>
                <w:rPr>
                  <w:rStyle w:val="InternetLink"/>
                  <w:rFonts w:ascii="Times New Roman PS Std;serif" w:hAnsi="Times New Roman PS Std;serif"/>
                  <w:b w:val="false"/>
                  <w:i w:val="false"/>
                  <w:caps w:val="false"/>
                  <w:smallCaps w:val="false"/>
                  <w:sz w:val="20"/>
                </w:rPr>
                <w:t xml:space="preserve">Administration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5">
              <w:r>
                <w:rPr>
                  <w:rStyle w:val="InternetLink"/>
                  <w:rFonts w:ascii="Times New Roman PS Std;serif" w:hAnsi="Times New Roman PS Std;serif"/>
                  <w:b w:val="false"/>
                  <w:i w:val="false"/>
                  <w:caps w:val="false"/>
                  <w:smallCaps w:val="false"/>
                  <w:sz w:val="20"/>
                </w:rPr>
                <w:t xml:space="preserve">Certain Relationships and Transactions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6">
              <w:r>
                <w:rPr>
                  <w:rStyle w:val="InternetLink"/>
                  <w:rFonts w:ascii="Times New Roman PS Std;serif" w:hAnsi="Times New Roman PS Std;serif"/>
                  <w:b w:val="false"/>
                  <w:i w:val="false"/>
                  <w:caps w:val="false"/>
                  <w:smallCaps w:val="false"/>
                  <w:sz w:val="20"/>
                </w:rPr>
                <w:t xml:space="preserve">Control Persons and Principal Stockholders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7">
              <w:r>
                <w:rPr>
                  <w:rStyle w:val="InternetLink"/>
                  <w:rFonts w:ascii="Times New Roman PS Std;serif" w:hAnsi="Times New Roman PS Std;serif"/>
                  <w:b w:val="false"/>
                  <w:i w:val="false"/>
                  <w:caps w:val="false"/>
                  <w:smallCaps w:val="false"/>
                  <w:sz w:val="20"/>
                </w:rPr>
                <w:t xml:space="preserve">Regulation as a Registered Closed-End Management Investment Company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18">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19">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0">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1">
              <w:r>
                <w:rPr>
                  <w:rStyle w:val="InternetLink"/>
                  <w:rFonts w:ascii="Times New Roman PS Std;serif" w:hAnsi="Times New Roman PS Std;serif"/>
                  <w:b w:val="false"/>
                  <w:i w:val="false"/>
                  <w:caps w:val="false"/>
                  <w:smallCaps w:val="false"/>
                  <w:sz w:val="20"/>
                </w:rPr>
                <w:t xml:space="preserve">Description of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2">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3">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4">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5">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6">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7">
              <w:r>
                <w:rPr>
                  <w:rStyle w:val="InternetLink"/>
                  <w:rFonts w:ascii="Times New Roman PS Std;serif" w:hAnsi="Times New Roman PS Std;serif"/>
                  <w:b w:val="false"/>
                  <w:i w:val="false"/>
                  <w:caps w:val="false"/>
                  <w:smallCaps w:val="false"/>
                  <w:sz w:val="20"/>
                </w:rPr>
                <w:t xml:space="preserve">Custodian, Transfer Agent, Distribution Disbursing Agent and Redemption and Paying Agent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28">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29">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30">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shd w:fill="CCEEFF" w:val="clear"/>
            <w:vAlign w:val="bottom"/>
          </w:tcPr>
          <w:p>
            <w:pPr>
              <w:pStyle w:val="TableContents"/>
              <w:keepNext w:val="false"/>
              <w:widowControl/>
              <w:pBdr/>
              <w:bidi w:val="0"/>
              <w:spacing w:before="0" w:after="283"/>
              <w:ind w:left="200" w:right="0" w:hanging="200"/>
              <w:jc w:val="left"/>
              <w:rPr/>
            </w:pPr>
            <w:hyperlink w:anchor="T5031">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136" w:type="dxa"/>
            <w:tcBorders/>
            <w:vAlign w:val="bottom"/>
          </w:tcPr>
          <w:p>
            <w:pPr>
              <w:pStyle w:val="TableContents"/>
              <w:keepNext w:val="false"/>
              <w:widowControl/>
              <w:pBdr/>
              <w:bidi w:val="0"/>
              <w:spacing w:before="0" w:after="283"/>
              <w:ind w:left="200" w:right="0" w:hanging="200"/>
              <w:jc w:val="left"/>
              <w:rPr/>
            </w:pPr>
            <w:hyperlink w:anchor="T5032">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an automatic registration statement that we have filed with the Securities and Exchange Commission, or SEC, using the “shelf” registration process as a “well-known seasoned issuer” as defined in Rule 405 under the Securities Act of 1933, as amended, or the “Securities Act.” Under this shelf registration statement, we may offer, from time to time, in one or more offerings, our common stock, preferred stock, debt securities and/or subscription rights to purchase shares of our common stock, on terms to be determined at the time of the offering. See “Plan of Distribution”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“Available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19" w:name="T5001"/>
      <w:bookmarkEnd w:id="19"/>
      <w:r>
        <w:rPr>
          <w:rFonts w:ascii="Times New Roman PS Std;serif" w:hAnsi="Times New Roman PS Std;serif"/>
          <w:b/>
          <w:i w:val="false"/>
          <w:caps w:val="false"/>
          <w:smallCaps w:val="false"/>
          <w:sz w:val="20"/>
          <w:bdr w:val="single" w:sz="8" w:space="10" w:color="00000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Except where the context requires otherwise, the terms “Oxford Lane Capital,” the “Company,” the “Fund,” “we,” “us” and “our” refer to Oxford Lane Capital Corp.; “Oxford Lane Management” and “investment adviser” refer to Oxford Lane Management, LLC; “Oxford Funds” and “administrator” refer to Oxford Funds, LLC; and “ACA” and “ACA Group” refer to ACA Group, LLC.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closed-end management investment company that has registered as an investment company under the 1940 Act. Our investment objective is to maximize our portfolio’s risk-adjusted total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or “Senior Loans,” and, to a limited extent, subordinated and/or unsecured loans and bonds (together with the Senior Loans, the “CLO Assets”).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ability to make distributions to our stockholders. Our financial results may be affected adversely if one or more of our significant equity or junior debt investments in such CLO vehicles defaults on its payment obligations or fails to perform as we expect.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“passive foreign investment companies,” or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“Risk Factors — Risks Related to Our Investments” in our most recent annual or semi-annual report on Form N-CSR to read about factors you should consider before investing in our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activities are managed by Oxford Lane Management, which is an investment adviser that has registered under the Investment Advisers Act of 1940, or the “Advisers Act.” Under our investment advisory agreement with Oxford Lane Management, which we refer to as our “Investment Advisory Agreement,” we have agreed to pay Oxford Lane Management an annual base management fee based on our gross assets, as well as an incentive fee based on our performance. See “Investment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expect to benefit from the ability of Oxford Lane Management’s team to identify attractive opportunities, conduct diligence on and value prospective investments, negotiate terms where appropriate, and manage and monitor our portfolio. Oxford Lane Management’s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reimburse Oxford Funds, an affiliate of Oxford Lane Management, our allocable portion of overhead and other expenses incurred by Oxford Funds in performing its obligations under an administration agreement by and among us and Oxford Funds, or the “Administration Agreement,” including rent, the fees and expenses associated with performing administrative functions, and our allocable portion of the compensation of our Chief Financial Officer and any administrative support staff, including accounting personnel. We will also reimburse Oxford Funds for the costs associated with the functions performed by our Chief Compliance Officer that Oxford Funds pays on the Company’s behalf pursuant to the terms of an agreement between us and ACA. These arrangements could create conflicts of interest that our Board of Directors must monitor.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Focus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objective is to maximize our portfolio’s risk-adjusted total return. Our current focus is to seek that return by investing in structured finance investments, specifically the equity and junior debt tranches of CLO vehicles, which are collateralized primarily by a diverse portfolio of Senior Loans, and which generally have very little or no exposure to real estate loans, or mortgage loans or to pools of consumer-based debt, such as credit card receivables or auto loans. As of September 30, 2024, we held equity investments in 221 different CLO structures and debt investments in 19 different CLO structures. Our investment strategy also includes investing in warehouse facilities, which are financing structures intended to aggregate Senior Loans that may be used to form the basis of a CLO vehicle. We may also invest, on an opportunistic basis, in a variety of other types of corporate credits.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CLO investments we currently hold in our portfolio generally represent either a residual economic interest, in the case of an equity tranche, or a debt investment collateralized by a portfolio of Senior Loans and other CLO Assets. The value of our CLO investments generally depend on both the quality and nature of the underlying portfolio it references and also on the specific structural characteristics of the CLO itself.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CLO Structural Elements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diagram below is for illustrative purposes only. The CLO structure highlighted below is illustrative only and depicts structures among CLO vehicles in which we may invest may vary substantially from the illustrative example set forth below.</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421005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4210050" cy="20574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typically invest in the equity tranches, which are not rated, and to a lesser extent the “B” and “BB” tranches of CLO vehicles. As of September 30, 2024, 89.0% of our portfolio on a fair value basis was invested in the equity tranches of CLO vehicles.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Syndicated Senior Loan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while the syndicated leveraged corporate loan market is relatively large, with Standard and Poor’s estimating the total par value outstanding at approximately $1.4 trillion as of September 2024,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Senior Loan market is characterized by various factors, including: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Floating rate instruments.    </w:t>
      </w:r>
      <w:r>
        <w:rPr>
          <w:rFonts w:ascii="Times New Roman PS Std;serif" w:hAnsi="Times New Roman PS Std;serif"/>
          <w:b w:val="false"/>
          <w:i w:val="false"/>
          <w:caps w:val="false"/>
          <w:smallCaps w:val="false"/>
          <w:sz w:val="20"/>
          <w:bdr w:val="single" w:sz="8" w:space="10" w:color="000000"/>
        </w:rPr>
        <w:t>Senior Loans and other types of CLO Assets typically contain a 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Frequency of interest payments.    </w:t>
      </w:r>
      <w:r>
        <w:rPr>
          <w:rFonts w:ascii="Times New Roman PS Std;serif" w:hAnsi="Times New Roman PS Std;serif"/>
          <w:b w:val="false"/>
          <w:i w:val="false"/>
          <w:caps w:val="false"/>
          <w:smallCaps w:val="false"/>
          <w:sz w:val="20"/>
          <w:bdr w:val="single" w:sz="8" w:space="10" w:color="000000"/>
        </w:rPr>
        <w:t>Senior Loans and other CLO Assets typically provide for scheduled interest payments no less frequently than quarterly.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Investment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that the market for CLO-related assets provides us with opportunities to generate attractive risk-adjusted returns over the long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Leverage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We may use leverage as and to the extent permitted by the 1940 Act. We are permitted to obtain leverage using any form of financial leverage instruments, including funds borrowed from banks or other financial institutions, margin facilities, notes or preferred stock and leverage attributable to reverse repurchase agreements or similar transactions. Instruments that create leverage are generally considered to be senior securities under the 1940 Act. Under the 1940 Act, we are only permitted to incur additional indebtedness to the extent our asset coverage, as defined under the 1940 Act, is at least 300% immediately after each such borrowing. With respect to our outstanding preferred stock, we will generally be required to meet an asset coverage ratio, as defined under the 1940 Act, of at least 200% immediately after each issuance of such preferred stock. </w:t>
      </w:r>
      <w:r>
        <w:rPr>
          <w:rFonts w:ascii="Times New Roman PS Std;serif" w:hAnsi="Times New Roman PS Std;serif"/>
          <w:b/>
          <w:i w:val="false"/>
          <w:caps w:val="false"/>
          <w:smallCaps w:val="false"/>
          <w:sz w:val="20"/>
          <w:bdr w:val="single" w:sz="8" w:space="10" w:color="000000"/>
        </w:rPr>
        <w:t>In addition, our Articles Supplementary for the Term Preferred Shares prohibit us from declaring a common stock distribution if, at the time of declaration, our asset coverage ratio is not at least 200% after deducting the amount of such distribution.</w:t>
      </w:r>
      <w:r>
        <w:rPr>
          <w:rFonts w:ascii="Times New Roman PS Std;serif" w:hAnsi="Times New Roman PS Std;serif"/>
          <w:b w:val="false"/>
          <w:i w:val="false"/>
          <w:caps w:val="false"/>
          <w:smallCaps w:val="false"/>
          <w:sz w:val="20"/>
          <w:bdr w:val="single" w:sz="8" w:space="10" w:color="000000"/>
        </w:rPr>
        <w:t xml:space="preserve"> If we do not meet these asset coverage requirements, we may be required to sell a portion of our investments and, depending on the nature of our leverage, repay a portion of our indebtedness or redeem outstanding shares of preferred stock, in each case at a time when doing so may be disadvantageous. See “Regulation as a Registered Closed-End Management Investment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Board of Directors may classify any unissued shares of stock and reclassify any previously classified but unissued shares of stock of any class or series from time to time, in one or more classes or series of stock, including preferred stock. We have authorized 50 million shares of mandatorily redeemable preferred stock, at a par value of $0.01 per share, and had 8,761,706 shares issued and outstanding at September 30, 2024. As of September 30, 2024, we had the following series of preferred stock outstanding: Series 2027 Term Preferred Shares, 6.00% Series 2029 Term Preferred Shares, and 7.125% Series 2029 Term Preferred Shares, each issued in an underwritten public offering.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required to redeem all of the outstanding Term Preferred Shares on their respective redemption dates, at a redemption price equal to $25 per share plus an amount equal to accumulated but unpaid dividends, if any, to the date of the redemption. We cannot effect any amendment, alteration, or repeal of our obligation to redeem all of the Term Preferred Shares without the prior unanimous vote or consent of the holders of such Term Preferred Shares. At any time on or after the optional redemption date, at our sole option, we may redeem the Term Preferred Shares at a redemption price per share equal to the sum of the $25 liquidation preference per share plus an amount equal to accumulated but unpaid dividends, if any, on such Term Preferred Shares. There was $88.1 million of our Series 2027 Term Preferred Shares, $67.2 million of our 6.00% Series 2029 Term Preferred Shares and $63.8 million of our 7.125% Series 2029 Term Preferred Shares issued and outstanding as of September 30, 2024. As of September 30, 2024 there were no accumulated but unpaid dividends on our Term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May 20, 2020, our Board of Directors authorized a program for the purpose of repurchasing up to $40 million worth of the outstanding shares of our Term Preferred Shares. Under this repurchase program, we could, but were not obligated to, repurchase our outstanding Term Preferred Shares in the open market from time to time through September 30, 2020. During the six months ended September 30, 2020, we repurchased 134,606 shares of 7.50% Series 2023 Term Preferred Shares for a total of approximately $3.2 million, 4,400 shares of Series 2024 Term Preferred Shares for a total of approximately $0.1 million, and 139,194 shares of 6.25% Series 2027 Term Preferred Shares, for a total of approximately $3.1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2027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13, 2022, we completed an underwritten public offering, including the full exercise of the underwriters’ 30-day overallotment option, of $100.0 million in aggregate principal amount of 2027 Notes. The 2027 Notes will mature on January 31, 2027 and may be redeemed in whole or in part at any time or from time to time at our option on or after January 31, 2024. The 2027 Notes bear interest at a rate of 5.00% per year payable quarterly on March 31, June 30, September 30, and December 31, of each year, commencing March 31, 2022.</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2031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16, 2021, we completed an underwritten public offering, including the full exercise of the underwriters’ 30-day overallotment option, of $100.0 million in aggregate principal amount of the 2031 Notes. The 2031 Notes will mature on March 31, 2031 and may be redeemed in whole or in part at any time or from time to time at our option on or after March 16, 2024. The 2031 Notes bear interest at a rate of 6.75% per year payable quarterly on March 31, June 30, September 30, and December 31, of each year, commencing June 30, 2021.</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2030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8, 2024, we completed an underwritten public offering, including the full exercise of the underwriters’ 30-day overallotment option, of $115.0 million in aggregate principal amount of the 2030 Notes. The 2030 Notes will mature on June 30, 2030 and may be redeemed in whole or in part at any time or from time to time at our option on or after June 30, 2028. The 2030 Notes bear interest at a rate of 8.75% per year payable quarterly on March 31, June 30, September 30, and December 31, of each year, commencing September 30,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Subject to the limitations under the 1940 Act, we may incur additional leverage opportunistically or not at all and may choose to increase or decrease our leverage. We may use different types or combinations of leveraging instruments at any time based on the Adviser’s assessment of market conditions and the investment environment, including forms of leverage other than preferred stock, debt securities and/or credit facilities. In addition, we may also borrow amounts up to 5% of the value of our gross assets for temporary purposes without regard to asset coverage requirements described above. By leveraging our investment portfolio, we may create an opportunity for increased net income and capital appreciation. However, the use of leverage also involves significant risks and expenses, which will be borne entirely by our stockholders, and our leverage strategy may not be successful. For example, the more leverage is employed, the more likely a substantial change will occur in our net asset value per share of our common stock. See “Risk Factors — Risks Related to Our Investments — We may borrow money and/or issue preferred stock to leverage our portfolio, which would magnify the potential for gain or loss on amounts invested and will increase the risk of investing in us.” in our most recent annual or semi-annual report on Form N-CSR.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value of our assets, as well as the market price of our securities, will fluctuate. Our investments may be risky, and you may lose all or part of your investment in us. Investing in Oxford Lane Capital involves other risks, including the following: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Our Business and Structure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investment portfolio is recorded at fair value, with our Board of Directors having final responsibility for overseeing, reviewing and approving, in good faith, its estimate of fair value and, as a result, there will be uncertainty as to the value of our portfolio investments.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financial condition and results of operations will depend on our ability to manage our existing portfolio and future growth effectively.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dependent upon Oxford Lane Management’s key management personnel for our future success, particularly Jonathan H. Cohen and Saul B. Rosenthal.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operate in a highly competitive market for investment opportunities.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Regulations governing our operation as a registered closed-end management investment company, including the asset coverage ratio requirements under the 1940 Act, affect our ability to raise additional capital and the way in which we do so. The raising of debt capital may expose us to risks, including the typical risks associated with leverage.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permitted to borrow money, which magnifies the potential for gain or loss on amounts invested and may increase the risk of investing in 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are significant potential conflicts of interest between Oxford Lane Management and our management team.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Related to U.S. Federal Tax Regulation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be subject to U.S. federal income tax at corporate rates, if we are unable to qualify for tax treatment as a RIC for U.S. federal income tax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Our Investments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investments in CLO vehicles are riskier and less transparent to us and our stockholders than direct investments in the underlying Senior Loans or CLO Assets.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CLO securities and their investments are often illiquid.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portfolio of investments may lack diversification among CLO vehicles which may subject us to a risk of significant loss if one or more of these CLO vehicles experience a high level of defaults on its underlying Senior Loans or CLO Assets.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Investing in CLO vehicles, Senior Loans and other high-yield corporate credits involves a variety of risks, any of which may adversely impact our performance.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Inflation may adversely affect our and our portfolio companies’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an Investment in Our Securities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Common shares of closed-end management investment companies, including Oxford Lane Capital, have in the past frequently traded at discounts to their net asset values, and we cannot assure you that the market price of shares of our common stock will not decline below our net asset value per share.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common stock price may be volatile and may decrease substantially.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See “Risk Factors” in our most recent annual or semi-annual report on Form N-CSR, as well as in subsequent filings with the SEC, for additional discussion of factors you should carefully consider before investing in our securities.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Operating and Regulatory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Lane Capital is a Maryland corporation that is a closed-end management investment company that has registered as an investment company under the 1940 Act. As a registered closed-end fund, we are required to meet regulatory tests. See “Regulation as a Registered Closed-End Management Investment Company.” We may also borrow funds to make investments. In addition, we have elected to be treated for U.S. federal income tax purposes, and intend to qualify annually, as a RIC under Subchapter M of the Code. See “Certain U.S. Federal Income Tax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activities are managed by Oxford Lane Management and supervised by our Board of Directors. Oxford Lane Management is an investment adviser that is registered under the Advisers Act. Under our Investment Advisory Agreement, we have agreed to pay Oxford Lane Management an annual base management fee based on our gross assets as well as an incentive fee based on our performance. See “Investment Advisory Agreement.” We have also entered into an Administration Agreement with Oxford Funds, under which we have agreed to reimburse Oxford Funds for our allocable portion of overhead and other expenses incurred by Oxford Funds in performing its obligations under the Administration Agreement, including furnishing us with office facilities, equipment and clerical, bookkeeping and record keeping services at such facilities, as well as providing us with other administrative services. See “Administration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Oxford Funds also serves as the managing member of Oxford Lane Management. Messrs. Cohen and Rosenthal, in turn, serve as the managing member and non-managing member, respectively, of Oxford Funds.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offices are located at 8 Sound Shore Drive, Suite 255, Greenwich, CT 06830, and our telephone number is (203) 983-5275.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0" w:name="T5002"/>
      <w:bookmarkEnd w:id="20"/>
      <w:r>
        <w:rPr>
          <w:rFonts w:ascii="Times New Roman PS Std;serif" w:hAnsi="Times New Roman PS Std;serif"/>
          <w:b/>
          <w:i w:val="false"/>
          <w:caps w:val="false"/>
          <w:smallCaps w:val="false"/>
          <w:sz w:val="20"/>
          <w:bdr w:val="single" w:sz="8" w:space="10" w:color="000000"/>
        </w:rPr>
        <w:t xml:space="preserve">OFFERINGS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offer, from time to time in one or more offerings, our common stock, preferred stock, subscription rights to purchase shares of our common stock or debt securities, on terms to be determined at the time of the offering. We will offer our securities at prices and on terms to be set forth in one or more supplements to this prospectus. The offering price per share of our securities, less any underwriting commissions or discounts, generally will not be less than the net asset value per share of our securities at the time of an offering. However, we may issue shares of our securities pursuant to this prospectus at a price per share that is less than our net asset value per share (i) in connection with a rights offering to our existing stockholders, (ii) with the prior approval of the majority (as defined in the 1940 Act) of our common stockholders or (iii) under such other circumstances as the SEC may permit. Any such issuance of shares of our common stock below net asset value may be dilutive to the net asset value of our common stock. See “Risk Factors — Risks Relating to an Investment in our Common Stock.” in our most recent annual or semi-annual report on Form N-CSR.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securities may be offered directly to one or more purchasers, or through agents designated from time to time by us, or to or through underwriters or dealers. The prospectus supplement relating to an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Set forth below is additional information regarding offerings of our securities:</w:t>
      </w:r>
    </w:p>
    <w:tbl>
      <w:tblPr>
        <w:tblW w:w="10205" w:type="dxa"/>
        <w:jc w:val="left"/>
        <w:tblInd w:w="0" w:type="dxa"/>
        <w:tblLayout w:type="fixed"/>
        <w:tblCellMar>
          <w:top w:w="0" w:type="dxa"/>
          <w:left w:w="0" w:type="dxa"/>
          <w:bottom w:w="0" w:type="dxa"/>
          <w:right w:w="0" w:type="dxa"/>
        </w:tblCellMar>
      </w:tblPr>
      <w:tblGrid>
        <w:gridCol w:w="980"/>
        <w:gridCol w:w="146"/>
        <w:gridCol w:w="9079"/>
      </w:tblGrid>
      <w:tr>
        <w:trPr/>
        <w:tc>
          <w:tcPr>
            <w:tcW w:w="98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from the sale of our securities pursuant to this prospectus for acquiring investments in accordance with our investment objective and strategies described in this prospectus and/or for general working capital purposes. We may also pay operating expenses, including advisory and administrative fees and expenses, and may pay other expenses such as due diligence expenses of potential new investments, from the net proceeds of any offering conducted pursuant to this prospectus. We may choose to use the proceeds from any offering to pay distributions, in which case all or part of the distribution could be considered a return of capital if total distributions exceed the Company’s net investment income. Finally, we may also pay down any existing indebtedness and/or redeem outstanding shares of our preferred stock or notes using the proceeds from any offering. We anticipate that substantially all of the net proceeds of any such offering will be used for the above purposes within approximately three months from the consummation of such offering, depending on the availability of appropriate investment opportunities consistent with our investment objective and market conditions. Each supplement to this prospectus relating to an offering will more fully identify the use of the proceeds from such offering. See “Use of Proceeds.”</w:t>
            </w:r>
          </w:p>
        </w:tc>
      </w:tr>
      <w:tr>
        <w:trPr/>
        <w:tc>
          <w:tcPr>
            <w:tcW w:w="98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symbols</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 (common stock)</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OXLCP” (Series 2027 Term Preferred Shares)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OXLCO” (6.00% Series 2029 Term Preferred Shares)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OXLCN” (7.125% Series 2029 Term Preferred Shares)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OXLCZ” (2027 Notes)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OXLCL” (2031 Notes)</w:t>
            </w:r>
          </w:p>
        </w:tc>
      </w:tr>
      <w:tr>
        <w:trPr/>
        <w:tc>
          <w:tcPr>
            <w:tcW w:w="980"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079"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OXLCI” (2030 Notes)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62"/>
        <w:gridCol w:w="146"/>
        <w:gridCol w:w="8597"/>
      </w:tblGrid>
      <w:tr>
        <w:trPr/>
        <w:tc>
          <w:tcPr>
            <w:tcW w:w="146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we have income available, we intend to distribute monthly distributions to our common stockholders. The amount of our distributions, if any, will be determined by our Board of Directors. Any distributions to our stockholders will be declared out of assets legally available for distribution. The specific tax characteristics of our distributions will be reported to stockholders after the end of each calendar year.</w:t>
            </w:r>
          </w:p>
        </w:tc>
      </w:tr>
      <w:tr>
        <w:trPr/>
        <w:tc>
          <w:tcPr>
            <w:tcW w:w="14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treated for U.S. federal income tax purposes as a RIC under Subchapter M of the Code. As a RIC, we generally do not have to pay corporate-level U.S. federal income taxes on any ordinary income or capital gains that we distribute to our stockholders as dividends. To maintain our RIC tax treatment, we must meet specified source-of-income and asset diversification requirements and distribute annually at least 90% of our ordinary income and realized net short-term capital gains in excess of realized net long-term capital losses, if any. See “Price Range of Common Stock” and “Certain U.S. Federal Income Tax Considerations.”</w:t>
            </w:r>
          </w:p>
        </w:tc>
      </w:tr>
      <w:tr>
        <w:trPr/>
        <w:tc>
          <w:tcPr>
            <w:tcW w:w="14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Advisory Fees</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pay Oxford Lane Management a fee for its services under the Investment Advisory Agreement consisting of two components — a base management fee and an incentive fee. The base management fee is calculated at an annual rate of 2.00% of our gross assets, which includes any borrowings for investment purposes. The incentive fee is calculated and payable quarterly in arrears and equals 20.0% of our “pre-incentive fee net investment income” for the immediately preceding quarter, subject to a preferred return, or “hurdle,” and a “catch up” feature. No incentive fees are payable to Oxford Lane Management on any realized capital gains. See “Investment Advisory Agreement.”</w:t>
            </w:r>
          </w:p>
        </w:tc>
      </w:tr>
      <w:tr>
        <w:trPr/>
        <w:tc>
          <w:tcPr>
            <w:tcW w:w="14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Administration Agreement</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reimburse Oxford Funds for our allocable portion of overhead and other expenses it incurs in performing its obligations under the Administration Agreement, including furnishing us with office facilities, equipment and clerical, bookkeeping and record keeping services at such facilities, as well as providing us with other administrative services. In addition, we reimburse Oxford Funds for our allocable portion of the compensation of our Chief Financial Officer and any administrative support staff, including accounting personnel. See “Administration Agreement.” We will also reimburse Oxford Funds for the costs associated with the functions performed by our Chief Compliance Officer that Oxford Funds pays on the Company’s behalf pursuant to the terms of an agreement between us and ACA.</w:t>
            </w:r>
          </w:p>
        </w:tc>
      </w:tr>
      <w:tr>
        <w:trPr/>
        <w:tc>
          <w:tcPr>
            <w:tcW w:w="14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Leverage</w:t>
            </w:r>
          </w:p>
        </w:tc>
        <w:tc>
          <w:tcPr>
            <w:tcW w:w="146" w:type="dxa"/>
            <w:tcBorders/>
          </w:tcPr>
          <w:p>
            <w:pPr>
              <w:pStyle w:val="TableContents"/>
              <w:bidi w:val="0"/>
              <w:spacing w:before="0" w:after="283"/>
              <w:jc w:val="left"/>
              <w:rPr/>
            </w:pPr>
            <w:r>
              <w:rPr/>
              <w:t> </w:t>
            </w:r>
          </w:p>
        </w:tc>
        <w:tc>
          <w:tcPr>
            <w:tcW w:w="85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use leverage to the extent permitted by the 1940 Act. We are permitted to obtain leverage using any form of financial leverage instruments, including funds borrowed from banks or other financial institutions, margin facilities, notes or preferred stock and leverage attributable to reverse repurchase agreements or similar transactions. As a result, we may be exposed to the risks of leverage, which may be considered a speculative investment technique. In addition, the CLO vehicles in which we invest will be leveraged, which will indirectly expose us to the risks of leverage. The use of leverage magnifies the potential gain and loss on amounts invested and therefore increases the risks associated with investing in our securities. In addition, the costs associated with our borrowings, including any increase in the management fee payable to Oxford Lane Management will be borne by our common stockholders.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93"/>
        <w:gridCol w:w="146"/>
        <w:gridCol w:w="8566"/>
      </w:tblGrid>
      <w:tr>
        <w:trPr/>
        <w:tc>
          <w:tcPr>
            <w:tcW w:w="1493"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are only permitted to incur additional indebtedness to the extent our asset coverage, as defined under the 1940 Act, is at least 300% immediately after each such borrowing. In addition, with respect to our outstanding preferred stock, we will generally be required to meet an asset coverage ratio, as defined under the 1940 Act, of at least 200% immediately after each issuance of such preferred stock. See “Regulation as a Registered Closed-End Management Investment Company.”</w:t>
            </w:r>
          </w:p>
        </w:tc>
      </w:tr>
      <w:tr>
        <w:trPr/>
        <w:tc>
          <w:tcPr>
            <w:tcW w:w="14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Trading</w:t>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closed-end investment companies frequently trade at a discount to their net asset value. The risk that our shares may trade at a discount to our net asset value is separate and distinct from the risk that our net asset value per share may decline. We cannot predict whether our shares will trade above, at or below net asset value.</w:t>
            </w:r>
          </w:p>
        </w:tc>
      </w:tr>
      <w:tr>
        <w:trPr/>
        <w:tc>
          <w:tcPr>
            <w:tcW w:w="14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w:t>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an “opt out” distribution reinvestment plan. If your shares of common stock are registered in your own name, your distributions will automatically be reinvested under our distribution reinvestment plan in additional whole and fractional shares of common stock, unless you “opt out” of our distribution reinvestment plan so as to receive cash distributions by delivering a written notice to our distribution paying agent. If your shares are held in the name of a broker or other nominee, you should contact the broker or nominee for details regarding opting out of our distribution reinvestment plan. Stockholders who receive distributions in the form of stock will be subject to the same federal, state and local tax consequences as stockholders who elect to receive their distributions in cash. See “Distribution Reinvestment Plan.”</w:t>
            </w:r>
          </w:p>
        </w:tc>
      </w:tr>
      <w:tr>
        <w:trPr/>
        <w:tc>
          <w:tcPr>
            <w:tcW w:w="14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Available Information</w:t>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file periodic reports, proxy statements and other information with the SEC. This information is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This information is available free of charge by contacting us at Oxford Lane Capital Corp.,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w:t>
            </w:r>
          </w:p>
        </w:tc>
      </w:tr>
      <w:tr>
        <w:trPr/>
        <w:tc>
          <w:tcPr>
            <w:tcW w:w="14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Incorporation of Certain Information By Reference</w:t>
            </w:r>
          </w:p>
        </w:tc>
        <w:tc>
          <w:tcPr>
            <w:tcW w:w="146" w:type="dxa"/>
            <w:tcBorders/>
          </w:tcPr>
          <w:p>
            <w:pPr>
              <w:pStyle w:val="TableContents"/>
              <w:bidi w:val="0"/>
              <w:spacing w:before="0" w:after="283"/>
              <w:jc w:val="left"/>
              <w:rPr/>
            </w:pPr>
            <w:r>
              <w:rPr/>
              <w:t> </w:t>
            </w:r>
          </w:p>
        </w:tc>
        <w:tc>
          <w:tcPr>
            <w:tcW w:w="8566"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We may incorporate by reference into this prospectus the documents listed in “Incorporation of Certain Information by Reference” in this prospectus and any future filings we make with the SEC under Section 30(b)(2) of the 1940 Act and Sections 13(a), 13(c), 14 or 15(d) of the Securities Exchange Act of 1934, as amended (the “Exchange Act”), including any filings on or after the date of this prospectus (excluding any information “furnished”, rather than “filed”), until we have sold all of the offered securities to which this prospectus relates or the offering is otherwise terminated. The information incorporated by reference is an important part of this prospectus. Any statement in a document incorporated by reference into this prospectus will be deemed to be automatically modified or superseded to the extent a statement contained in (1) this prospectus, or any prospectus supplement, or (2) any other subsequently filed document that is incorporated by reference into this prospectus modifies or supersedes such statement.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46"/>
        <w:gridCol w:w="9935"/>
      </w:tblGrid>
      <w:tr>
        <w:trPr/>
        <w:tc>
          <w:tcPr>
            <w:tcW w:w="124"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9935"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provide without charge to each person, including any beneficial owner, to whom this prospectus is delivered, upon written or oral request, a copy of any and all of the documents that have been or may be incorporated by reference in this prospectus.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“Incorporation of Certain Information by Reference” and “Available Information” in this prospectus for further information on where to access, or how to request, copies of documents or further information in connection with the Company, this prospectus or an offering of securities to which this prospectus relates.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5003"/>
      <w:bookmarkEnd w:id="21"/>
      <w:r>
        <w:rPr>
          <w:rFonts w:ascii="Times New Roman PS Std;serif" w:hAnsi="Times New Roman PS Std;serif"/>
          <w:b/>
          <w:i w:val="false"/>
          <w:caps w:val="false"/>
          <w:smallCaps w:val="false"/>
          <w:sz w:val="20"/>
        </w:rPr>
        <w:t xml:space="preserve">FEES AND EXPENSES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prospectus contains a reference to fees or expenses paid by “us” or “Oxford Lane Capital,” or that “we” will pay fees or expenses, you will indirectly bear such fees or expenses as an investor in Oxford Lane Capital Corp.</w:t>
      </w:r>
    </w:p>
    <w:tbl>
      <w:tblPr>
        <w:tblW w:w="8369" w:type="dxa"/>
        <w:jc w:val="left"/>
        <w:tblInd w:w="0" w:type="dxa"/>
        <w:tblLayout w:type="fixed"/>
        <w:tblCellMar>
          <w:top w:w="0" w:type="dxa"/>
          <w:left w:w="0" w:type="dxa"/>
          <w:bottom w:w="0" w:type="dxa"/>
          <w:right w:w="0" w:type="dxa"/>
        </w:tblCellMar>
      </w:tblPr>
      <w:tblGrid>
        <w:gridCol w:w="7336"/>
        <w:gridCol w:w="146"/>
        <w:gridCol w:w="406"/>
        <w:gridCol w:w="481"/>
      </w:tblGrid>
      <w:tr>
        <w:trPr/>
        <w:tc>
          <w:tcPr>
            <w:tcW w:w="7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transaction expenses: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(as a percentage of offering price)</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7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 borne by us (as a percentage of offering price)</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7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 expenses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r>
      <w:tr>
        <w:trPr/>
        <w:tc>
          <w:tcPr>
            <w:tcW w:w="7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 transaction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4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8604"/>
        <w:gridCol w:w="146"/>
        <w:gridCol w:w="586"/>
        <w:gridCol w:w="869"/>
      </w:tblGrid>
      <w:tr>
        <w:trPr/>
        <w:tc>
          <w:tcPr>
            <w:tcW w:w="86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55" w:type="dxa"/>
            <w:gridSpan w:val="2"/>
            <w:tcBorders/>
            <w:vAlign w:val="bottom"/>
          </w:tcPr>
          <w:p>
            <w:pPr>
              <w:pStyle w:val="TableContents"/>
              <w:bidi w:val="0"/>
              <w:spacing w:before="0" w:after="283"/>
              <w:jc w:val="left"/>
              <w:rPr/>
            </w:pPr>
            <w:r>
              <w:rPr/>
              <w:t> </w:t>
            </w:r>
          </w:p>
        </w:tc>
      </w:tr>
      <w:tr>
        <w:trPr/>
        <w:tc>
          <w:tcPr>
            <w:tcW w:w="8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expenses (estimated as a percentage of net assets attributable to common stock):</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management fee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w:t>
            </w:r>
          </w:p>
        </w:tc>
        <w:tc>
          <w:tcPr>
            <w:tcW w:w="8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8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fees payable under our investment advisory agreement (20% of pre incentive fee net investment income)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w:t>
            </w:r>
          </w:p>
        </w:tc>
        <w:tc>
          <w:tcPr>
            <w:tcW w:w="8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8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payments on borrowed funds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8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r>
        <w:trPr/>
        <w:tc>
          <w:tcPr>
            <w:tcW w:w="8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0.53</w:t>
            </w:r>
          </w:p>
        </w:tc>
        <w:tc>
          <w:tcPr>
            <w:tcW w:w="8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annual expenses</w:t>
            </w:r>
          </w:p>
        </w:tc>
        <w:tc>
          <w:tcPr>
            <w:tcW w:w="146" w:type="dxa"/>
            <w:tcBorders/>
            <w:vAlign w:val="bottom"/>
          </w:tcPr>
          <w:p>
            <w:pPr>
              <w:pStyle w:val="TableContents"/>
              <w:bidi w:val="0"/>
              <w:spacing w:before="0" w:after="283"/>
              <w:jc w:val="left"/>
              <w:rPr/>
            </w:pPr>
            <w:r>
              <w:rPr/>
              <w:t> </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8.89</w:t>
            </w:r>
          </w:p>
        </w:tc>
        <w:tc>
          <w:tcPr>
            <w:tcW w:w="8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Example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w:t>
      </w:r>
    </w:p>
    <w:tbl>
      <w:tblPr>
        <w:tblW w:w="10205" w:type="dxa"/>
        <w:jc w:val="left"/>
        <w:tblInd w:w="0" w:type="dxa"/>
        <w:tblLayout w:type="fixed"/>
        <w:tblCellMar>
          <w:top w:w="0" w:type="dxa"/>
          <w:left w:w="0" w:type="dxa"/>
          <w:bottom w:w="0" w:type="dxa"/>
          <w:right w:w="0" w:type="dxa"/>
        </w:tblCellMar>
      </w:tblPr>
      <w:tblGrid>
        <w:gridCol w:w="5945"/>
        <w:gridCol w:w="146"/>
        <w:gridCol w:w="315"/>
        <w:gridCol w:w="447"/>
        <w:gridCol w:w="146"/>
        <w:gridCol w:w="322"/>
        <w:gridCol w:w="594"/>
        <w:gridCol w:w="146"/>
        <w:gridCol w:w="322"/>
        <w:gridCol w:w="594"/>
        <w:gridCol w:w="146"/>
        <w:gridCol w:w="360"/>
        <w:gridCol w:w="722"/>
      </w:tblGrid>
      <w:tr>
        <w:trPr/>
        <w:tc>
          <w:tcPr>
            <w:tcW w:w="594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Year</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Years</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Years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 Years</w:t>
            </w:r>
          </w:p>
        </w:tc>
      </w:tr>
      <w:tr>
        <w:trPr/>
        <w:tc>
          <w:tcPr>
            <w:tcW w:w="594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would pay the following expenses on a $1,000 investment, assuming a 5% annual return</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The example and the expenses in the tables above should not be considered as a representation of our future expenses, and actual expenses may be greater or less than those shown. </w:t>
      </w:r>
      <w:r>
        <w:rPr>
          <w:rFonts w:ascii="Times New Roman PS Std;serif" w:hAnsi="Times New Roman PS Std;serif"/>
          <w:b w:val="false"/>
          <w:i w:val="false"/>
          <w:caps w:val="false"/>
          <w:smallCaps w:val="false"/>
          <w:sz w:val="20"/>
          <w:bdr w:val="single" w:sz="8" w:space="10" w:color="000000"/>
        </w:rPr>
        <w:t>While the example assumes, as required by the SEC, a 5.0% annual return, our performance will vary and may result in a return greater or less than 5.0%. The incentive fee under the Investment Advisory Agreement, which, assuming a 5.0% annual return, would either not be payable or would have an insignificant impact on the expense amounts shown above, is included in the example. Also, while the example assumes reinvestment of all distributions at net asset value, participants in our distribution reinvestment plan will receive a number of shares of our common stock, determined by dividing the total dollar amount of the distribution payable to a participant by the market price per share of our common stock at the close of trading on the distribution payment date, which may be at, above or below net asset value. See “Distribution Reinvestment Plan” in this prospectus for additional information regarding our distribution reinvestment plan.</w:t>
      </w:r>
    </w:p>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In the event that the securities to which this prospectus relates are sold to or through underwriters, a corresponding prospectus supplement will disclose the applicable sales load and the “Example” will be updated accordingly.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The prospectus supplement corresponding to each offering will disclose the applicable offering expenses and total stockholder transaction expenses as a percentage of the offering price.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(3)     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(4)      Assumes gross assets of approximately $2,429.1 million and approximately $534.0 million of leverage (which reflects $88.1 million of Series 2027 Term Preferred Shares, $67.2 million of 6.00% Series 2029 Term Preferred Shares, $63.8 million of 7.125% Series 2029 Term Preferred Shares, $100.0 million of the 2027 Notes, $100.0 million of the 2031 Notes and $115.0 million of the 2030 Notes issued and outstanding as of September 30, 2024 and assumes net assets of $1,805.6 million (which has been adjusted to reflect the issuance of an additional $200.0 million of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(5)      The above calculation presents our base management fee as a percentage of our net assets. Our base management fee under the Investment Advisory Agreement, however, is based on our gross assets, which is defined as all the assets of Oxford Lane Capital, including those acquired using borrowings for investment purposes. As a result, to the extent we use additional leverage, it would have the effect of increasing our base management fee as a percentage of our net assets. See “Investment Advisory Agreement” for additional information. Based on our current business plan, we anticipate that substantially all of the net proceeds of this offering will be invested within three months depending on the availability of investment opportunities that are consistent with our investment objective and other market conditions. We expect that it will take approximately one to three months to invest all of the proceeds of this offering, in part because equity and junior debt investments in CLO vehicles require substantial due diligence prior to investment.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(6)      Amount reflects the estimated annual incentive fees payable to Oxford Lane Management during the fiscal year following this offering. The estimate assumes that the incentive fee earned will be proportional to the fee earned during the fiscal year ended March 31, 2024 and adjusted to include the estimated incentive fee based on the issuance of an additional $200.0 million of common stock. The incentive fee, which is payable quarterly in arrears, equals 20.0% of the excess, if any, of our “Pre-Incentive Fee Net Investment Income” that exceeds a 1.75% quarterly (7.0% annualized) hurdle rate, which we refer to as the Hurdle, subject to a “catch-up” provision measured at the end of each calendar quarter. The incentive fee is computed and paid on income that may include interest that is accrued but not yet received in cash. The operation of the incentive fee for each quarter is as follows: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no incentive fee is payable to Oxford Lane Management in any calendar quarter in which our Pre-Incentive Fee Net Investment Income does not exceed the Hurdle of 1.75%;</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100% of our Pre-Incentive Fee Net Investment Income with respect to that portion of such Pre-Incentive Fee Net Investment Income, if any, that exceeds the Hurdle but is less than 2.1875% in any calendar quarter (8.75% annualized) is payable to Oxford Lane Management. We refer to this portion of our Pre-Incentive Fee Net Investment Income (which exceeds the Hurdle but is less than 2.1875%) as the “catch-up.” The “catch-up” is meant to provide Oxford Lane Management with 20.0% of our Pre-Incentive Fee Net Investment Income, as if a Hurdle did not apply when our Pre-Incentive Fee Net Investment Income exceeds 2.1875% in any calendar quarter;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20.0% of the amount of our Pre-Incentive Fee Net Investment Income, if any, that exceeds 2.1875% in any calendar quarter (8.75% annualized) is payable to Oxford Lane Management (once the Hurdle is reached and the catch-up is achieved, 20.0% of all Pre-Incentive Fee Investment Income thereafter is allocated to Oxford Lane Management).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No incentive fee is payable to Oxford Lane Management on realized capital gains. For a more detailed discussion of the calculation of this fee, see “Investment Advisory Agreement.”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(7)      “Interest payments on borrowed funds” represents our annualized interest expense and includes interest payable on the $100 million 2031 Notes, $100 million 2027 Notes and $115.0 million 2030 Notes, each as outstanding on September 30, 2024. We may issue additional debt securities. In the event that we were to issue additional debt securities, our borrowing costs, and correspondingly our total annual expenses would increase.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(8)      Assumes that we have an aggregate of (a) $88.1 million of preferred stock with a preferred rate of 6.25% per annum, (b) $67.2 million of preferred stock with a preferred rate of 6.00% per annum and (c) $63.8 million of preferred stock with a preferred rate of 7.125% per annum which were the amounts outstanding as of September 30, 2024. We may issue additional shares of preferred stock. In the event that we were to issue additional shares of preferred stock or debt securities, our borrowing costs, and correspondingly our total annual expenses, including, in the case of such preferred stock, the base management fee as a percentage of the Fund’s net assets attributable to common stock, would increase.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(9)      “Other expenses” ($9.6 million) are estimated for the current fiscal year.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 xml:space="preserve">(10)    “Total annual expenses” is presented as a percentage of net assets attributable to common stockholders, because the holders of shares of our common stock (and not the holders of our preferred stock or debt securities, if any) bear all of our fees and expenses, all of which are included in this fee table presentation. </w:t>
      </w:r>
      <w:r>
        <w:rPr>
          <w:rFonts w:ascii="Times New Roman PS Std;serif" w:hAnsi="Times New Roman PS Std;serif"/>
          <w:b/>
          <w:i w:val="false"/>
          <w:caps w:val="false"/>
          <w:smallCaps w:val="false"/>
          <w:sz w:val="18"/>
          <w:bdr w:val="single" w:sz="8" w:space="10" w:color="000000"/>
        </w:rPr>
        <w:t>The indirect expenses associated with the Company’s CLO equity investments are not included in the fee table presentation, but if such expenses were included in the fee table presentation then the Company’s total annual expenses would have been 28.02%.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2" w:name="T5004"/>
      <w:bookmarkEnd w:id="22"/>
      <w:r>
        <w:rPr>
          <w:rFonts w:ascii="Times New Roman PS Std;serif" w:hAnsi="Times New Roman PS Std;serif"/>
          <w:b/>
          <w:i w:val="false"/>
          <w:caps w:val="false"/>
          <w:smallCaps w:val="false"/>
          <w:sz w:val="20"/>
          <w:bdr w:val="single" w:sz="8" w:space="10" w:color="000000"/>
        </w:rPr>
        <w:t xml:space="preserve">FINANCIAL HIGHLIGHTS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bdr w:val="single" w:sz="8" w:space="10" w:color="000000"/>
        </w:rPr>
        <w:t xml:space="preserve">Information regarding our financial highlights for each of the ten years ended March 31, 2024 is incorporated by reference herein from our most recent </w:t>
      </w:r>
      <w:hyperlink r:id="rId16">
        <w:r>
          <w:rPr>
            <w:rStyle w:val="InternetLink"/>
            <w:rFonts w:ascii="Times New Roman PS Std;serif" w:hAnsi="Times New Roman PS Std;serif"/>
            <w:b w:val="false"/>
            <w:i w:val="false"/>
            <w:caps w:val="false"/>
            <w:smallCaps w:val="false"/>
            <w:sz w:val="20"/>
            <w:bdr w:val="single" w:sz="8" w:space="10" w:color="000000"/>
          </w:rPr>
          <w:t>Annual Report on Form N-CSR</w:t>
        </w:r>
      </w:hyperlink>
      <w:r>
        <w:rPr>
          <w:rFonts w:ascii="Times New Roman PS Std;serif" w:hAnsi="Times New Roman PS Std;serif"/>
          <w:b w:val="false"/>
          <w:i w:val="false"/>
          <w:caps w:val="false"/>
          <w:smallCaps w:val="false"/>
          <w:sz w:val="20"/>
          <w:bdr w:val="single" w:sz="8" w:space="10" w:color="000000"/>
        </w:rPr>
        <w:t xml:space="preserve"> for the fiscal year ended March 31, 2024, filed with the SEC on May 17, 2024 and our most recent </w:t>
      </w:r>
      <w:hyperlink r:id="rId17">
        <w:r>
          <w:rPr>
            <w:rStyle w:val="InternetLink"/>
            <w:rFonts w:ascii="Times New Roman PS Std;serif" w:hAnsi="Times New Roman PS Std;serif"/>
            <w:b w:val="false"/>
            <w:i w:val="false"/>
            <w:caps w:val="false"/>
            <w:smallCaps w:val="false"/>
            <w:sz w:val="20"/>
            <w:bdr w:val="single" w:sz="8" w:space="10" w:color="000000"/>
          </w:rPr>
          <w:t>Semi-Annual Report on Form N-CSR</w:t>
        </w:r>
      </w:hyperlink>
      <w:r>
        <w:rPr>
          <w:rFonts w:ascii="Times New Roman PS Std;serif" w:hAnsi="Times New Roman PS Std;serif"/>
          <w:b w:val="false"/>
          <w:i w:val="false"/>
          <w:caps w:val="false"/>
          <w:smallCaps w:val="false"/>
          <w:sz w:val="20"/>
          <w:bdr w:val="single" w:sz="8" w:space="10" w:color="000000"/>
        </w:rPr>
        <w:t xml:space="preserve"> for the six months ended September 30, 2024, filed with the SEC on November 1, 2024. The financial highlights for each of the fiscal years ended March 31, 2024, 2023, 2022, 2021, 2020, 2019, 2018, 2017, 2016 and 2015 have been derived from financial statements audited by PricewaterhouseCoopers LLP, the Fund’s independent registered public accounting firm.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5005"/>
      <w:bookmarkEnd w:id="23"/>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Investing in our securities involves a high degree of risk. Before deciding whether to invest in our securities, you should carefully consider the risks and uncertainties described in the section titled “Principal Risks” in our most recent </w:t>
      </w:r>
      <w:hyperlink r:id="rId18">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2024, filed with the SEC on May 17, 2024 and our most recent </w:t>
      </w:r>
      <w:hyperlink r:id="rId19">
        <w:r>
          <w:rPr>
            <w:rStyle w:val="InternetLink"/>
            <w:rFonts w:ascii="Times New Roman PS Std;serif" w:hAnsi="Times New Roman PS Std;serif"/>
            <w:b w:val="false"/>
            <w:i w:val="false"/>
            <w:caps w:val="false"/>
            <w:smallCaps w:val="false"/>
            <w:sz w:val="20"/>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 as such principal risks may be supplemented from time to time, which is incorporated by reference herein. The specific risks applicable to a particular offering of Securities will be set forth in the related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5006"/>
      <w:bookmarkEnd w:id="24"/>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including the documents we incorporate by reference herein, contains forward-looking statements that involve substantial risks and uncertainties. These forward-looking statements are not historical facts, but rather are based on current expectations, estimates and projections about Oxford Lane Capital Corp.,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in this prospectus involve risks and uncertainties, including statements as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 including our ability to achieve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prospects and the prospects of a CLO vehicle’s portfolio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investments that we expect to make;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contractual arrangements and relationships with third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and our ability to access alternative debt markets and additional debt and equity capital;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a CLO vehicle’s portfolio companies to achieve their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valuation of our investments in CLOs, particularly those having no liquid trading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expected financings and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Oxford Lane Management to locate suitable investments for us and to monitor and administer our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adequacy of our cash resources and working capital;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cash flows, if any, from our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economic downturn could impair the ability of a CLO vehicle’s portfolio companies to continue to operate, which could lead to the loss of some or all of our investment in such CLO vehicle;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contraction of available credit and/or an inability to access the equity markets could impair our investment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interest rate volatility could adversely affect our results, particularly if we elect to use leverage as part of our investment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fluctuations could adversely affect the results of our investments in foreign companies, particularly to the extent that we receive payments denominated in foreign currency rather than U.S. dollars;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information technology system failures, data security breaches, data privacy compliance, network disruptions and cybersecurity attacks;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uncertainties and other factors we identify in “Risk Factors” and elsewhere in this prospectus and in our filings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and elsewhere in this prospectus, as well as in any of our subsequent SEC filings.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However, we will update this prospectus, and the documents that we incorporate by reference herein, to reflect any material changes to the information contained herein. The forward-looking statements contained in this prospectus, including the documents that we incorporate by reference herein, are excluded from the safe harbor protection provided by Section 27A of the Securities Act of 1933, as amended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5007"/>
      <w:bookmarkEnd w:id="25"/>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from the sale of our securities pursuant to this prospectus for acquiring investments in accordance with our investment objective and strategies described in this prospectus and for general working capital purposes. We may also pay operating expenses, including advisory and administrative fees and expenses, and may pay other expenses such as due diligence expenses of potential new investments, from the net proceeds of any offering conducted pursuant to this prospectus. We may choose to use the proceeds from any offering to pay distributions, in which case all or part of the distribution could be considered a return of capital if total distributions exceed the Company’s net investment income. Finally, we may also pay down any existing indebtedness and/or redeem outstanding shares of our preferred stock or notes using the proceeds from any offering. We anticipate that substantially all of the net proceeds of any such offering will be used for the above purposes within approximately three months from the consummation of such offering, depending on the availability of appropriate investment opportunities consistent with our investment objective and market conditions. We cannot assure you we will achieve our targeted investment pace.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such investments, we will invest the net proceeds primarily in cash, cash equivalents, U.S. government securities and other high-quality investments that mature in one year or less from the date of investment. The management fee payable by us will not be reduced while our assets are invested in such securities. See “Regulation as a Registered Closed-End Management Investment Company — Temporary Investments” for additional information about temporary investments we may make while waiting to make longer-term investments in pursuit of our investment objective. Any supplement to this prospectus relating to an offering conducted pursuant to this prospectus will more fully identify the use of the proceeds from such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5008"/>
      <w:bookmarkEnd w:id="26"/>
      <w:r>
        <w:rPr>
          <w:rFonts w:ascii="Times New Roman PS Std;serif" w:hAnsi="Times New Roman PS Std;serif"/>
          <w:b/>
          <w:i w:val="false"/>
          <w:caps w:val="false"/>
          <w:smallCaps w:val="false"/>
          <w:sz w:val="20"/>
        </w:rPr>
        <w:t xml:space="preserve">PRICE RANGE OF COMMON STOCK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following information is qualified by reference to, and should be read in conjunction with, the information in our most recent </w:t>
      </w:r>
      <w:hyperlink r:id="rId20">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2024, filed with the SEC on May 17, 2024 and our most recent </w:t>
      </w:r>
      <w:hyperlink r:id="rId21">
        <w:r>
          <w:rPr>
            <w:rStyle w:val="InternetLink"/>
            <w:rFonts w:ascii="Times New Roman PS Std;serif" w:hAnsi="Times New Roman PS Std;serif"/>
            <w:b w:val="false"/>
            <w:i w:val="false"/>
            <w:caps w:val="false"/>
            <w:smallCaps w:val="false"/>
            <w:sz w:val="20"/>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 regarding the price range of our common stock, distributions and stockholders of record, which is incorporated by reference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traded on the NASDAQ Global Select Market under the symbol “OXLC.” The following table sets forth, for each fiscal quarter during the last two fiscal years and the current fiscal year to date, the net asset value, or “NAV,” per share of our common stock, the high and low intraday sales prices for our common stock, such sales prices as a percentage of NAV per share and quarterly distributions per share.</w:t>
      </w:r>
    </w:p>
    <w:tbl>
      <w:tblPr>
        <w:tblW w:w="10205" w:type="dxa"/>
        <w:jc w:val="left"/>
        <w:tblInd w:w="0" w:type="dxa"/>
        <w:tblLayout w:type="fixed"/>
        <w:tblCellMar>
          <w:top w:w="0" w:type="dxa"/>
          <w:left w:w="0" w:type="dxa"/>
          <w:bottom w:w="0" w:type="dxa"/>
          <w:right w:w="0" w:type="dxa"/>
        </w:tblCellMar>
      </w:tblPr>
      <w:tblGrid>
        <w:gridCol w:w="2597"/>
        <w:gridCol w:w="146"/>
        <w:gridCol w:w="286"/>
        <w:gridCol w:w="586"/>
        <w:gridCol w:w="146"/>
        <w:gridCol w:w="286"/>
        <w:gridCol w:w="586"/>
        <w:gridCol w:w="146"/>
        <w:gridCol w:w="286"/>
        <w:gridCol w:w="586"/>
        <w:gridCol w:w="146"/>
        <w:gridCol w:w="798"/>
        <w:gridCol w:w="472"/>
        <w:gridCol w:w="146"/>
        <w:gridCol w:w="774"/>
        <w:gridCol w:w="496"/>
        <w:gridCol w:w="146"/>
        <w:gridCol w:w="433"/>
        <w:gridCol w:w="1143"/>
      </w:tblGrid>
      <w:tr>
        <w:trPr/>
        <w:tc>
          <w:tcPr>
            <w:tcW w:w="2597"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87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br/>
              <w:t>NAV(1)</w:t>
            </w:r>
          </w:p>
        </w:tc>
        <w:tc>
          <w:tcPr>
            <w:tcW w:w="146" w:type="dxa"/>
            <w:vMerge w:val="restart"/>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Price Range</w:t>
            </w:r>
          </w:p>
        </w:tc>
        <w:tc>
          <w:tcPr>
            <w:tcW w:w="146" w:type="dxa"/>
            <w:tcBorders/>
            <w:vAlign w:val="bottom"/>
          </w:tcPr>
          <w:p>
            <w:pPr>
              <w:pStyle w:val="TableContents"/>
              <w:bidi w:val="0"/>
              <w:spacing w:before="0" w:after="283"/>
              <w:jc w:val="left"/>
              <w:rPr/>
            </w:pPr>
            <w:r>
              <w:rPr/>
              <w:t> </w:t>
            </w:r>
          </w:p>
        </w:tc>
        <w:tc>
          <w:tcPr>
            <w:tcW w:w="1270"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Premium/ </w:t>
              <w:br/>
              <w:t xml:space="preserve">(Discount) </w:t>
              <w:br/>
              <w:t xml:space="preserve">of High </w:t>
              <w:br/>
              <w:t xml:space="preserve">Sales Price </w:t>
              <w:br/>
              <w:t>to NAV(2)</w:t>
            </w:r>
          </w:p>
        </w:tc>
        <w:tc>
          <w:tcPr>
            <w:tcW w:w="146" w:type="dxa"/>
            <w:vMerge w:val="restart"/>
            <w:tcBorders/>
            <w:vAlign w:val="bottom"/>
          </w:tcPr>
          <w:p>
            <w:pPr>
              <w:pStyle w:val="TableContents"/>
              <w:bidi w:val="0"/>
              <w:spacing w:before="0" w:after="283"/>
              <w:jc w:val="left"/>
              <w:rPr/>
            </w:pPr>
            <w:r>
              <w:rPr/>
              <w:t> </w:t>
            </w:r>
          </w:p>
        </w:tc>
        <w:tc>
          <w:tcPr>
            <w:tcW w:w="1270"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Premium/ </w:t>
              <w:br/>
              <w:t xml:space="preserve">(Discount) </w:t>
              <w:br/>
              <w:t xml:space="preserve">of Low </w:t>
              <w:br/>
              <w:t xml:space="preserve">Sales Price </w:t>
              <w:br/>
              <w:t>to NAV(2)</w:t>
            </w:r>
          </w:p>
        </w:tc>
        <w:tc>
          <w:tcPr>
            <w:tcW w:w="146" w:type="dxa"/>
            <w:vMerge w:val="restart"/>
            <w:tcBorders/>
            <w:vAlign w:val="bottom"/>
          </w:tcPr>
          <w:p>
            <w:pPr>
              <w:pStyle w:val="TableContents"/>
              <w:bidi w:val="0"/>
              <w:spacing w:before="0" w:after="283"/>
              <w:jc w:val="left"/>
              <w:rPr/>
            </w:pPr>
            <w:r>
              <w:rPr/>
              <w:t> </w:t>
            </w:r>
          </w:p>
        </w:tc>
        <w:tc>
          <w:tcPr>
            <w:tcW w:w="157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Distributions </w:t>
              <w:br/>
              <w:t>Per Share(3)</w:t>
            </w:r>
          </w:p>
        </w:tc>
      </w:tr>
      <w:tr>
        <w:trPr/>
        <w:tc>
          <w:tcPr>
            <w:tcW w:w="2597"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1270"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70"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76" w:type="dxa"/>
            <w:gridSpan w:val="2"/>
            <w:vMerge w:val="continue"/>
            <w:tcBorders/>
            <w:vAlign w:val="bottom"/>
          </w:tcPr>
          <w:p>
            <w:pPr>
              <w:pStyle w:val="Normal"/>
              <w:bidi w:val="0"/>
              <w:jc w:val="left"/>
              <w:rPr/>
            </w:pPr>
            <w:r>
              <w:rPr/>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shd w:fill="CCEEFF" w:val="clear"/>
            <w:vAlign w:val="bottom"/>
          </w:tcPr>
          <w:p>
            <w:pPr>
              <w:pStyle w:val="TableContents"/>
              <w:bidi w:val="0"/>
              <w:spacing w:before="0" w:after="283"/>
              <w:jc w:val="left"/>
              <w:rPr/>
            </w:pPr>
            <w:r>
              <w:rPr/>
              <w:t> </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 (through November 5,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0.270</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0.270</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0.240</w:t>
            </w:r>
          </w:p>
        </w:tc>
      </w:tr>
      <w:tr>
        <w:trPr/>
        <w:tc>
          <w:tcPr>
            <w:tcW w:w="25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shd w:fill="CCEEFF" w:val="clear"/>
            <w:vAlign w:val="bottom"/>
          </w:tcPr>
          <w:p>
            <w:pPr>
              <w:pStyle w:val="TableContents"/>
              <w:bidi w:val="0"/>
              <w:spacing w:before="0" w:after="283"/>
              <w:jc w:val="left"/>
              <w:rPr/>
            </w:pPr>
            <w:r>
              <w:rPr/>
              <w:t> </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0.240</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0.240</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0.240</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r>
        <w:trPr/>
        <w:tc>
          <w:tcPr>
            <w:tcW w:w="25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shd w:fill="CCEEFF" w:val="clear"/>
            <w:vAlign w:val="bottom"/>
          </w:tcPr>
          <w:p>
            <w:pPr>
              <w:pStyle w:val="TableContents"/>
              <w:bidi w:val="0"/>
              <w:spacing w:before="0" w:after="283"/>
              <w:jc w:val="left"/>
              <w:rPr/>
            </w:pPr>
            <w:r>
              <w:rPr/>
              <w:t> </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left"/>
              <w:rPr/>
            </w:pPr>
            <w:r>
              <w:rPr/>
              <w:t> </w:t>
            </w:r>
          </w:p>
        </w:tc>
        <w:tc>
          <w:tcPr>
            <w:tcW w:w="47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3" w:type="dxa"/>
            <w:tcBorders/>
            <w:vAlign w:val="bottom"/>
          </w:tcPr>
          <w:p>
            <w:pPr>
              <w:pStyle w:val="TableContents"/>
              <w:bidi w:val="0"/>
              <w:spacing w:before="0" w:after="283"/>
              <w:jc w:val="left"/>
              <w:rPr/>
            </w:pPr>
            <w:r>
              <w:rPr/>
              <w:t> </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r>
        <w:trPr/>
        <w:tc>
          <w:tcPr>
            <w:tcW w:w="2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146"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r>
        <w:trPr/>
        <w:tc>
          <w:tcPr>
            <w:tcW w:w="2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w:t>
            </w:r>
          </w:p>
        </w:tc>
        <w:tc>
          <w:tcPr>
            <w:tcW w:w="146" w:type="dxa"/>
            <w:tcBorders/>
            <w:vAlign w:val="bottom"/>
          </w:tcPr>
          <w:p>
            <w:pPr>
              <w:pStyle w:val="TableContents"/>
              <w:bidi w:val="0"/>
              <w:spacing w:before="0" w:after="283"/>
              <w:jc w:val="left"/>
              <w:rPr/>
            </w:pPr>
            <w:r>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Calculated as the respective high or low sales price divided by NAV and subtracting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the cash distributions, including dividends, dividends reinvested and returns of capital, if any, per share that we have declared on our common stock in the specified quarter.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Not determinable at the time of filing.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5, 2024, the last reported sales price of our common stock was $5.30 per share. As of November 5, 2024, we had 129 holders of record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closed-end management investment companies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As of November 5, 2024, our shares of common stock traded at a premium equal to approximately 11.3% of our net asset value per share as of September 30, 2024. It is not possible to predict whether the shares offered hereby will trade at, above, or below net asset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5009"/>
      <w:bookmarkEnd w:id="27"/>
      <w:r>
        <w:rPr>
          <w:rFonts w:ascii="Times New Roman PS Std;serif" w:hAnsi="Times New Roman PS Std;serif"/>
          <w:b/>
          <w:i w:val="false"/>
          <w:caps w:val="false"/>
          <w:smallCaps w:val="false"/>
          <w:sz w:val="20"/>
        </w:rPr>
        <w:t xml:space="preserve">SENIOR SECURITIES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about our senior securities (including preferred stock, debt securities and other indebtedness) for the six months ended September 30, 2024 may be found in “Financial Highlights” of our most recent </w:t>
      </w:r>
      <w:hyperlink r:id="rId22">
        <w:r>
          <w:rPr>
            <w:rStyle w:val="InternetLink"/>
            <w:rFonts w:ascii="Times New Roman PS Std;serif" w:hAnsi="Times New Roman PS Std;serif"/>
            <w:b w:val="false"/>
            <w:i w:val="false"/>
            <w:caps w:val="false"/>
            <w:smallCaps w:val="false"/>
            <w:sz w:val="20"/>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 The information about our senior securities (including preferred stock, debt securities and other indebtedness) for each of the years ended March 31, 2024, 2023, 2022, 2021, 2020, 2019, 2018, 2017, 2016 and 2015 may be found in “Financial Highlights” of our most recent </w:t>
      </w:r>
      <w:hyperlink r:id="rId23">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2024, filed with the SEC on May 17, 2024, which is incorporated by reference herein. The reports of PricewaterhouseCoopers LLP, an independent registered public accounting firm, on the Senior Securities table as of March 31, 2024, 2023, 2022, 2021, 2020, 2019, 2018, 2017, 2016 and 2015, has been incorporated by reference as an exhibit to the registration statement of which this prospectus is a part.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5010"/>
      <w:bookmarkEnd w:id="28"/>
      <w:r>
        <w:rPr>
          <w:rFonts w:ascii="Times New Roman PS Std;serif" w:hAnsi="Times New Roman PS Std;serif"/>
          <w:b/>
          <w:i w:val="false"/>
          <w:caps w:val="false"/>
          <w:smallCaps w:val="false"/>
          <w:sz w:val="20"/>
        </w:rPr>
        <w:t xml:space="preserve">BUSINESS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closed-end management investment company that has registered as an investment company under the 1940 Act. Our investment objective is to maximize our portfolio’s risk-adjusted total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Loans and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ability to make distributions to our stockholders. Our financial results may be affected adversely if one or more of our significant equity or junior debt investments in such CLO vehicles defaults on its payment obligations or fails to perform as we expect.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“Risk Factors — Risks Related to Our Investments” in our most recent Annual Report and Semi-Annual Report on Form N-CSR to read about factors you should consider before investing in our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be subject to pass-through tax treatment as a RIC, and to eliminate our liability for corporate-level U.S. federal income tax on the income we distribute to our stockholders, we are required, under Subchapter M of the Code, to distribute to our stockholders on an annual basis at least 90% of our ordinary income and realized net short-term capital gains in excess of realized net long-term capital losses, if 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the extent that taxable earnings for any fiscal year are less than the amount of the distributions paid during the year, there would be a tax return of capital to stockholders. Distributions in excess of current and accumulated taxable earnings and profits will generally not be taxable to the stockholders, because a tax return of capital represents a return of a portion of a stockholder’s original investment in our common stock, net of fund fees and expenses, to the extent of a stockholder’s basis in our stock. Generally, a tax return of capital will reduce an investor’s basis in our stock for federal tax purposes, which will result in the stockholder recognizing additional gain (or less loss) when the stock is sold. Assuming that a stockholder holds our stock as a capital asset, any such additional gain would be a capital gain. </w:t>
      </w:r>
      <w:r>
        <w:rPr>
          <w:rFonts w:ascii="Times New Roman PS Std;serif" w:hAnsi="Times New Roman PS Std;serif"/>
          <w:b/>
          <w:i w:val="false"/>
          <w:caps w:val="false"/>
          <w:smallCaps w:val="false"/>
          <w:sz w:val="20"/>
        </w:rPr>
        <w:t>Stockholders should not assume that the source of all distributions is from our net profits and stockholders may periodically receive the payment of a distribution consisting of a return of capital.</w:t>
      </w:r>
      <w:r>
        <w:rPr>
          <w:rFonts w:ascii="Times New Roman PS Std;serif" w:hAnsi="Times New Roman PS Std;serif"/>
          <w:b w:val="false"/>
          <w:i w:val="false"/>
          <w:caps w:val="false"/>
          <w:smallCaps w:val="false"/>
          <w:sz w:val="20"/>
        </w:rPr>
        <w:t xml:space="preserve"> The tax character of any distributions will be determined after the end of the fiscal year. Tax matters are very complicated and the tax consequences to an investor of an investment in our shares will depend on the facts of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is subject to significant and variable differences between its accounting income under GAAP and its taxable income particularly as it relates to our CLO equity investments. We invest in CLO entities which generally constitute PFICs and which are subject to complex tax rules; the calculation of taxable income attributed to a CLO equity investment can be dramatically different from the calculation of income for financial reporting purposes under GAAP. Taxable income is based upon the distributable share of earnings as determined under tax regulations for each CLO equity investment, which may be consistent with the cash flows generated by those investments (although significant differences are possible), while accounting income is currently based upon an effective yield calculation (this requires the calculation of a yield to expected redemption date based upon an estimation of the amount and timing of future cash flows, including recurring cash flows as well as future principal repayments). Our final taxable earnings for the fiscal year ended March 31, 2024 will not be known until our tax returns are filed but our experience has been that cash flows from CLO equity investments have historically represented a generally reasonable estimate of taxable earnings; however, we can offer no assurance that will be the case in the future, particularly during periods of market disruption and volatility. There may be significant differences between Oxford Lane Capital’s GAAP earnings and its taxable earnings, particularly related to CLO equity investments where its taxable earnings are based upon the taxable reported earnings provided by the CLO equity positions in which we invest, while GAAP earnings are based are upon an effective yield calculation. In general, we currently expect our taxable earnings to be higher than its reportable GAAP earnings.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reportable GAAP income from our CLO equity investments for the fiscal year ended March 31, 2024 was approximately $182.4 million, we received or were entitled to receive approximately $301.7 million in distributions from our CLO equity investments. While the tax characterization of our distributions for the fiscal year ended March 31, 2024 will not be known until our tax returns are finalized, we expect that our taxable income will exceed our earnings and profits as determined under GAAP for this period. In general, we currently expect our annual taxable income to be higher than our GAAP earnings on the basis of the difference between cash distributions from CLO equity investments actually received or entitled to be received and the effective yield income calculated under GAAP. Our distribution policy is based upon our estimate of our taxable net investment income.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activities are managed by Oxford Lane Management, which is an investment adviser that has registered under the Advisers Act. Under our Investment Advisory Agreement with Oxford Lane Management, we have agreed to pay Oxford Lane Management an annual base management fee based on our gross assets, as well as an incentive fee based on our performance. See “Investment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benefit from the ability of Oxford Lane Management’s team to identify attractive opportunities, conduct diligence on and value prospective investments, negotiate terms where appropriate, and manage and monitor its portfolio. Oxford Lane Management’s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Cohen, Rosenthal and Kupka, together with the other members of Oxford Lane Management’s investment team, have developed an infrastructure that we believe provides Oxford Lane Capital with a competitive advantage in locating and acquiring attractive CLO investments. In particular, in addition to our portfolio, the members of Oxford Lane Management’s investment team currently manage the portfolios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Oxford Square Capital Corp.</w:t>
      </w:r>
      <w:r>
        <w:rPr>
          <w:rFonts w:ascii="Times New Roman PS Std;serif" w:hAnsi="Times New Roman PS Std;serif"/>
          <w:b w:val="false"/>
          <w:i w:val="false"/>
          <w:caps w:val="false"/>
          <w:smallCaps w:val="false"/>
          <w:sz w:val="20"/>
        </w:rPr>
        <w:t>, a NASDAQ Global Select Market-listed business development company with approximately $312.9 million in gross assets as of September 30, 2024, which is managed by Oxford Square Management, LLC.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Oxford Park Income Fund, Inc.</w:t>
      </w:r>
      <w:r>
        <w:rPr>
          <w:rFonts w:ascii="Times New Roman PS Std;serif" w:hAnsi="Times New Roman PS Std;serif"/>
          <w:b w:val="false"/>
          <w:i w:val="false"/>
          <w:caps w:val="false"/>
          <w:smallCaps w:val="false"/>
          <w:sz w:val="20"/>
        </w:rPr>
        <w:t>, a non-traded, closed-end management investment company that is registered under the 1940 Act, with approximately $12.8 million in gross assets as of August 31, 2024, which is managed by Oxford Park Management, LLC.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Oxford Bridge II, LLC</w:t>
      </w:r>
      <w:r>
        <w:rPr>
          <w:rFonts w:ascii="Times New Roman PS Std;serif" w:hAnsi="Times New Roman PS Std;serif"/>
          <w:b w:val="false"/>
          <w:i w:val="false"/>
          <w:caps w:val="false"/>
          <w:smallCaps w:val="false"/>
          <w:sz w:val="20"/>
        </w:rPr>
        <w:t>, a private investment fund with approximately $24.5 million in gross assets as of September 30, 2024, which is managed by Oxford Gate Management, LLC.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The Oxford Gate Funds</w:t>
      </w:r>
      <w:r>
        <w:rPr>
          <w:rFonts w:ascii="Times New Roman PS Std;serif" w:hAnsi="Times New Roman PS Std;serif"/>
          <w:b w:val="false"/>
          <w:i w:val="false"/>
          <w:caps w:val="false"/>
          <w:smallCaps w:val="false"/>
          <w:sz w:val="20"/>
        </w:rPr>
        <w:t>, private investment funds with approximately $129.0 million in gross assets as of September 30, 2024, which is managed by Oxford Gate Management,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2004, in the course of managing those existing portfolios, the members of Oxford Lane Management’s investment team have historically evaluated and invested primarily in a combination of bilateral and syndicated Senior Loans and structured finance vehicles, with the objective of producing high risk-adjusted returns primarily in the form of current income. From January 2011 through September 30, 2024, the members of Oxford Lane Management’s investment team have invested, either through the Company or affiliated funds, an aggregate of approximately $8.7 billion in 1,280 primary and secondary CLO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executive officers and directors, as well as the current and future members of Oxford Lane Management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Each of Oxford Square Capital Corp., Oxford Park Income Fund, Inc., Oxford Bridge II, LLC and the Oxford Gate Funds, as well as any affiliated investment vehicle formed in the future and managed by Oxford Lane Management or its affiliates may, notwithstanding different stated investment objectives, have overlapping investment objectives with our own and, accordingly, may invest in asset classes similar to those targeted by us. As a result, Oxford Lane Management may face conflicts in allocating investment opportunities between us and such other entities. Although Oxford Lane Management endeavors to allocate investment opportunities in a fair and equitable manner, we may not be given the opportunity to participate in investments made by investment funds, including Oxford Square Capital Corp., Oxford Park Income Fund, Inc., Oxford Bridge II LLC and the Oxford Gate Funds, managed by Oxford Lane Management or an investment adviser affiliated with Oxford Lane Management. In any such case, when Oxford Lane Management’s investment team identifies an investment, it will be required to choose which investment fund should make the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certain instances, we may co-invest on a concurrent basis with affiliates of Oxford Lane Management, subject to compliance with applicable regulations and regulatory guidance and our written allocation procedures. Such co-investment may require exemptive relief from the SEC.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reimburse Oxford Funds, an affiliate of Oxford Lane Management, our allocable portion of overhead and other expenses incurred by Oxford Funds in performing its obligations under the Administration Agreement, including rent, the fees and expenses associated with performing administrative functions, and our allocable portion of the compensation of our Chief Financial Officer and administrative support staff, including accounting personnel. We will also pay indirectly the costs associated with the functions performed by our Chief Compliance Officer under the terms of an agreement between us and ACA. These arrangements may create conflicts of interest that our Board of Directors must monitor.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Focus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maximize our portfolio’s risk-adjusted total return. Our current focus is to seek that return by investing in structured finance investments, specifically the equity and junior debt tranches of CLO vehicles, which are collateralized primarily by a diverse portfolio of Senior Loans, and which generally have very little or no exposure to real estate loans, or mortgage loans or to pools of consumer-based debt, such as credit card receivables or auto loans. As of September 30, 2024, we held equity investments in 221 different CLO structures and debt investments in 19 different CLO structures. Our investment strategy also includes investing in warehouse facilities, which are financing structures intended to aggregate Senior Loans that may be used to form the basis of a CLO vehicle. We may also invest, on an opportunistic basis, in a variety of other types of corporate credits.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 investments we currently hold in our portfolio generally represent either a residual economic interest, in the case of an equity tranche, or a debt investment collateralized by a portfolio of Senior Loans and other CLO Assets. The value of our CLO investments generally depend on both the quality and nature of the underlying portfolio it references and also on the specific structural characteristics of the CLO itself.</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CLO Structural Elements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diagram below is for illustrative purposes only. The CLO structure highlighted below is illustrative only and depicts structures among CLO vehicles in which we may invest may vary substantially from the illustrative example set forth below.</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1005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4"/>
                    <a:stretch>
                      <a:fillRect/>
                    </a:stretch>
                  </pic:blipFill>
                  <pic:spPr bwMode="auto">
                    <a:xfrm>
                      <a:off x="0" y="0"/>
                      <a:ext cx="4210050" cy="20574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typically invest in the equity tranches, which are not rated, and to a lesser extent the “B” and “BB” tranches of CLO vehicles. As of September 30, 2024, 89.0% of our portfolio on a fair value basis was invested in the equity tranches of CLO vehicles.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Syndicated Senior Loan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while the syndicated leveraged corporate loan market is relatively large, with Standard and Poor’s estimating the total par value outstanding at approximately $1.4 trillion as of September 30, 2024,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Senior Loan market is characterized by various factors,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Floating rate instruments.    </w:t>
      </w:r>
      <w:r>
        <w:rPr>
          <w:rFonts w:ascii="Times New Roman PS Std;serif" w:hAnsi="Times New Roman PS Std;serif"/>
          <w:b w:val="false"/>
          <w:i w:val="false"/>
          <w:caps w:val="false"/>
          <w:smallCaps w:val="false"/>
          <w:sz w:val="20"/>
        </w:rPr>
        <w:t>Senior Loans and other types of CLO Assets typically contain a 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Frequency of interest payments.    </w:t>
      </w:r>
      <w:r>
        <w:rPr>
          <w:rFonts w:ascii="Times New Roman PS Std;serif" w:hAnsi="Times New Roman PS Std;serif"/>
          <w:b w:val="false"/>
          <w:i w:val="false"/>
          <w:caps w:val="false"/>
          <w:smallCaps w:val="false"/>
          <w:sz w:val="20"/>
        </w:rPr>
        <w:t>Senior Loans and other CLO Assets typically provide for scheduled interest payments no less frequently than quarterly.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market for CLO-related assets provides us with opportunities to generate attractive risk-adjusted returns over the long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Selection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investment team is responsible for all aspects of our investment process. Oxford Lane Management’s senior investment team currently consists of Messrs. Cohen, Rosenthal and Kupka, and Messrs. Cohen and Rosenthal serve as members of the investment committee of Oxford Lane Management. While the investment strategy involves a team approach, whereby potential transactions are screened by various members of the investment team, Messrs. Cohen or Rosenthal must approve all investments in order for them to close. See “Portfolio Management.” The stages of our investment selection process are as follows: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Deal Sourcing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Deal sourcing is generally conducted through brokers and bankers, and may also be sourced through industry contacts, CLO vehicle sponsors and investors. We believe that we currently have an active pipeline of deal flow, particularly through multiple CLO trading desks.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Screening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screening potential investments in CLO vehicles, Oxford Lane Management’s investment team utilizes a similar income-oriented investment philosophy they employ in their work managing other CLO investments at Oxford Square Capital Corp. and Oxford Park Income Fund, Inc.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Identification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identify opportunities in the CLO market through our network of brokers, dealers, agent banks, collateral mangers and sponsors. We believe that we have developed an infrastructure that provides us with a competitive advantage in locating and acquiring attractive CLO opportunities. We believe that we also have an active pipeline of deal flow, particularly through multiple CLO trading desks. The CLO vehicles which we focus on are collateralized primarily by senior secured loans made to companies whose debt is unrated or is rated below investment grade, and generally have very little or no direct exposure to real estate, mortgage loans or to pools of consumer-based debt, such as credit card receivables or auto loans. In screening potential investments in CLO vehicles, our due diligence process generally includes a review of current financial information and projections, review of collateral quality, concentration limitation and coverage test ratios, and a review of the prospective investment’s capital structure and the terms and conditions.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Due Diligence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investment team conducts due diligence on prospective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due diligence process generally includes some or all of the following elements: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indenture structures;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underlying collateral loans;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of projected future cash flows;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of compliance with covenants.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due diligence, the investment professionals present the opportunity to Oxford Lane Management’s investment committee, which then determines whether to proceed with the potential investment. Any fees and expenses incurred by Oxford Lane Management in connection with due diligence investigations undertaken by third parties will be subject to reimbursement by the Company, which reimbursements will be in addition to any management or incentive fees payable under our Investment Advisory Agreement to Oxford Lane Management. While the investment strategy involves a team approach, we may not enter into a transaction without the prior approval of either Messrs. Cohen or Rosenthal.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Ongoing Relationships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Monitoring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monitors our investments on an ongoing basis. Oxford Lane Management has several methods of monitoring the performance and value of our investments, which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pricing data and indicative bids for recent transactions in our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comparisons to other Senior Loans and CLO vehicles;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available financial reports for our investments.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Valuation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most significant estimate inherent in the preparation of our financial statements is the valuation of investments and the related amounts of unrealized appreciation and depreciation of investments recorded. We believe that there is no single best method for determining fair value in good faith. As a result, determining fair value requires that judgment be applied to the specific facts and circumstances of each portfolio investment while employing a consistently applied valuation process for the types of investments we make. We are required to specifically fair value each individual investment on a quarterly basis. See “Determination of Net Asset Value — Quarterly Net Asset Value Determination.”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determines the value of our investment portfolio each quarter, after consideration of our Valuation Committee’s recommendation of fair value. Oxford Lane Management compiles the relevant information, including a financial summary, recent trading activity in the security, if known, price indications from third-party pricing services and recent purchases and sales known to Oxford Lane Management in similar securities. All available information, including non-binding indicative bids and indicative indications of pricing from a third-party pricing service, which may not be considered reliable, will be considered by us and/or the Valuation Committee. In some instances, there may be limited trading activity in a security even though the market for the security is considered not active. In such cases we and/or the Valuation Committee will consider the number of trades, the size and timing of each trade, and other circumstances around such trades, to the extent such information is available. We may elect to engage third-party valuation firms to provide assistance to the Valuation Committee and Board of Directors in valuing certain of our investments. The Valuation Committee will evaluate the impact of such additional information, and factor it into its consideration of fair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compete for investments with other investment funds (including private equity funds, mezzanine funds and business development companies), as well as traditional financial services companies such as commercial banks, investment banks, finance companies and other sources of funding. Additionally, because competition for investment opportunities generally has increased among alternative investment vehicles, such as hedge funds, those entities have begun to invest in areas they have not traditionally invested in, including CLO vehicles. As a result of these new entrants, competition for investment opportunities in CLO vehicles may intensify. Many of these entities have greater financial and managerial resources than we do. We believe we are able to compete with these entities primarily on the basis of the experience and contacts of Oxford Lane Management, and our responsive and efficient investment analysis and decision-making processes.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Staffing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currently have any employees. Our day-to-day investment operations are managed by 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reimburse Oxford Funds for our allocable portion of overhead and other expenses incurred by it in performing its obligations under the Administration Agreement, including rent, the fees and expenses associated with performing administrative functions, and the compensation of our Chief Financial Officer and any administrative support staff, including accounting personnel. See “Administration Agreement.” We will also pay indirectly the costs associated with the functions performed by our Chief Compliance Officer under the terms of an agreement between us and ACA.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offices are located at 8 Sound Shore Drive, Suite 255, Greenwich, CT 06830, and are provided by Oxford Funds in accordance with the terms of the Administration Agreement. We believe that our office facilities are suitable and adequate for our business as it is contemplated to be conducted.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Oxford Lane Capital nor Oxford Lane Management is currently subject to any material legal proceedings, nor, to our knowledge, is any material legal proceeding threatened against Oxford Lane Capital or Oxford Lane Management. From time to time, Oxford Lane Capital or Oxford Lane Management may be a party to certain legal proceedings in the ordinary course of business, including proceedings relating to the enforcement of our rights under contracts with our portfolio companies. While the outcome of these legal proceedings cannot be predicted, we do not expect that these proceedings will have a material adverse effect upon Oxford Lane Capital or Oxford Lane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5011"/>
      <w:bookmarkEnd w:id="29"/>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in the sections titled “Election of Directors” and “Corporate Governance” in our most recent definitive proxy statement on </w:t>
      </w:r>
      <w:hyperlink r:id="rId25">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filed with the SEC on September 6, 2024, for our annual meeting of stockholders (the “Annual Proxy Statement”) and the information in “Management” in our most recent </w:t>
      </w:r>
      <w:hyperlink r:id="rId26">
        <w:r>
          <w:rPr>
            <w:rStyle w:val="InternetLink"/>
            <w:rFonts w:ascii="Times New Roman PS Std;serif" w:hAnsi="Times New Roman PS Std;serif"/>
            <w:b w:val="false"/>
            <w:i w:val="false"/>
            <w:caps w:val="false"/>
            <w:smallCaps w:val="false"/>
            <w:sz w:val="20"/>
            <w:u w:val="single"/>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5012"/>
      <w:bookmarkEnd w:id="30"/>
      <w:r>
        <w:rPr>
          <w:rFonts w:ascii="Times New Roman PS Std;serif" w:hAnsi="Times New Roman PS Std;serif"/>
          <w:b/>
          <w:i w:val="false"/>
          <w:caps w:val="false"/>
          <w:smallCaps w:val="false"/>
          <w:sz w:val="20"/>
        </w:rPr>
        <w:t xml:space="preserve">PORTFOLIO MANAGEMENT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our investment portfolio is the responsibility of Oxford Lane Management, and its investment committee, which currently consists of Jonathan H. Cohen, our Chief Executive Officer and Saul B. Rosenthal, our President. Oxford Lane Management’s investment committee must approve each new investment that we make. The members of Oxford Lane Management’s investment committee are not employed by us, and receive no compensation from us in connection with their portfolio management activities. Messrs. Cohen and Rosenthal, through their ownership of Oxford Funds, the managing member of Oxford Lane Management, are entitled to a portion of any investment advisory fees paid by us to 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Oxford Lane Management currently provides portfolio management services only to us, we do not believe there are any conflicts of interests with respect to Oxford Lane Management’s management of our portfolio on the one hand, and the management of other accounts or investment vehicles by Oxford Lane Management on the other. However, Mr. Cohen currently serves as Chief Executive Officer and Mr. Rosenthal currently serves as President of Oxford Square Capital Corp., a publicly-traded business development company that invests principally in the debt of U.S.-based companies and to a lesser extent in CLO debt and equity securities, and Oxford Park Income Fund, Inc., a non-traded registered closed-end fund that invests principally in CLO debt and equity securities. Messrs, Cohen and Rosenthal also serve in the same positions at Oxford Square Management, LLC, the investment adviser to Oxford Square Capital Corp., and Oxford Park Management, LLC, the investment adviser to Oxford Park Income Fund, Inc. As a result, Messrs. Cohen and Rosenthal may be subject to certain conflicts of interests with respect to their management of our portfolio on the one hand, and their respective obligations to manage Oxford Square Capital Corp. and Oxford Park Income Fund, Inc. on the other hand. Mr. Cohen also serves as the Chief Executive Officer of Oxford Gate Management, LLC, the investment adviser to Oxford Bridge II, LLC and the Oxford Gate Funds. Oxford Bridge II, LLC and the Oxford Gate Funds are private investment funds. Mr. Rosenthal has also served as President of Oxford Gate Management, LLC, the investment adviser to the Oxford Gate Funds and Oxford Bridge II,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additional information regarding the additional entities currently managed by Messrs. Cohen and Rosenthal:</w:t>
      </w:r>
    </w:p>
    <w:tbl>
      <w:tblPr>
        <w:tblW w:w="10205" w:type="dxa"/>
        <w:jc w:val="left"/>
        <w:tblInd w:w="0" w:type="dxa"/>
        <w:tblLayout w:type="fixed"/>
        <w:tblCellMar>
          <w:top w:w="0" w:type="dxa"/>
          <w:left w:w="0" w:type="dxa"/>
          <w:bottom w:w="0" w:type="dxa"/>
          <w:right w:w="0" w:type="dxa"/>
        </w:tblCellMar>
      </w:tblPr>
      <w:tblGrid>
        <w:gridCol w:w="1566"/>
        <w:gridCol w:w="146"/>
        <w:gridCol w:w="2021"/>
        <w:gridCol w:w="146"/>
        <w:gridCol w:w="4063"/>
        <w:gridCol w:w="146"/>
        <w:gridCol w:w="226"/>
        <w:gridCol w:w="1381"/>
        <w:gridCol w:w="510"/>
      </w:tblGrid>
      <w:tr>
        <w:trPr/>
        <w:tc>
          <w:tcPr>
            <w:tcW w:w="15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2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Entity</w:t>
            </w:r>
          </w:p>
        </w:tc>
        <w:tc>
          <w:tcPr>
            <w:tcW w:w="146" w:type="dxa"/>
            <w:tcBorders/>
            <w:vAlign w:val="bottom"/>
          </w:tcPr>
          <w:p>
            <w:pPr>
              <w:pStyle w:val="TableContents"/>
              <w:bidi w:val="0"/>
              <w:spacing w:before="0" w:after="283"/>
              <w:jc w:val="left"/>
              <w:rPr/>
            </w:pPr>
            <w:r>
              <w:rPr/>
              <w:t> </w:t>
            </w:r>
          </w:p>
        </w:tc>
        <w:tc>
          <w:tcPr>
            <w:tcW w:w="40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 Focus</w:t>
            </w:r>
          </w:p>
        </w:tc>
        <w:tc>
          <w:tcPr>
            <w:tcW w:w="146" w:type="dxa"/>
            <w:tcBorders/>
            <w:vAlign w:val="bottom"/>
          </w:tcPr>
          <w:p>
            <w:pPr>
              <w:pStyle w:val="TableContents"/>
              <w:bidi w:val="0"/>
              <w:spacing w:before="0" w:after="283"/>
              <w:jc w:val="left"/>
              <w:rPr/>
            </w:pPr>
            <w:r>
              <w:rPr/>
              <w:t> </w:t>
            </w:r>
          </w:p>
        </w:tc>
        <w:tc>
          <w:tcPr>
            <w:tcW w:w="211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 Assets</w:t>
            </w:r>
          </w:p>
        </w:tc>
      </w:tr>
      <w:tr>
        <w:trPr/>
        <w:tc>
          <w:tcPr>
            <w:tcW w:w="15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Capital Corp.</w:t>
            </w:r>
          </w:p>
        </w:tc>
        <w:tc>
          <w:tcPr>
            <w:tcW w:w="146" w:type="dxa"/>
            <w:tcBorders/>
            <w:shd w:fill="CCEEFF" w:val="clear"/>
          </w:tcPr>
          <w:p>
            <w:pPr>
              <w:pStyle w:val="TableContents"/>
              <w:bidi w:val="0"/>
              <w:spacing w:before="0" w:after="283"/>
              <w:jc w:val="left"/>
              <w:rPr/>
            </w:pPr>
            <w:r>
              <w:rPr/>
              <w:t> </w:t>
            </w:r>
          </w:p>
        </w:tc>
        <w:tc>
          <w:tcPr>
            <w:tcW w:w="202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development Company</w:t>
            </w:r>
          </w:p>
        </w:tc>
        <w:tc>
          <w:tcPr>
            <w:tcW w:w="146" w:type="dxa"/>
            <w:tcBorders/>
            <w:shd w:fill="CCEEFF" w:val="clear"/>
          </w:tcPr>
          <w:p>
            <w:pPr>
              <w:pStyle w:val="TableContents"/>
              <w:bidi w:val="0"/>
              <w:spacing w:before="0" w:after="283"/>
              <w:jc w:val="left"/>
              <w:rPr/>
            </w:pPr>
            <w:r>
              <w:rPr/>
              <w:t> </w:t>
            </w:r>
          </w:p>
        </w:tc>
        <w:tc>
          <w:tcPr>
            <w:tcW w:w="406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Principally debt investments in U.S. based companies and, to a lesser extent, CLO debt and equity</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312.9 million</w:t>
            </w:r>
          </w:p>
        </w:tc>
        <w:tc>
          <w:tcPr>
            <w:tcW w:w="510" w:type="dxa"/>
            <w:tcBorders/>
            <w:shd w:fill="CCEEFF" w:val="clear"/>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15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Park Income Fund, Inc.</w:t>
            </w:r>
          </w:p>
        </w:tc>
        <w:tc>
          <w:tcPr>
            <w:tcW w:w="146" w:type="dxa"/>
            <w:tcBorders/>
          </w:tcPr>
          <w:p>
            <w:pPr>
              <w:pStyle w:val="TableContents"/>
              <w:bidi w:val="0"/>
              <w:spacing w:before="0" w:after="283"/>
              <w:jc w:val="left"/>
              <w:rPr/>
            </w:pPr>
            <w:r>
              <w:rPr/>
              <w:t> </w:t>
            </w:r>
          </w:p>
        </w:tc>
        <w:tc>
          <w:tcPr>
            <w:tcW w:w="20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Registered closed-end fund</w:t>
            </w:r>
          </w:p>
        </w:tc>
        <w:tc>
          <w:tcPr>
            <w:tcW w:w="146" w:type="dxa"/>
            <w:tcBorders/>
          </w:tcPr>
          <w:p>
            <w:pPr>
              <w:pStyle w:val="TableContents"/>
              <w:bidi w:val="0"/>
              <w:spacing w:before="0" w:after="283"/>
              <w:jc w:val="left"/>
              <w:rPr/>
            </w:pPr>
            <w:r>
              <w:rPr/>
              <w:t> </w:t>
            </w:r>
          </w:p>
        </w:tc>
        <w:tc>
          <w:tcPr>
            <w:tcW w:w="406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debt and equity</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 million</w:t>
            </w:r>
          </w:p>
        </w:tc>
        <w:tc>
          <w:tcPr>
            <w:tcW w:w="510" w:type="dxa"/>
            <w:tcBorders/>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 </w:t>
            </w:r>
          </w:p>
        </w:tc>
      </w:tr>
      <w:tr>
        <w:trPr/>
        <w:tc>
          <w:tcPr>
            <w:tcW w:w="156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Bridge II, LLC</w:t>
            </w:r>
          </w:p>
        </w:tc>
        <w:tc>
          <w:tcPr>
            <w:tcW w:w="146" w:type="dxa"/>
            <w:tcBorders/>
            <w:shd w:fill="CCEEFF" w:val="clear"/>
          </w:tcPr>
          <w:p>
            <w:pPr>
              <w:pStyle w:val="TableContents"/>
              <w:bidi w:val="0"/>
              <w:spacing w:before="0" w:after="283"/>
              <w:jc w:val="left"/>
              <w:rPr/>
            </w:pPr>
            <w:r>
              <w:rPr/>
              <w:t> </w:t>
            </w:r>
          </w:p>
        </w:tc>
        <w:tc>
          <w:tcPr>
            <w:tcW w:w="2021"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fund</w:t>
            </w:r>
          </w:p>
        </w:tc>
        <w:tc>
          <w:tcPr>
            <w:tcW w:w="146" w:type="dxa"/>
            <w:tcBorders/>
            <w:shd w:fill="CCEEFF" w:val="clear"/>
          </w:tcPr>
          <w:p>
            <w:pPr>
              <w:pStyle w:val="TableContents"/>
              <w:bidi w:val="0"/>
              <w:spacing w:before="0" w:after="283"/>
              <w:jc w:val="left"/>
              <w:rPr/>
            </w:pPr>
            <w:r>
              <w:rPr/>
              <w:t> </w:t>
            </w:r>
          </w:p>
        </w:tc>
        <w:tc>
          <w:tcPr>
            <w:tcW w:w="406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debt and equity</w:t>
            </w:r>
          </w:p>
        </w:tc>
        <w:tc>
          <w:tcPr>
            <w:tcW w:w="146" w:type="dxa"/>
            <w:tcBorders/>
            <w:shd w:fill="CCEEFF" w:val="clear"/>
          </w:tcPr>
          <w:p>
            <w:pPr>
              <w:pStyle w:val="TableContents"/>
              <w:bidi w:val="0"/>
              <w:spacing w:before="0" w:after="283"/>
              <w:jc w:val="left"/>
              <w:rPr/>
            </w:pPr>
            <w:r>
              <w:rPr/>
              <w:t> </w:t>
            </w:r>
          </w:p>
        </w:tc>
        <w:tc>
          <w:tcPr>
            <w:tcW w:w="22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 million</w:t>
            </w:r>
          </w:p>
        </w:tc>
        <w:tc>
          <w:tcPr>
            <w:tcW w:w="510" w:type="dxa"/>
            <w:tcBorders/>
            <w:shd w:fill="CCEEFF" w:val="clear"/>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156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Gate Master Fund, LLC</w:t>
            </w:r>
          </w:p>
        </w:tc>
        <w:tc>
          <w:tcPr>
            <w:tcW w:w="146" w:type="dxa"/>
            <w:tcBorders/>
          </w:tcPr>
          <w:p>
            <w:pPr>
              <w:pStyle w:val="TableContents"/>
              <w:bidi w:val="0"/>
              <w:spacing w:before="0" w:after="283"/>
              <w:jc w:val="left"/>
              <w:rPr/>
            </w:pPr>
            <w:r>
              <w:rPr/>
              <w:t> </w:t>
            </w:r>
          </w:p>
        </w:tc>
        <w:tc>
          <w:tcPr>
            <w:tcW w:w="202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fund</w:t>
            </w:r>
          </w:p>
        </w:tc>
        <w:tc>
          <w:tcPr>
            <w:tcW w:w="146" w:type="dxa"/>
            <w:tcBorders/>
          </w:tcPr>
          <w:p>
            <w:pPr>
              <w:pStyle w:val="TableContents"/>
              <w:bidi w:val="0"/>
              <w:spacing w:before="0" w:after="283"/>
              <w:jc w:val="left"/>
              <w:rPr/>
            </w:pPr>
            <w:r>
              <w:rPr/>
              <w:t> </w:t>
            </w:r>
          </w:p>
        </w:tc>
        <w:tc>
          <w:tcPr>
            <w:tcW w:w="406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debt and equity</w:t>
            </w:r>
          </w:p>
        </w:tc>
        <w:tc>
          <w:tcPr>
            <w:tcW w:w="146" w:type="dxa"/>
            <w:tcBorders/>
          </w:tcPr>
          <w:p>
            <w:pPr>
              <w:pStyle w:val="TableContents"/>
              <w:bidi w:val="0"/>
              <w:spacing w:before="0" w:after="283"/>
              <w:jc w:val="left"/>
              <w:rPr/>
            </w:pPr>
            <w:r>
              <w:rPr/>
              <w:t> </w:t>
            </w:r>
          </w:p>
        </w:tc>
        <w:tc>
          <w:tcPr>
            <w:tcW w:w="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 million</w:t>
            </w:r>
          </w:p>
        </w:tc>
        <w:tc>
          <w:tcPr>
            <w:tcW w:w="510" w:type="dxa"/>
            <w:tcBorders/>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Gross assets are calculated as of September 30,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Gross assets are calculated as of August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the gross assets of Oxford Gate, LLC and Oxford Gate (Bermuda), LLC.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 We consider Messrs. Cohen and Rosenthal to be the Company’s portfolio managers. Messrs. Cohen and Rosenthal are primarily responsible for the Company’s day-to-day investment management and the implementation of its investment strategy and process. The table below shows the dollar range of shares of our common stock to be beneficially owned by each of our portfolio managers as of November 5,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143" w:type="dxa"/>
        <w:jc w:val="left"/>
        <w:tblInd w:w="0" w:type="dxa"/>
        <w:tblLayout w:type="fixed"/>
        <w:tblCellMar>
          <w:top w:w="0" w:type="dxa"/>
          <w:left w:w="0" w:type="dxa"/>
          <w:bottom w:w="0" w:type="dxa"/>
          <w:right w:w="0" w:type="dxa"/>
        </w:tblCellMar>
      </w:tblPr>
      <w:tblGrid>
        <w:gridCol w:w="2911"/>
        <w:gridCol w:w="146"/>
        <w:gridCol w:w="2086"/>
      </w:tblGrid>
      <w:tr>
        <w:trPr/>
        <w:tc>
          <w:tcPr>
            <w:tcW w:w="29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Portfolio Manager</w:t>
            </w:r>
          </w:p>
        </w:tc>
        <w:tc>
          <w:tcPr>
            <w:tcW w:w="146" w:type="dxa"/>
            <w:tcBorders/>
            <w:vAlign w:val="bottom"/>
          </w:tcPr>
          <w:p>
            <w:pPr>
              <w:pStyle w:val="TableContents"/>
              <w:bidi w:val="0"/>
              <w:spacing w:before="0" w:after="283"/>
              <w:jc w:val="left"/>
              <w:rPr/>
            </w:pPr>
            <w:r>
              <w:rPr/>
              <w:t> </w:t>
            </w:r>
          </w:p>
        </w:tc>
        <w:tc>
          <w:tcPr>
            <w:tcW w:w="20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Range of </w:t>
              <w:br/>
              <w:t xml:space="preserve">Equity Securities </w:t>
              <w:br/>
              <w:t xml:space="preserve">in Oxford Lane </w:t>
              <w:br/>
              <w:t>Capital Corp.(1)(2)</w:t>
            </w:r>
          </w:p>
        </w:tc>
      </w:tr>
      <w:tr>
        <w:trPr/>
        <w:tc>
          <w:tcPr>
            <w:tcW w:w="29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shd w:fill="CCEEFF" w:val="clear"/>
            <w:vAlign w:val="bottom"/>
          </w:tcPr>
          <w:p>
            <w:pPr>
              <w:pStyle w:val="TableContents"/>
              <w:bidi w:val="0"/>
              <w:spacing w:before="0" w:after="283"/>
              <w:jc w:val="left"/>
              <w:rPr/>
            </w:pPr>
            <w:r>
              <w:rPr/>
              <w:t> </w:t>
            </w:r>
          </w:p>
        </w:tc>
        <w:tc>
          <w:tcPr>
            <w:tcW w:w="20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$1,000,000</w:t>
            </w:r>
          </w:p>
        </w:tc>
      </w:tr>
      <w:tr>
        <w:trPr/>
        <w:tc>
          <w:tcPr>
            <w:tcW w:w="2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vAlign w:val="bottom"/>
          </w:tcPr>
          <w:p>
            <w:pPr>
              <w:pStyle w:val="TableContents"/>
              <w:bidi w:val="0"/>
              <w:spacing w:before="0" w:after="283"/>
              <w:jc w:val="left"/>
              <w:rPr/>
            </w:pPr>
            <w:r>
              <w:rPr/>
              <w:t> </w:t>
            </w:r>
          </w:p>
        </w:tc>
        <w:tc>
          <w:tcPr>
            <w:tcW w:w="20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Dollar ranges are as follows: None, $1 – $10,000, $10,001 – $50,000, $50,001 – $100,000, $100,001 – $500,000; $500,001 – $1,000,000 or Over $1,000,000.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dollar range of equity securities beneficially owned in us is based on the closing price of our common stock of $5.30 on November 5, 2024 on the Nasdaq Global Select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information pertains to the members of Oxford Lane Management’s investment team who are not executive officers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Joseph Kupka.    </w:t>
      </w:r>
      <w:r>
        <w:rPr>
          <w:rFonts w:ascii="Times New Roman PS Std;serif" w:hAnsi="Times New Roman PS Std;serif"/>
          <w:b w:val="false"/>
          <w:i w:val="false"/>
          <w:caps w:val="false"/>
          <w:smallCaps w:val="false"/>
          <w:sz w:val="20"/>
        </w:rPr>
        <w:t>Mr. Kupka is a Managing Director of Oxford Lane Management, and also holds the 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he worked as a risk analyst for First Equity Card Corporation. Mr. Kupka received a B.S. in Mechanical Engineering from the University of Pennsylvania, where he was the Abel and Bernstein Class of 1945 Scholarship Recipient.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Hooman Banafsheha.    </w:t>
      </w:r>
      <w:r>
        <w:rPr>
          <w:rFonts w:ascii="Times New Roman PS Std;serif" w:hAnsi="Times New Roman PS Std;serif"/>
          <w:b w:val="false"/>
          <w:i w:val="false"/>
          <w:caps w:val="false"/>
          <w:smallCaps w:val="false"/>
          <w:sz w:val="20"/>
        </w:rPr>
        <w:t>Mr. Banafsheha is a Principal of Oxford Lane Management, and also holds the 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Mr. Banafsheha was a Vice President in the Finance division of Goldman Sachs. Prior to joining Goldman Sachs, he was a Senior Consultant at Deloitte. Mr. Banafsheha received a B.S. in Business Administration with a concentration in Finance from the State University of New York, University at Albany, where he graduated magna cum laude, and an M.B.A. from the MIT Sloan School of Management. Mr. Banafsheha has also attained the Charted Alternative Investment Analyst (CAIA) designation.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Brian Aleska.    </w:t>
      </w:r>
      <w:r>
        <w:rPr>
          <w:rFonts w:ascii="Times New Roman PS Std;serif" w:hAnsi="Times New Roman PS Std;serif"/>
          <w:b w:val="false"/>
          <w:i w:val="false"/>
          <w:caps w:val="false"/>
          <w:smallCaps w:val="false"/>
          <w:sz w:val="20"/>
        </w:rPr>
        <w:t>Mr. Aleksa is a Vice President for Oxford Lane Management, and also holds the 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Mr. Aleksa was a Senior Analyst in the Capital Markets group at CBA Commercial. He received a B.A. in Accounting and Finance from Franklin &amp; Marshall College.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Tyler Vallie.    </w:t>
      </w:r>
      <w:r>
        <w:rPr>
          <w:rFonts w:ascii="Times New Roman PS Std;serif" w:hAnsi="Times New Roman PS Std;serif"/>
          <w:b w:val="false"/>
          <w:i w:val="false"/>
          <w:caps w:val="false"/>
          <w:smallCaps w:val="false"/>
          <w:sz w:val="20"/>
        </w:rPr>
        <w:t>Mr. Vallie is an Associate for Oxford Lane Management, and also holds the 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Mr. Vallie was an Operations Associate on the Operations team at Chilton Investment Company. He received a B.A. in Economics from Marist College.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Oxford Lane Management’s investment personnel receive any direct compensation from us in connection with the management of our portfolio. Messrs. Cohen and Rosenthal,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 The compensation paid by Oxford Lane Management to certain other investment personnel includes: (i) annual base salary and (ii) portfolio-based performance award.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5013"/>
      <w:bookmarkEnd w:id="31"/>
      <w:r>
        <w:rPr>
          <w:rFonts w:ascii="Times New Roman PS Std;serif" w:hAnsi="Times New Roman PS Std;serif"/>
          <w:b/>
          <w:i w:val="false"/>
          <w:caps w:val="false"/>
          <w:smallCaps w:val="false"/>
          <w:sz w:val="20"/>
        </w:rPr>
        <w:t xml:space="preserve">INVESTMENT ADVISORY AGREEMENT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serves as our investment adviser. Oxford Lane Management is an investment adviser that is registered as an investment adviser under the Advisers Act prior to pricing of this offering. Subject to the overall supervision of our Board of Directors, Oxford Lane Management manages the day-to-day operations of, and provides investment advisory and management services to, Oxford Lane Capital. Under the terms of our Investment Advisory Agreement, Oxford Lane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determines the composition of our portfolio, the nature and timing of the changes to our portfolio and the manner of implementing such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identifies, evaluates and negotiates the structure of the investments we make (including performing due diligence on our prospective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closes and monitors the investments we make;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provides us with other investment advisory, research and related services as we may from time to time require.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Management’s services under the Investment Advisory Agreement are not exclusive, and both it and its members, officers and employees are free to furnish similar services to other entities so long as its services to us are not impaired.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Investment Advisory Agreement, we have agreed to pay Oxford Lane Management a fee for investment advisory and management services consisting of two components — a base management fee and an incentive fee.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management fee is calculated at an annual rate of 2.00% of our gross assets. For services rendered under the Investment Advisory Agreement, the base management fee is payable quarterly in arrears. The base management fee is calculated based on the average value of our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such as commitment, origination, structuring, diligence and consulting fees or other fees that we receive from an investment) accrued during the calendar quarter, minus our operating expenses for the quarter (including the base management fee, expenses payable under the Administration Agreement to Oxford Funds, and any interest expense and dividends paid on any issued and outstanding preferred stock, but excluding the incentive fee). Pre-incentive fee net investment income includes accrued income that we have not yet received in cash, such as the amount of any market discount we may accrue on debt instruments we purchase below par value. Pre-incentive fee net investment income does not include any realized capital gains. Pre-incentive fee net investment income, expressed as a rate of return on the value of our net assets at the end of the immediately preceding calendar quarter, is compared to a hurdle of 1.75% per quarter (7.00% annualized). For such purposes, our quarterly rate of return is determined by dividing our pre-incentive net investment income by our reported net assets as of the prior period end. Our net investment income used to calculate this part of the incentive fee is also included in the amount of our gross assets used to calculate the 2.00% base management fee. We pay Oxford Lane Management an incentive fee with respect to our pre-incentive fee net investment income in each calendar quarter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incentive fee in any calendar quarter in which our pre-incentive fee net investment income does not exceed the hurdle of 1.75%;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hurdle but is less than 2.1875%) as the “catch-up.” The “catch-up” is meant to provide Oxford Lane Management with 20% of our pre-incentive fee net investment income as if a hurdle did not apply if this net investment income exceeds 2.1875% in any calendar quarter;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20% of the amount of our pre-incentive fee net investment income, if any, that exceeds 2.1875% in any calendar quarter (8.75% annualized) is payable to Oxford Lane Management (once the hurdle is reached and the catch-up is achieved, 20% of all pre-incentive fee investment income thereafter is allocated to 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graphical representation of the calculation of the income-related portion of the incentive fee: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Incentive Fee Based on Net Investment Income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Pre-incentive fee net investment income</w:t>
        <w:br/>
        <w:t>(expressed as a percentage of the value of net assets)</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3095625" cy="542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7"/>
                    <a:stretch>
                      <a:fillRect/>
                    </a:stretch>
                  </pic:blipFill>
                  <pic:spPr bwMode="auto">
                    <a:xfrm>
                      <a:off x="0" y="0"/>
                      <a:ext cx="3095625" cy="54229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Percentage of pre-incentive fee net investment income allocated to the Oxford Lane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Oxford Lane Management with respect to pre-incentive fee net investment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incentive fee is payable to Oxford Lane Management on realized capital gains. In addition, the amount of the incentive fee is not affected by any realized or unrealized losses that we may suffer.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Examples of Quarterly Incentive Fee Calculation (amounts expressed as a percentage of the value of net assets, and are not annualized)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Alternative 1:</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Assumptions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(including interest, dividends, fees, etc.) = 1.25%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Hurdle rate(1) = 1.75%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fee(2) = 0.5%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(legal, accounting, custodian, transfer agent, etc.)(3) = 0.20%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Pre-incentive fee net investment income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income-(management fee + other expenses)) = 0.55%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Pre-incentive net investment income does not exceed hurdle rate, therefore there is no incentive fee.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Alternative 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Assumptions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(including interest, dividends, fees, etc.) = 2.70%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Hurdle rate(1) = 1.75%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fee(2) = 0.5%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(legal, accounting, custodian, transfer agent, etc.)(3) = 0.20%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Pre-incentive fee net investment income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income–(management fee + other expenses)) = 2.00%</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 = 100% × pre-incentive fee net investment income in excess of the hurdle but less than 2.1875% (i.e. the “catch-up”(4))</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100% × (2.0%–1.75%)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Alternative 3:</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Assumptions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(including interest, dividends, fees, etc.) = 3.00%</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Hurdle rate(1) = 1.75%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fee(2) = 0.5%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(legal, accounting, custodian, transfer agent, etc.)(3) = 0.20%</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Pre-incentive fee net investment income</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income–(management fee + other expenses)) = 2.3%</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 = 20% × pre-incentive fee net investment income, subject to “catch-up”(4)</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 = 100% × “catch-up” + (20% × (pre-incentive fee net investment income–2.1875%))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Catch-up = 2.1875%–1.75%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0.4375%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 = (100% × 0.4375%) + (20% × (2.3%–2.1875%))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0.4375% + (20% × 0.1125%)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0.4375% + 0.0225%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0.46%</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7% annualized hurdle rate.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2.00% annualized management fee.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Excludes organizational and offering expenses.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“catch-up” provision is intended to provide the investment adviser with an incentive fee of 20% on all of Oxford Lane Capital’s pre-incentive fee net investment income as if a hurdle rate did not apply when its net investment income exceeds 2.1875% in any calendar quarter.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of Our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investment team of Oxford Lane Management and their respective staffs, when and to the extent engaged in providing investment advisory and management services, and the compensation and related expenses and routine overhead expenses of such personnel allocable to such services, are provided and paid for by Oxford Lane Management. We bear all other costs and expenses of our operations and transactions, including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our organization and this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calculating our net asset value, including the cost of any third-party valuation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effecting sales and repurchases of our shares and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fees payable to third parties relating to, or associated with, making investments, including legal fees and expenses and fees and expenses associated with performing due diligence reviews of prospective investments and advisory fees as well as expenses associated with such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associated with protecting our interests in our investments, including legal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transfer agent and custodial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fees and expenses associated with marketing and investor relations efforts including proxy solicitations and shareholder meetings;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and state registration fees, any stock exchange listing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state and local taxes;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independent directors’ fees and expenses including travel and other costs associated with the performance of independent directors’ responsibilities;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fidelity bond, directors and officers errors and omissions liability insurance and other insurance premiums;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 costs and expenses of administration, including printing, mailing, long distance telephone and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fees and expenses associated with independent audits and outside legal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our reporting and compliance obligations under the 1940 Act and applicable federal and state securities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the functions performed by our Chief Compliance Officer under the terms of an agreement between us and ACA Group;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other expenses incurred by either Oxford Funds or us in connection with administering our business, including payments under the Administration Agreement that will be based upon our allocable portion of overhead and other expenses incurred by Oxford Funds in performing its obligations under the Administration Agreement, including rent, the fees and expenses associated with performing administrative functions, and our allocable portion of the costs of compensation and related expenses of our Chief Financial Officer and any administrative support staff, including accounting personnel. Related expenses include but are not limited to health costs, payroll taxes and training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Duration and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earlier terminated as described below, the Investment Advisory Agreement will remain in effect if approved annually by our Board of Directors or by the affirmative vote of the holders of a majority of our outstanding voting securities, including, in either case, approval by a majority of our directors who are not parties to such agreement or who are not “interested persons” of any such party, as such term is defined in Section 2(a)(19) of the 1940 Act. The Investment Advisory Agreement will automatically terminate in the event of its assignment. The Investment Advisory Agreement may also be terminated by either party without penalty upon not more than 60 days’ written notice to the other party. See “Risk Factors — Risks Relating to Our Business and Structure — Oxford Lane Management has the right to resign on 60 days’ notice, and we may not be able to find a suitable replacement within that time, resulting in a disruption in our operations that could adversely affect our financial condition, business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Investment Advisory Agreement provides that, absent willful misfeasance, bad faith or gross negligence in the performance of its duties or by reason of the reckless disregard of its duties and obligations, Oxford Lane Management and its officers, managers, partners, agents, employees, controlling persons, members and any other person or entity affiliated with it are entitled to indemnification from Oxford Lane Capital for any damages, liabilities, costs and expenses (including reasonable attorneys’ fees and amounts reasonably paid in settlement) arising from the rendering of Oxford Lane Management’s services under the Investment Advisory Agreement or otherwise as an investment adviser of Oxford Lane Capital.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Organization of the Investment Adviser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is a Connecticut limited liability company that is registered as an investment adviser under the Advisers Act. Oxford Funds, a Delaware limited liability company, is its managing member and provides Oxford Lane Management with all personnel necessary to manage our day-to-day operations and provide the services under the Investment Advisory Agreement. The principal address of Oxford Lane Management and of Oxford Funds is 8 Sound Shore Drive, Suite 255, Greenwich, Connecticut 06830.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Approval of the Investment Advisory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discussion regarding the basis for the Board of Directors’ approval of our Investment Advisory Agreement will be included in our most recent annual or semi-annual report on Form N-CSR.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5014"/>
      <w:bookmarkEnd w:id="32"/>
      <w:r>
        <w:rPr>
          <w:rFonts w:ascii="Times New Roman PS Std;serif" w:hAnsi="Times New Roman PS Std;serif"/>
          <w:b/>
          <w:i w:val="false"/>
          <w:caps w:val="false"/>
          <w:smallCaps w:val="false"/>
          <w:sz w:val="20"/>
        </w:rPr>
        <w:t xml:space="preserve">ADMINISTRATION AGREEMENT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Funds, a Delaware limited liability company, serves as our Administrator. The principal executive offices of Oxford Funds are located at 8 Sound Shore Drive, Suite 255, Greenwich, CT 06830. Pursuant to an Administration Agreement, Oxford Funds furnishes us with office facilities, equipment and clerical, bookkeeping and record keeping services at such facilities. Under the Administration Agreement, Oxford Funds also performs, or oversees the performance of, our required administrative services, which include, among other things, being responsible for the financial records which we are required to maintain and preparing reports to our stockholders. In addition, Oxford Funds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Oxford Funds’ overhead in performing its obligations under the Administration Agreement, including rent, the fees and expenses associated with performing administrative functions and our allocable portion of the compensation of our Chief Financial Officer and administrative support staff, including accounting personnel. The Administration Agreement may be terminated by either party without penalty upon 60 days’ written notice to the other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approves the Administration Agreement on an annual basis. In connection with such approval the Board, including a majority of independent directors, reviews the compensation we pay to the Administrator to determine that the provisions of the Administration Agreement are carried out satisfactorily and to determine, among other things, whether the expenses payable under the Administration Agreement are reasonable in light of the services provided. The Board also reviews the methodology employed in determining how the expenses are allocated to us and the proposed allocation of administrative expenses among us and our affiliates. The Board then assesses the reasonableness of such reimbursements for expenses allocated to us based on the breadth, depth and quality of such services. The Board also considers the possibility of obtaining such services from a third-party and whether any single third-party service provider would be capable of providing all such services at comparable cost and quality. Finally, the Board compares the total amount paid to the Administrator for such services as a percentage of our net assets to the same ratio as reported by other comparable closed-end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Administration Agreement provides that, absent willful misfeasance, bad faith or negligence in the performance of its duties or by reason of the reckless disregard of its duties and obligations, Oxford Funds and its officers, managers, partners, agents, employees, controlling persons, members and any other person or entity affiliated with it are entitled to indemnification from Oxford Lane Capital for any damages, liabilities, costs and expenses (including reasonable attorneys’ fees and amounts reasonably paid in settlement) arising from the rendering of Oxford Funds’ services under the Administration Agreement or otherwise as administrator for Oxford Lane Capital.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5015"/>
      <w:bookmarkEnd w:id="33"/>
      <w:r>
        <w:rPr>
          <w:rFonts w:ascii="Times New Roman PS Std;serif" w:hAnsi="Times New Roman PS Std;serif"/>
          <w:b/>
          <w:i w:val="false"/>
          <w:caps w:val="false"/>
          <w:smallCaps w:val="false"/>
          <w:sz w:val="20"/>
        </w:rPr>
        <w:t xml:space="preserve">CERTAIN RELATIONSHIPS AND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the Investment Advisory Agreement with Oxford Lane Management. Oxford Lane Management is controlled by Oxford Funds, its managing member. In addition to Oxford Funds, Oxford Lane Management is owned in part by Charles M. Royce as a non-managing member. Oxford Funds, as the managing member of Oxford Lane Management, manages the business and internal affairs of Oxford Lane Management. In addition, Oxford Funds provides us with office facilities and administrative services pursuant to the Administration Agreement. Jonathan H. Cohen, our Chief Executive Officer, as well as a director, is the managing member of and controls Oxford Funds. Saul B. Rosenthal, our President, is a member of Oxford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Mr. Cohen currently serves as Chief Executive Officer and Mr. Rosenthal currently serves as President and Chief Operating Officer of Oxford Square Capital Corp., a publicly-traded business development company that invests principally in the debt of U.S.-based companies and, to a lesser extent, CLO debt and equity, and Oxford Square Capital Corp.’s investment adviser, Oxford Square Management, LLC. Oxford Funds is also the managing member of Oxford Square Management, LLC. Mr. Cohen also serves as Chief Executive Officer and Mr. Rosenthal also serves as President of Oxford Park Income Fund, Inc., a non-traded registered closed-end fund that invests principally in CLO debt and equity and Oxford Park Income Fund, Inc.’s investment adviser, Oxford Park Management, LLC. Oxford Funds is also the managing member of Oxford Park Management, LLC. Messrs. Cohen and Rosenthal also currently serve as Chief Executive Officer and President, respectively, at Oxford Gate Management, LLC, the investment adviser to the Oxford Gate Funds and Oxford Bridge II, LLC. Oxford Funds is the managing member of Oxford Gate Management, LLC. As a result, Messrs. Cohen and Rosenthal may be subject to certain conflicts of interests with respect to their management of our portfolio on the one hand, and their respective obligations to manage Oxford Square Capital Corp., Oxford Park Income Fund, Inc., Oxford Bridge II, LLC and the Oxford Gate Funds, on the other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Oxford Square Capital Corp., Oxford Park Income Fund, Inc., Oxford Bridge II, LLC and the Oxford Gate Funds, are subject to a written policy with respect to the allocation of investment opportunities among us, Oxford Square Capital Corp., Oxford Park Income Fund, Inc., Oxford Bridge II, LLC and the Oxford Gate Funds in view of the potential conflicts of interest raised by the relationships described above. The allocation policy generally provides that, depending on the amount of the investment opportunity and subject to current and anticipated cash availability, among other factors, investment opportunities that are suitable for more than one entity will be allocated on a pro-rata basis, based on each entity’s order size.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reviews these procedures on an annual basis. As a registered closed-end fund, we are limited in our ability to co-invest in privately negotiated transactions with certain funds or entities managed by Oxford Lane Management or its affiliates without an exemptive order from the SEC.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adopted a Code of Business Conduct and Ethics which applies to, among others, our senior officers, including our Chief Executive Officer and Chief Financial Officer, as well as every officer, director and employee of Oxford Lane Capital. Our Code of Business Conduct and Ethics requires that all employees and directors avoid any conflict, or the appearance of a conflict, between an individual’s personal interests and the interests of Oxford Lane Capital. Pursuant to our Code of Business Conduct and Ethics, each employee and director must disclose any conflicts of interest, or actions or relationships that might give rise to a conflict. Our Audit Committee is charged with approving any waivers under our Code of Business Conduct and Ethics. As required by the NASDAQ Stock Market corporate governance listing standards, the Audit Committee of our Board of Directors is also required to review and approve any transactions with related parties (as such term is defined in Item 404 of Regulation 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5016"/>
      <w:bookmarkEnd w:id="34"/>
      <w:r>
        <w:rPr>
          <w:rFonts w:ascii="Times New Roman PS Std;serif" w:hAnsi="Times New Roman PS Std;serif"/>
          <w:b/>
          <w:i w:val="false"/>
          <w:caps w:val="false"/>
          <w:smallCaps w:val="false"/>
          <w:sz w:val="20"/>
        </w:rPr>
        <w:t xml:space="preserve">CONTROL PERSONS AND PRINCIPAL STOCKHOLDERS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in the section titled “Security Ownership of Certain Beneficial Owners and Management” in our most recent </w:t>
      </w:r>
      <w:hyperlink r:id="rId28">
        <w:r>
          <w:rPr>
            <w:rStyle w:val="InternetLink"/>
            <w:rFonts w:ascii="Times New Roman PS Std;serif" w:hAnsi="Times New Roman PS Std;serif"/>
            <w:b w:val="false"/>
            <w:i w:val="false"/>
            <w:caps w:val="false"/>
            <w:smallCaps w:val="false"/>
            <w:sz w:val="20"/>
            <w:u w:val="single"/>
          </w:rPr>
          <w:t>Annual Proxy Statement</w:t>
        </w:r>
      </w:hyperlink>
      <w:r>
        <w:rPr>
          <w:rFonts w:ascii="Times New Roman PS Std;serif" w:hAnsi="Times New Roman PS Std;serif"/>
          <w:b w:val="false"/>
          <w:i w:val="false"/>
          <w:caps w:val="false"/>
          <w:smallCaps w:val="false"/>
          <w:sz w:val="20"/>
        </w:rPr>
        <w:t>, filed with the SEC on September 6, 2024,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5017"/>
      <w:bookmarkEnd w:id="35"/>
      <w:r>
        <w:rPr>
          <w:rFonts w:ascii="Times New Roman PS Std;serif" w:hAnsi="Times New Roman PS Std;serif"/>
          <w:b/>
          <w:i w:val="false"/>
          <w:caps w:val="false"/>
          <w:smallCaps w:val="false"/>
          <w:sz w:val="20"/>
        </w:rPr>
        <w:t xml:space="preserve">REGULATION AS A REGISTERED CLOSED-END MANAGEMENT INVESTMENT COMPANY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closed-end management investment company that has registered as an investment company under the 1940 Act. As a registered closed-end investment company, we are subject to regulation under the 1940 Act. Under the 1940 Act, unless authorized by vote of a majority of the outstanding voting securities, we may not: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our classification to an open-end management investment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in each case in accordance with our policies with respect thereto set forth in this prospectus, borrow money, issue senior securities, underwrite securities issued by other persons, purchase or sell real estate or commodities or make loans to other persons;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deviate from any policy in respect of concentration of investments in any particular industry or group of industries as recited in this prospectus, deviate from any investment policy which is changeable only if authorized by shareholder vote under the 1940 Act, or deviate from any fundamental policy recited in its registration statement in accordance with the requirements of the 1940 Act;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nature of our business so as to cease to be an investment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with other companies regulated by the 1940 Act, a registered closed-end management investment company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closed-end management investment company. Furthermore, as a registered closed-end management investment company, we are prohibited from protecting any director or officer against any liability to us or our stockholders arising from willful misfeasance, bad faith, gross negligence or reckless disregard of the duties involved in the conduct of such person’s office. We may also be prohibited under the 1940 Act from knowingly participating in certain transactions with our affiliates without the prior approval of our directors who are not interested persons and, in some cases, prior approval by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management investment company, we are generally required to meet an asset coverage ratio with respect to our outstanding senior securities representing indebtedness, defined under the 1940 Act as the ratio of our gross assets (less all liabilities and indebtedness not represented by senior securities) to our outstanding senior securities representing indebtedness, of at least 300% after each issuance of senior securities representing indebtedness. In addition, we are generally required to meet an asset coverage ratio with respect to our outstanding preferred stock, as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of at least 200% immediately after each issuance of such preferred stock. We are also prohibited from issuing or selling any senior security if, immediately after such issuance, we would have outstanding more than (i) one class of senior security representing indebtedness, exclusive of any promissory notes or other evidences of indebtedness issued in consideration of any loan, extension, or renewal thereof, made by a bank or other person and privately arranged, and not intended to be publicly distributed, or (ii) one class of senior security which is stock, except that in each case any such class of indebtedness or stock may be issued in one or more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generally not able to issue and sell our common stock at a price below net asset value per share. See “Risk Factors — Risks Relating to Our Business and Structure — Regulations governing our operation as a registered closed-end management investment company affect our ability to raise additional capital and the way in which we do so. The raising of debt capital may expose us to risks, including the typical risks associated with leverage.” We may, however, sell our common stock, or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management investment company, we are generally limited in our ability to invest in any portfolio company in which Oxford Lane Management or any of its affiliates currently has an investment or to make any co-investments with Oxford Lane Management or its affiliates without an exemptive order from the SEC, subject to certain exceptions.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presently expect to do so, we are authorized to borrow funds up to an amount not to exceed the limitations of the 1940 Act to make investments. We may also borrow funds, consistent with the foregoing limitations of the 1940 Act, in order to make the distributions required to maintain our status as a RIC under Subchapter M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periodically examined by the SEC for compliance with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registered closed-end management investment company, we are subject to certain risks and uncertainties. See “Risk Factors — Risks Relating to Our Business and Structure” in our most recent annual or semi-annual report on Form N-CSR.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Temporary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investment in portfolio securities consistent with our investment objective and strategies described in this prospectus, our investments may consist of cash, cash equivalents, U.S. government securities or high-quality debt securities maturing in one year or less from the time of investment, which we refer to, collectively, as temporary investments.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Oxford Lane Management will monitor the creditworthiness of the counterparties with which we enter into repurchase agreement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Senior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With respect to senior securities representing indebtedness (i.e., borrowing or deemed borrowing), other than temporary borrowings as defined under the 1940 Act, we are required to have an asset coverage ratio of at least 300%, as measured at the time of borrowing and calculated as the ratio of our total assets (less all liabilities and indebtedness not represented by senior securities) over the aggregate amount of our outstanding senior securities representing indebtedness. With respect to senior securities that are stocks (i.e., shares of preferred stock), we are required to have an asset coverage ratio of at least 200%, as measured at the time of the issuance of any such shares of preferred stock and calculated as the ratio of our total assets (less all liabilities and indebtedness not represented by senior securities) over the aggregate amount our outstanding senior securities representing indebtedness plus the aggregate liquidation preference of any outstanding shares of preferred stock. If our asset coverage ratio declines below 300% (or 200%, as applicable), we would not be able to incur additional debt or issue additional preferred stock, and could be required by law to sell a portion of our investments to repay some debt when it is disadvantageous to do so, which could have a material adverse effect on our operations, and we would not be able to make certain distributions or pay dividends. We may also borrow amounts up to 5% of the value of our gross assets for temporary purposes without regard to asset coverage. For a discussion of the risks associated with leverage, see “Risk Factors — Risks Relating to Our Business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Structure — We may borrow money and/or issue preferred stock to leverage our portfolio, which would magnify the potential for gain or loss on amounts invested and will increase the risk of investing in us” in our most recent annual or semi-annual report on Form N-CSR.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and Oxford Lane Management have each adopted a code of ethics pursuant to Rule 17j-1 under the 1940 Act and Rule 204A-1 under the Advisers Act, respectively, that establishes procedures for personal investments and restricts certain transactions by our personnel. Our code of ethics generally does not permit investments by our employees in securities that may be purchased or held by us. Our code of ethics is incorporated by reference as an exhibit to the registration statement of which this prospectus is a part, and is available on the EDGAR Database on the SEC’s Internet site at </w:t>
      </w:r>
      <w:r>
        <w:rPr>
          <w:rFonts w:ascii="Times New Roman PS Std;serif" w:hAnsi="Times New Roman PS Std;serif"/>
          <w:b w:val="false"/>
          <w:i/>
          <w:caps w:val="false"/>
          <w:smallCaps w:val="false"/>
          <w:sz w:val="20"/>
        </w:rPr>
        <w:t xml:space="preserve">http://www.sec.gov. </w:t>
      </w:r>
      <w:r>
        <w:rPr>
          <w:rFonts w:ascii="Times New Roman PS Std;serif" w:hAnsi="Times New Roman PS Std;serif"/>
          <w:b w:val="false"/>
          <w:i w:val="false"/>
          <w:caps w:val="false"/>
          <w:smallCaps w:val="false"/>
          <w:sz w:val="20"/>
        </w:rPr>
        <w:t xml:space="preserve">You may also obtain copies of our code of ethics via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Compliance Policies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Oxford Lane Management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Gerald Cummins currently serves as our Chief Compliance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Sarbanes-Oxley Act of 2002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Sarbanes-Oxley Act of 2002 imposes a wide variety of regulatory requirements on publicly-held companies and their insiders. Many of these requirements affect us. For example: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Rule 30a-2 of the 1940 Act, our chief executive officer and chief financial officer must certify the accuracy of the financial statements contained in our periodic reports;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Form N-CSR, our annual and semi-annual reports must disclose our conclusions about the effectiveness of our disclosure controls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Form N-CSR, our annual and semi-annual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Form N-CEN, our annual reports must include a report from our independent registered public accountant on our internal controls over financial reporting and we must disclose whether such report identified any material weaknesses in our internal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Fundamental Investment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restrictions identified as fundamental in the following paragraph, along with our investment objective, are our only fundamental policies. Fundamental policies may not be changed without the approval of the holders of a majority of our outstanding voting securities, as defined in the 1940 Act. The percentage restrictions set forth below, apply at the time a transaction is effected, and a subsequent change in a percentage resulting from market fluctuations or any cause will not require us to dispose of portfolio securities or to take other action to satisfy the percentage restriction.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matter of fundamental policy, we will not: (1) act as an underwriter of securities of other issuers (except to the extent that we may be deemed an “underwriter” of securities we purchase that must be registered under the Securities Act before they may be offered or sold to the public); (2) purchase or sell real estate or interests in real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estate or real estate investment trusts (except that we may (A) purchase and sell real estate or interests in real estate in connection with the orderly liquidation of investments, or in connection with foreclosure on collateral, or (B) own the securities of companies that are in the business of buying, selling or developing real estate); (3) sell securities short (except with regard to managing the risks associated with publicly-traded securities we may hold in our portfolio); (4) purchase securities on margin (except to the extent that we may purchase securities with borrowed money); (5) engage in the purchase or sale of commodities or commodity contracts, including futures contracts (except where necessary in working out distressed investment situations or in hedging the risks associated with interest rate fluctuations), and, in such cases, only after all necessary registrations (or exemptions from registration) with the Commodity Futures Trading Commission have been obtained; (6) borrow money, except as permitted by (i) the 1940 Act, or interpretations or modifications by the SEC, SEC staff or other authority with appropriate jurisdiction, or (ii) exemptive or other relief or permission from the SEC, SEC staff or other authority with appropriate jurisdiction; (7) 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debt or equity tranches of CLO vehicles or other forms of debt instruments) shall not constitute loans by us; (8) issue senior securities, except to the extent permitted by (i) the 1940 Act, or interpretations or modifications by the SEC, the SEC staff or other authority with appropriate jurisdiction, or (ii) exemptive or other relief or permission from the SEC, SEC staff or other authority with appropriate jurisdiction; or (9) invest in any security if as a result of such investment, 25% or more of the value of our total assets, taken at market value at the time of each investment, are in the securities of issuers in any particular industry except (a) securities issued or guaranteed by the U.S. government and its agencies and instrumentalities or tax-exempt securities of state and municipal governments or their political subdivisions (however, not including private purpose industrial development bonds issued on behalf of non-government issuers), (b) as otherwise provided by the 1940 Act, as amended from time to time, and as modified or supplemented from time to time by (i) the rules and regulations promulgated by the SEC under the 1940 Act, as amended from time to time, and (ii) any exemption or other relief applicable to us from the provisions of the 1940 Act, as amended from time to time, or (c) as set forth in the following paragraph.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invest up to 100% of our assets in securities issued by CLO vehicles and in corporate debt instruments, which may be acquired directly in privately negotiated transactions or in secondary market purchases. With respect to securities we acquired directly in privately negotiated transactions, we may, for the purpose of public resale, be deemed an “underwriter” as that term is defined in the Securities Act. Our intention is to not write (sell) or buy put or call options to manage risks associated with any publicly-traded securities we may hold, except that we may enter into hedging transactions to manage the risks associated with interest rate fluctuations, and, in such cases, only after all necessary registrations (or exemptions from registration) with the Commodity Futures Trading Commission have been obtained. We also do not intend to acquire securities issued by any investment company that exceed the limits imposed by the 1940 Act. Under these limits, unless otherwise permitted by the 1940 Act, we currently cannot acquire more than 3% of the voting securities of any registered investment company, invest more than 5% of the value of our total assets in the securities of one investment company or invest, in the aggregate, in excess of 10% of the value of our total assets in the securities of one or more investment companies. With regard to that portion of our portfolio invested in securities issued by investment companies, it should be noted that such investments might subject our stockholders to additional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Voting Policies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delegated proxy voting responsibility to Oxford Lane Management. The Proxy Voting Policies and Procedures of Oxford Lane Management are set forth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LANE MANAGEMENT, LLC</w:t>
        <w:br/>
        <w:t>STATEMENT OF POLICIES AND PROCEDURES REGARDING THE VOTING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Voting Policies and Procedures of Oxford Lane Management are set forth below. You may obtain information about how Oxford Lane Management voted proxies with respect to our portfolio securities by making a written request for proxy voting information to: Chief Compliance Officer, Oxford Lane Management, LLC, 8 Sound Shore Drive, Suite 255, Greenwich, CT 06830.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investment adviser registered under the Advisers Act, Oxford Lane Management has a fiduciary duty to act solely in the best interests of its clients. As part of this duty, Oxford Lane Management recognizes that it must vote client securities in a timely manner free of conflicts of interest and in the best interests of its clients.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policies and procedures for voting proxies for the Adviser’s investment advisory clients are intended to comply with Section 206 of, and Rule 206(4)-6 under, the Advisers Act.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Proxy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Management will vote proxies relating to our portfolio securities in the best interests of our shareholders. Oxford Lane Management will review on a case-by-case basis each proposal submitted for a shareholder vote to determine its impact on the portfolio securities held by us. Although Oxford Lane Management will generally vote against proposals that may have a negative impact on our portfolio securities, it may vote for such a proposal if there exist compelling long-term reasons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voting decisions of Oxford Lane Management are made by the senior officers of Oxford Lane Management who are responsible for monitoring each of our investments. To ensure that its vote is not the product of a conflict of interest, Oxford Lane Management requires that: (i) anyone involved in the decision making process to disclose to Oxford Lane Management’s Chief Compliance Officer any potential conflict that he or she is aware of and any contact that he or she has had with any interested party regarding a proxy vote; and (ii) employees involved in the decision making process or vote administration are prohibited from revealing how Oxford Lane Management intends to vote on a proposal without the prior approval of the Chief Compliance Officer and Senior Management in order to reduce any attempted influence from interested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Proxy Voting Records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obtain information about how Oxford Lane Management voted proxies with respect to our portfolio securities by making a written request for proxy voting information to: Chief Compliance Officer, Oxford Lane Management, LLC, 8 Sound Shore Drive, Suite 255, Greenwich, CT 06830.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Privacy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safeguard, according to strict standards of security and confidentiality, all information we receive about you. With regard to this information, we maintain procedural safeguards that comply with federal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goal is to limit the collection and use of information about you. When you purchase shares of our common stock, our transfer agent collects personal information about you, such as your name, address, social security number or tax identification number.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is used only so that we can send you annual reports, proxy statements and other information required by law, and to send you information we believe may be of interest to you.</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share such information with any non-affiliated third party except as described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our policy that only authorized employees of our investment adviser, Oxford Lane Management, LLC, who need to know your personal information will have access to 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required by law, we may disclose stockholder-related information in accordance with a court order or at the request of government regulators. Only that information required by law, subpoena, or court order will be disclosed.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5018"/>
      <w:bookmarkEnd w:id="36"/>
      <w:r>
        <w:rPr>
          <w:rFonts w:ascii="Times New Roman PS Std;serif" w:hAnsi="Times New Roman PS Std;serif"/>
          <w:b/>
          <w:i w:val="false"/>
          <w:caps w:val="false"/>
          <w:smallCaps w:val="false"/>
          <w:sz w:val="20"/>
        </w:rPr>
        <w:t xml:space="preserve">DETERMINATION OF NET ASSET VALUE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Net Asset Value Determinations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the net asset value per share of our common stock by dividing the value of our portfolio investments, cash and other assets (including interest accrued but not collected) less all its liabilities (including accrued expenses, borrowings and interest payable) by the total number of shares of our common stock outstanding on a quarterly basis. The most significant estimate inherent in the preparation of our financial statements is the valuation of investments and the related amounts of unrealized appreciation and depreciation of investments recorded. We believe that there is no single best method for determining fair value in good faith. As a result, determining fair value requires that judgment be applied to the specific facts and circumstances of each portfolio investment while employing a consistently applied valuation process for the types of investments we make. We fair value each individual investment on a quarterly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value our investments in accordance with Rule 2a-5 under the 1940 Act, which sets forth requirements for determining fair value in good faith. The Board of Directors determines the value of our investment portfolio each quarter, after consideration of the Valuation Committee’s recommendation of fair value. The Adviser compiles relevant information, including a financial summary, recent trading activity in the security, if known, price indications from third-party pricing services and recent purchases and sales known to the Adviser in similar securities. All available information, including non-binding indications of pricing from a third-party pricing service, which may not be considered reliable, will be considered by us and/or the Valuation Committee. In some instances, there may be limited trading activity in a security even though the market for the security is considered not active. In such cases we and/or the Valuation Committee will consider the number of trades, the size and timing of each trade, and other circumstances around such trades, to the extent such information is available. The Valuation Committee will evaluate the impact of such additional information, and factor it into its consideration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valuation process, the Board will take into account relevant factors in determining the fair value of our investments for which reliable market quotations are not readily available, including and in combination, as relevant, of: the nature of any restrictions on disposition of the securities; structure of the securities as described in the indenture; assessment of the general liquidity/illiquidity of the securities; the issuer’s financial condition, including but not limited to its overcollateralization test, interest coverage test and size of its CCC bucket; the markets in which the issuers of the underlying collateral do business; the nature and value of the collateral; the prices of any actual trades or bids/offers for the securities or the prices of any actual trades or bids/offers for any comparable securities within the period seven days prior or seven days after the net asset value date, subject to a shorter window during periods of enhanced volatility where in the judgement of the Board of Directors trades executed outside of the shorter window would not represent a better representation of fair-value than prices provided by the pricing service; broker firm bids; broker firm offers; the reputation of the collateral manager; information resulting from bids-wanted in competition; if the CLO equity distribution and/or corporate dividend payment falls on the last day of the period and whether a prospective purchaser would require a downward adjustment to the price; any available analyst, media or other reports or information deemed reliable by the Board of Directors regarding the issuer or the markets or industry in which it operates; and such other information the Board of Directors deems material to the pricing of individual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Determinations in Connection with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generally able to issue and sell our common stock at a price below net asset value per share, other than in connection with a rights offering to our existing stockholders. In connection with any offering of shares of our common stock, we are required to make the determination that we are not selling shares of our common stock at a price below the then current net asset value of our common stock at the time at which the sale is made. Factors that may be considered in making such determination may include,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net asset value of our common stock disclosed in the most recent periodic report that we filed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magnitude of the difference between (i) a value that we have determined reflects the current (as of a time within 48 hours, excluding Sundays and holidays)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to the extent that there is even a remote possibility that we may issue shares of our common stock at a price below the then current net asset value of our common stock at the time at which the sale is made, we will either postpone the offering until such time that there is no longer the possibility of the occurrence of such event or undertake to determine the net asset value of our common stock within two days prior to any such sale to ensure that such sale will not be below our then current net asset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5019"/>
      <w:bookmarkEnd w:id="37"/>
      <w:r>
        <w:rPr>
          <w:rFonts w:ascii="Times New Roman PS Std;serif" w:hAnsi="Times New Roman PS Std;serif"/>
          <w:b/>
          <w:i w:val="false"/>
          <w:caps w:val="false"/>
          <w:smallCaps w:val="false"/>
          <w:sz w:val="20"/>
        </w:rPr>
        <w:t xml:space="preserve">DISTRIBUTION REINVESTMENT PLAN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Those stockholders whose shares are held by a broker or other financial intermediary may receive distributions in cash by notifying their broker or other financial intermediary of their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PS Std;serif" w:hAnsi="Times New Roman PS Std;serif"/>
          <w:b w:val="false"/>
          <w:i/>
          <w:caps w:val="false"/>
          <w:smallCaps w:val="false"/>
          <w:sz w:val="20"/>
        </w:rPr>
        <w:t>www.computershare/investor</w:t>
      </w:r>
      <w:r>
        <w:rPr>
          <w:rFonts w:ascii="Times New Roman PS Std;serif" w:hAnsi="Times New Roman PS Std;serif"/>
          <w:b w:val="false"/>
          <w:i w:val="false"/>
          <w:caps w:val="false"/>
          <w:smallCaps w:val="false"/>
          <w:sz w:val="20"/>
        </w:rPr>
        <w:t>, telephone number is 1-800-426-5523 and written correspondence can be mailed to Computershare Trust Company, N.A., P.O. Box 43078, Providence, RI, 02940-3078.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bookmarkStart w:id="38" w:name="T5020"/>
      <w:bookmarkEnd w:id="38"/>
      <w:r>
        <w:rPr>
          <w:rFonts w:ascii="Times New Roman PS Std;serif" w:hAnsi="Times New Roman PS Std;serif"/>
          <w:b/>
          <w:i w:val="false"/>
          <w:caps w:val="false"/>
          <w:smallCaps w:val="false"/>
          <w:sz w:val="20"/>
        </w:rPr>
        <w:t xml:space="preserve">CERTAIN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considerations applicable to us and to an investment in our shares of common stock.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does not discuss the consequences of an investment in shares of our preferred stock, subscription rights to purchase shares of our common stock or debt securities. The U.S. federal income tax consequences of such an investment will be discussed in a relevant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generally is a beneficial owner of shares of our common stock who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citizen or individual resident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created or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a court within the United States is asked to exercise primary supervision over the administration of the trust and one or more United States persons have the authority to control all substantive decisions of the trust (or a trust that has made a valid election to be treated as a U.S. trust);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taxation regardless of its source.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stockholder” generally is a beneficial owner of shares of our common stock who is not a 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 are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to be Taxed as a RIC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treated, and intend to continue to qualify, as a RIC under Subchapter M of the Code. As a RIC, we generally will not have to pay corporate-level U.S. federal income taxes on any income that we distribute to our stockholders as dividends. To qualify as a RIC, we must, among other things, meet certain source-of-income and asset diversification requirements (as described below). In addition, in order to be eligible for pass-through tax treatment as a RIC, we must timely distribute to our stockholders, for each taxable year, at least 90% of our “investment company taxable income,” which is generally our net ordinary income plus the excess of realized net short-term capital gains over realized net long-term capital losses, or the “Annual Distribution Requirement.”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as a Regulated Investment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qualify as a RIC;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Annual Distribution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then we will not be subject to U.S. federal income tax on the portion of our income we timely distribute (or are deemed to distribute) to stockholders. We will be subject to U.S. federal income tax at the regular corporate rates on any income or capital gains not distributed (or deemed distributed) to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and net capital gain that we recognized in preceding years but were not distributed in such years, or the “Excise Tax Avoidance Requirement.” We generally will endeavor in each year to make sufficient distributions to our stockholders to avoid any U.S. federal excise tax on our earnings.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qualify as a RIC for U.S. federal income tax purposes, we must, among other things: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derive in each taxable year at least 90% of our gross income from dividends, interest, payments with respect to loans of certain securities, gains from the sale of stock or other securities, net income from certain “qualified publicly traded partnerships,” or other income derived with respect to our business of investing in such stock or securities, or the “90% Income Test”;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diversify our holdings so that at the end of each quarter of the taxable year:</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the value of our assets consists of cash, cash equivalents, U.S. Government securities, securities of other RICs, and other securities if such other securities of any one issuer do not represent more than 5% of the value of our assets nor more than 10% of the outstanding voting securities of the issuer; and</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or the “Diversification Tests.”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PIK interest (which represents contractual interest added to the loan balance and due at the end of the loan term)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 Under certain circumstances, we also may be required to take into account income for tax purposes no later than when such income is taken into account for accounting purposes.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 as a Registered Closed-End Management Investment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(vii) accelerate the timing of when we recognize income; and (viii) produce income that will not be qualifying income for purposes of the 90% gross income test described above. We will monitor its transactions and may make certain tax elections in order to mitigate the potential adverse effect of these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in foreign securities may be subject to non-U.S. withholding taxes. In that case, our yield on those securities would be decreased. Stockholders will generally not be entitled to claim a credit or deduction with respect to non-U.S. taxes paid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the CLO vehicles in which we invest may constitute PFICs. Because we acquire shares in PFICs (including equity tranche investments in CLO vehicles that are PFICs), we may be subject to U.S. federal income tax on a portion of any “excess distribution” or gain from the disposition of such shares even if such income is distributed as a taxable dividend by us to our stockholders. Additional charges in the nature of interest may be imposed on us in respect of deferred taxes arising from any such excess distributions or gains. If we invest in a PFIC and elect to treat the PFIC as a “qualified electing fund” under the Code, or “QEF,” in lieu of the foregoing requirements, we will be required to include in income each year our proportionate share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our income. Under either election, we may be required to recognize in a year income in excess of our distributions from PFICs and our proceeds from dispositions of PFIC stock during that year, and we must distribute such income to satisfy the Annual Distribution Requirement and the Excise Tax Avoidance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hold more than 10% of the shares in a foreign corporation that is treated as a controlled foreign corporation, or “CFC,” (including equity tranche investments in a CLO vehicle treated as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This deemed distribution is required to be included in the income of a U.S. Shareholder of a CFC regardless of whether the shareholder has made a QEF election with respect to such CFC.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of all classes of shares entitled to vote of a foreign corporation or 10% or more of the total value of all classes of stock of a foreign corporation. If we are treated as receiving a deemed distribution from a CFC, we will be required to include such distribution in our investment company taxable income regardless of whether we receive any actual distributions from such CFC, and we must timely distribute such income to satisfy the Annual Distribution Requirement and the Excise Tax Avoidance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inclusions from a QEF or a CFC will be “good income” for purposes of the 90% Income Test provided that they are derived in connection with our business of investing in stocks and securities or the QEF or the CFC distribute such income to us in the same taxable year in which the income is included in our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FATCA generally imposes a withholding tax of 30% on payments of U.S. source interest and dividends paid to certain non-U.S. entities, including certain non-U.S. financial institutions and investment funds, unless such non-U.S. entity complies with certain reporting requirements regarding its United States account holders and its United States owners.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Most CLO vehicles in which we invest will be treated as non-U.S. financial entities for this purpose, and therefore will be required to comply with these reporting requirements to avoid the 30% withholding. If a CLO vehicle in which we invest fails to properly comply with these reporting requirements, it could reduce the amounts available to distribute to equity and junior debt holders in such CLO vehicle, which could materially and adversely affect our operating results and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988 of the Code, gains or losses attributable to fluctuations in exchange rates between the time we accrue income, expenses or other liabilities denominated in a foreign currency and the time we actually collect such income or pay such expenses or liabilities are generally treated as ordinary income or loss. Similarly, gains or losses on foreign currency forward contracts and the disposition of debt obligations denominated in a foreign currency, to the extent attributable to fluctuations in exchange rates between the acquisition and disposition dates, are also treated as ordinary income or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RIC is limited in its ability to deduct expenses in excess of its investment company taxable income. If our deductible expenses in a given taxable year exceed our investment company taxable income, we may incur a net operating loss for that taxable year. However, a RIC is not permitted to carry forward net operating losses to subsequent taxable years and such net operating losses do not pass through to its stockholders. In addition, deductible expenses can be used only to offset investment company taxable income, not net capital gain. A RIC may not use any net capital losses (that is, the excess of realized capital losses over realized capital gains) to offset its investment company taxable income, but may carry forward such net capital losses, and use them to offset future capital gains, indefinitely. Due to these limits on deductibility of expenses and net capital losses, we may for tax purposes have aggregate taxable income for a taxable year that we are required to distribute and that is taxable to stockholders even if such taxable income is greater than the net income we actually earn during such taxable year. Any underwriting fees paid by us are not deductible.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discussion assumes that we qualify as a RIC and have satisfied the Annual Distribution Requirement and quarterly Diversification Tests.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or “Qualifying Dividends” may be eligible for a maximum tax rate of 20% (provided that certain requirements, including a holding period requirement, are satisfied). In this regard, it is anticipated that distributions paid by us will generally not be attributable to dividends and, therefore, generally will not qualify for the 20% maximum rate applicable to Qualifying Dividends. Distributions of our net capital gains (which are generally our realized net long-term capital gains in excess of realized net short-term capital losses) and properly reported by us as “capital gain dividends” will be taxable to a U.S. stockholder as long-term capital gains that are currently taxable at a maximum rate of 20%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U.S. stockholder’s common stock and, after the adjusted basis is reduced to zero, will constitute capital gains to such 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distributions reported by us as Section 163(j) interest dividends may be eligible to be treated as interest income by U.S. stockholders for purposes of the tax rules applicable to interest expense limitations under Section 163(j) of the Code. Such treatment by the U.S. stockholder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dividend reinvestment plan, our U.S. stockholders who have not “opted out” of our dividend reinvestment plan will have their cash distributions automatically reinvested in additional shares of our common stock, rather than receiving the cash distributions. Any distributions reinvested under the plan will nevertheless remain taxable to U.S. stockholders. A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distribute taxable distributions that are payable in cash or shares of our common stock at the election of each stockholder. Under certain applicable IRS guidance, distributions by publicly offered RICs that are payable in cash or in shares of stock at the election of stockholders are treated as taxable distributions. The IRS has published a revenue procedure indicating that this rule will apply even where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her or its entire distribution times the percentage limitation on cash available for distribution. If we decide to make any distributions consistent with this revenue procedure that are payable in part in our stock, taxable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 Furthermore, with respect to non-U.S. stockholders, we may be required to withhold U.S. tax with respect to such distributions, including in respect of all or a portion of such distribution that is payable in stock. In addition, if a significant number of our stockholders determine to sell shares of our stock in order to pay taxes owed on distributions, it may put downward pressure on the trading price of our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retain some or all of our realized net long-term capital gains in excess of realized net short-term capital losses, but designate the retained net capital gain as a “deemed distribution.” In that case, among other consequences, we will pay U.S. federal income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Because we expect to pay tax on any retained capital gains at our regular corporate tax rate, and because that rate is in excess of the maximum rate currently payable by individuals on long-term capital gains, the amount of tax that individual U.S. stockholders will be treated as having paid will exceed the tax they owe on the capital gain distribution and such excess generally may be refunded or claimed as a credit against the U.S. stockholder’s other U.S. federal income tax obligations. The amount of the deemed distribution net of the tax paid by us on the retained capital gains will be added to the U.S. stockholder’s cost basis for his, her or its common stock. In order to utilize the deemed distribution approach, we must provide written notice to our U.S. stockholders prior to the expiration of 60 days after the close of the relevant taxable year. We cannot treat any of our investment company taxable income as a “deemed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U.S. stockholders of record on a specified date in such a month and actually paid during January of the following year, will be treated as if it had been received by our U.S. stockholders on December 31 of the year in which the dividend was declared.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IRS currently requires that a RIC that has two or more classes of stock allocate to each such class proportionate amounts of each type of its income (such as ordinary income and capital gains) based upon the percentage of total dividends paid to each class for the tax year. We will allocate capital gain dividends, if any, between shares of our common stock and shares of our preferred stock in proportion to the total dividends paid to each class with respect to such tax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generally will recognize taxable gain or loss if the U.S.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U.S.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rate on long-term capital gains for non-corporate taxpayers is 20%. Corporate U.S. stockholders currently are subject to U.S. federal income tax on net capital gain at the maximum 21% rate also applied to ordinary income. Non-corporate stockholders with net capital losses for a year (i.e., capital losses in excess of capital gains) generally may deduct up to $3,000 of such losses against their ordinary income each year; any net capital losses of a non-corporate U.S. stockholder in excess of $3,000 generally may be carried forward and used in subsequent years as provided in the Code. Corporate stockholders generally may not deduct any net capital losses for a year, but may carry back such losses for three years or carry forward such losses for five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or loss, if any, recognized by a holder in connection with our redemption of Term Preferred Shares generally will be characterized as gain or loss from a sale or exchange of the Term Preferred Shares if the redemption (a) is “not essentially equivalent to a dividend” with respect to the holder, (b) results in a “complete termination” of holder’s ownership of our stock, or (c) is “substantially disproportionate” with respect to the holder, in each case, within the meaning of Section 302(b) of the Code. In determining whether any of these alternative tests has been met, stock considered to be owned by a holder of Term Preferred Shares by reason of certain constructive ownership rules under the Code and the related administrative guidance promulgated thereunder as well as judicial interpretations thereof, as well as stock actually owned by the holder, generally must be taken into account. The determination as to whether any of the alternative tests described above will be satisfied with respect to a holder of Term Preferred Shares depends upon the facts and circumstances at the time that the determination must be made. Even if a redemption of Term Preferred Shares is treated as a sale or exchange, a portion of the amount received by a holder on the redemption may be characterized as dividend income for federal income tax purposes to the extent such portion is attributable to declared but unpaid dividends. If a redemption of Term Preferred Shares from a holder is not treated as a sale or exchange for federal income tax purposes, the proceeds of such distribution generally will be characterized for federal income tax purposes as a dividend. Holder of Term Preferred Shares are advised to consult their tax advisors to determine their own tax treatment in the event of a redemption of such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additional 3.8% Medicare tax is imposed on certain net investment income (including ordinary dividends and capital gain distributions received from us and net gains from redemptions or other taxable dispositions of shares) of U.S. individuals, estates and trusts to the extent that such person’s “modified adjusted gross income” (in the case of an individual) or “adjusted gross income” (in the case of an estate or trust) exceeds certain threshold amounts. U.S. persons that are individuals, estates or trusts are urged to consult their tax advisors regarding the applicability of this tax to their income and gains in respect of their investment in 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U.S. Treasury regulations, if a stockholder recognizes losses with respect to shares of $2 million or more for a non-corporate stockholder or $10 million or more for a corporate stockholder, the stockholder must file with the IRS a disclosure statement on IRS Form 8886. Direct stockholders of portfolio securities are in many cases excepted from this reporting requirement, but under current guidance, stockholders of a RIC are not excepted. Future guidance may extend the current exception from this reporting requirement to stockholders of most or all RICs. The fact that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is reportable under these regulations does not affect the legal determination of whether the taxpayer’s treatment of the loss is proper. Stockholders should consult their tax advisors to determine the applicability of these regulations in light of their individual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will report to each of our U.S. stockholders, as promptly as possible after the end of each calendar year, the amounts includible in such U.S. stockholder’s taxable income for such year as ordinary income and as long-term capital gain. In addition, the federal tax status of each year’s distributions generally will be reported to the IRS (including the amount of dividends, if any, eligible for the 20%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your financial intermediary are also generally required to report to each stockholder and to the IRS cost basis information for shares of our stock sold by or redeemed from the stockholder. Stockholders should consult their financial intermediaries and tax advisers with respect to reporting of cost basis and available elections for their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withhold U.S. federal income tax, or “backup withholding” from all distributions to any U.S. stockholder (other than a corporation, a financial institution, or a U.S. stockholder that otherwise qualifies for an exemption) (1) who fails to furnish us with a correct taxpayer identification number or a certificate that such U.S. stockholder is exempt from backup withholding or (2) with respect to whom the IRS notifies us that such U.S. stockholder has failed to properly report certain interest and dividend income to the IRS and to respond to notices to that effect. An individual’s taxpayer identification number is his or her social security number. Any amount withheld under backup withholding is allowed as a credit against the U.S. stockholder’s U.S. federal income tax liability, provided that proper information is provided to the IRS.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Non-U.S.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our “investment company taxable income” to Non-U.S. stockholders (including interest income and realized net short-term capital gains in excess of realized long-term capital losses, which generally would be free of withholding if paid to Non-U.S. stockholders directly) will be subject to withholding of federal tax at a 30% rate (or lower rate provided by an applicable treaty) to the extent of our current and accumulated earnings and profits unless an applicable exception applies. If the distributions are effectively connected with a U.S. trade or business of the Non-U.S. stockholder, we will not be required to withhold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generally are not required to withhold any amounts with respect to certain distributions of (i) U.S. source interest income, and (ii) net short term capital gains in excess of net long term capital losses, in each case to the extent we properly report such distributions as “interest-related dividends” or “short-term capital gain dividends” and certain other requirements were satisfied. We anticipate that a portion of our distributions will be eligible for this exemption from withholding; however, we cannot determine what portion of our distributions (if any) will be eligible for this exception until after the end of our taxable year. No certainty can be provided that any of our distributions will be reported as eligible for this exception.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or deemed distributions of our net capital gains to a stockholder that is a Non-U.S. stockholder, and gains realized by a Non-U.S. stockholder upon the sale or redemption of our common stock, will not be subject to U.S.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Non-U.S. stockholder was present in the United States for 183 days or more during the taxable year and certain other conditions are met.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distribute our net capital gains in the form of deemed rather than actual distributions, a stockholder that is a Non-U.S. stockholder will be entitled to a U.S. federal income tax credit or tax refund equal to the stockholder’s allocable share of the corporate-level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corporate Non-U.S. stockholder, distributions (both actual and deemed), and gains realized upon the sale or redemption of our common stock that are effectively connected to a U.S. trade or business may, under certain circumstances, be subject to an additional “branch profits tax” at a 30% rate (or at a lower rate if provided for by an applicable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dividend reinvestment plan, our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is not properly reported by us as a short-term capital gains dividend or interest-related dividend (assuming extension of the exemption discussed above), and is not effectively connected with a U.S. trade or business of the Non-U.S. stockholder (and, if a treaty applies, is not attributable to a permanent establishment), the amount distributed (to the extent of our current and accumulated earnings and profits) will be subject to U.S. federal withholding tax at a 30% rate (or lower rate provided by an applicable treaty) and only the net after-tax amount will be reinvested in common shares. If the distribution is effectively connected with a U.S. trade or business of the Non-U.S. stockholder (and no withholding applies because applicable certifications are provided by the Non-U.S. stockholder), generally the full amount of the distribution will be reinvested in the plan and will nevertheless be subject to U.S. federal income tax at the ordinary income rates applicable to U.S. persons. The Non-U.S. stockholder will have an adjusted basis in the additional common shares purchased through the plan equal to the amount reinvested. The additional shares will have a new holding period commencing on the day following the day on which the shares are credited to the Non-U.S. stockholder’s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stockholder who is a non-resident alien individual, and who is otherwise subject to withholding of U.S. federal tax, may be subject to information reporting and backup withholding of U.S. federal income tax on dividends unless the Non-U.S. stockholder provides us or the dividend paying agent with an IRS Form W-8BEN or IRS Form W-8BEN-E or an acceptable substitute form or otherwise meets documentary evidence requirements for establishing that it is a Non-U.S. stockholder or otherwise establishes an exemption from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or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or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stockholder and the status of the intermediaries through which they hold their shares, Non-U.S. stockholders could be subject to this 30% withholding tax with respect to distributions on their shares and potentially proceeds from the sale of their shares. Under certain circumstances, a Non-U.S. stockholder might be eligible for refunds or credits of such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persons should consult their own tax advisers with respect to the U.S. federal income tax and withholding tax, and state, local and foreign tax consequences of an investment in the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Failure to Qualify as a Regulated Investment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unable to qualify for treatment as a RIC, we would be subject to tax on all of our taxable income at regular corporate rates, regardless of whether we make any distributions to our stockholders. Distributions would not be required, and any distributions would be taxable to our stockholders as ordinary dividend income, and provided that certain holding periods and other requirements are met, could be eligible for the 20% maximum rate to the extent of our current and accumulated earnings and profits. Subject to certain limitations under the Code, corporate distributes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it during the period in which it failed to qualify as a RIC that are recognized within the subsequent 5 years, unless we made a special election to pay corporate-level U.S. federal income tax on such built-in gain at the time of its requalification as a RIC.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5021"/>
      <w:bookmarkEnd w:id="39"/>
      <w:r>
        <w:rPr>
          <w:rFonts w:ascii="Times New Roman PS Std;serif" w:hAnsi="Times New Roman PS Std;serif"/>
          <w:b/>
          <w:i w:val="false"/>
          <w:caps w:val="false"/>
          <w:smallCaps w:val="false"/>
          <w:sz w:val="20"/>
        </w:rPr>
        <w:t xml:space="preserve">DESCRIPTION OF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a summary of the common stock, preferred stock, subscription rights to purchase shares of common stock and debt securities. These summaries are not meant to be a complete description of each security. However, this prospectus and any accompanying prospectus supplement will contain the material terms and conditions for each security.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5022"/>
      <w:bookmarkEnd w:id="40"/>
      <w:r>
        <w:rPr>
          <w:rFonts w:ascii="Times New Roman PS Std;serif" w:hAnsi="Times New Roman PS Std;serif"/>
          <w:b/>
          <w:i w:val="false"/>
          <w:caps w:val="false"/>
          <w:smallCaps w:val="false"/>
          <w:sz w:val="20"/>
        </w:rPr>
        <w:t xml:space="preserve">DESCRIPTION OF CAPITAL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authorized stock of Oxford Lane Capital consists of 950,000,000 shares of stock, par value $0.01 per share, 900,000,000 of which are currently designated as common stock and 50,000,000 of which are currently designated as preferred stock. Our common stock, Series 2027 Term Preferred Shares, 6.00% Series 2029 Term Preferred Shares and 7.125% Series 2029 Term Preferred Shares are traded on the NASDAQ Global Select Market under the ticker symbols “OXLC,” “OXLCP,” “OXLCO” and “OXLCN” respectively. There are no outstanding options or warrants to purchase our stock. No stock has been authorized for issuance under any equity compensation plans. Under Maryland law, our stockholders generally are not personally liable for our debts or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our outstanding classes of securities as of November 5, 2024:</w:t>
      </w:r>
    </w:p>
    <w:tbl>
      <w:tblPr>
        <w:tblW w:w="6907" w:type="dxa"/>
        <w:jc w:val="left"/>
        <w:tblInd w:w="0" w:type="dxa"/>
        <w:tblLayout w:type="fixed"/>
        <w:tblCellMar>
          <w:top w:w="0" w:type="dxa"/>
          <w:left w:w="0" w:type="dxa"/>
          <w:bottom w:w="0" w:type="dxa"/>
          <w:right w:w="0" w:type="dxa"/>
        </w:tblCellMar>
      </w:tblPr>
      <w:tblGrid>
        <w:gridCol w:w="1621"/>
        <w:gridCol w:w="146"/>
        <w:gridCol w:w="1366"/>
        <w:gridCol w:w="146"/>
        <w:gridCol w:w="1561"/>
        <w:gridCol w:w="146"/>
        <w:gridCol w:w="1921"/>
      </w:tblGrid>
      <w:tr>
        <w:trPr/>
        <w:tc>
          <w:tcPr>
            <w:tcW w:w="16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w:t>
              <w:br/>
              <w:t>Title of Class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 </w:t>
              <w:br/>
              <w:t xml:space="preserve">Amount </w:t>
              <w:br/>
              <w:t>Authorized</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w:t>
              <w:br/>
              <w:t xml:space="preserve">Amount Held </w:t>
              <w:br/>
              <w:t xml:space="preserve">by Us or for </w:t>
              <w:br/>
              <w:t>Our Account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(4) </w:t>
              <w:br/>
              <w:t xml:space="preserve">Amount </w:t>
              <w:br/>
              <w:t xml:space="preserve">Outstanding </w:t>
              <w:br/>
              <w:t xml:space="preserve">Exclusive of </w:t>
              <w:br/>
              <w:t xml:space="preserve">Amounts </w:t>
              <w:br/>
              <w:t>Shown Under (3)</w:t>
            </w:r>
          </w:p>
        </w:tc>
      </w:tr>
      <w:tr>
        <w:trPr/>
        <w:tc>
          <w:tcPr>
            <w:tcW w:w="1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900,000,000</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345,906,253</w:t>
            </w:r>
          </w:p>
        </w:tc>
      </w:tr>
      <w:tr>
        <w:trPr/>
        <w:tc>
          <w:tcPr>
            <w:tcW w:w="1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50,000,000</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8,761,706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Charter authorizes our Board of Directors to classify and reclassify any unissued shares of stock into other classes or series of stock, including preferred stock. The cost of any such reclassification would be borne by our existing common stockholders.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such preferred stock together with all other senior securities must not exceed an amount equal to 50% of our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Certain matters under the 1940 Act require the separate vote of the holders of any issued and outstanding preferred stock. We believe that the availability for issuance of preferred stock will provide us with increased flexibility in structuring future financings and acquisitions.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on Liability of Directors and Officers; Indemnification and Advance of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 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Provisions of the Maryland General Corporation Law and Our Charter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Classified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is divided into three classes of directors serving staggered three-year terms.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a plurality of the votes cast at a meeting of stockholders duly called and at which a quorum is present shall be sufficient to elect a director in an uncontested election. In a contested election, a majority of all votes entitled to be cast at a meeting of stockholders duly called and at which a quorum is present shall be sufficient to elect a director. Pursuant to our Charter our Board of Directors may amend the Bylaws to alter the vote required to elect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Number of Directors; Vacancies;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Securities Exchange Act of 1934, as amended, we elect to be subject to the provision of Subtitle 8 of Title 3 of the Maryland General Corporation Law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a director may be removed only for cause, as defined in our Charter, and then only by the affirmative vote of at least two-thirds of the votes entitled to be cast in the election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Action by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Advance Notice Provisions for Stockholder Nominations and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Calling of Special Meetings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the holders of shares of our stock entitled to cast a majority of the votes entitled to be cast (without regard to class).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Approval of Extraordinary Corporate Action; Amendment of Charter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In either event, in accordance with the requirements of the 1940 Act, any such amendment or proposal that would have the effect of changing the nature of our business so as to cause us to cease to be a registered management investment company would be required to be approved by a majority of our outstanding voting securities, as defined under the 1940 Act. The “continuing directors” are defined in our Charter as (1) our current directors, (2) those directors whose nomination for election by the stockholders or whose election by the directors to fill vacancies is approved by a majority of our current directors then on the Board of Directors or (3) any successor directors whose nomination for election by the stockholders or whose election by the directors to fill vacancies is approved by a majority of continuing directors or the successor continuing directors then in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the Board of Directors will have the exclusive power to make, alter, amend or repeal any provision of our Bylaws.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 Share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be subject to the Control Share Act. In general, the Control Share Act limits the ability of holders of “control shares” to vote those shares above various threshold levels that start at 10% unless the other stockholders of the company reinstate those voting rights at a meeting of stockholders as provided in the Control Share Act. “Control shares” are generally defined in the Control Share Act as shares of stock that, if aggregated with all other shares of stock that are either (i) owned by a person or (ii) as to which that person is entitled to exercise or direct the exercise of voting power, except solely by virtue of a revocable proxy, would entitle that person to exercise voting power in electing directors above various thresholds of voting power starting at 10%. Our Bylaws provide that a stockholder who obtains voting rights of shares of common stock in a control share acquisition shall have no voting rights with respect to such shares to the extent provided in such provisions of the Control Share Act. Such authorization shall require the affirmative vote of the holders of two-thirds of our shares entitled to be cast on the matter, excluding interested shares. Our Bylaws also provide that the provisions of the Control Share Act shall not apply to the voting rights of (A) the holders of any shares of preferred stock (but only with respect to such preferred stock) and (B) any person acquiring shares of stock in a control share acquisition if, prior to the acquisition, the person obtains approval of the Board of Directs exempting the acquisition from the Control Share Act specifically, generally or generally by types, which exemption may include the person and the person’s affiliates or associates or other persons.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or the “Business Combination Act.” These business combinations include a merger, consolidation, share exchange or, in circumstances specified in the statute, an asset transfer or issuance or reclassification of equity securities. An interested stockholder is defined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beneficially owns 10% or more of the voting power of the corporation’s outstanding voting stock;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five-year prohibition, any business combination between the Maryland corporation and an interested stockholder generally must be recommended by the board of directors of the corporation and approved by the affirmative vote of at least: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80% of the votes entitled to be cast by holders of outstanding shares of voting stock of the corporation;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Conflict with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if and to the extent that any provision of the Maryland General Corporation Law, including the Control Share Act and the Business Combination Act, or any provision of our Charter or Bylaws conflicts with any provision of the 1940 Act, the applicable provision of the 1940 Act will control.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5023"/>
      <w:bookmarkEnd w:id="41"/>
      <w:r>
        <w:rPr>
          <w:rFonts w:ascii="Times New Roman PS Std;serif" w:hAnsi="Times New Roman PS Std;serif"/>
          <w:b/>
          <w:i w:val="false"/>
          <w:caps w:val="false"/>
          <w:smallCaps w:val="false"/>
          <w:sz w:val="20"/>
        </w:rPr>
        <w:t xml:space="preserve">DESCRIPTION OF OUR PREFERRED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shares of common stock, our Charter authorizes the issuance of preferred stock. We currently have the Series 2027 Term Preferred Shares, 6.00% Series 2029 Term Preferred Shares and 7.125% Series 2029 Term Preferred Shares outstanding. If we offer additional preferred stock under this prospectus, we will issue an appropriate prospectus supplement. We may issue additional preferred stock from time to time in one or more classes or series, without stockholder approval. Prior to issuance of shares of each class or series, our Board of Directors is required by Maryland law and by our Charter to set the terms, preferences, conversion or other rights, voting powers, restrictions, limitations as to dividends or other distributions, qualifications and terms or conditions of redemption for each class or series. Any such an issuance must adhere to the requirements of the 1940 Act, Maryland law and any other limitations imposed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currently requires, among other things, that (a) immediately after issuance and before any distribution is made with respect to common stock, the liquidation preference of the preferred stock, together with all other senior securities, must not exceed an amount equal to one-third of our total assets (taking into account such distribution), (b) the holders of shares of preferred stock, if any are issued, must be entitled as a class to elect two directors at all times and to elect a majority of the directors if dividends on the preferred stock are in arrears by two years or more and (c) such class of stock have complete priority over any other class of stock as to distribution of assets and payment of dividends, which dividends shall be cumulative.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any series of preferred stock that we may issue, our board of directors will determine and the articles supplementary and the prospectus supplement relating to such series will describe: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and number of shares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and time at which, and the preferences and conditions under which, any dividends will be paid on shares of such series, as well as whether such dividends are participating or non-participating;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convertibility or exchangeability of the shares of such series, including adjustments to the conversion price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preferences, if any, of holders of shares of such series upon our liquidation, dissolution or winding up of our affairs;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voting powers, if any, of the holders of shares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the redemption of the shares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limitations on our ability to pay dividends or make distributions on, or acquire or redeem, other securities while shares of such series are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conditions or restrictions on our ability to issue additional shares of such series or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relative powers, preferences and participating, optional or special rights of shares of such series, and the qualifications, limitations or restrictions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dividends, if any, thereon will be cumulative.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5024"/>
      <w:bookmarkEnd w:id="42"/>
      <w:r>
        <w:rPr>
          <w:rFonts w:ascii="Times New Roman PS Std;serif" w:hAnsi="Times New Roman PS Std;serif"/>
          <w:b/>
          <w:i w:val="false"/>
          <w:caps w:val="false"/>
          <w:smallCaps w:val="false"/>
          <w:sz w:val="20"/>
        </w:rPr>
        <w:t xml:space="preserve">DESCRIPTION OF OUR SUBSCRIPTION RIGHTS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In accordance with the 1940 Act, any transferable subscription rights offering will entitle our record date stockholders at the time of such offering one right for each share of common stock held, entitling the rights holder to purchase one new share of common stock for a minimum of every three rights held.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would describe the following terms of subscription rights in respect of which this prospectus is being delivered: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period of time the offering would remain open (which shall be open a minimum number of days such that all record holders would be eligible to participate in the offering and shall not be open longer than 120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 for such subscription rights (or method of calculation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such subscription rights issued to each stockholder;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are transferable and the market on which they may be traded if they are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applicable to the issuance or exercise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subscription rights shall commence, and the date on which such right shall expire (subject to any extension);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include an over-subscription privilege with respect to unsubscribed securities and the terms of such over-subscription privilege;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termination right we may have in connection with such subscription rights offering;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subscription rights, including exercise, settlement and other procedures and limitations relating to the transfer and exercise of such subscription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of Subscription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5025"/>
      <w:bookmarkEnd w:id="43"/>
      <w:r>
        <w:rPr>
          <w:rFonts w:ascii="Times New Roman PS Std;serif" w:hAnsi="Times New Roman PS Std;serif"/>
          <w:b/>
          <w:i w:val="false"/>
          <w:caps w:val="false"/>
          <w:smallCaps w:val="false"/>
          <w:sz w:val="20"/>
        </w:rPr>
        <w:t xml:space="preserve">DESCRIPTION OF OUR DEBT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indenture is filed as an exhibit to the registration statement of which this prospectus is a part. We will file a supplemental indenture with the SEC in connection with any debt offering, at which time the supplemental indenture would be publicly available. In connection with any debt offering, all of the material terms of the indenture and the supplemental indenture, as well as an explanation of your rights as a holder of debt securities, will be described in the prospectus supplement relating to such debt offering, which will include this prospectus together with the prospectus supplement accompanying this prospectus. See “Available Information” for information on how to obtain a copy of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which will accompany this prospectus, will describe the particular series of debt securities being offered by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the series of debt securities, including CUSIP numbers;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principal amount of the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percentage of the principal amount at which the series of debt securities will be offered;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on which principal will be payable or the method of determining such date or 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or rates (which may be either fixed or variable) or the method of determining such rate or rates of interest,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from which any interest will accrue, or the method of determining such date or dates, and the date or dates on which any interest will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place or places, if any, other than or in addition to the Borough of Manhattan in the City of New York, of payment, transfer, conversion and/or exchange of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any interest may be paid by issuing additional securities of the same series in lieu of cash (and the terms upon which any such interest may be paid by issuing additional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for redemption, extension or early repayment,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currencies in which the series of debt securities are issued and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denominations in which the offered debt securities will be issued (if other than $1,000 and any integral multiple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other than the trustee, the identity of each security registrar and/or paying agent;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other than the principal amount, the portion of the principal amount of the debt securities of a series that shall be payable upon declaration of acceleration of the maturity, upon redemption before stated maturity, upon surrender for repayment at the option of the debt security holder, or which the trustee shall be entitled to claim or the method by which such portion shall be determined;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principal, premium or interest, if any, on a series of debt securities are to be payable, at the election of the Company or a debt security holder thereof, in one or more currencies other than that in which such debt securities are denominated or stated to be payable and the terms and provisions for such election;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provisions, if any, granting special rights to the debt security holders of a series upon the occurrence of such events as may be specified;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for any sinking fund;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restrictive covenants;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Events of Default (as defined in “Events of Default”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series of debt securities are issuable in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defeasance or covenant defeasance;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special U.S. federal income tax implications, including, if applicable, U.S. federal income tax considerations relating to original issue discount;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as of which any temporary global security representing outstanding debt securities of a series shall be dated if other than the date of original issuance of the first debt security of the series to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person to whom any interest on any registered debt security of the series shall be payable, if other than the person in whose name such debt security (or one or more predecessor securities) is registered at the close of business on the regular record date for such interest, and the extent to which, or the manner in which, any interest payable on a temporary or permanent global debt security on an interest payment date will be paid, if other than in the manner provided in the indenture;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series are to be issuable in definitive form (whether upon original issue or upon exchange of a temporary debt security of such series) only upon receipt of certain certificates or other documents or satisfaction of other conditions, then the form and/or terms of such certificates, documents or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of the initial exchange rate agent,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of a series are to be issued upon the exercise of warrants, the time, manner and place for such debt securities to be authenticated and delivered;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convertibility or exchangeability of the debt securities into or for any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subject to subordination and the terms of such subordination;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appointment of any calculation agent, foreign currency exchange agent or other additional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secured and the terms of any security interest;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listing, if any, on a securities exchange;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permitted, under specified conditions, to issue multiple classes of indebtedness if our asset coverage, as defined in the 1940 Act, is at least equal to 300% immediately after each such issuance, after giving effect to any exemptive relief granted to us by the SEC. We may also borrow amounts up to 5% of the value of our total assets for temporary purposes without regard to asset coverage. For a discussion of the risks associated with leverage, see “Risk Factors — Risks Relating to Our Business and Structure — Regulations governing our operation as a registered closed-end management investment company affect our ability to raise additional capital and the way in which we do so. The raising of debt capital may expose us to risks, including the typical risks associated with leverage.” in our most recent annual or semi-annual report on Form N-CSR.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provides that any debt securities proposed to be sold under this prospectus and the accompanying prospectus supplement, or “offered debt securities,” and any debt securities issuable upon the exercise of warrants or upon conversion or exchange of other offered securities, or “underlying debt securities” may be issued under the indenture in one or more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under “— Events of Default” and “— Merger or Consolidation” below, the indenture does not contain any provisions that give you protection in the event we issue a large amount of debt or we are acquired by another entity.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you to the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and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Securities in Registered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Book-Entry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Street Name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Legal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Considerations for Indirect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debt securities through a bank, broker or other financial institution, either in book-entry form or in street name, we urge you to check with that institution to find out: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handles securities payments and notices;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it imposes fees or charges;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handle a request for the holders’ consent, if ever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how you can instruct it to send you debt securities registered in your own name so you can be a holder, if that is permitted in the future for a particular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exercise rights under the debt securities if there were a default or other event triggering the need for holders to act to protect their interests;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are in book-entry form, how the depositary’s rules and procedures will affect these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Considerations for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debt securities are issued only in the form of a global security, an investor should be aware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cannot cause the debt securities to be registered in his or her name and cannot obtain certificates for his or her interest in the debt securities, except in the special situations we describe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sell interests in the debt securities to some insurance companies and other institutions that are required by law to own their securities in non-book-entry form;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redeem less than all the debt securities of a particular series being redeemed, DTC’s practice is to determine by lot the amount to be redeemed from each of its participants holding that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a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Paying Agents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Payments on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Payments on Certificated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We will make all payments of principal and premium, if any, by check at the office of the applicable trustee and/or at other offices that may be specified in the prospectus supplement or in a notice to holders against surrender of the debt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Payment When Offices Are Closed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they will receive payments on their debt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Events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rights if an Event of Default occurs in respect of the debt securities of your series and is not cured, as described later in this subsection.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“Event of Default” in respect of the debt securities of your series means any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pay the principal of, or any premium on, a debt security of the series within five business days following its due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pay interest on a debt security of the series within 30 days following its due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deposit any sinking fund payment in respect of debt securities of the series within five business days following its due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remain in breach of a covenant in respect of debt securities of the series for 60 days after we receive a written notice of default stating we are in breach (the notice must be sent by either the trustee or holders of at least 25% of the principal amount of the outstanding debt securities of the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file for bankruptcy or certain other events of bankruptcy, insolvency or reorganization occur and remain undischarged or unstayed for a period of 90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series of debt securities has an asset coverage, as such term is defined in the 1940 Act, of less than 100 per centum on the last business day of each of twenty-four consecutive calendar months, giving effect to any exemptive relief granted to the Company by the SEC;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Event of Default in respect of debt securities of the series described in the prospectus supplement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Remedies if an Event of Default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give the trustee written notice that an Event of Default with respect to the relevant series of debt securities has occurred and remains uncured;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reasonable indemnity, security, or both to the trustee against the costs, expenses and other liabilities of taking that 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trustee must not have taken action for 60 days after receipt of the above notice, request and offer of indemnity and/or security;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 majority in principal amount of the outstanding debt securities of that series must not have given the trustee a direction inconsistent with the above notice during that 60-day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you are entitled at any time to bring a lawsuit for the payment of money due on your debt securities on or after the due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Book-entry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other indirect holders should consult their banks or brokers for information on how to give notice or direction to or make a request of the trustee and how to declare or cancel an acceleration of maturity.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year, we will furnish to each trustee a written statement of certain of our officers certifying that to their knowledge we are in compliance with the indenture and the debt securities, or else specifying any default.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Waiver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 majority in principal amount of the outstanding debt securities of the affected series may waive any past defaults other than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payment of principal, any premium or interest;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respect of a covenant that cannot be modified or amended without the consent of each holder of the affected series.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or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either the Company is the continuing entity or the resulting entity or transferee must agree to be legally responsible for our obligations under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certain certificates and documents to the trustee;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satisfy any other requirements specified in the prospectus supplement relating to a particular series of debt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 or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types of changes we can make to the indenture and the debt securities issued thereunder.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Requiring Your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there are changes that we cannot make to your debt securities without your specific approval. The following is a list of those types of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stated maturity of the principal of (or premium, if any) or any installment of principal of or interest on a debt security or the terms of any sinking fund with respect to any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any amounts due on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obligation we have to pay additional amounts;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amount of principal payable upon a declaration of acceleration of the maturity of an original issue discount or indexed security following a default or upon the redemption thereof or the amount thereof provable in a bankruptcy proceeding;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of repayment at the holder’s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place or currency of payment on a debt security (except as otherwise described in the prospectus or prospectus supplement);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 your right to sue for payment;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to convert or exchange a debt security in accordance with its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the subordination provisions in the indenture in a manner that is adverse to outstanding holders of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in principal amount of debt securities of any series, whose holders’ consent is needed to modify or amend the indenture, waive compliance with certain provisions of the indenture or to waive certain defaults, or reduce the requirements for quorum or voting;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any other aspect of the provisions of the indenture dealing with supplemental indentures with the consent of holders, waiver of past defaults, changes to the quorum or voting requirements or the waiver of certain covenants.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Not Requiring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type of change does not require any vote by the holders of the debt securities. This type is limited to clarifications, evidencing succession of another person to the Company and the assumption by any such successor of the covenants of the Company in the indenture and the applicable debt securities,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Requiring Majority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change to the indenture and the debt securities would require the following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only one series of debt securities, it must be approved by the holders of a majority in principal amount of that series;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each case, the required approval must be given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Further Details Concerning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taking a vote, we will use the following rules to decide how much principal to attribute to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original issue discount securities, we will use the principal amount that would be due and payable on the voting date if the maturity of these debt securities were accelerated to that date because of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whose principal amount is not known (for example, because it is based on an index), we will use the principal face amount at original issuance or a special rule for that debt security described in the prospectus supplement;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denominated in one or more foreign currencies, we will use the U.S. dollar equivalent.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Book-entry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other indirect holders should consult their banks or brokers for information on how approval may be granted or denied if we seek to change the indenture or the debt securities or request a waiver.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Covenant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point below to the payment of amounts due in respect of such debt securities for the benefit of the subordinated debt holders. In order to achieve covenant defeasance, we must do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irrevocably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defeasance must not result in a breach or violation of, or result in a default under, the indenture or any of our other material agreements or instruments;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covenant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Full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federal tax law or we obtain an IRS ruling, as described in the second bullet point below, we can legally release ourselves from all payment and other obligations on the debt securities of a particular series (called “full defeasance”) if we put in place the following other arrangements for you to be repaid: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defeasance have been complied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defeasance must not result in a breach or violation of, or constitute a default under, of the indenture or any of our other material agreements or instruments;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full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point of the preceding paragraph to the payment of amounts due in respect of such debt securities for the benefit of the subordinated debt 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Exchange and Transfer of Certificated Registered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registered debt securities cease to be issued in book-entry form, they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only in fully registered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without interest coupons;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unless we indicate otherwise in the prospectus supplement, in denominations of $1,000 and amounts that are multiples of $1,000.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Indenture Provisions — Subordination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notwithstanding the foregoing, any payment by us at any time is received by the holders of any subordinated debt securities or by the trustee in respect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Indebtedness is defined in the indenture as the principal of (and premium, if any) and unpaid interest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renewals, extensions, modifications and refinancings of any of this indebtedness.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Secured Indebtedness and Ranking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Trustee under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a nationally recognized financial institution to serve as the trustee under the indenture.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Considerations Relating to Foreign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 Standard &amp; Poor’s rating of AA+. The DTC Rules applicable to its participants are on file with the SEC. More information about DTC can be found at </w:t>
      </w:r>
      <w:r>
        <w:rPr>
          <w:rFonts w:ascii="Times New Roman PS Std;serif" w:hAnsi="Times New Roman PS Std;serif"/>
          <w:b w:val="false"/>
          <w:i/>
          <w:caps w:val="false"/>
          <w:smallCaps w:val="false"/>
          <w:sz w:val="20"/>
        </w:rPr>
        <w:t xml:space="preserve">www.dtcc.com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caps w:val="false"/>
          <w:smallCaps w:val="false"/>
          <w:sz w:val="20"/>
        </w:rPr>
        <w:t>www.dtc.org</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debt securities under the DTC system must be made by or through Direct Participants, which will receive a credit for the debt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notices shall be sent to DTC. If less than all of the debt securities within an issue are being redeemed, DTC’s practice is to determine by lot the amount of the interest of each Direct Participant in such issue to be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may discontinue providing its services as securities depository with respect to the debt securities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this section concerning DTC and DTC’s book-entry system has been obtained from sources that we believe to be reliable, but we take no responsibility for the accuracy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5026"/>
      <w:bookmarkEnd w:id="44"/>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more than one offering or series, our common stock, preferred stock, subscription rights to purchase shares of our common stock or debt securities, in one or more underwritten public offerings, at-the-market offerings to or through a market maker or into an existing trading market for the securities, on an exchange or otherwise, negotiated transactions, block trades, best efforts or a combination of these methods. We may sell securities through underwriters or dealers, directly to one or more purchasers, including existing stockholders in a rights offering,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securities will be named in the applicable prospectus supplement. A prospectus supplement or supplements will also describe the terms of the offering of securities, including: the purchase price of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or agents named in the prospectus supplement will be underwriters or agents of the securities offered by the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(a) in connection with a rights offering to our existing stockholders, (b) with the consent of the majority (as defined in the 1940 Act) of our common stockholders or (c) under such other circumstances as the SEC may permit. The price at which the securities may be distributed may represent a discount from prevailing market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compensation to be received by any member of FINRA or independent broker-dealer, including any reimbursements to underwriters or agents for certain fees and legal expenses incurred by them, will not be greater than 8% of the gross proceeds of the sale of the securities offered pursuant to this prospectus and any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the securities directly or through agents we designate from time to time. We will name any agent involved in the offering and sale of the securities and we will describe any commissions we will pay the agent in the prospectus supplement. Unless the prospectus supplement states otherwise, our agent will act on a best-efforts basis for the period of its appointment.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each class or series of securities will be a new issue with no trading market, other than our common stock and the Series 2027 Term Preferred Shares, the 6.00% Series 2029 Term Preferred Shares, the 7.125% Series 2029 Term Preferred Shares, the 2027 Notes, the 2031 Notes and the 2030 Notes, which are traded on The NASDAQ Global Select Market. We may elect to list any other class or series of securities on any exchanges, but we are not obligated to do so. We cannot guarantee the liquidity of the trading markets for any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agreements that we may enter, underwriters, dealers and agents who participate in the distribution of shares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our securities offered hereby will be sold in such jurisdictions only through registered or licensed brokers or dealers.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5" w:name="T5027"/>
      <w:bookmarkEnd w:id="45"/>
      <w:r>
        <w:rPr>
          <w:rFonts w:ascii="Times New Roman PS Std;serif" w:hAnsi="Times New Roman PS Std;serif"/>
          <w:b/>
          <w:i w:val="false"/>
          <w:caps w:val="false"/>
          <w:smallCaps w:val="false"/>
          <w:sz w:val="20"/>
        </w:rPr>
        <w:t>CUSTODIAN, TRANSFER AGENT, DIVIDEND DISBURSING AGENT AND REDEMPTION AND PAYING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are held under a custody agreement by U.S. Bank National Association. The address of the custodian is 8 Greenway Plaza Suite 1100, Houston, TX 77046. Computershare Trust Company, N.A. acts as our transfer agent, dividend disbursing agent and redemption and paying agent. The principal business address of our transfer agent is 250 Royall Street, Canton, MA 02021.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6" w:name="T5028"/>
      <w:bookmarkEnd w:id="46"/>
      <w:r>
        <w:rPr>
          <w:rFonts w:ascii="Times New Roman PS Std;serif" w:hAnsi="Times New Roman PS Std;serif"/>
          <w:b/>
          <w:i w:val="false"/>
          <w:caps w:val="false"/>
          <w:smallCaps w:val="false"/>
          <w:sz w:val="20"/>
        </w:rPr>
        <w:t xml:space="preserve">BROKERAGE ALLOCATION AND OTHER PRACTICES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we acquire and dispose of most of our investments in privately negotiated transactions or in the over-the-counter markets, we infrequently use brokers in the normal course of our business. We are generally not required to pay a stated brokerage commission. However, to the extent a broker-dealer is involved in a transaction, the price paid or received by us may reflect a mark-up or mark-down. Subject to policies established by our Board of Directors, Oxford Lane Management is responsible for the execution of securities transactions in our portfolio. The investment adviser in making decisions regarding the selection of broker-dealers used to find a buyer or seller for transactions, takes into account the following factors: (i) whether the broker-dealer has any special knowledge of the security; (ii) whether the broker-dealer originally underwrote or sponsored the security (iii) the ability of the broker-dealer to find a natural buyer or seller for the security (iv) the operational efficiency with which transactions are effected (such as prompt and accurate confirmation and delivery), taking into account the size of order and difficulty of execution; (v) the financial strength, integrity and stability of the broker-dealer; (vi) the value of brokerage services over and above trade execution provided to the Company; and (vii) any other factors the investment adviser considers to be in the best interest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investment adviser nor the Company has any “soft dollars” arrangement in which a broker-dealer for commissions contracts with and pays a third party on behalf of the investment adviser so that the third party may provide research or brokerage services to the investment adviser. The investment adviser may receive research directly from the broker-dealers with whom it transacts. However, the investment adviser does not “pay up” for such information nor is receipt of the information a primary consideration in broker-dealer selection.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7" w:name="T5029"/>
      <w:bookmarkEnd w:id="47"/>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in connection with the securities offered hereby will be passed upon for us by Dechert LLP, Washington, DC. Certain legal matters in connection with the offering of the securities will be passed upon for the underwriters, if any, by the counsel named in the applicable prospectus supplement.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8" w:name="T5030"/>
      <w:bookmarkEnd w:id="48"/>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incorporated in this Prospectus by reference to the Annual Report on Form N-CSR for the year ended March 31, 2024 have been so incorporated in reliance on the report of PricewaterhouseCoopers LLP, an independent registered public accounting firm, given on the authority of said firm as experts in auditing and accounting.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9" w:name="T5031"/>
      <w:bookmarkEnd w:id="49"/>
      <w:r>
        <w:rPr>
          <w:rFonts w:ascii="Times New Roman PS Std;serif" w:hAnsi="Times New Roman PS Std;serif"/>
          <w:b/>
          <w:i w:val="false"/>
          <w:caps w:val="false"/>
          <w:smallCaps w:val="false"/>
          <w:sz w:val="20"/>
        </w:rPr>
        <w:t xml:space="preserve">AVAILABLE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file with or submit to the SEC annual, semi-annual and monthly reports, proxy statements and other information meeting the informational requirements of the Exchange Act. The SEC maintains an Internet site that contains reports, proxy and information statements and other information filed electronically by us with the SEC which are available on the SEC’s website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xml:space="preserve"> Copies of these reports, proxy and information statements and other information may be obtained, after paying a duplicating fee, by electronic request at the following e-mail address: publicinfo@sec.gov. This information is also available free of charge by contacting us at Oxford Lane Capital Corp., 8 Sound Shore Drive, Suite 255, Greenwich, CT 06830, by telephone at (203) 983-5275, or on our website at </w:t>
      </w:r>
      <w:r>
        <w:rPr>
          <w:rFonts w:ascii="Times New Roman PS Std;serif" w:hAnsi="Times New Roman PS Std;serif"/>
          <w:b w:val="false"/>
          <w:i/>
          <w:caps w:val="false"/>
          <w:smallCaps w:val="false"/>
          <w:sz w:val="20"/>
        </w:rPr>
        <w:t>http://www.oxfordlanecapital.com</w:t>
      </w:r>
      <w:r>
        <w:rPr>
          <w:rFonts w:ascii="Times New Roman PS Std;serif" w:hAnsi="Times New Roman PS Std;serif"/>
          <w:b w:val="false"/>
          <w:i w:val="false"/>
          <w:caps w:val="false"/>
          <w:smallCaps w:val="false"/>
          <w:sz w:val="20"/>
        </w:rPr>
        <w:t>. Information contained on our website or on the SEC’s website about us is not incorporated into this prospectus and you should not consider information contained on our website or on the SEC’s website to be part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0" w:name="T5032"/>
      <w:bookmarkEnd w:id="50"/>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this prospectus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any future filings (including those made after the date of the filing of the registration statement of which this prospectus is a part) we will make with the SEC under Sections 13(a), 13(c), 14, or 15(d) of the Exchange Act including any filings on or after the date of this prospectus from the date of filing (excluding any information furnished, rather than filed), until we have sold all of the offered securities to which this prospectus and any accompanying prospectus supplement relates or the offering is otherwise terminated. The information incorporated by reference is an important part of this prospectus. Any statement in a document incorporated by reference into this prospectus will be deemed to be automatically modified or superseded to the extent a statement contained in (1) this prospectus or (2) any other subsequently filed document that is incorporated by reference into this prospectus modifies or supersedes such statement. The documents incorporated by reference herein include:</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w:t>
      </w:r>
      <w:hyperlink r:id="rId29">
        <w:r>
          <w:rPr>
            <w:rStyle w:val="InternetLink"/>
            <w:rFonts w:ascii="Times New Roman PS Std;serif" w:hAnsi="Times New Roman PS Std;serif"/>
            <w:b w:val="false"/>
            <w:i w:val="false"/>
            <w:caps w:val="false"/>
            <w:smallCaps w:val="false"/>
            <w:sz w:val="20"/>
          </w:rPr>
          <w:t>Annual Report on Form N-CSR</w:t>
        </w:r>
      </w:hyperlink>
      <w:r>
        <w:rPr>
          <w:rFonts w:ascii="Times New Roman PS Std;serif" w:hAnsi="Times New Roman PS Std;serif"/>
          <w:b w:val="false"/>
          <w:i w:val="false"/>
          <w:caps w:val="false"/>
          <w:smallCaps w:val="false"/>
          <w:sz w:val="20"/>
        </w:rPr>
        <w:t xml:space="preserve"> for the fiscal year ended March 31, 2024, filed with the SEC on May 17, 2024;</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w:t>
      </w:r>
      <w:hyperlink r:id="rId30">
        <w:r>
          <w:rPr>
            <w:rStyle w:val="InternetLink"/>
            <w:rFonts w:ascii="Times New Roman PS Std;serif" w:hAnsi="Times New Roman PS Std;serif"/>
            <w:b w:val="false"/>
            <w:i w:val="false"/>
            <w:caps w:val="false"/>
            <w:smallCaps w:val="false"/>
            <w:sz w:val="20"/>
          </w:rPr>
          <w:t>Semi-Annual Report on Form N-CSR</w:t>
        </w:r>
      </w:hyperlink>
      <w:r>
        <w:rPr>
          <w:rFonts w:ascii="Times New Roman PS Std;serif" w:hAnsi="Times New Roman PS Std;serif"/>
          <w:b w:val="false"/>
          <w:i w:val="false"/>
          <w:caps w:val="false"/>
          <w:smallCaps w:val="false"/>
          <w:sz w:val="20"/>
        </w:rPr>
        <w:t xml:space="preserve"> for the six months ended September 30, 2024, filed with the SEC on November 1, 2024;</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31">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for the annual meeting of the stockholders, filed with the SEC on September 6, 2024;</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referenced in our Registration Statement on </w:t>
      </w:r>
      <w:hyperlink r:id="rId32">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January 19, 2011, including any amendment or report filed for the purpose of updating such description prior to the termination of the offering of the common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6.25% Series 2027 Term Preferred Shares referenced in our Registration Statement on </w:t>
      </w:r>
      <w:hyperlink r:id="rId33">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February 7, 2020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6.75% Notes due 2031 referenced in our Registration Statement on </w:t>
      </w:r>
      <w:hyperlink r:id="rId34">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March 16, 2021 including any amendment or report filed for the purpose of updating such description prior to the termination of the offering of the notes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6.00% Series 2029 Term Preferred Shares referenced in our Registration Statement on </w:t>
      </w:r>
      <w:hyperlink r:id="rId35">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August 17, 2021,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5.00% Notes due 2027 referenced in our Registration Statement on </w:t>
      </w:r>
      <w:hyperlink r:id="rId36">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January 13, 2022 including any amendment or report filed for the purpose of updating such description prior to the termination of the offering of the notes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7.125% Series 2029 Term Preferred Shares referenced in our Registration Statement on </w:t>
      </w:r>
      <w:hyperlink r:id="rId37">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June 16, 2022, including any amendment or report filed for the purpose of updating such description prior to the termination of the offering of the preferred stock registered hereby;</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8.75% Notes due 2030 referenced in our Registration Statement on </w:t>
      </w:r>
      <w:hyperlink r:id="rId38">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as filed with the SEC on July 8, 2024, including any amendment or report filed for the purpose of updating such description prior to the termination of the offering of the preferred stock registered hereby; and</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Current Reports on </w:t>
      </w:r>
      <w:hyperlink r:id="rId39">
        <w:r>
          <w:rPr>
            <w:rStyle w:val="InternetLink"/>
            <w:rFonts w:ascii="Times New Roman PS Std;serif" w:hAnsi="Times New Roman PS Std;serif"/>
            <w:b w:val="false"/>
            <w:i w:val="false"/>
            <w:caps w:val="false"/>
            <w:smallCaps w:val="false"/>
            <w:sz w:val="20"/>
          </w:rPr>
          <w:t>Form 8-K</w:t>
        </w:r>
      </w:hyperlink>
      <w:r>
        <w:rPr>
          <w:rFonts w:ascii="Times New Roman PS Std;serif" w:hAnsi="Times New Roman PS Std;serif"/>
          <w:b w:val="false"/>
          <w:i w:val="false"/>
          <w:caps w:val="false"/>
          <w:smallCaps w:val="false"/>
          <w:sz w:val="20"/>
        </w:rPr>
        <w:t xml:space="preserve"> (other than information furnished rather than filed) filed with the SEC on July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periodic reports filed pursuant to Section 30(b)(2) of the 1940 Act and Sections 13 or 15(d) of the Exchange Act, as well as this prospectus are available on our website at </w:t>
      </w:r>
      <w:r>
        <w:rPr>
          <w:rFonts w:ascii="Times New Roman PS Std;serif" w:hAnsi="Times New Roman PS Std;serif"/>
          <w:b w:val="false"/>
          <w:i/>
          <w:caps w:val="false"/>
          <w:smallCaps w:val="false"/>
          <w:sz w:val="20"/>
        </w:rPr>
        <w:t>www.oxfordlanecapital.com.</w:t>
      </w:r>
      <w:r>
        <w:rPr>
          <w:rFonts w:ascii="Times New Roman PS Std;serif" w:hAnsi="Times New Roman PS Std;serif"/>
          <w:b w:val="false"/>
          <w:i w:val="false"/>
          <w:caps w:val="false"/>
          <w:smallCaps w:val="false"/>
          <w:sz w:val="20"/>
        </w:rPr>
        <w:t xml:space="preserve"> Information contained on our website is not incorporated into this prospectus and you should not consider information contained on our website to be part of this prospectus. You may also request a copy of these filings (other than exhibits, unless the exhibits are specifically incorporated by reference into these documents) at no cost by writing or calling Investor Relations at the following address and telephone number: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w:t>
        <w:br/>
        <w:t>8 Sound Shore Drive</w:t>
        <w:br/>
        <w:t>Suite 255</w:t>
        <w:br/>
        <w:t>Greenwich, Connecticut</w:t>
        <w:br/>
        <w:t>(203) 983-5275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herein is accurate as of any date other than the date on the front of this prospectus or those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20"/>
        <w:ind w:left="0" w:right="0" w:hanging="0"/>
        <w:jc w:val="center"/>
        <w:rPr>
          <w:caps w:val="false"/>
          <w:smallCaps w:val="false"/>
        </w:rPr>
      </w:pPr>
      <w:r>
        <w:rPr>
          <w:caps w:val="false"/>
          <w:smallCaps w:val="false"/>
        </w:rPr>
        <w:t>  </w:t>
      </w:r>
    </w:p>
    <w:p>
      <w:pPr>
        <w:pStyle w:val="TextBody"/>
        <w:keepNext w:val="false"/>
        <w:pageBreakBefore w:val="false"/>
        <w:widowControl/>
        <w:pBdr/>
        <w:bidi w:val="0"/>
        <w:spacing w:before="700" w:after="58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$36,000,000</w:t>
      </w:r>
    </w:p>
    <w:p>
      <w:pPr>
        <w:pStyle w:val="TextBody"/>
        <w:keepNext w:val="true"/>
        <w:pageBreakBefore w:val="false"/>
        <w:widowControl/>
        <w:pBdr/>
        <w:bidi w:val="0"/>
        <w:spacing w:before="0" w:after="480"/>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Oxford Lane Capital Corp.</w:t>
      </w:r>
    </w:p>
    <w:p>
      <w:pPr>
        <w:pStyle w:val="TextBody"/>
        <w:keepNext w:val="true"/>
        <w:pageBreakBefore w:val="false"/>
        <w:widowControl/>
        <w:pBdr/>
        <w:bidi w:val="0"/>
        <w:spacing w:before="240" w:after="600"/>
        <w:jc w:val="center"/>
        <w:rPr>
          <w:caps w:val="false"/>
          <w:smallCaps w:val="false"/>
        </w:rPr>
      </w:pPr>
      <w:r>
        <w:rPr>
          <w:caps w:val="false"/>
          <w:smallCaps w:val="false"/>
        </w:rPr>
        <w:drawing>
          <wp:inline distT="0" distB="0" distL="0" distR="0">
            <wp:extent cx="771525" cy="87185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0"/>
                    <a:stretch>
                      <a:fillRect/>
                    </a:stretch>
                  </pic:blipFill>
                  <pic:spPr bwMode="auto">
                    <a:xfrm>
                      <a:off x="0" y="0"/>
                      <a:ext cx="771525" cy="87185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Preferred Stock</w:t>
        <w:br/>
        <w:t>Shares, 8.25% Series 2031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 SUPPLEMENT</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w:t>
      </w:r>
    </w:p>
    <w:p>
      <w:pPr>
        <w:pStyle w:val="TextBody"/>
        <w:keepNext w:val="false"/>
        <w:pageBreakBefore w:val="false"/>
        <w:widowControl/>
        <w:pBdr/>
        <w:bidi w:val="0"/>
        <w:spacing w:before="400" w:after="283"/>
        <w:jc w:val="center"/>
        <w:rPr>
          <w:caps w:val="false"/>
          <w:smallCaps w:val="false"/>
        </w:rPr>
      </w:pPr>
      <w:r>
        <w:rPr>
          <w:caps w:val="false"/>
          <w:smallCaps w:val="false"/>
        </w:rPr>
        <w:t>         </w:t>
      </w:r>
    </w:p>
    <w:tbl>
      <w:tblPr>
        <w:tblW w:w="6178" w:type="dxa"/>
        <w:jc w:val="left"/>
        <w:tblInd w:w="0" w:type="dxa"/>
        <w:tblLayout w:type="fixed"/>
        <w:tblCellMar>
          <w:top w:w="0" w:type="dxa"/>
          <w:left w:w="0" w:type="dxa"/>
          <w:bottom w:w="0" w:type="dxa"/>
          <w:right w:w="0" w:type="dxa"/>
        </w:tblCellMar>
      </w:tblPr>
      <w:tblGrid>
        <w:gridCol w:w="2341"/>
        <w:gridCol w:w="146"/>
        <w:gridCol w:w="3691"/>
      </w:tblGrid>
      <w:tr>
        <w:trPr/>
        <w:tc>
          <w:tcPr>
            <w:tcW w:w="6178" w:type="dxa"/>
            <w:gridSpan w:val="3"/>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Joint Book-Running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Managers</w:t>
            </w:r>
          </w:p>
        </w:tc>
      </w:tr>
      <w:tr>
        <w:trPr/>
        <w:tc>
          <w:tcPr>
            <w:tcW w:w="234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Piper Sandler</w:t>
            </w:r>
          </w:p>
        </w:tc>
        <w:tc>
          <w:tcPr>
            <w:tcW w:w="146" w:type="dxa"/>
            <w:tcBorders/>
            <w:vAlign w:val="bottom"/>
          </w:tcPr>
          <w:p>
            <w:pPr>
              <w:pStyle w:val="TableContents"/>
              <w:bidi w:val="0"/>
              <w:spacing w:before="0" w:after="283"/>
              <w:jc w:val="left"/>
              <w:rPr/>
            </w:pPr>
            <w:r>
              <w:rPr/>
              <w:t> </w:t>
            </w:r>
          </w:p>
        </w:tc>
        <w:tc>
          <w:tcPr>
            <w:tcW w:w="369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Lucid Capital Markets</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91" w:type="dxa"/>
            <w:tcBorders/>
            <w:vAlign w:val="bottom"/>
          </w:tcPr>
          <w:p>
            <w:pPr>
              <w:pStyle w:val="TableContents"/>
              <w:bidi w:val="0"/>
              <w:spacing w:before="0" w:after="283"/>
              <w:jc w:val="left"/>
              <w:rPr/>
            </w:pPr>
            <w:r>
              <w:rPr/>
              <w:t> </w:t>
            </w:r>
          </w:p>
        </w:tc>
      </w:tr>
      <w:tr>
        <w:trPr/>
        <w:tc>
          <w:tcPr>
            <w:tcW w:w="6178" w:type="dxa"/>
            <w:gridSpan w:val="3"/>
            <w:tcBorders/>
            <w:vAlign w:val="bottom"/>
          </w:tcPr>
          <w:p>
            <w:pPr>
              <w:pStyle w:val="TableContents"/>
              <w:keepNext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Lead Managers</w:t>
            </w:r>
          </w:p>
        </w:tc>
      </w:tr>
    </w:tbl>
    <w:tbl>
      <w:tblPr>
        <w:tblW w:w="2848" w:type="dxa"/>
        <w:jc w:val="left"/>
        <w:tblInd w:w="0" w:type="dxa"/>
        <w:tblLayout w:type="fixed"/>
        <w:tblCellMar>
          <w:top w:w="0" w:type="dxa"/>
          <w:left w:w="0" w:type="dxa"/>
          <w:bottom w:w="0" w:type="dxa"/>
          <w:right w:w="0" w:type="dxa"/>
        </w:tblCellMar>
      </w:tblPr>
      <w:tblGrid>
        <w:gridCol w:w="1111"/>
        <w:gridCol w:w="146"/>
        <w:gridCol w:w="1591"/>
      </w:tblGrid>
      <w:tr>
        <w:trPr/>
        <w:tc>
          <w:tcPr>
            <w:tcW w:w="111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A.G.P.</w:t>
            </w:r>
          </w:p>
        </w:tc>
        <w:tc>
          <w:tcPr>
            <w:tcW w:w="146" w:type="dxa"/>
            <w:tcBorders/>
            <w:vAlign w:val="bottom"/>
          </w:tcPr>
          <w:p>
            <w:pPr>
              <w:pStyle w:val="TableContents"/>
              <w:bidi w:val="0"/>
              <w:spacing w:before="0" w:after="283"/>
              <w:jc w:val="left"/>
              <w:rPr/>
            </w:pPr>
            <w:r>
              <w:rPr/>
              <w:t> </w:t>
            </w:r>
          </w:p>
        </w:tc>
        <w:tc>
          <w:tcPr>
            <w:tcW w:w="1591" w:type="dxa"/>
            <w:tcBorders/>
            <w:vAlign w:val="bottom"/>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InspereX</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October 21, 2026</w:t>
      </w:r>
    </w:p>
    <w:p>
      <w:pPr>
        <w:pStyle w:val="TextBody"/>
        <w:keepNext w:val="true"/>
        <w:pageBreakBefore w:val="false"/>
        <w:widowControl/>
        <w:pBdr/>
        <w:bidi w:val="0"/>
        <w:spacing w:before="80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p>
      <w:pPr>
        <w:sectPr>
          <w:type w:val="continuous"/>
          <w:pgSz w:w="11906" w:h="16838"/>
          <w:pgMar w:left="1134" w:right="1134" w:gutter="0" w:header="0" w:top="1134" w:footer="0" w:bottom="1134"/>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51" w:name="ea0308805-02_exfilingfees.htm"/>
      <w:bookmarkStart w:id="52" w:name="ksea030880502_exfilingfees"/>
      <w:bookmarkStart w:id="53" w:name="ea0308805-02_exfilingfees.htm"/>
      <w:bookmarkStart w:id="54" w:name="ksea030880502_exfilingfees"/>
      <w:bookmarkEnd w:id="53"/>
      <w:bookmarkEnd w:id="54"/>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N-2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Oxford Lane Capital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299" w:type="dxa"/>
        <w:jc w:val="left"/>
        <w:tblInd w:w="0" w:type="dxa"/>
        <w:tblLayout w:type="fixed"/>
        <w:tblCellMar>
          <w:top w:w="28" w:type="dxa"/>
          <w:left w:w="28" w:type="dxa"/>
          <w:bottom w:w="28" w:type="dxa"/>
          <w:right w:w="28" w:type="dxa"/>
        </w:tblCellMar>
      </w:tblPr>
      <w:tblGrid>
        <w:gridCol w:w="1126"/>
        <w:gridCol w:w="226"/>
        <w:gridCol w:w="946"/>
        <w:gridCol w:w="976"/>
        <w:gridCol w:w="1276"/>
        <w:gridCol w:w="1186"/>
        <w:gridCol w:w="1156"/>
        <w:gridCol w:w="166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29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76" w:type="dxa"/>
            <w:tcBorders/>
            <w:shd w:fill="E7E7E2" w:val="clear"/>
            <w:vAlign w:val="center"/>
          </w:tcPr>
          <w:p>
            <w:pPr>
              <w:pStyle w:val="TableContents"/>
              <w:bidi w:val="0"/>
              <w:spacing w:before="0" w:after="283"/>
              <w:jc w:val="left"/>
              <w:rPr/>
            </w:pPr>
            <w:r>
              <w:rPr/>
              <w:t xml:space="preserve">8.25% Series 2031 Term Preferred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1,656,000 </w:t>
            </w:r>
          </w:p>
        </w:tc>
        <w:tc>
          <w:tcPr>
            <w:tcW w:w="1156" w:type="dxa"/>
            <w:tcBorders/>
            <w:shd w:fill="E7E7E2" w:val="clear"/>
            <w:vAlign w:val="center"/>
          </w:tcPr>
          <w:p>
            <w:pPr>
              <w:pStyle w:val="TableContents"/>
              <w:bidi w:val="0"/>
              <w:spacing w:before="0" w:after="283"/>
              <w:jc w:val="right"/>
              <w:rPr/>
            </w:pPr>
            <w:r>
              <w:rPr/>
              <w:t xml:space="preserve">$ 24.85 </w:t>
            </w:r>
          </w:p>
        </w:tc>
        <w:tc>
          <w:tcPr>
            <w:tcW w:w="1666" w:type="dxa"/>
            <w:tcBorders/>
            <w:shd w:fill="E7E7E2" w:val="clear"/>
            <w:vAlign w:val="center"/>
          </w:tcPr>
          <w:p>
            <w:pPr>
              <w:pStyle w:val="TableContents"/>
              <w:bidi w:val="0"/>
              <w:spacing w:before="0" w:after="283"/>
              <w:jc w:val="right"/>
              <w:rPr/>
            </w:pPr>
            <w:r>
              <w:rPr/>
              <w:t xml:space="preserve">$ 41,151,600.00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$ 3,580.19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7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29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7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3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55" w:name="MaxAggtOfferingPrice"/>
            <w:bookmarkEnd w:id="55"/>
            <w:r>
              <w:rPr/>
              <w:t xml:space="preserve">$ 41,151,600.00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6" w:name="TotalFeeAmt"/>
            <w:bookmarkEnd w:id="56"/>
            <w:r>
              <w:rPr/>
              <w:t xml:space="preserve">$ 3,580.19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3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7" w:name="TotalPreviouslyPaidAmt"/>
            <w:bookmarkEnd w:id="5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3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8" w:name="TotalOffsetAmt"/>
            <w:bookmarkEnd w:id="5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3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9" w:name="NetFeeAmt"/>
            <w:bookmarkEnd w:id="59"/>
            <w:r>
              <w:rPr/>
              <w:t xml:space="preserve">$ 3,580.19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
        <w:gridCol w:w="1294"/>
        <w:gridCol w:w="8701"/>
      </w:tblGrid>
      <w:tr>
        <w:trPr/>
        <w:tc>
          <w:tcPr>
            <w:tcW w:w="21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5" w:type="dxa"/>
            <w:gridSpan w:val="2"/>
            <w:tcBorders/>
            <w:vAlign w:val="center"/>
          </w:tcPr>
          <w:p>
            <w:pPr>
              <w:pStyle w:val="TableContents"/>
              <w:bidi w:val="0"/>
              <w:spacing w:before="0" w:after="283"/>
              <w:jc w:val="left"/>
              <w:rPr/>
            </w:pPr>
            <w:r>
              <w:rPr/>
              <w:t xml:space="preserve">The registration fee is calculated in accordance with Rule 457(r) of the Securities Act of 1933, as amended. This "Calculation of Filing Fee" table shall be deemed to update the "Calculation of Registration Fee" table in the registrant's Registration Statement on Form N-2 (File No. 333-283109) in accordance with Rules 456(b) and 457(r) under the Securities Act of 1933, as amended.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495222/000121390026060338/ea0287282-01_ncsr.htm" TargetMode="External"/><Relationship Id="rId5" Type="http://schemas.openxmlformats.org/officeDocument/2006/relationships/hyperlink" Target="http://www.sec.gov/Archives/edgar/data/1495222/000121390026097175/ea0304302-01_def14a.htm" TargetMode="External"/><Relationship Id="rId6" Type="http://schemas.openxmlformats.org/officeDocument/2006/relationships/hyperlink" Target="http://www.sec.gov/Archives/edgar/data/1495222/000114420411002793/v207990_8a12b.htm" TargetMode="External"/><Relationship Id="rId7" Type="http://schemas.openxmlformats.org/officeDocument/2006/relationships/hyperlink" Target="http://www.sec.gov/Archives/edgar/data/1495222/000121390021015723/s131113_8a12b.htm" TargetMode="External"/><Relationship Id="rId8" Type="http://schemas.openxmlformats.org/officeDocument/2006/relationships/hyperlink" Target="http://www.sec.gov/Archives/edgar/data/1495222/000121390021043443/s133173_8a12b.htm" TargetMode="External"/><Relationship Id="rId9" Type="http://schemas.openxmlformats.org/officeDocument/2006/relationships/hyperlink" Target="http://www.sec.gov/Archives/edgar/data/1495222/000121390022001929/s134974_8a12b.htm" TargetMode="External"/><Relationship Id="rId10" Type="http://schemas.openxmlformats.org/officeDocument/2006/relationships/hyperlink" Target="http://www.sec.gov/Archives/edgar/data/1495222/000121390022033312/s137989_8a12b.htm" TargetMode="External"/><Relationship Id="rId11" Type="http://schemas.openxmlformats.org/officeDocument/2006/relationships/hyperlink" Target="http://www.sec.gov/Archives/edgar/data/1495222/000121390024059809/ea0209035-02_8a12b.htm" TargetMode="External"/><Relationship Id="rId12" Type="http://schemas.openxmlformats.org/officeDocument/2006/relationships/hyperlink" Target="http://www.sec.gov/Archives/edgar/data/1495222/000121390025018001/ea0232364-01_8a12b.htm" TargetMode="External"/><Relationship Id="rId13" Type="http://schemas.openxmlformats.org/officeDocument/2006/relationships/hyperlink" Target="http://www.sec.gov/Archives/edgar/data/1495222/000121390026032384/ea0282735-02_8a12b.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hyperlink" Target="http://www.sec.gov/Archives/edgar/data/1495222/000121390024044489/ea020448201_ncsr.htm" TargetMode="External"/><Relationship Id="rId17" Type="http://schemas.openxmlformats.org/officeDocument/2006/relationships/hyperlink" Target="http://www.sec.gov/Archives/edgar/data/1495222/000121390024093518/ea0218152-01_ncsrs.htm" TargetMode="External"/><Relationship Id="rId18" Type="http://schemas.openxmlformats.org/officeDocument/2006/relationships/hyperlink" Target="http://www.sec.gov/Archives/edgar/data/1495222/000121390024044489/ea020448201_ncsr.htm" TargetMode="External"/><Relationship Id="rId19" Type="http://schemas.openxmlformats.org/officeDocument/2006/relationships/hyperlink" Target="http://www.sec.gov/Archives/edgar/data/1495222/000121390024093518/ea0218152-01_ncsrs.htm" TargetMode="External"/><Relationship Id="rId20" Type="http://schemas.openxmlformats.org/officeDocument/2006/relationships/hyperlink" Target="http://www.sec.gov/Archives/edgar/data/1495222/000121390024044489/ea020448201_ncsr.htm" TargetMode="External"/><Relationship Id="rId21" Type="http://schemas.openxmlformats.org/officeDocument/2006/relationships/hyperlink" Target="http://www.sec.gov/Archives/edgar/data/1495222/000121390024093518/ea0218152-01_ncsrs.htm" TargetMode="External"/><Relationship Id="rId22" Type="http://schemas.openxmlformats.org/officeDocument/2006/relationships/hyperlink" Target="http://www.sec.gov/Archives/edgar/data/1495222/000121390024093518/ea0218152-01_ncsrs.htm" TargetMode="External"/><Relationship Id="rId23" Type="http://schemas.openxmlformats.org/officeDocument/2006/relationships/hyperlink" Target="http://www.sec.gov/Archives/edgar/data/1495222/000121390024044489/ea020448201_ncsr.htm" TargetMode="External"/><Relationship Id="rId24" Type="http://schemas.openxmlformats.org/officeDocument/2006/relationships/image" Target="media/image2.jpeg"/><Relationship Id="rId25" Type="http://schemas.openxmlformats.org/officeDocument/2006/relationships/hyperlink" Target="http://www.sec.gov/Archives/edgar/data/1495222/000121390024076510/ea0213567-01_def14a.htm" TargetMode="External"/><Relationship Id="rId26" Type="http://schemas.openxmlformats.org/officeDocument/2006/relationships/hyperlink" Target="http://www.sec.gov/Archives/edgar/data/1495222/000121390024093518/ea0218152-01_ncsrs.htm" TargetMode="External"/><Relationship Id="rId27" Type="http://schemas.openxmlformats.org/officeDocument/2006/relationships/image" Target="media/image3.jpeg"/><Relationship Id="rId28" Type="http://schemas.openxmlformats.org/officeDocument/2006/relationships/hyperlink" Target="http://www.sec.gov/Archives/edgar/data/1495222/000121390024076510/ea0213567-01_def14a.htm" TargetMode="External"/><Relationship Id="rId29" Type="http://schemas.openxmlformats.org/officeDocument/2006/relationships/hyperlink" Target="http://www.sec.gov/Archives/edgar/data/1495222/000121390024044489/ea020448201_ncsr.htm" TargetMode="External"/><Relationship Id="rId30" Type="http://schemas.openxmlformats.org/officeDocument/2006/relationships/hyperlink" Target="http://www.sec.gov/Archives/edgar/data/1495222/000121390024093518/ea0218152-01_ncsrs.htm" TargetMode="External"/><Relationship Id="rId31" Type="http://schemas.openxmlformats.org/officeDocument/2006/relationships/hyperlink" Target="http://www.sec.gov/Archives/edgar/data/1495222/000121390024076510/ea0213567-01_def14a.htm" TargetMode="External"/><Relationship Id="rId32" Type="http://schemas.openxmlformats.org/officeDocument/2006/relationships/hyperlink" Target="http://www.sec.gov/Archives/edgar/data/1495222/000114420411002793/v207990_8a12b.htm" TargetMode="External"/><Relationship Id="rId33" Type="http://schemas.openxmlformats.org/officeDocument/2006/relationships/hyperlink" Target="http://www.sec.gov/Archives/edgar/data/1495222/000161577420001656/s123159_8a12b.htm" TargetMode="External"/><Relationship Id="rId34" Type="http://schemas.openxmlformats.org/officeDocument/2006/relationships/hyperlink" Target="http://www.sec.gov/Archives/edgar/data/1495222/000121390021015723/s131113_8a12b.htm" TargetMode="External"/><Relationship Id="rId35" Type="http://schemas.openxmlformats.org/officeDocument/2006/relationships/hyperlink" Target="http://www.sec.gov/Archives/edgar/data/1495222/000121390021043443/s133173_8a12b.htm" TargetMode="External"/><Relationship Id="rId36" Type="http://schemas.openxmlformats.org/officeDocument/2006/relationships/hyperlink" Target="http://www.sec.gov/Archives/edgar/data/1495222/000121390022001929/s134974_8a12b.htm" TargetMode="External"/><Relationship Id="rId37" Type="http://schemas.openxmlformats.org/officeDocument/2006/relationships/hyperlink" Target="http://www.sec.gov/Archives/edgar/data/1495222/000121390022033312/s137989_8a12b.htm" TargetMode="External"/><Relationship Id="rId38" Type="http://schemas.openxmlformats.org/officeDocument/2006/relationships/hyperlink" Target="http://www.sec.gov/Archives/edgar/data/1495222/000121390024059809/ea0209035-02_8a12b.htm" TargetMode="External"/><Relationship Id="rId39" Type="http://schemas.openxmlformats.org/officeDocument/2006/relationships/hyperlink" Target="http://www.sec.gov/Archives/edgar/data/1495222/000101376224003242/ea0210385-01_8k.htm" TargetMode="External"/><Relationship Id="rId40" Type="http://schemas.openxmlformats.org/officeDocument/2006/relationships/image" Target="media/image1.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144</Pages>
  <Words>84928</Words>
  <Characters>447690</Characters>
  <CharactersWithSpaces>533662</CharactersWithSpaces>
  <Paragraphs>2936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