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21"/>
        <w:gridCol w:w="3984"/>
      </w:tblGrid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0001495222 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Investment Company Type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N-2 Filer (Closed-End Investment Company)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731"/>
        <w:gridCol w:w="2474"/>
      </w:tblGrid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Oxford Lane Capital Corp. </w:t>
            </w:r>
          </w:p>
        </w:tc>
      </w:tr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 SOUND SHORE DRIVE </w:t>
            </w:r>
          </w:p>
        </w:tc>
      </w:tr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255 </w:t>
            </w:r>
          </w:p>
        </w:tc>
      </w:tr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GREENWICH </w:t>
            </w:r>
          </w:p>
        </w:tc>
      </w:tr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CONNECTICUT  </w:t>
            </w:r>
          </w:p>
        </w:tc>
      </w:tr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06830 </w:t>
            </w:r>
          </w:p>
        </w:tc>
      </w:tr>
      <w:tr>
        <w:trPr/>
        <w:tc>
          <w:tcPr>
            <w:tcW w:w="7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4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203-983-5275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97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4426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Jonathan H. Cohen, Chief Executive Officer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Oxford Lane Capital Corp.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 Sound Shore Drive, Suite 255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Greenwich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CONNECTICUT 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06830 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86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3031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811-22432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549300G3KO4JNQQD7Z72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Series</w:t>
      </w:r>
    </w:p>
    <w:tbl>
      <w:tblPr>
        <w:tblW w:w="2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331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Series: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1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Information about the Series: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51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79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Oxford Lane Capital Corp.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Jonathan H. Cohen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Jonathan H. Cohen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Principal Executive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07/06/2026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442</Words>
  <Characters>2517</Characters>
  <CharactersWithSpaces>2937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