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gridSpan w:val="3"/>
          </w:tcPr>
          <w:p>
            <w:pPr>
              <w:jc w:val="center"/>
              <w:ind w:right="4710"/>
              <w:spacing w:after="0"/>
              <w:rPr>
                <w:sz w:val="20"/>
                <w:szCs w:val="20"/>
                <w:color w:val="auto"/>
              </w:rPr>
            </w:pPr>
            <w:r>
              <w:rPr>
                <w:rFonts w:ascii="Arial" w:cs="Arial" w:eastAsia="Arial" w:hAnsi="Arial"/>
                <w:sz w:val="18"/>
                <w:szCs w:val="18"/>
                <w:b w:val="1"/>
                <w:bCs w:val="1"/>
                <w:color w:val="auto"/>
                <w:w w:val="99"/>
              </w:rPr>
              <w:t>UNITED STATES</w:t>
            </w:r>
          </w:p>
        </w:tc>
      </w:tr>
      <w:tr>
        <w:trPr>
          <w:trHeight w:val="216"/>
        </w:trPr>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920" w:type="dxa"/>
            <w:vAlign w:val="bottom"/>
            <w:gridSpan w:val="6"/>
          </w:tcPr>
          <w:p>
            <w:pPr>
              <w:jc w:val="center"/>
              <w:ind w:right="339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34"/>
        </w:trPr>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40" w:type="dxa"/>
            <w:vAlign w:val="bottom"/>
            <w:gridSpan w:val="4"/>
          </w:tcPr>
          <w:p>
            <w:pPr>
              <w:jc w:val="center"/>
              <w:ind w:right="4490"/>
              <w:spacing w:after="0"/>
              <w:rPr>
                <w:sz w:val="20"/>
                <w:szCs w:val="20"/>
                <w:color w:val="auto"/>
              </w:rPr>
            </w:pPr>
            <w:r>
              <w:rPr>
                <w:rFonts w:ascii="Arial" w:cs="Arial" w:eastAsia="Arial" w:hAnsi="Arial"/>
                <w:sz w:val="18"/>
                <w:szCs w:val="18"/>
                <w:b w:val="1"/>
                <w:bCs w:val="1"/>
                <w:color w:val="auto"/>
                <w:w w:val="91"/>
              </w:rPr>
              <w:t>Washington, D.C. 20549</w:t>
            </w:r>
          </w:p>
        </w:tc>
      </w:tr>
      <w:tr>
        <w:trPr>
          <w:trHeight w:val="469"/>
        </w:trPr>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60" w:type="dxa"/>
            <w:vAlign w:val="bottom"/>
            <w:gridSpan w:val="2"/>
          </w:tcPr>
          <w:p>
            <w:pPr>
              <w:jc w:val="center"/>
              <w:ind w:right="5070"/>
              <w:spacing w:after="0"/>
              <w:rPr>
                <w:sz w:val="20"/>
                <w:szCs w:val="20"/>
                <w:color w:val="auto"/>
              </w:rPr>
            </w:pPr>
            <w:r>
              <w:rPr>
                <w:rFonts w:ascii="Arial" w:cs="Arial" w:eastAsia="Arial" w:hAnsi="Arial"/>
                <w:sz w:val="22"/>
                <w:szCs w:val="22"/>
                <w:b w:val="1"/>
                <w:bCs w:val="1"/>
                <w:color w:val="auto"/>
                <w:w w:val="98"/>
              </w:rPr>
              <w:t>FORM N-Q</w:t>
            </w:r>
          </w:p>
        </w:tc>
      </w:tr>
      <w:tr>
        <w:trPr>
          <w:trHeight w:val="404"/>
        </w:trPr>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20" w:type="dxa"/>
            <w:vAlign w:val="bottom"/>
            <w:gridSpan w:val="8"/>
          </w:tcPr>
          <w:p>
            <w:pPr>
              <w:jc w:val="center"/>
              <w:ind w:right="2210"/>
              <w:spacing w:after="0"/>
              <w:rPr>
                <w:sz w:val="20"/>
                <w:szCs w:val="20"/>
                <w:color w:val="auto"/>
              </w:rPr>
            </w:pPr>
            <w:r>
              <w:rPr>
                <w:rFonts w:ascii="Arial" w:cs="Arial" w:eastAsia="Arial" w:hAnsi="Arial"/>
                <w:sz w:val="18"/>
                <w:szCs w:val="18"/>
                <w:b w:val="1"/>
                <w:bCs w:val="1"/>
                <w:color w:val="auto"/>
              </w:rPr>
              <w:t>QUARTERLY SCHEDULE OF PORTFOLIO HOLDINGS OF REGISTERED</w:t>
            </w:r>
          </w:p>
        </w:tc>
      </w:tr>
      <w:tr>
        <w:trPr>
          <w:trHeight w:val="234"/>
        </w:trPr>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920" w:type="dxa"/>
            <w:vAlign w:val="bottom"/>
            <w:gridSpan w:val="6"/>
          </w:tcPr>
          <w:p>
            <w:pPr>
              <w:jc w:val="center"/>
              <w:ind w:right="3410"/>
              <w:spacing w:after="0"/>
              <w:rPr>
                <w:sz w:val="20"/>
                <w:szCs w:val="20"/>
                <w:color w:val="auto"/>
              </w:rPr>
            </w:pPr>
            <w:r>
              <w:rPr>
                <w:rFonts w:ascii="Arial" w:cs="Arial" w:eastAsia="Arial" w:hAnsi="Arial"/>
                <w:sz w:val="18"/>
                <w:szCs w:val="18"/>
                <w:b w:val="1"/>
                <w:bCs w:val="1"/>
                <w:color w:val="auto"/>
              </w:rPr>
              <w:t>MANAGEMENT INVESTMENT COMPANY</w:t>
            </w:r>
          </w:p>
        </w:tc>
      </w:tr>
      <w:tr>
        <w:trPr>
          <w:trHeight w:val="432"/>
        </w:trPr>
        <w:tc>
          <w:tcPr>
            <w:tcW w:w="2880" w:type="dxa"/>
            <w:vAlign w:val="bottom"/>
            <w:gridSpan w:val="3"/>
          </w:tcPr>
          <w:p>
            <w:pPr>
              <w:spacing w:after="0"/>
              <w:rPr>
                <w:sz w:val="20"/>
                <w:szCs w:val="20"/>
                <w:color w:val="auto"/>
              </w:rPr>
            </w:pPr>
            <w:r>
              <w:rPr>
                <w:rFonts w:ascii="Arial" w:cs="Arial" w:eastAsia="Arial" w:hAnsi="Arial"/>
                <w:sz w:val="18"/>
                <w:szCs w:val="18"/>
                <w:color w:val="auto"/>
                <w:w w:val="96"/>
              </w:rPr>
              <w:t>Investment Company Act file number</w:t>
            </w: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811-22432</w:t>
            </w: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26"/>
        </w:trPr>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40" w:type="dxa"/>
            <w:vAlign w:val="bottom"/>
            <w:gridSpan w:val="4"/>
          </w:tcPr>
          <w:p>
            <w:pPr>
              <w:jc w:val="center"/>
              <w:ind w:right="4490"/>
              <w:spacing w:after="0"/>
              <w:rPr>
                <w:sz w:val="20"/>
                <w:szCs w:val="20"/>
                <w:color w:val="auto"/>
              </w:rPr>
            </w:pPr>
            <w:r>
              <w:rPr>
                <w:rFonts w:ascii="Arial" w:cs="Arial" w:eastAsia="Arial" w:hAnsi="Arial"/>
                <w:sz w:val="18"/>
                <w:szCs w:val="18"/>
                <w:color w:val="auto"/>
                <w:w w:val="92"/>
              </w:rPr>
              <w:t>Oxford Lane Capital Corp.</w:t>
            </w:r>
          </w:p>
        </w:tc>
      </w:tr>
      <w:tr>
        <w:trPr>
          <w:trHeight w:val="216"/>
        </w:trPr>
        <w:tc>
          <w:tcPr>
            <w:tcW w:w="2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r>
        <w:trPr>
          <w:trHeight w:val="224"/>
        </w:trPr>
        <w:tc>
          <w:tcPr>
            <w:tcW w:w="2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920" w:type="dxa"/>
            <w:vAlign w:val="bottom"/>
            <w:gridSpan w:val="6"/>
          </w:tcPr>
          <w:p>
            <w:pPr>
              <w:jc w:val="center"/>
              <w:ind w:right="3410"/>
              <w:spacing w:after="0"/>
              <w:rPr>
                <w:sz w:val="20"/>
                <w:szCs w:val="20"/>
                <w:color w:val="auto"/>
              </w:rPr>
            </w:pPr>
            <w:r>
              <w:rPr>
                <w:rFonts w:ascii="Arial" w:cs="Arial" w:eastAsia="Arial" w:hAnsi="Arial"/>
                <w:sz w:val="18"/>
                <w:szCs w:val="18"/>
                <w:color w:val="auto"/>
                <w:w w:val="90"/>
              </w:rPr>
              <w:t>(Exact name of registrant as specified in charter)</w:t>
            </w:r>
          </w:p>
        </w:tc>
      </w:tr>
      <w:tr>
        <w:trPr>
          <w:trHeight w:val="404"/>
        </w:trPr>
        <w:tc>
          <w:tcPr>
            <w:tcW w:w="4260" w:type="dxa"/>
            <w:vAlign w:val="bottom"/>
            <w:gridSpan w:val="5"/>
          </w:tcPr>
          <w:p>
            <w:pPr>
              <w:jc w:val="center"/>
              <w:ind w:left="1270"/>
              <w:spacing w:after="0"/>
              <w:rPr>
                <w:sz w:val="20"/>
                <w:szCs w:val="20"/>
                <w:color w:val="auto"/>
              </w:rPr>
            </w:pPr>
            <w:r>
              <w:rPr>
                <w:rFonts w:ascii="Arial" w:cs="Arial" w:eastAsia="Arial" w:hAnsi="Arial"/>
                <w:sz w:val="18"/>
                <w:szCs w:val="18"/>
                <w:color w:val="auto"/>
                <w:w w:val="90"/>
              </w:rPr>
              <w:t>8 Sound Shore Drive, Suite 255</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30"/>
        </w:trPr>
        <w:tc>
          <w:tcPr>
            <w:tcW w:w="2020" w:type="dxa"/>
            <w:vAlign w:val="bottom"/>
          </w:tcPr>
          <w:p>
            <w:pPr>
              <w:spacing w:after="0"/>
              <w:rPr>
                <w:sz w:val="20"/>
                <w:szCs w:val="20"/>
                <w:color w:val="auto"/>
              </w:rPr>
            </w:pPr>
          </w:p>
        </w:tc>
        <w:tc>
          <w:tcPr>
            <w:tcW w:w="148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Greenwich, CT</w:t>
            </w:r>
          </w:p>
        </w:tc>
        <w:tc>
          <w:tcPr>
            <w:tcW w:w="760" w:type="dxa"/>
            <w:vAlign w:val="bottom"/>
          </w:tcPr>
          <w:p>
            <w:pPr>
              <w:spacing w:after="0"/>
              <w:rPr>
                <w:sz w:val="20"/>
                <w:szCs w:val="20"/>
                <w:color w:val="auto"/>
              </w:rPr>
            </w:pPr>
          </w:p>
        </w:tc>
        <w:tc>
          <w:tcPr>
            <w:tcW w:w="7160" w:type="dxa"/>
            <w:vAlign w:val="bottom"/>
            <w:gridSpan w:val="5"/>
          </w:tcPr>
          <w:p>
            <w:pPr>
              <w:jc w:val="right"/>
              <w:ind w:right="2490"/>
              <w:spacing w:after="0"/>
              <w:rPr>
                <w:sz w:val="20"/>
                <w:szCs w:val="20"/>
                <w:color w:val="auto"/>
              </w:rPr>
            </w:pPr>
            <w:r>
              <w:rPr>
                <w:rFonts w:ascii="Arial" w:cs="Arial" w:eastAsia="Arial" w:hAnsi="Arial"/>
                <w:sz w:val="18"/>
                <w:szCs w:val="18"/>
                <w:color w:val="auto"/>
              </w:rPr>
              <w:t>06830</w:t>
            </w:r>
          </w:p>
        </w:tc>
      </w:tr>
      <w:tr>
        <w:trPr>
          <w:trHeight w:val="216"/>
        </w:trPr>
        <w:tc>
          <w:tcPr>
            <w:tcW w:w="2300" w:type="dxa"/>
            <w:vAlign w:val="bottom"/>
            <w:tcBorders>
              <w:bottom w:val="single" w:sz="8" w:color="auto"/>
            </w:tcBorders>
            <w:gridSpan w:val="2"/>
          </w:tcPr>
          <w:p>
            <w:pPr>
              <w:spacing w:after="0"/>
              <w:rPr>
                <w:sz w:val="18"/>
                <w:szCs w:val="18"/>
                <w:color w:val="auto"/>
              </w:rPr>
            </w:pPr>
          </w:p>
        </w:tc>
        <w:tc>
          <w:tcPr>
            <w:tcW w:w="1960" w:type="dxa"/>
            <w:vAlign w:val="bottom"/>
            <w:tcBorders>
              <w:bottom w:val="single" w:sz="8" w:color="auto"/>
            </w:tcBorders>
            <w:gridSpan w:val="3"/>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r>
        <w:trPr>
          <w:trHeight w:val="224"/>
        </w:trPr>
        <w:tc>
          <w:tcPr>
            <w:tcW w:w="4260" w:type="dxa"/>
            <w:vAlign w:val="bottom"/>
            <w:gridSpan w:val="5"/>
          </w:tcPr>
          <w:p>
            <w:pPr>
              <w:jc w:val="center"/>
              <w:ind w:left="1270"/>
              <w:spacing w:after="0"/>
              <w:rPr>
                <w:sz w:val="20"/>
                <w:szCs w:val="20"/>
                <w:color w:val="auto"/>
              </w:rPr>
            </w:pPr>
            <w:r>
              <w:rPr>
                <w:rFonts w:ascii="Arial" w:cs="Arial" w:eastAsia="Arial" w:hAnsi="Arial"/>
                <w:sz w:val="18"/>
                <w:szCs w:val="18"/>
                <w:color w:val="auto"/>
                <w:w w:val="92"/>
              </w:rPr>
              <w:t>(Address of principal executive offices)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340" w:type="dxa"/>
            <w:vAlign w:val="bottom"/>
          </w:tcPr>
          <w:p>
            <w:pPr>
              <w:jc w:val="center"/>
              <w:ind w:right="1170"/>
              <w:spacing w:after="0"/>
              <w:rPr>
                <w:sz w:val="20"/>
                <w:szCs w:val="20"/>
                <w:color w:val="auto"/>
              </w:rPr>
            </w:pPr>
            <w:r>
              <w:rPr>
                <w:rFonts w:ascii="Arial" w:cs="Arial" w:eastAsia="Arial" w:hAnsi="Arial"/>
                <w:sz w:val="18"/>
                <w:szCs w:val="18"/>
                <w:color w:val="auto"/>
                <w:w w:val="93"/>
              </w:rPr>
              <w:t>(Zip code)</w:t>
            </w:r>
          </w:p>
        </w:tc>
      </w:tr>
      <w:tr>
        <w:trPr>
          <w:trHeight w:val="404"/>
        </w:trPr>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jc w:val="center"/>
              <w:ind w:right="4710"/>
              <w:spacing w:after="0"/>
              <w:rPr>
                <w:sz w:val="20"/>
                <w:szCs w:val="20"/>
                <w:color w:val="auto"/>
              </w:rPr>
            </w:pPr>
            <w:r>
              <w:rPr>
                <w:rFonts w:ascii="Arial" w:cs="Arial" w:eastAsia="Arial" w:hAnsi="Arial"/>
                <w:sz w:val="18"/>
                <w:szCs w:val="18"/>
                <w:color w:val="auto"/>
                <w:w w:val="88"/>
              </w:rPr>
              <w:t>Jonathan H. Cohen</w:t>
            </w:r>
          </w:p>
        </w:tc>
      </w:tr>
      <w:tr>
        <w:trPr>
          <w:trHeight w:val="216"/>
        </w:trPr>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gridSpan w:val="3"/>
          </w:tcPr>
          <w:p>
            <w:pPr>
              <w:jc w:val="center"/>
              <w:ind w:right="4690"/>
              <w:spacing w:after="0"/>
              <w:rPr>
                <w:sz w:val="20"/>
                <w:szCs w:val="20"/>
                <w:color w:val="auto"/>
              </w:rPr>
            </w:pPr>
            <w:r>
              <w:rPr>
                <w:rFonts w:ascii="Arial" w:cs="Arial" w:eastAsia="Arial" w:hAnsi="Arial"/>
                <w:sz w:val="18"/>
                <w:szCs w:val="18"/>
                <w:color w:val="auto"/>
                <w:w w:val="93"/>
              </w:rPr>
              <w:t>Chief Executive Officer</w:t>
            </w:r>
          </w:p>
        </w:tc>
      </w:tr>
      <w:tr>
        <w:trPr>
          <w:trHeight w:val="216"/>
        </w:trPr>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40" w:type="dxa"/>
            <w:vAlign w:val="bottom"/>
            <w:gridSpan w:val="4"/>
          </w:tcPr>
          <w:p>
            <w:pPr>
              <w:jc w:val="center"/>
              <w:ind w:right="4490"/>
              <w:spacing w:after="0"/>
              <w:rPr>
                <w:sz w:val="20"/>
                <w:szCs w:val="20"/>
                <w:color w:val="auto"/>
              </w:rPr>
            </w:pPr>
            <w:r>
              <w:rPr>
                <w:rFonts w:ascii="Arial" w:cs="Arial" w:eastAsia="Arial" w:hAnsi="Arial"/>
                <w:sz w:val="18"/>
                <w:szCs w:val="18"/>
                <w:color w:val="auto"/>
                <w:w w:val="92"/>
              </w:rPr>
              <w:t>Oxford Lane Capital Corp.</w:t>
            </w:r>
          </w:p>
        </w:tc>
      </w:tr>
      <w:tr>
        <w:trPr>
          <w:trHeight w:val="216"/>
        </w:trPr>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160" w:type="dxa"/>
            <w:vAlign w:val="bottom"/>
            <w:gridSpan w:val="5"/>
          </w:tcPr>
          <w:p>
            <w:pPr>
              <w:jc w:val="center"/>
              <w:ind w:right="4170"/>
              <w:spacing w:after="0"/>
              <w:rPr>
                <w:sz w:val="20"/>
                <w:szCs w:val="20"/>
                <w:color w:val="auto"/>
              </w:rPr>
            </w:pPr>
            <w:r>
              <w:rPr>
                <w:rFonts w:ascii="Arial" w:cs="Arial" w:eastAsia="Arial" w:hAnsi="Arial"/>
                <w:sz w:val="18"/>
                <w:szCs w:val="18"/>
                <w:color w:val="auto"/>
                <w:w w:val="90"/>
              </w:rPr>
              <w:t>8 Sound Shore Drive, Suite 255</w:t>
            </w:r>
          </w:p>
        </w:tc>
      </w:tr>
      <w:tr>
        <w:trPr>
          <w:trHeight w:val="230"/>
        </w:trPr>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20" w:type="dxa"/>
            <w:vAlign w:val="bottom"/>
            <w:gridSpan w:val="3"/>
          </w:tcPr>
          <w:p>
            <w:pPr>
              <w:jc w:val="center"/>
              <w:ind w:right="4690"/>
              <w:spacing w:after="0"/>
              <w:rPr>
                <w:sz w:val="20"/>
                <w:szCs w:val="20"/>
                <w:color w:val="auto"/>
              </w:rPr>
            </w:pPr>
            <w:r>
              <w:rPr>
                <w:rFonts w:ascii="Arial" w:cs="Arial" w:eastAsia="Arial" w:hAnsi="Arial"/>
                <w:sz w:val="18"/>
                <w:szCs w:val="18"/>
                <w:color w:val="auto"/>
                <w:w w:val="91"/>
              </w:rPr>
              <w:t>Greenwich, CT 06830</w:t>
            </w:r>
          </w:p>
        </w:tc>
      </w:tr>
      <w:tr>
        <w:trPr>
          <w:trHeight w:val="216"/>
        </w:trPr>
        <w:tc>
          <w:tcPr>
            <w:tcW w:w="2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r>
        <w:trPr>
          <w:trHeight w:val="224"/>
        </w:trPr>
        <w:tc>
          <w:tcPr>
            <w:tcW w:w="2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160" w:type="dxa"/>
            <w:vAlign w:val="bottom"/>
            <w:gridSpan w:val="5"/>
          </w:tcPr>
          <w:p>
            <w:pPr>
              <w:jc w:val="center"/>
              <w:ind w:right="4150"/>
              <w:spacing w:after="0"/>
              <w:rPr>
                <w:sz w:val="20"/>
                <w:szCs w:val="20"/>
                <w:color w:val="auto"/>
              </w:rPr>
            </w:pPr>
            <w:r>
              <w:rPr>
                <w:rFonts w:ascii="Arial" w:cs="Arial" w:eastAsia="Arial" w:hAnsi="Arial"/>
                <w:sz w:val="18"/>
                <w:szCs w:val="18"/>
                <w:color w:val="auto"/>
                <w:w w:val="89"/>
              </w:rPr>
              <w:t>(Name and address of agent for service)</w:t>
            </w:r>
          </w:p>
        </w:tc>
      </w:tr>
      <w:tr>
        <w:trPr>
          <w:trHeight w:val="418"/>
        </w:trPr>
        <w:tc>
          <w:tcPr>
            <w:tcW w:w="4260" w:type="dxa"/>
            <w:vAlign w:val="bottom"/>
            <w:gridSpan w:val="5"/>
          </w:tcPr>
          <w:p>
            <w:pPr>
              <w:spacing w:after="0"/>
              <w:rPr>
                <w:sz w:val="20"/>
                <w:szCs w:val="20"/>
                <w:color w:val="auto"/>
              </w:rPr>
            </w:pPr>
            <w:r>
              <w:rPr>
                <w:rFonts w:ascii="Arial" w:cs="Arial" w:eastAsia="Arial" w:hAnsi="Arial"/>
                <w:sz w:val="18"/>
                <w:szCs w:val="18"/>
                <w:color w:val="auto"/>
              </w:rPr>
              <w:t>Registrant’s telephone number, including area code:</w:t>
            </w:r>
          </w:p>
        </w:tc>
        <w:tc>
          <w:tcPr>
            <w:tcW w:w="2820" w:type="dxa"/>
            <w:vAlign w:val="bottom"/>
            <w:gridSpan w:val="4"/>
          </w:tcPr>
          <w:p>
            <w:pPr>
              <w:jc w:val="right"/>
              <w:ind w:right="1052"/>
              <w:spacing w:after="0"/>
              <w:rPr>
                <w:sz w:val="20"/>
                <w:szCs w:val="20"/>
                <w:color w:val="auto"/>
              </w:rPr>
            </w:pPr>
            <w:r>
              <w:rPr>
                <w:rFonts w:ascii="Arial" w:cs="Arial" w:eastAsia="Arial" w:hAnsi="Arial"/>
                <w:sz w:val="18"/>
                <w:szCs w:val="18"/>
                <w:color w:val="auto"/>
              </w:rPr>
              <w:t>(203) 983-5275</w:t>
            </w:r>
          </w:p>
        </w:tc>
        <w:tc>
          <w:tcPr>
            <w:tcW w:w="4340" w:type="dxa"/>
            <w:vAlign w:val="bottom"/>
          </w:tcPr>
          <w:p>
            <w:pPr>
              <w:spacing w:after="0"/>
              <w:rPr>
                <w:sz w:val="24"/>
                <w:szCs w:val="24"/>
                <w:color w:val="auto"/>
              </w:rPr>
            </w:pPr>
          </w:p>
        </w:tc>
      </w:tr>
      <w:tr>
        <w:trPr>
          <w:trHeight w:val="426"/>
        </w:trPr>
        <w:tc>
          <w:tcPr>
            <w:tcW w:w="2020" w:type="dxa"/>
            <w:vAlign w:val="bottom"/>
          </w:tcPr>
          <w:p>
            <w:pPr>
              <w:spacing w:after="0"/>
              <w:rPr>
                <w:sz w:val="20"/>
                <w:szCs w:val="20"/>
                <w:color w:val="auto"/>
              </w:rPr>
            </w:pPr>
            <w:r>
              <w:rPr>
                <w:rFonts w:ascii="Arial" w:cs="Arial" w:eastAsia="Arial" w:hAnsi="Arial"/>
                <w:sz w:val="18"/>
                <w:szCs w:val="18"/>
                <w:color w:val="auto"/>
              </w:rPr>
              <w:t>Date of fiscal year end:</w:t>
            </w:r>
          </w:p>
        </w:tc>
        <w:tc>
          <w:tcPr>
            <w:tcW w:w="280" w:type="dxa"/>
            <w:vAlign w:val="bottom"/>
          </w:tcPr>
          <w:p>
            <w:pPr>
              <w:spacing w:after="0"/>
              <w:rPr>
                <w:sz w:val="24"/>
                <w:szCs w:val="2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March 31</w:t>
            </w: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340" w:type="dxa"/>
            <w:vAlign w:val="bottom"/>
          </w:tcPr>
          <w:p>
            <w:pPr>
              <w:spacing w:after="0"/>
              <w:rPr>
                <w:sz w:val="24"/>
                <w:szCs w:val="24"/>
                <w:color w:val="auto"/>
              </w:rPr>
            </w:pPr>
          </w:p>
        </w:tc>
      </w:tr>
      <w:tr>
        <w:trPr>
          <w:trHeight w:val="426"/>
        </w:trPr>
        <w:tc>
          <w:tcPr>
            <w:tcW w:w="2020" w:type="dxa"/>
            <w:vAlign w:val="bottom"/>
          </w:tcPr>
          <w:p>
            <w:pPr>
              <w:spacing w:after="0"/>
              <w:rPr>
                <w:sz w:val="20"/>
                <w:szCs w:val="20"/>
                <w:color w:val="auto"/>
              </w:rPr>
            </w:pPr>
            <w:r>
              <w:rPr>
                <w:rFonts w:ascii="Arial" w:cs="Arial" w:eastAsia="Arial" w:hAnsi="Arial"/>
                <w:sz w:val="18"/>
                <w:szCs w:val="18"/>
                <w:color w:val="auto"/>
              </w:rPr>
              <w:t>Date of reporting period:</w:t>
            </w:r>
          </w:p>
        </w:tc>
        <w:tc>
          <w:tcPr>
            <w:tcW w:w="280" w:type="dxa"/>
            <w:vAlign w:val="bottom"/>
          </w:tcPr>
          <w:p>
            <w:pPr>
              <w:spacing w:after="0"/>
              <w:rPr>
                <w:sz w:val="24"/>
                <w:szCs w:val="24"/>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7"/>
              </w:rPr>
              <w:t>June 30, 2016</w:t>
            </w: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669"/>
        </w:trPr>
        <w:tc>
          <w:tcPr>
            <w:tcW w:w="2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Schedule of Investments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(1)</w:t>
            </w:r>
          </w:p>
        </w:tc>
        <w:tc>
          <w:tcPr>
            <w:tcW w:w="144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INDUSTRY</w:t>
            </w:r>
          </w:p>
        </w:tc>
        <w:tc>
          <w:tcPr>
            <w:tcW w:w="352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INVESTMENT</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13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8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480" w:type="dxa"/>
            <w:vAlign w:val="bottom"/>
            <w:gridSpan w:val="2"/>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3520" w:type="dxa"/>
            <w:vAlign w:val="bottom"/>
            <w:gridSpan w:val="2"/>
            <w:vMerge w:val="continue"/>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8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0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Debt Investments</w:t>
            </w:r>
          </w:p>
        </w:tc>
        <w:tc>
          <w:tcPr>
            <w:tcW w:w="800" w:type="dxa"/>
            <w:vAlign w:val="bottom"/>
            <w:tcBorders>
              <w:top w:val="single" w:sz="8" w:color="auto"/>
              <w:bottom w:val="single" w:sz="8" w:color="CCEEFF"/>
            </w:tcBorders>
            <w:gridSpan w:val="2"/>
            <w:shd w:val="clear" w:color="auto" w:fill="CCEEFF"/>
          </w:tcPr>
          <w:p>
            <w:pPr>
              <w:spacing w:after="0"/>
              <w:rPr>
                <w:sz w:val="11"/>
                <w:szCs w:val="11"/>
                <w:color w:val="auto"/>
              </w:rPr>
            </w:pPr>
          </w:p>
        </w:tc>
        <w:tc>
          <w:tcPr>
            <w:tcW w:w="340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480" w:type="dxa"/>
            <w:vAlign w:val="bottom"/>
            <w:gridSpan w:val="2"/>
          </w:tcPr>
          <w:p>
            <w:pPr>
              <w:spacing w:after="0"/>
              <w:rPr>
                <w:sz w:val="20"/>
                <w:szCs w:val="20"/>
                <w:color w:val="auto"/>
              </w:rPr>
            </w:pPr>
            <w:r>
              <w:rPr>
                <w:rFonts w:ascii="Arial" w:cs="Arial" w:eastAsia="Arial" w:hAnsi="Arial"/>
                <w:sz w:val="14"/>
                <w:szCs w:val="14"/>
                <w:color w:val="auto"/>
              </w:rPr>
              <w:t>Neuberger Berman CLO XIII, Ltd.</w:t>
            </w:r>
          </w:p>
        </w:tc>
        <w:tc>
          <w:tcPr>
            <w:tcW w:w="1440" w:type="dxa"/>
            <w:vAlign w:val="bottom"/>
            <w:gridSpan w:val="3"/>
          </w:tcPr>
          <w:p>
            <w:pPr>
              <w:ind w:left="180"/>
              <w:spacing w:after="0"/>
              <w:rPr>
                <w:sz w:val="20"/>
                <w:szCs w:val="20"/>
                <w:color w:val="auto"/>
              </w:rPr>
            </w:pPr>
            <w:r>
              <w:rPr>
                <w:rFonts w:ascii="Arial" w:cs="Arial" w:eastAsia="Arial" w:hAnsi="Arial"/>
                <w:sz w:val="14"/>
                <w:szCs w:val="14"/>
                <w:color w:val="auto"/>
              </w:rPr>
              <w:t>structured finance</w:t>
            </w:r>
          </w:p>
        </w:tc>
        <w:tc>
          <w:tcPr>
            <w:tcW w:w="3520" w:type="dxa"/>
            <w:vAlign w:val="bottom"/>
            <w:gridSpan w:val="2"/>
          </w:tcPr>
          <w:p>
            <w:pPr>
              <w:ind w:left="200"/>
              <w:spacing w:after="0" w:line="164" w:lineRule="exact"/>
              <w:rPr>
                <w:sz w:val="20"/>
                <w:szCs w:val="20"/>
                <w:color w:val="auto"/>
              </w:rPr>
            </w:pPr>
            <w:r>
              <w:rPr>
                <w:rFonts w:ascii="Arial" w:cs="Arial" w:eastAsia="Arial" w:hAnsi="Arial"/>
                <w:sz w:val="12"/>
                <w:szCs w:val="12"/>
                <w:color w:val="auto"/>
              </w:rPr>
              <w:t>CLO secured notes - Class F</w:t>
            </w:r>
            <w:r>
              <w:rPr>
                <w:rFonts w:ascii="Arial" w:cs="Arial" w:eastAsia="Arial" w:hAnsi="Arial"/>
                <w:sz w:val="18"/>
                <w:szCs w:val="18"/>
                <w:color w:val="auto"/>
                <w:vertAlign w:val="superscript"/>
              </w:rPr>
              <w:t>(3)(4)(6)</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4,500,000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3,985,415</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3,105,000</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(LIBOR + 6.50%, due January 23, 2024)</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gridSpan w:val="2"/>
          </w:tcPr>
          <w:p>
            <w:pPr>
              <w:spacing w:after="0"/>
              <w:rPr>
                <w:sz w:val="20"/>
                <w:szCs w:val="20"/>
                <w:color w:val="auto"/>
              </w:rPr>
            </w:pPr>
            <w:r>
              <w:rPr>
                <w:rFonts w:ascii="Arial" w:cs="Arial" w:eastAsia="Arial" w:hAnsi="Arial"/>
                <w:sz w:val="14"/>
                <w:szCs w:val="14"/>
                <w:color w:val="auto"/>
              </w:rPr>
              <w:t>OFSI Fund VII, Ltd.</w:t>
            </w:r>
          </w:p>
        </w:tc>
        <w:tc>
          <w:tcPr>
            <w:tcW w:w="1440" w:type="dxa"/>
            <w:vAlign w:val="bottom"/>
            <w:gridSpan w:val="3"/>
          </w:tcPr>
          <w:p>
            <w:pPr>
              <w:ind w:left="180"/>
              <w:spacing w:after="0"/>
              <w:rPr>
                <w:sz w:val="20"/>
                <w:szCs w:val="20"/>
                <w:color w:val="auto"/>
              </w:rPr>
            </w:pPr>
            <w:r>
              <w:rPr>
                <w:rFonts w:ascii="Arial" w:cs="Arial" w:eastAsia="Arial" w:hAnsi="Arial"/>
                <w:sz w:val="14"/>
                <w:szCs w:val="14"/>
                <w:color w:val="auto"/>
              </w:rPr>
              <w:t>structured finance</w:t>
            </w:r>
          </w:p>
        </w:tc>
        <w:tc>
          <w:tcPr>
            <w:tcW w:w="3520" w:type="dxa"/>
            <w:vAlign w:val="bottom"/>
            <w:gridSpan w:val="2"/>
          </w:tcPr>
          <w:p>
            <w:pPr>
              <w:ind w:left="200"/>
              <w:spacing w:after="0" w:line="171" w:lineRule="exact"/>
              <w:rPr>
                <w:sz w:val="20"/>
                <w:szCs w:val="20"/>
                <w:color w:val="auto"/>
              </w:rPr>
            </w:pPr>
            <w:r>
              <w:rPr>
                <w:rFonts w:ascii="Arial" w:cs="Arial" w:eastAsia="Arial" w:hAnsi="Arial"/>
                <w:sz w:val="12"/>
                <w:szCs w:val="12"/>
                <w:color w:val="auto"/>
              </w:rPr>
              <w:t>CLO secured notes - Class F</w:t>
            </w:r>
            <w:r>
              <w:rPr>
                <w:rFonts w:ascii="Arial" w:cs="Arial" w:eastAsia="Arial" w:hAnsi="Arial"/>
                <w:sz w:val="19"/>
                <w:szCs w:val="19"/>
                <w:color w:val="auto"/>
                <w:vertAlign w:val="superscript"/>
              </w:rPr>
              <w:t>(3)(4)(6)</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5,564,000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4,722,940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3,017,914</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(LIBOR + 5.65%, due October 18, 2026)</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gridSpan w:val="2"/>
          </w:tcPr>
          <w:p>
            <w:pPr>
              <w:spacing w:after="0"/>
              <w:rPr>
                <w:sz w:val="20"/>
                <w:szCs w:val="20"/>
                <w:color w:val="auto"/>
              </w:rPr>
            </w:pPr>
            <w:r>
              <w:rPr>
                <w:rFonts w:ascii="Arial" w:cs="Arial" w:eastAsia="Arial" w:hAnsi="Arial"/>
                <w:sz w:val="14"/>
                <w:szCs w:val="14"/>
                <w:color w:val="auto"/>
              </w:rPr>
              <w:t>Telos CLO 2013-3, Ltd.</w:t>
            </w:r>
          </w:p>
        </w:tc>
        <w:tc>
          <w:tcPr>
            <w:tcW w:w="1440" w:type="dxa"/>
            <w:vAlign w:val="bottom"/>
            <w:gridSpan w:val="3"/>
          </w:tcPr>
          <w:p>
            <w:pPr>
              <w:ind w:left="180"/>
              <w:spacing w:after="0"/>
              <w:rPr>
                <w:sz w:val="20"/>
                <w:szCs w:val="20"/>
                <w:color w:val="auto"/>
              </w:rPr>
            </w:pPr>
            <w:r>
              <w:rPr>
                <w:rFonts w:ascii="Arial" w:cs="Arial" w:eastAsia="Arial" w:hAnsi="Arial"/>
                <w:sz w:val="14"/>
                <w:szCs w:val="14"/>
                <w:color w:val="auto"/>
              </w:rPr>
              <w:t>structured finance</w:t>
            </w:r>
          </w:p>
        </w:tc>
        <w:tc>
          <w:tcPr>
            <w:tcW w:w="3520" w:type="dxa"/>
            <w:vAlign w:val="bottom"/>
            <w:gridSpan w:val="2"/>
          </w:tcPr>
          <w:p>
            <w:pPr>
              <w:ind w:left="200"/>
              <w:spacing w:after="0" w:line="171" w:lineRule="exact"/>
              <w:rPr>
                <w:sz w:val="20"/>
                <w:szCs w:val="20"/>
                <w:color w:val="auto"/>
              </w:rPr>
            </w:pPr>
            <w:r>
              <w:rPr>
                <w:rFonts w:ascii="Arial" w:cs="Arial" w:eastAsia="Arial" w:hAnsi="Arial"/>
                <w:sz w:val="12"/>
                <w:szCs w:val="12"/>
                <w:color w:val="auto"/>
              </w:rPr>
              <w:t>CLO secured notes - Class F</w:t>
            </w:r>
            <w:r>
              <w:rPr>
                <w:rFonts w:ascii="Arial" w:cs="Arial" w:eastAsia="Arial" w:hAnsi="Arial"/>
                <w:sz w:val="19"/>
                <w:szCs w:val="19"/>
                <w:color w:val="auto"/>
                <w:vertAlign w:val="superscript"/>
              </w:rPr>
              <w:t>(3)(4)(6)</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3,000,000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2,755,997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1,880,100</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(LIBOR + 5.50%, due January 17, 2024)</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Collateralized Loan Obligation - Debt Investments</w:t>
            </w: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11,464,352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8,003,014</w:t>
            </w:r>
          </w:p>
        </w:tc>
        <w:tc>
          <w:tcPr>
            <w:tcW w:w="2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2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93"/>
              </w:rPr>
              <w:t>Collateralized Loan Obligation - Equity Investments</w:t>
            </w:r>
          </w:p>
        </w:tc>
        <w:tc>
          <w:tcPr>
            <w:tcW w:w="680" w:type="dxa"/>
            <w:vAlign w:val="bottom"/>
            <w:tcBorders>
              <w:bottom w:val="single" w:sz="8" w:color="CCEEFF"/>
            </w:tcBorders>
            <w:shd w:val="clear" w:color="auto" w:fill="CCEEFF"/>
          </w:tcPr>
          <w:p>
            <w:pPr>
              <w:spacing w:after="0"/>
              <w:rPr>
                <w:sz w:val="11"/>
                <w:szCs w:val="11"/>
                <w:color w:val="auto"/>
              </w:rPr>
            </w:pPr>
          </w:p>
        </w:tc>
        <w:tc>
          <w:tcPr>
            <w:tcW w:w="34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480" w:type="dxa"/>
            <w:vAlign w:val="bottom"/>
            <w:gridSpan w:val="2"/>
          </w:tcPr>
          <w:p>
            <w:pPr>
              <w:spacing w:after="0"/>
              <w:rPr>
                <w:sz w:val="20"/>
                <w:szCs w:val="20"/>
                <w:color w:val="auto"/>
              </w:rPr>
            </w:pPr>
            <w:r>
              <w:rPr>
                <w:rFonts w:ascii="Arial" w:cs="Arial" w:eastAsia="Arial" w:hAnsi="Arial"/>
                <w:sz w:val="14"/>
                <w:szCs w:val="14"/>
                <w:color w:val="auto"/>
              </w:rPr>
              <w:t>AIMCO CLO, Series 2014-A</w:t>
            </w:r>
          </w:p>
        </w:tc>
        <w:tc>
          <w:tcPr>
            <w:tcW w:w="1440" w:type="dxa"/>
            <w:vAlign w:val="bottom"/>
            <w:gridSpan w:val="3"/>
          </w:tcPr>
          <w:p>
            <w:pPr>
              <w:ind w:left="180"/>
              <w:spacing w:after="0"/>
              <w:rPr>
                <w:sz w:val="20"/>
                <w:szCs w:val="20"/>
                <w:color w:val="auto"/>
              </w:rPr>
            </w:pPr>
            <w:r>
              <w:rPr>
                <w:rFonts w:ascii="Arial" w:cs="Arial" w:eastAsia="Arial" w:hAnsi="Arial"/>
                <w:sz w:val="14"/>
                <w:szCs w:val="14"/>
                <w:color w:val="auto"/>
              </w:rPr>
              <w:t>structured finance</w:t>
            </w:r>
          </w:p>
        </w:tc>
        <w:tc>
          <w:tcPr>
            <w:tcW w:w="3520" w:type="dxa"/>
            <w:vAlign w:val="bottom"/>
            <w:gridSpan w:val="2"/>
          </w:tcPr>
          <w:p>
            <w:pPr>
              <w:ind w:left="200"/>
              <w:spacing w:after="0" w:line="164"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8"/>
                <w:szCs w:val="18"/>
                <w:color w:val="auto"/>
                <w:vertAlign w:val="superscript"/>
              </w:rPr>
              <w:t>(5)(7)</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26,000,000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17,410,485</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12,917,876</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(Estimated yield 12.21%, maturity July 20, 2026)</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gridSpan w:val="2"/>
          </w:tcPr>
          <w:p>
            <w:pPr>
              <w:spacing w:after="0"/>
              <w:rPr>
                <w:sz w:val="20"/>
                <w:szCs w:val="20"/>
                <w:color w:val="auto"/>
              </w:rPr>
            </w:pPr>
            <w:r>
              <w:rPr>
                <w:rFonts w:ascii="Arial" w:cs="Arial" w:eastAsia="Arial" w:hAnsi="Arial"/>
                <w:sz w:val="14"/>
                <w:szCs w:val="14"/>
                <w:color w:val="auto"/>
              </w:rPr>
              <w:t>ALM X, Ltd.</w:t>
            </w:r>
          </w:p>
        </w:tc>
        <w:tc>
          <w:tcPr>
            <w:tcW w:w="1440" w:type="dxa"/>
            <w:vAlign w:val="bottom"/>
            <w:gridSpan w:val="3"/>
          </w:tcPr>
          <w:p>
            <w:pPr>
              <w:ind w:left="180"/>
              <w:spacing w:after="0"/>
              <w:rPr>
                <w:sz w:val="20"/>
                <w:szCs w:val="20"/>
                <w:color w:val="auto"/>
              </w:rPr>
            </w:pPr>
            <w:r>
              <w:rPr>
                <w:rFonts w:ascii="Arial" w:cs="Arial" w:eastAsia="Arial" w:hAnsi="Arial"/>
                <w:sz w:val="14"/>
                <w:szCs w:val="14"/>
                <w:color w:val="auto"/>
              </w:rPr>
              <w:t>structured finance</w:t>
            </w:r>
          </w:p>
        </w:tc>
        <w:tc>
          <w:tcPr>
            <w:tcW w:w="3520" w:type="dxa"/>
            <w:vAlign w:val="bottom"/>
            <w:gridSpan w:val="2"/>
          </w:tcPr>
          <w:p>
            <w:pPr>
              <w:ind w:left="200"/>
              <w:spacing w:after="0" w:line="171" w:lineRule="exact"/>
              <w:rPr>
                <w:sz w:val="20"/>
                <w:szCs w:val="20"/>
                <w:color w:val="auto"/>
              </w:rPr>
            </w:pPr>
            <w:r>
              <w:rPr>
                <w:rFonts w:ascii="Arial" w:cs="Arial" w:eastAsia="Arial" w:hAnsi="Arial"/>
                <w:sz w:val="12"/>
                <w:szCs w:val="12"/>
                <w:color w:val="auto"/>
              </w:rPr>
              <w:t xml:space="preserve">CLO preference shares </w:t>
            </w:r>
            <w:r>
              <w:rPr>
                <w:rFonts w:ascii="Arial" w:cs="Arial" w:eastAsia="Arial" w:hAnsi="Arial"/>
                <w:sz w:val="19"/>
                <w:szCs w:val="19"/>
                <w:color w:val="auto"/>
                <w:vertAlign w:val="superscript"/>
              </w:rPr>
              <w:t>(5)(7)</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3,800,000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2,587,054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2,592,635</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(Estimated yield 21.78%, maturity January 15, 2025)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gridSpan w:val="2"/>
          </w:tcPr>
          <w:p>
            <w:pPr>
              <w:spacing w:after="0"/>
              <w:rPr>
                <w:sz w:val="20"/>
                <w:szCs w:val="20"/>
                <w:color w:val="auto"/>
              </w:rPr>
            </w:pPr>
            <w:r>
              <w:rPr>
                <w:rFonts w:ascii="Arial" w:cs="Arial" w:eastAsia="Arial" w:hAnsi="Arial"/>
                <w:sz w:val="14"/>
                <w:szCs w:val="14"/>
                <w:color w:val="auto"/>
              </w:rPr>
              <w:t>ALM XII, Ltd.</w:t>
            </w:r>
          </w:p>
        </w:tc>
        <w:tc>
          <w:tcPr>
            <w:tcW w:w="1440" w:type="dxa"/>
            <w:vAlign w:val="bottom"/>
            <w:gridSpan w:val="3"/>
          </w:tcPr>
          <w:p>
            <w:pPr>
              <w:ind w:left="180"/>
              <w:spacing w:after="0"/>
              <w:rPr>
                <w:sz w:val="20"/>
                <w:szCs w:val="20"/>
                <w:color w:val="auto"/>
              </w:rPr>
            </w:pPr>
            <w:r>
              <w:rPr>
                <w:rFonts w:ascii="Arial" w:cs="Arial" w:eastAsia="Arial" w:hAnsi="Arial"/>
                <w:sz w:val="14"/>
                <w:szCs w:val="14"/>
                <w:color w:val="auto"/>
              </w:rPr>
              <w:t>structured finance</w:t>
            </w:r>
          </w:p>
        </w:tc>
        <w:tc>
          <w:tcPr>
            <w:tcW w:w="3520" w:type="dxa"/>
            <w:vAlign w:val="bottom"/>
            <w:gridSpan w:val="2"/>
          </w:tcPr>
          <w:p>
            <w:pPr>
              <w:ind w:left="200"/>
              <w:spacing w:after="0" w:line="171" w:lineRule="exact"/>
              <w:rPr>
                <w:sz w:val="20"/>
                <w:szCs w:val="20"/>
                <w:color w:val="auto"/>
              </w:rPr>
            </w:pPr>
            <w:r>
              <w:rPr>
                <w:rFonts w:ascii="Arial" w:cs="Arial" w:eastAsia="Arial" w:hAnsi="Arial"/>
                <w:sz w:val="12"/>
                <w:szCs w:val="12"/>
                <w:color w:val="auto"/>
              </w:rPr>
              <w:t xml:space="preserve">CLO preference shares </w:t>
            </w:r>
            <w:r>
              <w:rPr>
                <w:rFonts w:ascii="Arial" w:cs="Arial" w:eastAsia="Arial" w:hAnsi="Arial"/>
                <w:sz w:val="19"/>
                <w:szCs w:val="19"/>
                <w:color w:val="auto"/>
                <w:vertAlign w:val="superscript"/>
              </w:rPr>
              <w:t>(5)(7)(9)</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2,825,000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2,451,703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2,401,250</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(Estimated yield 18.99%, maturity April 16, 2027)</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gridSpan w:val="2"/>
          </w:tcPr>
          <w:p>
            <w:pPr>
              <w:spacing w:after="0"/>
              <w:rPr>
                <w:sz w:val="20"/>
                <w:szCs w:val="20"/>
                <w:color w:val="auto"/>
              </w:rPr>
            </w:pPr>
            <w:r>
              <w:rPr>
                <w:rFonts w:ascii="Arial" w:cs="Arial" w:eastAsia="Arial" w:hAnsi="Arial"/>
                <w:sz w:val="14"/>
                <w:szCs w:val="14"/>
                <w:color w:val="auto"/>
              </w:rPr>
              <w:t>AMMC CLO XII, Ltd.</w:t>
            </w:r>
          </w:p>
        </w:tc>
        <w:tc>
          <w:tcPr>
            <w:tcW w:w="1440" w:type="dxa"/>
            <w:vAlign w:val="bottom"/>
            <w:gridSpan w:val="3"/>
          </w:tcPr>
          <w:p>
            <w:pPr>
              <w:ind w:left="180"/>
              <w:spacing w:after="0"/>
              <w:rPr>
                <w:sz w:val="20"/>
                <w:szCs w:val="20"/>
                <w:color w:val="auto"/>
              </w:rPr>
            </w:pPr>
            <w:r>
              <w:rPr>
                <w:rFonts w:ascii="Arial" w:cs="Arial" w:eastAsia="Arial" w:hAnsi="Arial"/>
                <w:sz w:val="14"/>
                <w:szCs w:val="14"/>
                <w:color w:val="auto"/>
              </w:rPr>
              <w:t>structured finance</w:t>
            </w:r>
          </w:p>
        </w:tc>
        <w:tc>
          <w:tcPr>
            <w:tcW w:w="3520" w:type="dxa"/>
            <w:vAlign w:val="bottom"/>
            <w:gridSpan w:val="2"/>
          </w:tcPr>
          <w:p>
            <w:pPr>
              <w:ind w:left="2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7,178,571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3,976,912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3,445,714</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(Estimated yield 23.24%, maturity May 10, 2025)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gridSpan w:val="2"/>
          </w:tcPr>
          <w:p>
            <w:pPr>
              <w:spacing w:after="0"/>
              <w:rPr>
                <w:sz w:val="20"/>
                <w:szCs w:val="20"/>
                <w:color w:val="auto"/>
              </w:rPr>
            </w:pPr>
            <w:r>
              <w:rPr>
                <w:rFonts w:ascii="Arial" w:cs="Arial" w:eastAsia="Arial" w:hAnsi="Arial"/>
                <w:sz w:val="14"/>
                <w:szCs w:val="14"/>
                <w:color w:val="auto"/>
              </w:rPr>
              <w:t>Ares XXV CLO Ltd.</w:t>
            </w:r>
          </w:p>
        </w:tc>
        <w:tc>
          <w:tcPr>
            <w:tcW w:w="1440" w:type="dxa"/>
            <w:vAlign w:val="bottom"/>
            <w:gridSpan w:val="3"/>
          </w:tcPr>
          <w:p>
            <w:pPr>
              <w:ind w:left="180"/>
              <w:spacing w:after="0"/>
              <w:rPr>
                <w:sz w:val="20"/>
                <w:szCs w:val="20"/>
                <w:color w:val="auto"/>
              </w:rPr>
            </w:pPr>
            <w:r>
              <w:rPr>
                <w:rFonts w:ascii="Arial" w:cs="Arial" w:eastAsia="Arial" w:hAnsi="Arial"/>
                <w:sz w:val="14"/>
                <w:szCs w:val="14"/>
                <w:color w:val="auto"/>
              </w:rPr>
              <w:t>structured finance</w:t>
            </w:r>
          </w:p>
        </w:tc>
        <w:tc>
          <w:tcPr>
            <w:tcW w:w="3520" w:type="dxa"/>
            <w:vAlign w:val="bottom"/>
            <w:gridSpan w:val="2"/>
          </w:tcPr>
          <w:p>
            <w:pPr>
              <w:ind w:left="2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15,500,000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9,457,583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6,820,000</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(Estimated yield 9.10%, maturity January 17, 2024)</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gridSpan w:val="2"/>
          </w:tcPr>
          <w:p>
            <w:pPr>
              <w:spacing w:after="0"/>
              <w:rPr>
                <w:sz w:val="20"/>
                <w:szCs w:val="20"/>
                <w:color w:val="auto"/>
              </w:rPr>
            </w:pPr>
            <w:r>
              <w:rPr>
                <w:rFonts w:ascii="Arial" w:cs="Arial" w:eastAsia="Arial" w:hAnsi="Arial"/>
                <w:sz w:val="14"/>
                <w:szCs w:val="14"/>
                <w:color w:val="auto"/>
              </w:rPr>
              <w:t>Ares XXVI CLO Ltd.</w:t>
            </w:r>
          </w:p>
        </w:tc>
        <w:tc>
          <w:tcPr>
            <w:tcW w:w="1440" w:type="dxa"/>
            <w:vAlign w:val="bottom"/>
            <w:gridSpan w:val="3"/>
          </w:tcPr>
          <w:p>
            <w:pPr>
              <w:ind w:left="180"/>
              <w:spacing w:after="0"/>
              <w:rPr>
                <w:sz w:val="20"/>
                <w:szCs w:val="20"/>
                <w:color w:val="auto"/>
              </w:rPr>
            </w:pPr>
            <w:r>
              <w:rPr>
                <w:rFonts w:ascii="Arial" w:cs="Arial" w:eastAsia="Arial" w:hAnsi="Arial"/>
                <w:sz w:val="14"/>
                <w:szCs w:val="14"/>
                <w:color w:val="auto"/>
              </w:rPr>
              <w:t>structured finance</w:t>
            </w:r>
          </w:p>
        </w:tc>
        <w:tc>
          <w:tcPr>
            <w:tcW w:w="3520" w:type="dxa"/>
            <w:vAlign w:val="bottom"/>
            <w:gridSpan w:val="2"/>
          </w:tcPr>
          <w:p>
            <w:pPr>
              <w:ind w:left="2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3,750,000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2,073,300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1,520,803</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(Estimated yield 11.66%, maturity April 15, 2025)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gridSpan w:val="2"/>
          </w:tcPr>
          <w:p>
            <w:pPr>
              <w:spacing w:after="0"/>
              <w:rPr>
                <w:sz w:val="20"/>
                <w:szCs w:val="20"/>
                <w:color w:val="auto"/>
              </w:rPr>
            </w:pPr>
            <w:r>
              <w:rPr>
                <w:rFonts w:ascii="Arial" w:cs="Arial" w:eastAsia="Arial" w:hAnsi="Arial"/>
                <w:sz w:val="14"/>
                <w:szCs w:val="14"/>
                <w:color w:val="auto"/>
              </w:rPr>
              <w:t>Ares XXIX CLO Ltd.</w:t>
            </w:r>
          </w:p>
        </w:tc>
        <w:tc>
          <w:tcPr>
            <w:tcW w:w="1440" w:type="dxa"/>
            <w:vAlign w:val="bottom"/>
            <w:gridSpan w:val="3"/>
          </w:tcPr>
          <w:p>
            <w:pPr>
              <w:ind w:left="180"/>
              <w:spacing w:after="0"/>
              <w:rPr>
                <w:sz w:val="20"/>
                <w:szCs w:val="20"/>
                <w:color w:val="auto"/>
              </w:rPr>
            </w:pPr>
            <w:r>
              <w:rPr>
                <w:rFonts w:ascii="Arial" w:cs="Arial" w:eastAsia="Arial" w:hAnsi="Arial"/>
                <w:sz w:val="14"/>
                <w:szCs w:val="14"/>
                <w:color w:val="auto"/>
              </w:rPr>
              <w:t>structured finance</w:t>
            </w:r>
          </w:p>
        </w:tc>
        <w:tc>
          <w:tcPr>
            <w:tcW w:w="3520" w:type="dxa"/>
            <w:vAlign w:val="bottom"/>
            <w:gridSpan w:val="2"/>
          </w:tcPr>
          <w:p>
            <w:pPr>
              <w:ind w:left="2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12,750,000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9,118,495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6,240,823</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(Estimated yield 10.43%, maturity April 17, 2026)</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gridSpan w:val="2"/>
          </w:tcPr>
          <w:p>
            <w:pPr>
              <w:spacing w:after="0"/>
              <w:rPr>
                <w:sz w:val="20"/>
                <w:szCs w:val="20"/>
                <w:color w:val="auto"/>
              </w:rPr>
            </w:pPr>
            <w:r>
              <w:rPr>
                <w:rFonts w:ascii="Arial" w:cs="Arial" w:eastAsia="Arial" w:hAnsi="Arial"/>
                <w:sz w:val="14"/>
                <w:szCs w:val="14"/>
                <w:color w:val="auto"/>
              </w:rPr>
              <w:t>Atrium XII CLO</w:t>
            </w:r>
          </w:p>
        </w:tc>
        <w:tc>
          <w:tcPr>
            <w:tcW w:w="1440" w:type="dxa"/>
            <w:vAlign w:val="bottom"/>
            <w:gridSpan w:val="3"/>
          </w:tcPr>
          <w:p>
            <w:pPr>
              <w:ind w:left="180"/>
              <w:spacing w:after="0"/>
              <w:rPr>
                <w:sz w:val="20"/>
                <w:szCs w:val="20"/>
                <w:color w:val="auto"/>
              </w:rPr>
            </w:pPr>
            <w:r>
              <w:rPr>
                <w:rFonts w:ascii="Arial" w:cs="Arial" w:eastAsia="Arial" w:hAnsi="Arial"/>
                <w:sz w:val="14"/>
                <w:szCs w:val="14"/>
                <w:color w:val="auto"/>
              </w:rPr>
              <w:t>structured finance</w:t>
            </w:r>
          </w:p>
        </w:tc>
        <w:tc>
          <w:tcPr>
            <w:tcW w:w="3520" w:type="dxa"/>
            <w:vAlign w:val="bottom"/>
            <w:gridSpan w:val="2"/>
          </w:tcPr>
          <w:p>
            <w:pPr>
              <w:ind w:left="2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42,762,500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34,924,197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41,693,438</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(Estimated yield 18.56%, maturity October 22, 2026)</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gridSpan w:val="2"/>
          </w:tcPr>
          <w:p>
            <w:pPr>
              <w:spacing w:after="0"/>
              <w:rPr>
                <w:sz w:val="20"/>
                <w:szCs w:val="20"/>
                <w:color w:val="auto"/>
              </w:rPr>
            </w:pPr>
            <w:r>
              <w:rPr>
                <w:rFonts w:ascii="Arial" w:cs="Arial" w:eastAsia="Arial" w:hAnsi="Arial"/>
                <w:sz w:val="14"/>
                <w:szCs w:val="14"/>
                <w:color w:val="auto"/>
              </w:rPr>
              <w:t>Battalion CLO VII Ltd.</w:t>
            </w:r>
          </w:p>
        </w:tc>
        <w:tc>
          <w:tcPr>
            <w:tcW w:w="1440" w:type="dxa"/>
            <w:vAlign w:val="bottom"/>
            <w:gridSpan w:val="3"/>
          </w:tcPr>
          <w:p>
            <w:pPr>
              <w:ind w:left="180"/>
              <w:spacing w:after="0"/>
              <w:rPr>
                <w:sz w:val="20"/>
                <w:szCs w:val="20"/>
                <w:color w:val="auto"/>
              </w:rPr>
            </w:pPr>
            <w:r>
              <w:rPr>
                <w:rFonts w:ascii="Arial" w:cs="Arial" w:eastAsia="Arial" w:hAnsi="Arial"/>
                <w:sz w:val="14"/>
                <w:szCs w:val="14"/>
                <w:color w:val="auto"/>
              </w:rPr>
              <w:t>structured finance</w:t>
            </w:r>
          </w:p>
        </w:tc>
        <w:tc>
          <w:tcPr>
            <w:tcW w:w="3520" w:type="dxa"/>
            <w:vAlign w:val="bottom"/>
            <w:gridSpan w:val="2"/>
          </w:tcPr>
          <w:p>
            <w:pPr>
              <w:ind w:left="2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24,000,000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18,827,104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12,000,000</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(Estimated yield 14.39%, maturity October 17, 2026)</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gridSpan w:val="2"/>
          </w:tcPr>
          <w:p>
            <w:pPr>
              <w:spacing w:after="0"/>
              <w:rPr>
                <w:sz w:val="20"/>
                <w:szCs w:val="20"/>
                <w:color w:val="auto"/>
              </w:rPr>
            </w:pPr>
            <w:r>
              <w:rPr>
                <w:rFonts w:ascii="Arial" w:cs="Arial" w:eastAsia="Arial" w:hAnsi="Arial"/>
                <w:sz w:val="14"/>
                <w:szCs w:val="14"/>
                <w:color w:val="auto"/>
              </w:rPr>
              <w:t>Benefit Street Partners CLO V Ltd.</w:t>
            </w:r>
          </w:p>
        </w:tc>
        <w:tc>
          <w:tcPr>
            <w:tcW w:w="1440" w:type="dxa"/>
            <w:vAlign w:val="bottom"/>
            <w:gridSpan w:val="3"/>
          </w:tcPr>
          <w:p>
            <w:pPr>
              <w:ind w:left="180"/>
              <w:spacing w:after="0"/>
              <w:rPr>
                <w:sz w:val="20"/>
                <w:szCs w:val="20"/>
                <w:color w:val="auto"/>
              </w:rPr>
            </w:pPr>
            <w:r>
              <w:rPr>
                <w:rFonts w:ascii="Arial" w:cs="Arial" w:eastAsia="Arial" w:hAnsi="Arial"/>
                <w:sz w:val="14"/>
                <w:szCs w:val="14"/>
                <w:color w:val="auto"/>
              </w:rPr>
              <w:t>structured finance</w:t>
            </w:r>
          </w:p>
        </w:tc>
        <w:tc>
          <w:tcPr>
            <w:tcW w:w="3520" w:type="dxa"/>
            <w:vAlign w:val="bottom"/>
            <w:gridSpan w:val="2"/>
          </w:tcPr>
          <w:p>
            <w:pPr>
              <w:ind w:left="200"/>
              <w:spacing w:after="0" w:line="171" w:lineRule="exact"/>
              <w:rPr>
                <w:sz w:val="20"/>
                <w:szCs w:val="20"/>
                <w:color w:val="auto"/>
              </w:rPr>
            </w:pPr>
            <w:r>
              <w:rPr>
                <w:rFonts w:ascii="Arial" w:cs="Arial" w:eastAsia="Arial" w:hAnsi="Arial"/>
                <w:sz w:val="12"/>
                <w:szCs w:val="12"/>
                <w:color w:val="auto"/>
              </w:rPr>
              <w:t xml:space="preserve">CLO preference shares </w:t>
            </w:r>
            <w:r>
              <w:rPr>
                <w:rFonts w:ascii="Arial" w:cs="Arial" w:eastAsia="Arial" w:hAnsi="Arial"/>
                <w:sz w:val="19"/>
                <w:szCs w:val="19"/>
                <w:color w:val="auto"/>
                <w:vertAlign w:val="superscript"/>
              </w:rPr>
              <w:t>(5)(7)</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10,000,000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7,535,044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5,700,000</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(Estimated yield 13.52%, maturity October 20, 2026)</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gridSpan w:val="2"/>
          </w:tcPr>
          <w:p>
            <w:pPr>
              <w:spacing w:after="0"/>
              <w:rPr>
                <w:sz w:val="20"/>
                <w:szCs w:val="20"/>
                <w:color w:val="auto"/>
              </w:rPr>
            </w:pPr>
            <w:r>
              <w:rPr>
                <w:rFonts w:ascii="Arial" w:cs="Arial" w:eastAsia="Arial" w:hAnsi="Arial"/>
                <w:sz w:val="14"/>
                <w:szCs w:val="14"/>
                <w:color w:val="auto"/>
              </w:rPr>
              <w:t>B&amp;M CLO 2014-1 LTD</w:t>
            </w:r>
          </w:p>
        </w:tc>
        <w:tc>
          <w:tcPr>
            <w:tcW w:w="1440" w:type="dxa"/>
            <w:vAlign w:val="bottom"/>
            <w:gridSpan w:val="3"/>
          </w:tcPr>
          <w:p>
            <w:pPr>
              <w:ind w:left="180"/>
              <w:spacing w:after="0"/>
              <w:rPr>
                <w:sz w:val="20"/>
                <w:szCs w:val="20"/>
                <w:color w:val="auto"/>
              </w:rPr>
            </w:pPr>
            <w:r>
              <w:rPr>
                <w:rFonts w:ascii="Arial" w:cs="Arial" w:eastAsia="Arial" w:hAnsi="Arial"/>
                <w:sz w:val="14"/>
                <w:szCs w:val="14"/>
                <w:color w:val="auto"/>
              </w:rPr>
              <w:t>structured finance</w:t>
            </w:r>
          </w:p>
        </w:tc>
        <w:tc>
          <w:tcPr>
            <w:tcW w:w="3520" w:type="dxa"/>
            <w:vAlign w:val="bottom"/>
            <w:gridSpan w:val="2"/>
          </w:tcPr>
          <w:p>
            <w:pPr>
              <w:ind w:left="2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1,135,057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800,000</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(Estimated yield 12.38%, maturity April 16, 2026)</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tcPr>
          <w:p>
            <w:pPr>
              <w:spacing w:after="0" w:line="130" w:lineRule="exact"/>
              <w:rPr>
                <w:sz w:val="20"/>
                <w:szCs w:val="20"/>
                <w:color w:val="auto"/>
              </w:rPr>
            </w:pPr>
            <w:r>
              <w:rPr>
                <w:rFonts w:ascii="Arial" w:cs="Arial" w:eastAsia="Arial" w:hAnsi="Arial"/>
                <w:sz w:val="14"/>
                <w:szCs w:val="14"/>
                <w:color w:val="auto"/>
              </w:rPr>
              <w:t>Carlyle Global Market Strategies CLO</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520" w:type="dxa"/>
            <w:vAlign w:val="bottom"/>
            <w:gridSpan w:val="2"/>
            <w:vMerge w:val="restart"/>
          </w:tcPr>
          <w:p>
            <w:pPr>
              <w:ind w:left="200"/>
              <w:spacing w:after="0"/>
              <w:rPr>
                <w:sz w:val="20"/>
                <w:szCs w:val="20"/>
                <w:color w:val="auto"/>
              </w:rPr>
            </w:pPr>
            <w:r>
              <w:rPr>
                <w:rFonts w:ascii="Arial" w:cs="Arial" w:eastAsia="Arial" w:hAnsi="Arial"/>
                <w:sz w:val="14"/>
                <w:szCs w:val="14"/>
                <w:color w:val="auto"/>
              </w:rPr>
              <w:t>CLO subordinated notes</w:t>
            </w:r>
            <w:r>
              <w:rPr>
                <w:rFonts w:ascii="Arial" w:cs="Arial" w:eastAsia="Arial" w:hAnsi="Arial"/>
                <w:sz w:val="23"/>
                <w:szCs w:val="23"/>
                <w:color w:val="auto"/>
                <w:vertAlign w:val="superscript"/>
              </w:rPr>
              <w:t>(5)(7)</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2013-2, Ltd.</w:t>
            </w:r>
          </w:p>
        </w:tc>
        <w:tc>
          <w:tcPr>
            <w:tcW w:w="144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structured finance</w:t>
            </w:r>
          </w:p>
        </w:tc>
        <w:tc>
          <w:tcPr>
            <w:tcW w:w="3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10,125,000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6,357,381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5,886,917</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(Estimated yield 22.20%, maturity April 18, 2025)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gridSpan w:val="2"/>
          </w:tcPr>
          <w:p>
            <w:pPr>
              <w:spacing w:after="0"/>
              <w:rPr>
                <w:sz w:val="20"/>
                <w:szCs w:val="20"/>
                <w:color w:val="auto"/>
              </w:rPr>
            </w:pPr>
            <w:r>
              <w:rPr>
                <w:rFonts w:ascii="Arial" w:cs="Arial" w:eastAsia="Arial" w:hAnsi="Arial"/>
                <w:sz w:val="14"/>
                <w:szCs w:val="14"/>
                <w:color w:val="auto"/>
              </w:rPr>
              <w:t>Catamaran CLO 2015-1 Ltd</w:t>
            </w:r>
          </w:p>
        </w:tc>
        <w:tc>
          <w:tcPr>
            <w:tcW w:w="1440" w:type="dxa"/>
            <w:vAlign w:val="bottom"/>
            <w:gridSpan w:val="3"/>
          </w:tcPr>
          <w:p>
            <w:pPr>
              <w:ind w:left="180"/>
              <w:spacing w:after="0"/>
              <w:rPr>
                <w:sz w:val="20"/>
                <w:szCs w:val="20"/>
                <w:color w:val="auto"/>
              </w:rPr>
            </w:pPr>
            <w:r>
              <w:rPr>
                <w:rFonts w:ascii="Arial" w:cs="Arial" w:eastAsia="Arial" w:hAnsi="Arial"/>
                <w:sz w:val="14"/>
                <w:szCs w:val="14"/>
                <w:color w:val="auto"/>
              </w:rPr>
              <w:t>structured finance</w:t>
            </w:r>
          </w:p>
        </w:tc>
        <w:tc>
          <w:tcPr>
            <w:tcW w:w="3520" w:type="dxa"/>
            <w:vAlign w:val="bottom"/>
            <w:gridSpan w:val="2"/>
          </w:tcPr>
          <w:p>
            <w:pPr>
              <w:ind w:left="2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28,848,000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21,667,294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18,751,200</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(Estimated yield 16.70%, maturity April 22, 2027)</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gridSpan w:val="2"/>
          </w:tcPr>
          <w:p>
            <w:pPr>
              <w:spacing w:after="0"/>
              <w:rPr>
                <w:sz w:val="20"/>
                <w:szCs w:val="20"/>
                <w:color w:val="auto"/>
              </w:rPr>
            </w:pPr>
            <w:r>
              <w:rPr>
                <w:rFonts w:ascii="Arial" w:cs="Arial" w:eastAsia="Arial" w:hAnsi="Arial"/>
                <w:sz w:val="14"/>
                <w:szCs w:val="14"/>
                <w:color w:val="auto"/>
              </w:rPr>
              <w:t>Hull Street CLO Ltd.</w:t>
            </w:r>
          </w:p>
        </w:tc>
        <w:tc>
          <w:tcPr>
            <w:tcW w:w="1440" w:type="dxa"/>
            <w:vAlign w:val="bottom"/>
            <w:gridSpan w:val="3"/>
          </w:tcPr>
          <w:p>
            <w:pPr>
              <w:ind w:left="180"/>
              <w:spacing w:after="0"/>
              <w:rPr>
                <w:sz w:val="20"/>
                <w:szCs w:val="20"/>
                <w:color w:val="auto"/>
              </w:rPr>
            </w:pPr>
            <w:r>
              <w:rPr>
                <w:rFonts w:ascii="Arial" w:cs="Arial" w:eastAsia="Arial" w:hAnsi="Arial"/>
                <w:sz w:val="14"/>
                <w:szCs w:val="14"/>
                <w:color w:val="auto"/>
              </w:rPr>
              <w:t>structured finance</w:t>
            </w:r>
          </w:p>
        </w:tc>
        <w:tc>
          <w:tcPr>
            <w:tcW w:w="3520" w:type="dxa"/>
            <w:vAlign w:val="bottom"/>
            <w:gridSpan w:val="2"/>
          </w:tcPr>
          <w:p>
            <w:pPr>
              <w:ind w:left="2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15,000,000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10,980,393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6,300,000</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(Estimated yield 9.68%, maturity October 18, 2026)</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gridSpan w:val="2"/>
          </w:tcPr>
          <w:p>
            <w:pPr>
              <w:spacing w:after="0"/>
              <w:rPr>
                <w:sz w:val="20"/>
                <w:szCs w:val="20"/>
                <w:color w:val="auto"/>
              </w:rPr>
            </w:pPr>
            <w:r>
              <w:rPr>
                <w:rFonts w:ascii="Arial" w:cs="Arial" w:eastAsia="Arial" w:hAnsi="Arial"/>
                <w:sz w:val="14"/>
                <w:szCs w:val="14"/>
                <w:color w:val="auto"/>
              </w:rPr>
              <w:t>Ivy Hill Middle Market Credit VII, Ltd.</w:t>
            </w:r>
          </w:p>
        </w:tc>
        <w:tc>
          <w:tcPr>
            <w:tcW w:w="1440" w:type="dxa"/>
            <w:vAlign w:val="bottom"/>
            <w:gridSpan w:val="3"/>
          </w:tcPr>
          <w:p>
            <w:pPr>
              <w:ind w:left="180"/>
              <w:spacing w:after="0"/>
              <w:rPr>
                <w:sz w:val="20"/>
                <w:szCs w:val="20"/>
                <w:color w:val="auto"/>
              </w:rPr>
            </w:pPr>
            <w:r>
              <w:rPr>
                <w:rFonts w:ascii="Arial" w:cs="Arial" w:eastAsia="Arial" w:hAnsi="Arial"/>
                <w:sz w:val="14"/>
                <w:szCs w:val="14"/>
                <w:color w:val="auto"/>
              </w:rPr>
              <w:t>structured finance</w:t>
            </w:r>
          </w:p>
        </w:tc>
        <w:tc>
          <w:tcPr>
            <w:tcW w:w="3520" w:type="dxa"/>
            <w:vAlign w:val="bottom"/>
            <w:gridSpan w:val="2"/>
          </w:tcPr>
          <w:p>
            <w:pPr>
              <w:ind w:left="2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7,000,000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5,685,622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5,086,994</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(Estimated yield 19.16%, maturity October 20, 2025)</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(1)</w:t>
            </w:r>
          </w:p>
        </w:tc>
        <w:tc>
          <w:tcPr>
            <w:tcW w:w="16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INDUSTRY</w:t>
            </w:r>
          </w:p>
        </w:tc>
        <w:tc>
          <w:tcPr>
            <w:tcW w:w="326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INVESTMENT</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 of Net</w:t>
            </w:r>
          </w:p>
        </w:tc>
        <w:tc>
          <w:tcPr>
            <w:tcW w:w="0" w:type="dxa"/>
            <w:vAlign w:val="bottom"/>
          </w:tcPr>
          <w:p>
            <w:pPr>
              <w:spacing w:after="0"/>
              <w:rPr>
                <w:sz w:val="1"/>
                <w:szCs w:val="1"/>
                <w:color w:val="auto"/>
              </w:rPr>
            </w:pPr>
          </w:p>
        </w:tc>
      </w:tr>
      <w:tr>
        <w:trPr>
          <w:trHeight w:val="171"/>
        </w:trPr>
        <w:tc>
          <w:tcPr>
            <w:tcW w:w="2480" w:type="dxa"/>
            <w:vAlign w:val="bottom"/>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3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49"/>
        </w:trPr>
        <w:tc>
          <w:tcPr>
            <w:tcW w:w="406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Collateralized Loan Obligation - Equity Investments - (continued)</w:t>
            </w: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326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80" w:type="dxa"/>
            <w:vAlign w:val="bottom"/>
          </w:tcPr>
          <w:p>
            <w:pPr>
              <w:spacing w:after="0" w:line="144" w:lineRule="exact"/>
              <w:rPr>
                <w:sz w:val="20"/>
                <w:szCs w:val="20"/>
                <w:color w:val="auto"/>
              </w:rPr>
            </w:pPr>
            <w:r>
              <w:rPr>
                <w:rFonts w:ascii="Arial" w:cs="Arial" w:eastAsia="Arial" w:hAnsi="Arial"/>
                <w:sz w:val="14"/>
                <w:szCs w:val="14"/>
                <w:color w:val="auto"/>
              </w:rPr>
              <w:t>Jamestown CLO III, Ltd.</w:t>
            </w:r>
          </w:p>
        </w:tc>
        <w:tc>
          <w:tcPr>
            <w:tcW w:w="1600" w:type="dxa"/>
            <w:vAlign w:val="bottom"/>
            <w:gridSpan w:val="2"/>
          </w:tcPr>
          <w:p>
            <w:pPr>
              <w:ind w:left="180"/>
              <w:spacing w:after="0" w:line="144" w:lineRule="exact"/>
              <w:rPr>
                <w:sz w:val="20"/>
                <w:szCs w:val="20"/>
                <w:color w:val="auto"/>
              </w:rPr>
            </w:pPr>
            <w:r>
              <w:rPr>
                <w:rFonts w:ascii="Arial" w:cs="Arial" w:eastAsia="Arial" w:hAnsi="Arial"/>
                <w:sz w:val="14"/>
                <w:szCs w:val="14"/>
                <w:color w:val="auto"/>
              </w:rPr>
              <w:t>structured finance</w:t>
            </w:r>
          </w:p>
        </w:tc>
        <w:tc>
          <w:tcPr>
            <w:tcW w:w="3260" w:type="dxa"/>
            <w:vAlign w:val="bottom"/>
          </w:tcPr>
          <w:p>
            <w:pPr>
              <w:ind w:left="40"/>
              <w:spacing w:after="0" w:line="144" w:lineRule="exact"/>
              <w:rPr>
                <w:sz w:val="20"/>
                <w:szCs w:val="20"/>
                <w:color w:val="auto"/>
              </w:rPr>
            </w:pPr>
            <w:r>
              <w:rPr>
                <w:rFonts w:ascii="Arial" w:cs="Arial" w:eastAsia="Arial" w:hAnsi="Arial"/>
                <w:sz w:val="11"/>
                <w:szCs w:val="11"/>
                <w:color w:val="auto"/>
              </w:rPr>
              <w:t>CLO subordinated notes</w:t>
            </w:r>
            <w:r>
              <w:rPr>
                <w:rFonts w:ascii="Arial" w:cs="Arial" w:eastAsia="Arial" w:hAnsi="Arial"/>
                <w:sz w:val="16"/>
                <w:szCs w:val="16"/>
                <w:color w:val="auto"/>
                <w:vertAlign w:val="superscript"/>
              </w:rPr>
              <w:t>(5)(7)(9)</w:t>
            </w:r>
          </w:p>
        </w:tc>
        <w:tc>
          <w:tcPr>
            <w:tcW w:w="1000" w:type="dxa"/>
            <w:vAlign w:val="bottom"/>
            <w:gridSpan w:val="3"/>
          </w:tcPr>
          <w:p>
            <w:pPr>
              <w:jc w:val="right"/>
              <w:ind w:right="100"/>
              <w:spacing w:after="0" w:line="144" w:lineRule="exact"/>
              <w:rPr>
                <w:sz w:val="20"/>
                <w:szCs w:val="20"/>
                <w:color w:val="auto"/>
              </w:rPr>
            </w:pPr>
            <w:r>
              <w:rPr>
                <w:rFonts w:ascii="Arial" w:cs="Arial" w:eastAsia="Arial" w:hAnsi="Arial"/>
                <w:sz w:val="14"/>
                <w:szCs w:val="14"/>
                <w:color w:val="auto"/>
              </w:rPr>
              <w:t>$  7,000,000</w:t>
            </w:r>
          </w:p>
        </w:tc>
        <w:tc>
          <w:tcPr>
            <w:tcW w:w="1080" w:type="dxa"/>
            <w:vAlign w:val="bottom"/>
            <w:gridSpan w:val="3"/>
          </w:tcPr>
          <w:p>
            <w:pPr>
              <w:jc w:val="right"/>
              <w:ind w:right="220"/>
              <w:spacing w:after="0" w:line="144" w:lineRule="exact"/>
              <w:rPr>
                <w:sz w:val="20"/>
                <w:szCs w:val="20"/>
                <w:color w:val="auto"/>
              </w:rPr>
            </w:pPr>
            <w:r>
              <w:rPr>
                <w:rFonts w:ascii="Arial" w:cs="Arial" w:eastAsia="Arial" w:hAnsi="Arial"/>
                <w:sz w:val="14"/>
                <w:szCs w:val="14"/>
                <w:color w:val="auto"/>
              </w:rPr>
              <w:t>$  3,223,478</w:t>
            </w:r>
          </w:p>
        </w:tc>
        <w:tc>
          <w:tcPr>
            <w:tcW w:w="220" w:type="dxa"/>
            <w:vAlign w:val="bottom"/>
          </w:tcPr>
          <w:p>
            <w:pPr>
              <w:spacing w:after="0" w:line="144"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4" w:lineRule="exact"/>
              <w:rPr>
                <w:sz w:val="20"/>
                <w:szCs w:val="20"/>
                <w:color w:val="auto"/>
              </w:rPr>
            </w:pPr>
            <w:r>
              <w:rPr>
                <w:rFonts w:ascii="Arial" w:cs="Arial" w:eastAsia="Arial" w:hAnsi="Arial"/>
                <w:sz w:val="14"/>
                <w:szCs w:val="14"/>
                <w:color w:val="auto"/>
              </w:rPr>
              <w:t>3,570,000</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w w:val="98"/>
              </w:rPr>
              <w:t>(Estimated yield 30.41%, maturity January 15, 2026)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20"/>
                <w:szCs w:val="20"/>
                <w:color w:val="auto"/>
              </w:rPr>
            </w:pPr>
            <w:r>
              <w:rPr>
                <w:rFonts w:ascii="Arial" w:cs="Arial" w:eastAsia="Arial" w:hAnsi="Arial"/>
                <w:sz w:val="14"/>
                <w:szCs w:val="14"/>
                <w:color w:val="auto"/>
              </w:rPr>
              <w:t>Jamestown CLO IV, Ltd.</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structured finance</w:t>
            </w:r>
          </w:p>
        </w:tc>
        <w:tc>
          <w:tcPr>
            <w:tcW w:w="3260" w:type="dxa"/>
            <w:vAlign w:val="bottom"/>
          </w:tcPr>
          <w:p>
            <w:pPr>
              <w:ind w:left="4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(5)(7)(9)</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5,000,000</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1,682,899</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1,900,000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rPr>
              <w:t>(Estimated yield 30.95%, maturity July 15, 2026)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20"/>
                <w:szCs w:val="20"/>
                <w:color w:val="auto"/>
              </w:rPr>
            </w:pPr>
            <w:r>
              <w:rPr>
                <w:rFonts w:ascii="Arial" w:cs="Arial" w:eastAsia="Arial" w:hAnsi="Arial"/>
                <w:sz w:val="14"/>
                <w:szCs w:val="14"/>
                <w:color w:val="auto"/>
              </w:rPr>
              <w:t>Longfellow Place CLO IX, Ltd.</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structured finance</w:t>
            </w:r>
          </w:p>
        </w:tc>
        <w:tc>
          <w:tcPr>
            <w:tcW w:w="3260" w:type="dxa"/>
            <w:vAlign w:val="bottom"/>
          </w:tcPr>
          <w:p>
            <w:pPr>
              <w:ind w:left="4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11,070,000</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3,562,812</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3,727,433</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w w:val="98"/>
              </w:rPr>
              <w:t>(Estimated yield 13.52%, maturity January 15, 2024)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20"/>
                <w:szCs w:val="20"/>
                <w:color w:val="auto"/>
              </w:rPr>
            </w:pPr>
            <w:r>
              <w:rPr>
                <w:rFonts w:ascii="Arial" w:cs="Arial" w:eastAsia="Arial" w:hAnsi="Arial"/>
                <w:sz w:val="14"/>
                <w:szCs w:val="14"/>
                <w:color w:val="auto"/>
              </w:rPr>
              <w:t>Mountain Hawk II CLO, Ltd.</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structured finance</w:t>
            </w:r>
          </w:p>
        </w:tc>
        <w:tc>
          <w:tcPr>
            <w:tcW w:w="3260" w:type="dxa"/>
            <w:vAlign w:val="bottom"/>
          </w:tcPr>
          <w:p>
            <w:pPr>
              <w:ind w:left="4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10,000,000</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7,202,308</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2,503,000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rPr>
              <w:t>(Estimated yield -14.84%, maturity July 20, 2024)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20"/>
                <w:szCs w:val="20"/>
                <w:color w:val="auto"/>
              </w:rPr>
            </w:pPr>
            <w:r>
              <w:rPr>
                <w:rFonts w:ascii="Arial" w:cs="Arial" w:eastAsia="Arial" w:hAnsi="Arial"/>
                <w:sz w:val="14"/>
                <w:szCs w:val="14"/>
                <w:color w:val="auto"/>
              </w:rPr>
              <w:t>Mountain Hawk III CLO, Ltd.</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structured finance</w:t>
            </w:r>
          </w:p>
        </w:tc>
        <w:tc>
          <w:tcPr>
            <w:tcW w:w="3260" w:type="dxa"/>
            <w:vAlign w:val="bottom"/>
          </w:tcPr>
          <w:p>
            <w:pPr>
              <w:ind w:left="40"/>
              <w:spacing w:after="0" w:line="171" w:lineRule="exact"/>
              <w:rPr>
                <w:sz w:val="20"/>
                <w:szCs w:val="20"/>
                <w:color w:val="auto"/>
              </w:rPr>
            </w:pPr>
            <w:r>
              <w:rPr>
                <w:rFonts w:ascii="Arial" w:cs="Arial" w:eastAsia="Arial" w:hAnsi="Arial"/>
                <w:sz w:val="12"/>
                <w:szCs w:val="12"/>
                <w:color w:val="auto"/>
              </w:rPr>
              <w:t>CLO income notes</w:t>
            </w:r>
            <w:r>
              <w:rPr>
                <w:rFonts w:ascii="Arial" w:cs="Arial" w:eastAsia="Arial" w:hAnsi="Arial"/>
                <w:sz w:val="19"/>
                <w:szCs w:val="19"/>
                <w:color w:val="auto"/>
                <w:vertAlign w:val="superscript"/>
              </w:rPr>
              <w:t>(5)(7)</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17,200,000</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10,945,736</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5,134,732</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rPr>
              <w:t>(Estimated yield -1.68%, maturity April 18, 2025)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structured finance</w:t>
            </w:r>
          </w:p>
        </w:tc>
        <w:tc>
          <w:tcPr>
            <w:tcW w:w="3260" w:type="dxa"/>
            <w:vAlign w:val="bottom"/>
          </w:tcPr>
          <w:p>
            <w:pPr>
              <w:ind w:left="40"/>
              <w:spacing w:after="0" w:line="171" w:lineRule="exact"/>
              <w:rPr>
                <w:sz w:val="20"/>
                <w:szCs w:val="20"/>
                <w:color w:val="auto"/>
              </w:rPr>
            </w:pPr>
            <w:r>
              <w:rPr>
                <w:rFonts w:ascii="Arial" w:cs="Arial" w:eastAsia="Arial" w:hAnsi="Arial"/>
                <w:sz w:val="12"/>
                <w:szCs w:val="12"/>
                <w:color w:val="auto"/>
              </w:rPr>
              <w:t>CLO M notes</w:t>
            </w:r>
            <w:r>
              <w:rPr>
                <w:rFonts w:ascii="Arial" w:cs="Arial" w:eastAsia="Arial" w:hAnsi="Arial"/>
                <w:sz w:val="19"/>
                <w:szCs w:val="19"/>
                <w:color w:val="auto"/>
                <w:vertAlign w:val="superscript"/>
              </w:rPr>
              <w:t>(8)(10)</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2,389,676</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356,978</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rPr>
              <w:t>(Maturity April 18, 2025)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20"/>
                <w:szCs w:val="20"/>
                <w:color w:val="auto"/>
              </w:rPr>
            </w:pPr>
            <w:r>
              <w:rPr>
                <w:rFonts w:ascii="Arial" w:cs="Arial" w:eastAsia="Arial" w:hAnsi="Arial"/>
                <w:sz w:val="14"/>
                <w:szCs w:val="14"/>
                <w:color w:val="auto"/>
              </w:rPr>
              <w:t>Neuberger Berman CLO XIII, Ltd.</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structured finance</w:t>
            </w:r>
          </w:p>
        </w:tc>
        <w:tc>
          <w:tcPr>
            <w:tcW w:w="3260" w:type="dxa"/>
            <w:vAlign w:val="bottom"/>
          </w:tcPr>
          <w:p>
            <w:pPr>
              <w:ind w:left="4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6,255,000</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2,706,866</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1,751,400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w w:val="98"/>
              </w:rPr>
              <w:t>(Estimated yield 14.35%, maturity January 23, 2024)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20"/>
                <w:szCs w:val="20"/>
                <w:color w:val="auto"/>
              </w:rPr>
            </w:pPr>
            <w:r>
              <w:rPr>
                <w:rFonts w:ascii="Arial" w:cs="Arial" w:eastAsia="Arial" w:hAnsi="Arial"/>
                <w:sz w:val="14"/>
                <w:szCs w:val="14"/>
                <w:color w:val="auto"/>
              </w:rPr>
              <w:t>Octagon Investment Partners XXI, Ltd.</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structured finance</w:t>
            </w:r>
          </w:p>
        </w:tc>
        <w:tc>
          <w:tcPr>
            <w:tcW w:w="3260" w:type="dxa"/>
            <w:vAlign w:val="bottom"/>
          </w:tcPr>
          <w:p>
            <w:pPr>
              <w:ind w:left="4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(5)(7)(9)</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6,200,000</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4,385,843</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4,464,000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w w:val="94"/>
              </w:rPr>
              <w:t>(Estimated yield 23.68%, maturity November 14, 2026)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20"/>
                <w:szCs w:val="20"/>
                <w:color w:val="auto"/>
              </w:rPr>
            </w:pPr>
            <w:r>
              <w:rPr>
                <w:rFonts w:ascii="Arial" w:cs="Arial" w:eastAsia="Arial" w:hAnsi="Arial"/>
                <w:sz w:val="14"/>
                <w:szCs w:val="14"/>
                <w:color w:val="auto"/>
              </w:rPr>
              <w:t>OFSI Fund VII, Ltd.</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structured finance</w:t>
            </w:r>
          </w:p>
        </w:tc>
        <w:tc>
          <w:tcPr>
            <w:tcW w:w="3260" w:type="dxa"/>
            <w:vAlign w:val="bottom"/>
          </w:tcPr>
          <w:p>
            <w:pPr>
              <w:ind w:left="4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28,840,000</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22,348,111</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16,150,400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w w:val="98"/>
              </w:rPr>
              <w:t>(Estimated yield 15.46%, maturity October 18, 2026)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20"/>
                <w:szCs w:val="20"/>
                <w:color w:val="auto"/>
              </w:rPr>
            </w:pPr>
            <w:r>
              <w:rPr>
                <w:rFonts w:ascii="Arial" w:cs="Arial" w:eastAsia="Arial" w:hAnsi="Arial"/>
                <w:sz w:val="14"/>
                <w:szCs w:val="14"/>
                <w:color w:val="auto"/>
              </w:rPr>
              <w:t>OZLM XIV, LTD</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structured finance</w:t>
            </w:r>
          </w:p>
        </w:tc>
        <w:tc>
          <w:tcPr>
            <w:tcW w:w="3260" w:type="dxa"/>
            <w:vAlign w:val="bottom"/>
          </w:tcPr>
          <w:p>
            <w:pPr>
              <w:ind w:left="4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13,500,000</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10,026,746</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9,787,338</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w w:val="98"/>
              </w:rPr>
              <w:t>(Estimated yield 15.51%, maturity January 15, 2029)</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20"/>
                <w:szCs w:val="20"/>
                <w:color w:val="auto"/>
              </w:rPr>
            </w:pPr>
            <w:r>
              <w:rPr>
                <w:rFonts w:ascii="Arial" w:cs="Arial" w:eastAsia="Arial" w:hAnsi="Arial"/>
                <w:sz w:val="14"/>
                <w:szCs w:val="14"/>
                <w:color w:val="auto"/>
              </w:rPr>
              <w:t>Parallel 2015-1 Ltd.</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structured finance</w:t>
            </w:r>
          </w:p>
        </w:tc>
        <w:tc>
          <w:tcPr>
            <w:tcW w:w="3260" w:type="dxa"/>
            <w:vAlign w:val="bottom"/>
          </w:tcPr>
          <w:p>
            <w:pPr>
              <w:ind w:left="4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7,750,000</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6,123,474</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5,037,500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rPr>
              <w:t>(Estimated yield 15.66%, maturity July 20, 2027)</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20"/>
                <w:szCs w:val="20"/>
                <w:color w:val="auto"/>
              </w:rPr>
            </w:pPr>
            <w:r>
              <w:rPr>
                <w:rFonts w:ascii="Arial" w:cs="Arial" w:eastAsia="Arial" w:hAnsi="Arial"/>
                <w:sz w:val="14"/>
                <w:szCs w:val="14"/>
                <w:color w:val="auto"/>
              </w:rPr>
              <w:t>Shackleton II CLO, Ltd.</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structured finance</w:t>
            </w:r>
          </w:p>
        </w:tc>
        <w:tc>
          <w:tcPr>
            <w:tcW w:w="3260" w:type="dxa"/>
            <w:vAlign w:val="bottom"/>
          </w:tcPr>
          <w:p>
            <w:pPr>
              <w:ind w:left="40"/>
              <w:spacing w:after="0" w:line="171" w:lineRule="exact"/>
              <w:rPr>
                <w:sz w:val="20"/>
                <w:szCs w:val="20"/>
                <w:color w:val="auto"/>
              </w:rPr>
            </w:pPr>
            <w:r>
              <w:rPr>
                <w:rFonts w:ascii="Arial" w:cs="Arial" w:eastAsia="Arial" w:hAnsi="Arial"/>
                <w:sz w:val="12"/>
                <w:szCs w:val="12"/>
                <w:color w:val="auto"/>
              </w:rPr>
              <w:t>CLO income notes</w:t>
            </w:r>
            <w:r>
              <w:rPr>
                <w:rFonts w:ascii="Arial" w:cs="Arial" w:eastAsia="Arial" w:hAnsi="Arial"/>
                <w:sz w:val="19"/>
                <w:szCs w:val="19"/>
                <w:color w:val="auto"/>
                <w:vertAlign w:val="superscript"/>
              </w:rPr>
              <w:t>(5)(7)</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10,000,000</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7,621,485</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5,100,000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rPr>
              <w:t>(Estimated yield 7.60%, maturity October 20, 2023)</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80" w:type="dxa"/>
            <w:vAlign w:val="bottom"/>
          </w:tcPr>
          <w:p>
            <w:pPr>
              <w:spacing w:after="0"/>
              <w:rPr>
                <w:sz w:val="20"/>
                <w:szCs w:val="20"/>
                <w:color w:val="auto"/>
              </w:rPr>
            </w:pPr>
            <w:r>
              <w:rPr>
                <w:rFonts w:ascii="Arial" w:cs="Arial" w:eastAsia="Arial" w:hAnsi="Arial"/>
                <w:sz w:val="14"/>
                <w:szCs w:val="14"/>
                <w:color w:val="auto"/>
              </w:rPr>
              <w:t>Sound Point CLO VIII, Ltd.</w:t>
            </w:r>
          </w:p>
        </w:tc>
        <w:tc>
          <w:tcPr>
            <w:tcW w:w="1600" w:type="dxa"/>
            <w:vAlign w:val="bottom"/>
            <w:gridSpan w:val="2"/>
          </w:tcPr>
          <w:p>
            <w:pPr>
              <w:ind w:left="180"/>
              <w:spacing w:after="0"/>
              <w:rPr>
                <w:sz w:val="20"/>
                <w:szCs w:val="20"/>
                <w:color w:val="auto"/>
              </w:rPr>
            </w:pPr>
            <w:r>
              <w:rPr>
                <w:rFonts w:ascii="Arial" w:cs="Arial" w:eastAsia="Arial" w:hAnsi="Arial"/>
                <w:sz w:val="14"/>
                <w:szCs w:val="14"/>
                <w:color w:val="auto"/>
              </w:rPr>
              <w:t>structured finance</w:t>
            </w:r>
          </w:p>
        </w:tc>
        <w:tc>
          <w:tcPr>
            <w:tcW w:w="3260" w:type="dxa"/>
            <w:vAlign w:val="bottom"/>
          </w:tcPr>
          <w:p>
            <w:pPr>
              <w:ind w:left="40"/>
              <w:spacing w:after="0" w:line="171" w:lineRule="exact"/>
              <w:rPr>
                <w:sz w:val="20"/>
                <w:szCs w:val="20"/>
                <w:color w:val="auto"/>
              </w:rPr>
            </w:pPr>
            <w:r>
              <w:rPr>
                <w:rFonts w:ascii="Arial" w:cs="Arial" w:eastAsia="Arial" w:hAnsi="Arial"/>
                <w:sz w:val="12"/>
                <w:szCs w:val="12"/>
                <w:color w:val="auto"/>
              </w:rPr>
              <w:t>CLO subordinated fee notes</w:t>
            </w:r>
            <w:r>
              <w:rPr>
                <w:rFonts w:ascii="Arial" w:cs="Arial" w:eastAsia="Arial" w:hAnsi="Arial"/>
                <w:sz w:val="19"/>
                <w:szCs w:val="19"/>
                <w:color w:val="auto"/>
                <w:vertAlign w:val="superscript"/>
              </w:rPr>
              <w:t>(8)(10)</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224,719</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202,247</w:t>
            </w:r>
          </w:p>
        </w:tc>
        <w:tc>
          <w:tcPr>
            <w:tcW w:w="2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174,319</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rPr>
              <w:t>(Maturity April 15, 2027)</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3"/>
                <w:szCs w:val="23"/>
                <w:b w:val="1"/>
                <w:bCs w:val="1"/>
                <w:color w:val="auto"/>
                <w:vertAlign w:val="superscript"/>
              </w:rPr>
              <w:t>(1)</w:t>
            </w:r>
          </w:p>
        </w:tc>
        <w:tc>
          <w:tcPr>
            <w:tcW w:w="120" w:type="dxa"/>
            <w:vAlign w:val="bottom"/>
          </w:tcPr>
          <w:p>
            <w:pPr>
              <w:spacing w:after="0"/>
              <w:rPr>
                <w:sz w:val="14"/>
                <w:szCs w:val="14"/>
                <w:color w:val="auto"/>
              </w:rPr>
            </w:pPr>
          </w:p>
        </w:tc>
        <w:tc>
          <w:tcPr>
            <w:tcW w:w="13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4"/>
                <w:szCs w:val="14"/>
                <w:color w:val="auto"/>
              </w:rPr>
            </w:pPr>
          </w:p>
        </w:tc>
        <w:tc>
          <w:tcPr>
            <w:tcW w:w="316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INVESTMENT</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 of Net</w:t>
            </w:r>
          </w:p>
        </w:tc>
        <w:tc>
          <w:tcPr>
            <w:tcW w:w="0" w:type="dxa"/>
            <w:vAlign w:val="bottom"/>
          </w:tcPr>
          <w:p>
            <w:pPr>
              <w:spacing w:after="0"/>
              <w:rPr>
                <w:sz w:val="1"/>
                <w:szCs w:val="1"/>
                <w:color w:val="auto"/>
              </w:rPr>
            </w:pPr>
          </w:p>
        </w:tc>
      </w:tr>
      <w:tr>
        <w:trPr>
          <w:trHeight w:val="171"/>
        </w:trPr>
        <w:tc>
          <w:tcPr>
            <w:tcW w:w="2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Sound Point CLO IX, Ltd.</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structured finance</w:t>
            </w:r>
          </w:p>
        </w:tc>
        <w:tc>
          <w:tcPr>
            <w:tcW w:w="100" w:type="dxa"/>
            <w:vAlign w:val="bottom"/>
            <w:vMerge w:val="continue"/>
            <w:shd w:val="clear" w:color="auto" w:fill="CCEEFF"/>
          </w:tcPr>
          <w:p>
            <w:pPr>
              <w:spacing w:after="0"/>
              <w:rPr>
                <w:sz w:val="14"/>
                <w:szCs w:val="14"/>
                <w:color w:val="auto"/>
              </w:rPr>
            </w:pPr>
          </w:p>
        </w:tc>
        <w:tc>
          <w:tcPr>
            <w:tcW w:w="3160" w:type="dxa"/>
            <w:vAlign w:val="bottom"/>
            <w:shd w:val="clear" w:color="auto" w:fill="CCEEFF"/>
          </w:tcPr>
          <w:p>
            <w:pPr>
              <w:spacing w:after="0" w:line="164"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8"/>
                <w:szCs w:val="18"/>
                <w:color w:val="auto"/>
                <w:vertAlign w:val="superscript"/>
              </w:rPr>
              <w:t>(5)(7)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$ 10,000,000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8,084,880</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8,600,000</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(Estimated yield 20.60%, maturity July 20, 2027)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Telos CLO 2013-3, Ltd.</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structured finance</w:t>
            </w:r>
          </w:p>
        </w:tc>
        <w:tc>
          <w:tcPr>
            <w:tcW w:w="3260" w:type="dxa"/>
            <w:vAlign w:val="bottom"/>
            <w:gridSpan w:val="2"/>
            <w:shd w:val="clear" w:color="auto" w:fill="CCEEFF"/>
          </w:tcPr>
          <w:p>
            <w:pPr>
              <w:ind w:left="1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10,333,334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6,975,704</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4,650,000</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96"/>
              </w:rPr>
              <w:t>(Estimated yield 23.13%, maturity January 17, 2024)</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Telos CLO 2013-4, Ltd.</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structured finance</w:t>
            </w:r>
          </w:p>
        </w:tc>
        <w:tc>
          <w:tcPr>
            <w:tcW w:w="3260" w:type="dxa"/>
            <w:vAlign w:val="bottom"/>
            <w:gridSpan w:val="2"/>
            <w:shd w:val="clear" w:color="auto" w:fill="CCEEFF"/>
          </w:tcPr>
          <w:p>
            <w:pPr>
              <w:ind w:left="1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11,350,000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6,843,792</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5,536,204</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(Estimated yield 29.72%, maturity July 17, 2024)</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TICP CLO IV, Ltd.</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structured finance</w:t>
            </w:r>
          </w:p>
        </w:tc>
        <w:tc>
          <w:tcPr>
            <w:tcW w:w="3260" w:type="dxa"/>
            <w:vAlign w:val="bottom"/>
            <w:gridSpan w:val="2"/>
            <w:shd w:val="clear" w:color="auto" w:fill="CCEEFF"/>
          </w:tcPr>
          <w:p>
            <w:pPr>
              <w:ind w:left="1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7,829,862</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7,000,000</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(Estimated yield 21.46%, maturity July 20, 2027)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Venture XVI CLO, Ltd.</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structured finance</w:t>
            </w:r>
          </w:p>
        </w:tc>
        <w:tc>
          <w:tcPr>
            <w:tcW w:w="3260" w:type="dxa"/>
            <w:vAlign w:val="bottom"/>
            <w:gridSpan w:val="2"/>
            <w:shd w:val="clear" w:color="auto" w:fill="CCEEFF"/>
          </w:tcPr>
          <w:p>
            <w:pPr>
              <w:ind w:left="1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15,000,000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11,065,250</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8,619,761</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(Estimated yield 13.95%, maturity April 15, 2026)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Venture XVII CLO, Ltd.</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structured finance</w:t>
            </w:r>
          </w:p>
        </w:tc>
        <w:tc>
          <w:tcPr>
            <w:tcW w:w="3260" w:type="dxa"/>
            <w:vAlign w:val="bottom"/>
            <w:gridSpan w:val="2"/>
            <w:shd w:val="clear" w:color="auto" w:fill="CCEEFF"/>
          </w:tcPr>
          <w:p>
            <w:pPr>
              <w:ind w:left="1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13,000,000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9,200,450</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7,220,446</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(Estimated yield 14.41%, maturity July 15, 2026)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Venture XVIII CLO, Ltd.</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structured finance</w:t>
            </w:r>
          </w:p>
        </w:tc>
        <w:tc>
          <w:tcPr>
            <w:tcW w:w="3260" w:type="dxa"/>
            <w:vAlign w:val="bottom"/>
            <w:gridSpan w:val="2"/>
            <w:shd w:val="clear" w:color="auto" w:fill="CCEEFF"/>
          </w:tcPr>
          <w:p>
            <w:pPr>
              <w:ind w:left="1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7,000,000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5,251,769</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4,054,087</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96"/>
              </w:rPr>
              <w:t>(Estimated yield 11.71%, maturity October 15, 2026)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structured finance</w:t>
            </w:r>
          </w:p>
        </w:tc>
        <w:tc>
          <w:tcPr>
            <w:tcW w:w="3260" w:type="dxa"/>
            <w:vAlign w:val="bottom"/>
            <w:gridSpan w:val="2"/>
            <w:shd w:val="clear" w:color="auto" w:fill="CCEEFF"/>
          </w:tcPr>
          <w:p>
            <w:pPr>
              <w:ind w:left="100"/>
              <w:spacing w:after="0" w:line="171" w:lineRule="exact"/>
              <w:rPr>
                <w:sz w:val="20"/>
                <w:szCs w:val="20"/>
                <w:color w:val="auto"/>
              </w:rPr>
            </w:pPr>
            <w:r>
              <w:rPr>
                <w:rFonts w:ascii="Arial" w:cs="Arial" w:eastAsia="Arial" w:hAnsi="Arial"/>
                <w:sz w:val="12"/>
                <w:szCs w:val="12"/>
                <w:color w:val="auto"/>
              </w:rPr>
              <w:t>CLO subordinated fee notes</w:t>
            </w:r>
            <w:r>
              <w:rPr>
                <w:rFonts w:ascii="Arial" w:cs="Arial" w:eastAsia="Arial" w:hAnsi="Arial"/>
                <w:sz w:val="19"/>
                <w:szCs w:val="19"/>
                <w:color w:val="auto"/>
                <w:vertAlign w:val="superscript"/>
              </w:rPr>
              <w:t>(8)(10)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357,055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245,301</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(Maturity October 15, 2026)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Wind River 2014-3 CLO Ltd.</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structured finance</w:t>
            </w:r>
          </w:p>
        </w:tc>
        <w:tc>
          <w:tcPr>
            <w:tcW w:w="3260" w:type="dxa"/>
            <w:vAlign w:val="bottom"/>
            <w:gridSpan w:val="2"/>
            <w:shd w:val="clear" w:color="auto" w:fill="CCEEFF"/>
          </w:tcPr>
          <w:p>
            <w:pPr>
              <w:ind w:left="100"/>
              <w:spacing w:after="0" w:line="171" w:lineRule="exact"/>
              <w:rPr>
                <w:sz w:val="20"/>
                <w:szCs w:val="20"/>
                <w:color w:val="auto"/>
              </w:rPr>
            </w:pPr>
            <w:r>
              <w:rPr>
                <w:rFonts w:ascii="Arial" w:cs="Arial" w:eastAsia="Arial" w:hAnsi="Arial"/>
                <w:sz w:val="12"/>
                <w:szCs w:val="12"/>
                <w:color w:val="auto"/>
              </w:rPr>
              <w:t>CLO subordinated notes</w:t>
            </w:r>
            <w:r>
              <w:rPr>
                <w:rFonts w:ascii="Arial" w:cs="Arial" w:eastAsia="Arial" w:hAnsi="Arial"/>
                <w:sz w:val="19"/>
                <w:szCs w:val="19"/>
                <w:color w:val="auto"/>
                <w:vertAlign w:val="superscript"/>
              </w:rPr>
              <w:t>(5)(7)</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18,530,000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15,572,949</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15,194,600</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96"/>
              </w:rPr>
              <w:t>(Estimated yield 18.43%, maturity January 22, 2027)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Other CLO equity related investments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structured finance</w:t>
            </w:r>
          </w:p>
        </w:tc>
        <w:tc>
          <w:tcPr>
            <w:tcW w:w="32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4"/>
                <w:szCs w:val="14"/>
                <w:color w:val="auto"/>
              </w:rPr>
              <w:t>CLO other</w:t>
            </w:r>
            <w:r>
              <w:rPr>
                <w:rFonts w:ascii="Arial" w:cs="Arial" w:eastAsia="Arial" w:hAnsi="Arial"/>
                <w:sz w:val="23"/>
                <w:szCs w:val="23"/>
                <w:color w:val="auto"/>
                <w:vertAlign w:val="superscript"/>
              </w:rPr>
              <w:t>(8)(10)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2,641,429</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Total Collateralized Loan Obligation - Equity Investments</w:t>
            </w:r>
          </w:p>
        </w:tc>
        <w:tc>
          <w:tcPr>
            <w:tcW w:w="10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2"/>
              </w:rPr>
              <w:t>305,044,285</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255,576,578</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w w:val="94"/>
              </w:rPr>
              <w:t>154.82%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Investments</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w w:val="92"/>
              </w:rPr>
              <w:t>316,508,637</w:t>
            </w:r>
          </w:p>
        </w:tc>
        <w:tc>
          <w:tcPr>
            <w:tcW w:w="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263,579,592</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280"/>
              <w:spacing w:after="0" w:line="176" w:lineRule="exact"/>
              <w:rPr>
                <w:sz w:val="20"/>
                <w:szCs w:val="20"/>
                <w:color w:val="auto"/>
              </w:rPr>
            </w:pPr>
            <w:r>
              <w:rPr>
                <w:rFonts w:ascii="Arial" w:cs="Arial" w:eastAsia="Arial" w:hAnsi="Arial"/>
                <w:sz w:val="12"/>
                <w:szCs w:val="12"/>
                <w:b w:val="1"/>
                <w:bCs w:val="1"/>
                <w:color w:val="auto"/>
              </w:rPr>
              <w:t>159.67</w:t>
            </w:r>
            <w:r>
              <w:rPr>
                <w:rFonts w:ascii="Arial" w:cs="Arial" w:eastAsia="Arial" w:hAnsi="Arial"/>
                <w:sz w:val="20"/>
                <w:szCs w:val="20"/>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LIABILITIES IN EXCESS OF OTHER ASSETS</w:t>
            </w:r>
          </w:p>
        </w:tc>
        <w:tc>
          <w:tcPr>
            <w:tcW w:w="10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(98,502,007)</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NET ASSETS (equivalent to $8.78 per share based on 18,806,671 shares of common stock outstanding)</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165,077,585</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5797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9" w:lineRule="exact"/>
        <w:rPr>
          <w:sz w:val="20"/>
          <w:szCs w:val="20"/>
          <w:color w:val="auto"/>
        </w:rPr>
      </w:pPr>
    </w:p>
    <w:p>
      <w:pPr>
        <w:jc w:val="both"/>
        <w:ind w:left="340" w:right="380" w:hanging="332"/>
        <w:spacing w:after="0" w:line="25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is determined in good faith by the Board of Directors of the Fund.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Notes bear interest at variable rates.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Cost value reflects accretion of original issue discount or market discount.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Cost value reflects accretion of effective yield less any cash distributions received or entitled to be received from CLO equity investments.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 secured notes generally bear interest at a rate determined by reference to three-month LIBOR which resets quarterly.</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CLO subordinated notes and income notes are considered equity positions in the CLO funds. Equity investments are entitled to recurring distributions which are generally equal to the remaining cash flow of the payments made by the underlying fund’s securities less contractual payments to debt holders and fund expenses. The estimated yield indicated is based upon a current projection of the amount and timing of these recurring distributions and the estimated amount of repayment of principal upon expected termination. Such projections are periodically reviewed and adjusted, and the estimated yield may not ultimately be realized.</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represents discounted cash flows associated with fees earned from CLO equity investments.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Investment has not made its inaugural distribution for the relevant period end. See “Note 3. Investment Income.”</w:t>
      </w:r>
    </w:p>
    <w:p>
      <w:pPr>
        <w:spacing w:after="0" w:line="9" w:lineRule="exact"/>
        <w:rPr>
          <w:rFonts w:ascii="Arial" w:cs="Arial" w:eastAsia="Arial" w:hAnsi="Arial"/>
          <w:sz w:val="18"/>
          <w:szCs w:val="18"/>
          <w:color w:val="auto"/>
        </w:rPr>
      </w:pPr>
    </w:p>
    <w:p>
      <w:pPr>
        <w:jc w:val="both"/>
        <w:ind w:left="340" w:hanging="332"/>
        <w:spacing w:after="0" w:line="277"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These represent enhancements to the return on CLO equity investments and are a rebate on a portion of the collateral manager’s fees and are recorded as “other income” when earned. These investments can either be in the form of CLO M notes and CLO subordinated fee notes (which are outlined within the CLO indenture), or in the form of a negotiated side letter to the CLO indenture (“Other CLO equity related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556260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JUNE 30, 2016</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(Unaudited)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INVESTMENT VALUATION</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Oxford Lane Capital Corp. (“OXLC”, “we” or the “Fund”) fair values its investment portfolio in accordance with the provisions of ASC 820, </w:t>
      </w:r>
      <w:r>
        <w:rPr>
          <w:rFonts w:ascii="Arial" w:cs="Arial" w:eastAsia="Arial" w:hAnsi="Arial"/>
          <w:sz w:val="17"/>
          <w:szCs w:val="17"/>
          <w:i w:val="1"/>
          <w:iCs w:val="1"/>
          <w:color w:val="auto"/>
        </w:rPr>
        <w:t>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 and Disclosure</w:t>
      </w:r>
      <w:r>
        <w:rPr>
          <w:rFonts w:ascii="Arial" w:cs="Arial" w:eastAsia="Arial" w:hAnsi="Arial"/>
          <w:sz w:val="17"/>
          <w:szCs w:val="17"/>
          <w:color w:val="auto"/>
        </w:rPr>
        <w:t>. Estimates made in the preparation of OXLC’s financial statements include the valuation of investments, as well as the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amounts of unrealized appreciation and depreciation of investments recorded. OXLC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OXLC makes.</w:t>
      </w:r>
    </w:p>
    <w:p>
      <w:pPr>
        <w:spacing w:after="0" w:line="173"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ASC 820-10 clarified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OXLC considers the attributes of current market conditions on an on-going basis and has determined that due to the general illiquidity of the market for its investment portfolio, whereby little or no market data exists; almost all of OXLC’s investments are based upon “Level 3” inputs as of June 30,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Collateralized Loan Obligations — Debt and Equity</w:t>
      </w:r>
    </w:p>
    <w:p>
      <w:pPr>
        <w:spacing w:after="0" w:line="229"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OXLC has acquired debt and equity positions in collateralized loan obligation (“CLO”) investment vehicles and has purchased CLO warehouse facilities. These investments are special purpose financing vehicles. In valuing such investments, OXLC considers the operating metrics of the specific investment vehicle, including compliance with collateralization tests, defaulted and restructured securities, and payment defaults, if any. In addition, OXLC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OXLC also considers those instances in which the record date for an equity distribution payment falls on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Oxford Lane Management, LLC (“OXLC Management”) or the Board of Directors may request an additional analysis by a third-party firm to assist in the valuation process of CLO investment vehicles. All information is presented to the Board of Directors for its determination of fair value of these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Fund’s assets measured at fair value on a recurring basis subject to the disclosure requirements of ASC 820-10 at June 30, 2016, were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20" w:type="dxa"/>
            <w:vAlign w:val="bottom"/>
            <w:gridSpan w:val="11"/>
          </w:tcPr>
          <w:p>
            <w:pPr>
              <w:ind w:left="320"/>
              <w:spacing w:after="0"/>
              <w:rPr>
                <w:sz w:val="20"/>
                <w:szCs w:val="20"/>
                <w:color w:val="auto"/>
              </w:rPr>
            </w:pPr>
            <w:r>
              <w:rPr>
                <w:rFonts w:ascii="Arial" w:cs="Arial" w:eastAsia="Arial" w:hAnsi="Arial"/>
                <w:sz w:val="18"/>
                <w:szCs w:val="18"/>
                <w:b w:val="1"/>
                <w:bCs w:val="1"/>
                <w:color w:val="auto"/>
              </w:rPr>
              <w:t>Fair Value Measurements at Reporting Date Using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89"/>
              </w:rPr>
              <w:t>Quoted Prices in</w:t>
            </w:r>
          </w:p>
        </w:tc>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8"/>
              </w:rPr>
              <w:t>Active Markets for</w:t>
            </w:r>
          </w:p>
        </w:tc>
        <w:tc>
          <w:tcPr>
            <w:tcW w:w="1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Other Observable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Unobservable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Identical Assets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(Level 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6"/>
              </w:rPr>
              <w:t>($ in millions)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6"/>
              </w:rPr>
              <w:t>($ 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CLO debt</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CLO equity</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presents the carrying value and fair value of the Fund’s financial liabilities disclosed, but not carried, at fair value as of June 30, 2016 and the level of each financial liability within the fair value hierarchy: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Value</w:t>
            </w:r>
          </w:p>
        </w:tc>
        <w:tc>
          <w:tcPr>
            <w:tcW w:w="260" w:type="dxa"/>
            <w:vAlign w:val="bottom"/>
          </w:tcPr>
          <w:p>
            <w:pPr>
              <w:spacing w:after="0"/>
              <w:rPr>
                <w:sz w:val="20"/>
                <w:szCs w:val="2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2023 Term Preferred Shares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Series 2024 Term Preferred Shares</w:t>
            </w: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48.6</w:t>
            </w:r>
          </w:p>
        </w:tc>
        <w:tc>
          <w:tcPr>
            <w:tcW w:w="2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51.1</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51.1</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Unobservable Inputs for Level 3 Investments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accordance with ASC 820-10, the following table provides quantitative information about the Fund’s Level 3 fair value measurements as of June 30, 2016. The Fund’s valuation policy, as described above, establishes parameters for the sources and types of valuation analysis, as well as the methodologies and inputs that the Fund uses in determining fair value. If the Board of Directors or OXLC Management determines that additional techniques, sources or inputs are appropriate or necessary in a given situation, such additional work may be undertaken. The weighted average calculations in the table below are based on the principal balances within each respective valuation techniques and methodologies and asset category.</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26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CLO debt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CLO equity</w:t>
      </w:r>
    </w:p>
    <w:p>
      <w:pPr>
        <w:spacing w:after="0" w:line="200" w:lineRule="exact"/>
        <w:rPr>
          <w:sz w:val="20"/>
          <w:szCs w:val="20"/>
          <w:color w:val="auto"/>
        </w:rPr>
      </w:pPr>
    </w:p>
    <w:p>
      <w:pPr>
        <w:spacing w:after="0" w:line="2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CLO equity related investments, CLO M notes, CLO subordinated fee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Total Fair Value for Level 3 Investments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325"/>
        <w:spacing w:after="0"/>
        <w:rPr>
          <w:sz w:val="20"/>
          <w:szCs w:val="20"/>
          <w:color w:val="auto"/>
        </w:rPr>
      </w:pPr>
      <w:r>
        <w:rPr>
          <w:rFonts w:ascii="Arial" w:cs="Arial" w:eastAsia="Arial" w:hAnsi="Arial"/>
          <w:sz w:val="18"/>
          <w:szCs w:val="18"/>
          <w:b w:val="1"/>
          <w:bCs w:val="1"/>
          <w:color w:val="auto"/>
        </w:rPr>
        <w:t>Quantitative Information about Level 3 Fair Value Measurements</w:t>
      </w:r>
    </w:p>
    <w:p>
      <w:pPr>
        <w:spacing w:after="0" w:line="27" w:lineRule="exact"/>
        <w:rPr>
          <w:sz w:val="20"/>
          <w:szCs w:val="20"/>
          <w:color w:val="auto"/>
        </w:rPr>
      </w:pPr>
    </w:p>
    <w:tbl>
      <w:tblPr>
        <w:tblLayout w:type="fixed"/>
        <w:tblInd w:w="5" w:type="dxa"/>
        <w:tblCellMar>
          <w:top w:w="0" w:type="dxa"/>
          <w:left w:w="0" w:type="dxa"/>
          <w:bottom w:w="0" w:type="dxa"/>
          <w:right w:w="0" w:type="dxa"/>
        </w:tblCellMar>
      </w:tblPr>
      <w:tr>
        <w:trPr>
          <w:trHeight w:val="191"/>
        </w:trPr>
        <w:tc>
          <w:tcPr>
            <w:tcW w:w="1840" w:type="dxa"/>
            <w:vAlign w:val="bottom"/>
            <w:tcBorders>
              <w:top w:val="single" w:sz="8" w:color="auto"/>
            </w:tcBorders>
            <w:gridSpan w:val="4"/>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Fair Value as of June</w:t>
            </w:r>
          </w:p>
        </w:tc>
        <w:tc>
          <w:tcPr>
            <w:tcW w:w="192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9"/>
              </w:rPr>
              <w:t>Valuation Techniques /</w:t>
            </w:r>
          </w:p>
        </w:tc>
        <w:tc>
          <w:tcPr>
            <w:tcW w:w="1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w w:val="87"/>
              </w:rPr>
              <w:t xml:space="preserve">Range / Weighted Average </w:t>
            </w:r>
            <w:r>
              <w:rPr>
                <w:rFonts w:ascii="Arial" w:cs="Arial" w:eastAsia="Arial" w:hAnsi="Arial"/>
                <w:sz w:val="30"/>
                <w:szCs w:val="30"/>
                <w:b w:val="1"/>
                <w:bCs w:val="1"/>
                <w:color w:val="auto"/>
                <w:w w:val="87"/>
                <w:vertAlign w:val="superscript"/>
              </w:rPr>
              <w:t>(4)</w:t>
            </w:r>
          </w:p>
        </w:tc>
        <w:tc>
          <w:tcPr>
            <w:tcW w:w="0" w:type="dxa"/>
            <w:vAlign w:val="bottom"/>
          </w:tcPr>
          <w:p>
            <w:pPr>
              <w:spacing w:after="0"/>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30, 2016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Methodologies</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Unobservable Input</w:t>
            </w:r>
          </w:p>
        </w:tc>
        <w:tc>
          <w:tcPr>
            <w:tcW w:w="100" w:type="dxa"/>
            <w:vAlign w:val="bottom"/>
          </w:tcPr>
          <w:p>
            <w:pPr>
              <w:spacing w:after="0"/>
              <w:rPr>
                <w:sz w:val="20"/>
                <w:szCs w:val="20"/>
                <w:color w:val="auto"/>
              </w:rPr>
            </w:pPr>
          </w:p>
        </w:tc>
        <w:tc>
          <w:tcPr>
            <w:tcW w:w="2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96"/>
              </w:rPr>
              <w:t>($ in millions)</w:t>
            </w:r>
          </w:p>
        </w:tc>
        <w:tc>
          <w:tcPr>
            <w:tcW w:w="220" w:type="dxa"/>
            <w:vAlign w:val="bottom"/>
            <w:gridSpan w:val="2"/>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 xml:space="preserve">NBIB </w:t>
            </w:r>
            <w:r>
              <w:rPr>
                <w:rFonts w:ascii="Arial" w:cs="Arial" w:eastAsia="Arial" w:hAnsi="Arial"/>
                <w:sz w:val="30"/>
                <w:szCs w:val="30"/>
                <w:color w:val="auto"/>
                <w:w w:val="89"/>
                <w:vertAlign w:val="superscript"/>
              </w:rPr>
              <w:t>(1)</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Market quotes</w:t>
            </w:r>
          </w:p>
        </w:tc>
        <w:tc>
          <w:tcPr>
            <w:tcW w:w="1700" w:type="dxa"/>
            <w:vAlign w:val="bottom"/>
            <w:gridSpan w:val="2"/>
            <w:vMerge w:val="continue"/>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54.2%-69.0% / 61.3%</w:t>
            </w:r>
          </w:p>
        </w:tc>
        <w:tc>
          <w:tcPr>
            <w:tcW w:w="0" w:type="dxa"/>
            <w:vAlign w:val="bottom"/>
          </w:tcPr>
          <w:p>
            <w:pPr>
              <w:spacing w:after="0"/>
              <w:rPr>
                <w:sz w:val="1"/>
                <w:szCs w:val="1"/>
                <w:color w:val="auto"/>
              </w:rPr>
            </w:pPr>
          </w:p>
        </w:tc>
      </w:tr>
      <w:tr>
        <w:trPr>
          <w:trHeight w:val="339"/>
        </w:trPr>
        <w:tc>
          <w:tcPr>
            <w:tcW w:w="18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247.1</w:t>
            </w:r>
          </w:p>
        </w:tc>
        <w:tc>
          <w:tcPr>
            <w:tcW w:w="20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Market quotes</w:t>
            </w:r>
          </w:p>
        </w:tc>
        <w:tc>
          <w:tcPr>
            <w:tcW w:w="1700" w:type="dxa"/>
            <w:vAlign w:val="bottom"/>
            <w:gridSpan w:val="2"/>
          </w:tcPr>
          <w:p>
            <w:pPr>
              <w:jc w:val="center"/>
              <w:ind w:right="100"/>
              <w:spacing w:after="0" w:line="338" w:lineRule="exact"/>
              <w:rPr>
                <w:sz w:val="20"/>
                <w:szCs w:val="20"/>
                <w:color w:val="auto"/>
              </w:rPr>
            </w:pPr>
            <w:r>
              <w:rPr>
                <w:rFonts w:ascii="Arial" w:cs="Arial" w:eastAsia="Arial" w:hAnsi="Arial"/>
                <w:sz w:val="18"/>
                <w:szCs w:val="18"/>
                <w:color w:val="auto"/>
                <w:w w:val="89"/>
              </w:rPr>
              <w:t xml:space="preserve">NBIB </w:t>
            </w:r>
            <w:r>
              <w:rPr>
                <w:rFonts w:ascii="Arial" w:cs="Arial" w:eastAsia="Arial" w:hAnsi="Arial"/>
                <w:sz w:val="30"/>
                <w:szCs w:val="30"/>
                <w:color w:val="auto"/>
                <w:w w:val="89"/>
                <w:vertAlign w:val="superscript"/>
              </w:rPr>
              <w:t>(1)</w:t>
            </w:r>
          </w:p>
        </w:tc>
        <w:tc>
          <w:tcPr>
            <w:tcW w:w="2260" w:type="dxa"/>
            <w:vAlign w:val="bottom"/>
          </w:tcPr>
          <w:p>
            <w:pPr>
              <w:spacing w:after="0"/>
              <w:rPr>
                <w:sz w:val="20"/>
                <w:szCs w:val="20"/>
                <w:color w:val="auto"/>
              </w:rPr>
            </w:pPr>
            <w:r>
              <w:rPr>
                <w:rFonts w:ascii="Arial" w:cs="Arial" w:eastAsia="Arial" w:hAnsi="Arial"/>
                <w:sz w:val="18"/>
                <w:szCs w:val="18"/>
                <w:color w:val="auto"/>
              </w:rPr>
              <w:t>25.0%-97.5% / 59.9%</w:t>
            </w:r>
          </w:p>
        </w:tc>
        <w:tc>
          <w:tcPr>
            <w:tcW w:w="0" w:type="dxa"/>
            <w:vAlign w:val="bottom"/>
          </w:tcPr>
          <w:p>
            <w:pPr>
              <w:spacing w:after="0"/>
              <w:rPr>
                <w:sz w:val="1"/>
                <w:szCs w:val="1"/>
                <w:color w:val="auto"/>
              </w:rPr>
            </w:pPr>
          </w:p>
        </w:tc>
      </w:tr>
      <w:tr>
        <w:trPr>
          <w:trHeight w:val="471"/>
        </w:trPr>
        <w:tc>
          <w:tcPr>
            <w:tcW w:w="18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Yield Analysis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 xml:space="preserve">NBIB </w:t>
            </w:r>
            <w:r>
              <w:rPr>
                <w:rFonts w:ascii="Arial" w:cs="Arial" w:eastAsia="Arial" w:hAnsi="Arial"/>
                <w:sz w:val="30"/>
                <w:szCs w:val="30"/>
                <w:color w:val="auto"/>
                <w:w w:val="89"/>
                <w:vertAlign w:val="superscript"/>
              </w:rPr>
              <w:t>(1)</w:t>
            </w:r>
          </w:p>
        </w:tc>
        <w:tc>
          <w:tcPr>
            <w:tcW w:w="2260" w:type="dxa"/>
            <w:vAlign w:val="bottom"/>
          </w:tcPr>
          <w:p>
            <w:pPr>
              <w:spacing w:after="0"/>
              <w:rPr>
                <w:sz w:val="20"/>
                <w:szCs w:val="20"/>
                <w:color w:val="auto"/>
              </w:rPr>
            </w:pPr>
            <w:r>
              <w:rPr>
                <w:rFonts w:ascii="Arial" w:cs="Arial" w:eastAsia="Arial" w:hAnsi="Arial"/>
                <w:sz w:val="36"/>
                <w:szCs w:val="36"/>
                <w:color w:val="auto"/>
                <w:vertAlign w:val="subscript"/>
              </w:rPr>
              <w:t>N/A</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458"/>
        </w:trPr>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 xml:space="preserve">Discounted cash flow </w:t>
            </w:r>
            <w:r>
              <w:rPr>
                <w:rFonts w:ascii="Arial" w:cs="Arial" w:eastAsia="Arial" w:hAnsi="Arial"/>
                <w:sz w:val="30"/>
                <w:szCs w:val="30"/>
                <w:color w:val="auto"/>
                <w:w w:val="88"/>
                <w:vertAlign w:val="superscript"/>
              </w:rPr>
              <w:t>(3)</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 xml:space="preserve">Discount rate </w:t>
            </w:r>
            <w:r>
              <w:rPr>
                <w:rFonts w:ascii="Arial" w:cs="Arial" w:eastAsia="Arial" w:hAnsi="Arial"/>
                <w:sz w:val="30"/>
                <w:szCs w:val="30"/>
                <w:color w:val="auto"/>
                <w:w w:val="88"/>
                <w:vertAlign w:val="superscript"/>
              </w:rPr>
              <w:t>(3)</w:t>
            </w:r>
          </w:p>
        </w:tc>
        <w:tc>
          <w:tcPr>
            <w:tcW w:w="2260" w:type="dxa"/>
            <w:vAlign w:val="bottom"/>
          </w:tcPr>
          <w:p>
            <w:pPr>
              <w:spacing w:after="0"/>
              <w:rPr>
                <w:sz w:val="20"/>
                <w:szCs w:val="20"/>
                <w:color w:val="auto"/>
              </w:rPr>
            </w:pPr>
            <w:r>
              <w:rPr>
                <w:rFonts w:ascii="Arial" w:cs="Arial" w:eastAsia="Arial" w:hAnsi="Arial"/>
                <w:sz w:val="18"/>
                <w:szCs w:val="18"/>
                <w:color w:val="auto"/>
              </w:rPr>
              <w:t>14.1%-17.0% / 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-2340610</wp:posOffset>
            </wp:positionH>
            <wp:positionV relativeFrom="paragraph">
              <wp:posOffset>-1054100</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-2340610</wp:posOffset>
            </wp:positionH>
            <wp:positionV relativeFrom="paragraph">
              <wp:posOffset>-753745</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-2340610</wp:posOffset>
            </wp:positionH>
            <wp:positionV relativeFrom="paragraph">
              <wp:posOffset>-427990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-2340610</wp:posOffset>
            </wp:positionH>
            <wp:positionV relativeFrom="paragraph">
              <wp:posOffset>-8255</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9" w:lineRule="exact"/>
        <w:rPr>
          <w:sz w:val="20"/>
          <w:szCs w:val="20"/>
          <w:color w:val="auto"/>
        </w:rPr>
      </w:pPr>
    </w:p>
    <w:p>
      <w:pPr>
        <w:ind w:left="1225" w:hanging="1225"/>
        <w:spacing w:after="0"/>
        <w:tabs>
          <w:tab w:leader="none" w:pos="1225" w:val="left"/>
        </w:tabs>
        <w:numPr>
          <w:ilvl w:val="0"/>
          <w:numId w:val="2"/>
        </w:numPr>
        <w:rPr>
          <w:rFonts w:ascii="Arial" w:cs="Arial" w:eastAsia="Arial" w:hAnsi="Arial"/>
          <w:sz w:val="18"/>
          <w:szCs w:val="18"/>
          <w:color w:val="auto"/>
        </w:rPr>
      </w:pPr>
      <w:r>
        <w:rPr>
          <w:rFonts w:ascii="Arial" w:cs="Arial" w:eastAsia="Arial" w:hAnsi="Arial"/>
          <w:sz w:val="18"/>
          <w:szCs w:val="18"/>
          <w:color w:val="auto"/>
        </w:rPr>
        <w:t>263.6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29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0293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-2340610</wp:posOffset>
            </wp:positionH>
            <wp:positionV relativeFrom="paragraph">
              <wp:posOffset>469265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420" w:space="275"/>
            <w:col w:w="7725"/>
          </w:cols>
          <w:pgMar w:left="240" w:top="908"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 (continued)</w:t>
      </w:r>
    </w:p>
    <w:p>
      <w:pPr>
        <w:spacing w:after="0" w:line="229" w:lineRule="exact"/>
        <w:rPr>
          <w:sz w:val="20"/>
          <w:szCs w:val="20"/>
          <w:color w:val="auto"/>
        </w:rPr>
      </w:pPr>
    </w:p>
    <w:p>
      <w:pPr>
        <w:ind w:left="660" w:right="20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Fund generally uses non-binding indicative bid prices (“NBIB”) provided by an independent pricing service or broker on or near the valuation date as the primary basis for the fair value determinations for CLO debt and equity investments, which may be adjusted for pending equity distributions as of valuation date. These bid prices are non-binding, and may not be determinative of fair value. Each bid price is evaluated by the Board of Directors in conjunction with additional information compiled by OXLC Management, including performance and covenant compliance information as provided by the independent trustee.</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single investment fair value position, and therefore the range/weighted average is not applicable.</w:t>
      </w:r>
    </w:p>
    <w:p>
      <w:pPr>
        <w:spacing w:after="0" w:line="9" w:lineRule="exact"/>
        <w:rPr>
          <w:rFonts w:ascii="Arial" w:cs="Arial" w:eastAsia="Arial" w:hAnsi="Arial"/>
          <w:sz w:val="18"/>
          <w:szCs w:val="18"/>
          <w:color w:val="auto"/>
        </w:rPr>
      </w:pPr>
    </w:p>
    <w:p>
      <w:pPr>
        <w:ind w:left="660" w:right="1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Fund will calculate the fair value of certain CLO equity investments based upon the net present value of expected contractual payment streams discounted using estimated market yields for the equity tranche of the respective CLO vehicle. Oxford Lane will also consider those investments in which the record date for an equity distribution payment falls on the last day of the period, and the likelihood that a prospective purchaser would require an adjustment to the transaction price representing substantially all of the pending distribution.</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Weighted averages are calculated based on fair value of investments.</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Significant increases or decreases in any of the unobservable inputs in isolation may result in a significantly lower or higher fair value measurement.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securitization vehicles and equity investments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Income from securitization vehicles and equity investments in the equity class securities of CLO vehicles (typically income notes, subordinated notes or preference shares) is recorded using the effective interest method in accordance with the provisions of ASC 325-40, </w:t>
      </w:r>
      <w:r>
        <w:rPr>
          <w:rFonts w:ascii="Arial" w:cs="Arial" w:eastAsia="Arial" w:hAnsi="Arial"/>
          <w:sz w:val="18"/>
          <w:szCs w:val="18"/>
          <w:i w:val="1"/>
          <w:iCs w:val="1"/>
          <w:color w:val="auto"/>
        </w:rPr>
        <w:t>Beneficial Interests in</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Securitized Financial Assets</w:t>
      </w:r>
      <w:r>
        <w:rPr>
          <w:rFonts w:ascii="Arial" w:cs="Arial" w:eastAsia="Arial" w:hAnsi="Arial"/>
          <w:sz w:val="18"/>
          <w:szCs w:val="18"/>
          <w:color w:val="auto"/>
        </w:rPr>
        <w:t>, based upon a calculation of the effective yield to the expected redemption date based on an estimate of future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those CLO equity investments that have not made their inaugural distribution for the relevant period end. The Fund monitors the expected residual payments, and effective yield is determined and updated quarterly, as needed. Accordingly, investment income recognized on CLO equity securities in the GAAP statement of operations differs from both the tax-basis investment income and from the cash distributions actually received by the Fund during the period.</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Fund also records income on its investments in CLO warehouse facilities based on a stated rate per the underlying note purchase agreement or an estimated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 Debt Investments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income is recorded on an accrual basis using the contractual rate applicable to each debt investment and includes the accretion of discounts and amortization of premiums. Discounts from and premiums to par value on securities purchased are accreted/amortized into interest income over the life of the respective security using the effective interest method. The amortized cost of investments represents the original cost adjusted for the accretion of discounts and amortization of premiums, if any.</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Generally, when interest and/or principal payments on a loan become past due, or if the Fund otherwise does not expect the borrower to be able to service its debt and other obligations, the Fund will place the loan on non-accrual status and will generally cease recognizing interest income on that loan for financial reporting purposes until all principal and interest have been brought current through payment or due to restructuring such that the interest income is deemed to be collectible. The Fund generally restores non-accrual loans to accrual status when past due principal and interest is paid and, in the Fund’s judgment, the payments are likely to remain current. As of June 30, 2016, the Fund had no non-accrual assets held in its portfolio.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Other income includes distributions from CLO M notes, CLO subordinated fee notes, Other CLO equity related investments, and success fees associated with portfolio investments. Distributions from CLO M notes, CLO subordinated fee notes, and Other CLO equity related investments are an enhancement to the return on a CLO equity investment and are a rebate on a portion of the collateral manager’s fees, and are recorded as other income when earned. The Fund may also earn success fees associated with its investments in CLO warehouse facilities, which are contingent upon a take-out of the warehouse by a permanent CLO structure; such fees are earned and recognized when the take-out is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OXFORD LANE CAPITAL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U.S. FEDERAL INCOME TAXES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Fund intends to operate so as to qualify to be taxed as a RIC under Subchapter M of the U.S. Tax Code (the “Code”) and, as such, to not be subject to U.S. federal income tax on the portion of its taxable income and gains distributed to stockholders. To be subject to pass-through tax treatment as a RIC, OXLC is required to distribute at least 90% of its investment company taxable income annually, meet asset diversification requirements quarterly and file Form 1120-RIC, as defined by the Code.</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follow the provisions under the authoritative guidance on accounting for and disclosure of uncertainty in tax positions. The provisions require us to determine whether a tax position is more likely than not to be sustained upon examination, including resolution of any related appeals or litigation processes, based on the technical merits of the position. For tax positions not meeting the more likely than not threshold, the tax amount recognized in the financial statements is reduced by the largest benefit that has a greater than fifty percent likelihood of being realized upon ultimate settlement with the relevant taxing authority. There are no unrecognized tax benefits or obligations in the accompanying financial statements. Although we file U.S. federal and state tax returns, our major tax jurisdiction is U.S. federal. Our U.S. federal tax years from 2013 through 2016 remain subject to examination by taxing authorities.</w:t>
      </w:r>
    </w:p>
    <w:p>
      <w:pPr>
        <w:spacing w:after="0" w:line="189" w:lineRule="exact"/>
        <w:rPr>
          <w:sz w:val="20"/>
          <w:szCs w:val="20"/>
          <w:color w:val="auto"/>
        </w:rPr>
      </w:pPr>
    </w:p>
    <w:p>
      <w:pPr>
        <w:jc w:val="both"/>
        <w:ind w:right="260" w:firstLine="648"/>
        <w:spacing w:after="0" w:line="302" w:lineRule="auto"/>
        <w:rPr>
          <w:sz w:val="20"/>
          <w:szCs w:val="20"/>
          <w:color w:val="auto"/>
        </w:rPr>
      </w:pPr>
      <w:r>
        <w:rPr>
          <w:rFonts w:ascii="Arial" w:cs="Arial" w:eastAsia="Arial" w:hAnsi="Arial"/>
          <w:sz w:val="16"/>
          <w:szCs w:val="16"/>
          <w:color w:val="auto"/>
        </w:rPr>
        <w:t>Because U.S. federal income tax regulations differ from accounting principles generally accepted in the United States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w:t>
      </w:r>
    </w:p>
    <w:p>
      <w:pPr>
        <w:spacing w:after="0" w:line="154"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Differences between distributions and net investment income may also result from the treatment of short-term gains as ordinary income for tax purposes. Our distribution policy is based upon our estimate of our distributable net investment income, which includes actual distributions from our CLO equity class investments, with further consideration given to our realized gains or losses on a taxable basis.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w w:val="97"/>
              </w:rPr>
              <w:t>As of June 30, 2016, the cost and net unrealized depreciation of securities on a tax basis were as follows: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0" w:type="dxa"/>
            <w:vAlign w:val="bottom"/>
            <w:vMerge w:val="continue"/>
          </w:tcPr>
          <w:p>
            <w:pPr>
              <w:spacing w:after="0"/>
              <w:rPr>
                <w:sz w:val="21"/>
                <w:szCs w:val="21"/>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Cost for federal income tax purposes</w:t>
            </w: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351,300,711</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8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Gross unrealized appreciation</w:t>
            </w:r>
          </w:p>
        </w:tc>
        <w:tc>
          <w:tcPr>
            <w:tcW w:w="64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 w:type="dxa"/>
            <w:vAlign w:val="bottom"/>
            <w:vMerge w:val="continue"/>
          </w:tcPr>
          <w:p>
            <w:pPr>
              <w:spacing w:after="0"/>
              <w:rPr>
                <w:sz w:val="17"/>
                <w:szCs w:val="17"/>
                <w:color w:val="auto"/>
              </w:rPr>
            </w:pPr>
          </w:p>
        </w:tc>
        <w:tc>
          <w:tcPr>
            <w:tcW w:w="84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8,585,337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vMerge w:val="continue"/>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Gross unrealized depreciation</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(96,306,456)</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depreciation</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(87,721,119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2. Controls and Procedures.</w:t>
      </w:r>
    </w:p>
    <w:p>
      <w:pPr>
        <w:spacing w:after="0" w:line="229" w:lineRule="exact"/>
        <w:rPr>
          <w:sz w:val="20"/>
          <w:szCs w:val="20"/>
          <w:color w:val="auto"/>
        </w:rPr>
      </w:pPr>
    </w:p>
    <w:p>
      <w:pPr>
        <w:ind w:firstLine="278"/>
        <w:spacing w:after="0" w:line="293" w:lineRule="auto"/>
        <w:tabs>
          <w:tab w:leader="none" w:pos="695"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an evaluation of the Disclosure Controls and Procedures (as defined in Rule 30a-3(c) under the Investment Company Act of 1940, the “Disclosure Controls”) as of a date within 90 days prior to the filing date (the “Filing Date”) of this Form N-Q (the “Report”), the Chief Executive Officer (its principal executive officer) and Chief Financial Officer (its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164" w:lineRule="exact"/>
        <w:rPr>
          <w:rFonts w:ascii="Arial" w:cs="Arial" w:eastAsia="Arial" w:hAnsi="Arial"/>
          <w:sz w:val="16"/>
          <w:szCs w:val="16"/>
          <w:color w:val="auto"/>
        </w:rPr>
      </w:pPr>
    </w:p>
    <w:p>
      <w:pPr>
        <w:ind w:right="140" w:firstLine="278"/>
        <w:spacing w:after="0" w:line="264" w:lineRule="auto"/>
        <w:tabs>
          <w:tab w:leader="none" w:pos="65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were no changes in the Registrant’s internal control over financial reporting (as defined in Rule 30a-3(d) under the Investment Company Act of 1940) that occurred during the Registrant’s last fiscal quarter that have materially affected or are reasonably likely to materially affect the Registrant’s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Certifications of principal executive officer and principal financial officer as required by Rule 30a-2(a)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and the Investment Company Act of 1940,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OXFORD LANE CAPITAL CORP.</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H. Cohen</w:t>
            </w:r>
          </w:p>
        </w:tc>
      </w:tr>
      <w:tr>
        <w:trPr>
          <w:trHeight w:val="195"/>
        </w:trPr>
        <w:tc>
          <w:tcPr>
            <w:tcW w:w="540" w:type="dxa"/>
            <w:vAlign w:val="bottom"/>
          </w:tcPr>
          <w:p>
            <w:pPr>
              <w:spacing w:after="0"/>
              <w:rPr>
                <w:sz w:val="16"/>
                <w:szCs w:val="16"/>
                <w:color w:val="auto"/>
              </w:rPr>
            </w:pPr>
          </w:p>
        </w:tc>
        <w:tc>
          <w:tcPr>
            <w:tcW w:w="3240" w:type="dxa"/>
            <w:vAlign w:val="bottom"/>
          </w:tcPr>
          <w:p>
            <w:pPr>
              <w:spacing w:after="0" w:line="195" w:lineRule="exact"/>
              <w:rPr>
                <w:sz w:val="20"/>
                <w:szCs w:val="20"/>
                <w:color w:val="auto"/>
              </w:rPr>
            </w:pPr>
            <w:r>
              <w:rPr>
                <w:rFonts w:ascii="Arial" w:cs="Arial" w:eastAsia="Arial" w:hAnsi="Arial"/>
                <w:sz w:val="18"/>
                <w:szCs w:val="18"/>
                <w:color w:val="auto"/>
              </w:rPr>
              <w:t>Name: Jonathan H. Cohen</w:t>
            </w:r>
          </w:p>
        </w:tc>
      </w:tr>
      <w:tr>
        <w:trPr>
          <w:trHeight w:val="230"/>
        </w:trPr>
        <w:tc>
          <w:tcPr>
            <w:tcW w:w="54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432"/>
        </w:trPr>
        <w:tc>
          <w:tcPr>
            <w:tcW w:w="54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Date: August 12, 2016</w:t>
            </w: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and the Investment Company Act of 1940,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ind w:left="340"/>
              <w:spacing w:after="0"/>
              <w:rPr>
                <w:sz w:val="20"/>
                <w:szCs w:val="20"/>
                <w:color w:val="auto"/>
              </w:rPr>
            </w:pPr>
            <w:r>
              <w:rPr>
                <w:rFonts w:ascii="Arial" w:cs="Arial" w:eastAsia="Arial" w:hAnsi="Arial"/>
                <w:sz w:val="18"/>
                <w:szCs w:val="18"/>
                <w:color w:val="auto"/>
              </w:rPr>
              <w:t>By:   /s/ Jonathan H. Cohen</w:t>
            </w:r>
          </w:p>
        </w:tc>
        <w:tc>
          <w:tcPr>
            <w:tcW w:w="6680" w:type="dxa"/>
            <w:vAlign w:val="bottom"/>
            <w:gridSpan w:val="2"/>
          </w:tcPr>
          <w:p>
            <w:pPr>
              <w:ind w:left="3080"/>
              <w:spacing w:after="0"/>
              <w:rPr>
                <w:sz w:val="20"/>
                <w:szCs w:val="20"/>
                <w:color w:val="auto"/>
              </w:rPr>
            </w:pPr>
            <w:r>
              <w:rPr>
                <w:rFonts w:ascii="Arial" w:cs="Arial" w:eastAsia="Arial" w:hAnsi="Arial"/>
                <w:sz w:val="18"/>
                <w:szCs w:val="18"/>
                <w:color w:val="auto"/>
              </w:rPr>
              <w:t>By:   /s/ Bruce L. Rubin</w:t>
            </w:r>
          </w:p>
        </w:tc>
        <w:tc>
          <w:tcPr>
            <w:tcW w:w="820" w:type="dxa"/>
            <w:vAlign w:val="bottom"/>
          </w:tcPr>
          <w:p>
            <w:pPr>
              <w:spacing w:after="0"/>
              <w:rPr>
                <w:sz w:val="20"/>
                <w:szCs w:val="20"/>
                <w:color w:val="auto"/>
              </w:rPr>
            </w:pPr>
          </w:p>
        </w:tc>
      </w:tr>
      <w:tr>
        <w:trPr>
          <w:trHeight w:val="195"/>
        </w:trPr>
        <w:tc>
          <w:tcPr>
            <w:tcW w:w="84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Jonathan H. Cohen</w:t>
            </w:r>
          </w:p>
        </w:tc>
        <w:tc>
          <w:tcPr>
            <w:tcW w:w="360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Bruce L. Rubin</w:t>
            </w:r>
          </w:p>
        </w:tc>
        <w:tc>
          <w:tcPr>
            <w:tcW w:w="820" w:type="dxa"/>
            <w:vAlign w:val="bottom"/>
          </w:tcPr>
          <w:p>
            <w:pPr>
              <w:spacing w:after="0"/>
              <w:rPr>
                <w:sz w:val="16"/>
                <w:szCs w:val="16"/>
                <w:color w:val="auto"/>
              </w:rPr>
            </w:pPr>
          </w:p>
        </w:tc>
      </w:tr>
      <w:tr>
        <w:trPr>
          <w:trHeight w:val="216"/>
        </w:trPr>
        <w:tc>
          <w:tcPr>
            <w:tcW w:w="8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36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Title: Chief Financial Officer</w:t>
            </w:r>
          </w:p>
        </w:tc>
        <w:tc>
          <w:tcPr>
            <w:tcW w:w="82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3080" w:type="dxa"/>
            <w:vAlign w:val="bottom"/>
          </w:tcPr>
          <w:p>
            <w:pPr>
              <w:ind w:left="420"/>
              <w:spacing w:after="0"/>
              <w:rPr>
                <w:sz w:val="20"/>
                <w:szCs w:val="20"/>
                <w:color w:val="auto"/>
              </w:rPr>
            </w:pPr>
            <w:r>
              <w:rPr>
                <w:rFonts w:ascii="Arial" w:cs="Arial" w:eastAsia="Arial" w:hAnsi="Arial"/>
                <w:sz w:val="18"/>
                <w:szCs w:val="18"/>
                <w:color w:val="auto"/>
              </w:rPr>
              <w:t>(Principal Executive Officer)</w:t>
            </w:r>
          </w:p>
        </w:tc>
        <w:tc>
          <w:tcPr>
            <w:tcW w:w="3600" w:type="dxa"/>
            <w:vAlign w:val="bottom"/>
          </w:tcPr>
          <w:p>
            <w:pPr>
              <w:spacing w:after="0"/>
              <w:rPr>
                <w:sz w:val="20"/>
                <w:szCs w:val="20"/>
                <w:color w:val="auto"/>
              </w:rPr>
            </w:pPr>
          </w:p>
        </w:tc>
        <w:tc>
          <w:tcPr>
            <w:tcW w:w="3080" w:type="dxa"/>
            <w:vAlign w:val="bottom"/>
          </w:tcPr>
          <w:p>
            <w:pPr>
              <w:ind w:left="420"/>
              <w:spacing w:after="0"/>
              <w:rPr>
                <w:sz w:val="20"/>
                <w:szCs w:val="20"/>
                <w:color w:val="auto"/>
              </w:rPr>
            </w:pPr>
            <w:r>
              <w:rPr>
                <w:rFonts w:ascii="Arial" w:cs="Arial" w:eastAsia="Arial" w:hAnsi="Arial"/>
                <w:sz w:val="18"/>
                <w:szCs w:val="18"/>
                <w:color w:val="auto"/>
              </w:rPr>
              <w:t>(Principal Financial Officer)</w:t>
            </w:r>
          </w:p>
        </w:tc>
        <w:tc>
          <w:tcPr>
            <w:tcW w:w="82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Date: August 12, 2016</w:t>
            </w:r>
          </w:p>
        </w:tc>
        <w:tc>
          <w:tcPr>
            <w:tcW w:w="36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Date: August 12, 2016</w:t>
            </w:r>
          </w:p>
        </w:tc>
        <w:tc>
          <w:tcPr>
            <w:tcW w:w="820" w:type="dxa"/>
            <w:vAlign w:val="bottom"/>
          </w:tcPr>
          <w:p>
            <w:pPr>
              <w:spacing w:after="0"/>
              <w:rPr>
                <w:sz w:val="24"/>
                <w:szCs w:val="24"/>
                <w:color w:val="auto"/>
              </w:rPr>
            </w:pPr>
          </w:p>
        </w:tc>
      </w:tr>
      <w:tr>
        <w:trPr>
          <w:trHeight w:val="675"/>
        </w:trPr>
        <w:tc>
          <w:tcPr>
            <w:tcW w:w="8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99.Cert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12(a)(2)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30a-2(a)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H. Cohen, Chief Executive Officer of Oxford Lane Capital Corp., certify that:</w:t>
      </w:r>
    </w:p>
    <w:p>
      <w:pPr>
        <w:spacing w:after="0" w:line="225"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report on Form N-Q of Oxford Lane Capital Corp.;</w:t>
      </w:r>
    </w:p>
    <w:p>
      <w:pPr>
        <w:spacing w:after="0" w:line="225"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schedules of investments included in this report, fairly present in all material respects the investments of the registrant as of the end of the fiscal quarter for which the report is filed;</w:t>
      </w:r>
    </w:p>
    <w:p>
      <w:pPr>
        <w:spacing w:after="0" w:line="170" w:lineRule="exact"/>
        <w:rPr>
          <w:rFonts w:ascii="Arial" w:cs="Arial" w:eastAsia="Arial" w:hAnsi="Arial"/>
          <w:sz w:val="18"/>
          <w:szCs w:val="18"/>
          <w:color w:val="auto"/>
        </w:rPr>
      </w:pPr>
    </w:p>
    <w:p>
      <w:pPr>
        <w:jc w:val="both"/>
        <w:ind w:left="900" w:right="240" w:hanging="446"/>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81" w:lineRule="exact"/>
        <w:rPr>
          <w:rFonts w:ascii="Arial" w:cs="Arial" w:eastAsia="Arial" w:hAnsi="Arial"/>
          <w:sz w:val="18"/>
          <w:szCs w:val="18"/>
          <w:color w:val="auto"/>
        </w:rPr>
      </w:pPr>
    </w:p>
    <w:p>
      <w:pPr>
        <w:ind w:left="1360" w:right="80" w:hanging="447"/>
        <w:spacing w:after="0" w:line="264"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60" w:right="380" w:hanging="447"/>
        <w:spacing w:after="0" w:line="264"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81" w:lineRule="exact"/>
        <w:rPr>
          <w:rFonts w:ascii="Arial" w:cs="Arial" w:eastAsia="Arial" w:hAnsi="Arial"/>
          <w:sz w:val="18"/>
          <w:szCs w:val="18"/>
          <w:color w:val="auto"/>
        </w:rPr>
      </w:pPr>
    </w:p>
    <w:p>
      <w:pPr>
        <w:ind w:left="1360" w:right="200" w:hanging="447"/>
        <w:spacing w:after="0" w:line="264"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60" w:right="620" w:hanging="447"/>
        <w:spacing w:after="0" w:line="342" w:lineRule="auto"/>
        <w:tabs>
          <w:tab w:leader="none" w:pos="13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320" w:hanging="447"/>
        <w:spacing w:after="0" w:line="277"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12th day of August,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H. COHEN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Exhibit 12(a)(2)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Rule 30a-2(a)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Bruce L. Rubin, Chief Financial Officer of Oxford Lane Capital Corp., certify that:</w:t>
      </w:r>
    </w:p>
    <w:p>
      <w:pPr>
        <w:spacing w:after="0" w:line="225"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report on Form N-Q of Oxford Lane Capital Corp.;</w:t>
      </w:r>
    </w:p>
    <w:p>
      <w:pPr>
        <w:spacing w:after="0" w:line="225"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schedules of investments included in this report, fairly present in all material respects the investments of the registrant as of the end of the fiscal quarter for which the report is filed;</w:t>
      </w:r>
    </w:p>
    <w:p>
      <w:pPr>
        <w:spacing w:after="0" w:line="170" w:lineRule="exact"/>
        <w:rPr>
          <w:rFonts w:ascii="Arial" w:cs="Arial" w:eastAsia="Arial" w:hAnsi="Arial"/>
          <w:sz w:val="18"/>
          <w:szCs w:val="18"/>
          <w:color w:val="auto"/>
        </w:rPr>
      </w:pPr>
    </w:p>
    <w:p>
      <w:pPr>
        <w:jc w:val="both"/>
        <w:ind w:left="900" w:right="20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81"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120" w:hanging="447"/>
        <w:spacing w:after="0" w:line="264" w:lineRule="auto"/>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60" w:right="340" w:hanging="447"/>
        <w:spacing w:after="0" w:line="264" w:lineRule="auto"/>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181"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60" w:right="580" w:hanging="447"/>
        <w:spacing w:after="0" w:line="342" w:lineRule="auto"/>
        <w:tabs>
          <w:tab w:leader="none" w:pos="136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447"/>
        <w:spacing w:after="0" w:line="277" w:lineRule="auto"/>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12th day of August,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BRUCE 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t>Exhibit 99.906CERT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12(b)</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Rule 30a-2(b) Certification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Report on Form N-Q for the quarter ended June 30, 2016 (the “Report”) of Oxford Lane Capital Corp. (the “Registrant”), as filed with the Securities and Exchange Commission on the date hereof, I, Jonathan H. Cohen, the Chief Executive Officer of the Registrant,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80" w:right="6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JONATHAN H. COHEN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13" w:name="page14"/>
    <w:bookmarkEnd w:id="13"/>
    <w:p>
      <w:pPr>
        <w:jc w:val="center"/>
        <w:ind w:right="-139"/>
        <w:spacing w:after="0"/>
        <w:rPr>
          <w:sz w:val="20"/>
          <w:szCs w:val="20"/>
          <w:color w:val="auto"/>
        </w:rPr>
      </w:pPr>
      <w:r>
        <w:rPr>
          <w:rFonts w:ascii="Arial" w:cs="Arial" w:eastAsia="Arial" w:hAnsi="Arial"/>
          <w:sz w:val="18"/>
          <w:szCs w:val="18"/>
          <w:b w:val="1"/>
          <w:bCs w:val="1"/>
          <w:color w:val="auto"/>
        </w:rPr>
        <w:t>Exhibit 12(b)</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Rule 30a-2(b) Certification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Report on Form N-Q for the quarter ended June 30, 2016 (the “Report”) of Oxford Lane Capital Corp. (the “Registrant”), as filed with the Securities and Exchange Commission on the date hereof, I, Bruce L. Rubin, the Chief Financial Officer of the Registrant,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80" w:right="64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BRUCE L. RUBIN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80"/>
      </w:cols>
      <w:pgMar w:left="24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2020-01-21T02:05:27Z</dcterms:created>
  <dcterms:modified xsi:type="dcterms:W3CDTF">2020-01-21T02:05:27Z</dcterms:modified>
</cp:coreProperties>
</file>