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0" w:after="283"/>
        <w:ind w:left="0" w:right="0" w:hanging="0"/>
        <w:jc w:val="center"/>
        <w:rPr>
          <w:caps w:val="false"/>
          <w:smallCaps w:val="false"/>
          <w:bdr w:val="double" w:sz="16" w:space="4" w:color="000000"/>
        </w:rPr>
      </w:pPr>
      <w:bookmarkStart w:id="0" w:name="ea0261739-01_ncsrs.htm"/>
      <w:bookmarkStart w:id="1" w:name="ksea026173901_ncsrs"/>
      <w:bookmarkEnd w:id="0"/>
      <w:bookmarkEnd w:id="1"/>
      <w:r>
        <w:rPr>
          <w:caps w:val="false"/>
          <w:smallCaps w:val="false"/>
          <w:bdr w:val="double" w:sz="16" w:space="4" w:color="000000"/>
        </w:rPr>
        <w:t> </w:t>
      </w:r>
    </w:p>
    <w:p>
      <w:pPr>
        <w:pStyle w:val="TextBody"/>
        <w:keepNext w:val="true"/>
        <w:pageBreakBefore w:val="false"/>
        <w:widowControl/>
        <w:pBdr/>
        <w:bidi w:val="0"/>
        <w:spacing w:before="7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3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N-CSR</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4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CERTIFIED SHAREHOLDER REPORT OF REGISTERED MANAGEMENT</w:t>
        <w:br/>
        <w:t>INVESTMENT COMPANIES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Company Act file number 811-22432</w:t>
      </w:r>
    </w:p>
    <w:p>
      <w:pPr>
        <w:pStyle w:val="TextBody"/>
        <w:keepNext w:val="true"/>
        <w:pageBreakBefore w:val="false"/>
        <w:widowControl/>
        <w:pBdr/>
        <w:bidi w:val="0"/>
        <w:spacing w:before="29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4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Oxford Lane Capital Corp.</w:t>
        <w:br/>
      </w:r>
      <w:r>
        <w:rPr>
          <w:rFonts w:ascii="Times New Roman PS Std;serif" w:hAnsi="Times New Roman PS Std;serif"/>
          <w:b w:val="false"/>
          <w:i w:val="false"/>
          <w:caps w:val="false"/>
          <w:smallCaps w:val="false"/>
          <w:sz w:val="20"/>
        </w:rPr>
        <w:t>(Exact name of registrant as specified in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br/>
        <w:t>Greenwich, CT 06830</w:t>
        <w:br/>
      </w:r>
      <w:r>
        <w:rPr>
          <w:rFonts w:ascii="Times New Roman PS Std;serif" w:hAnsi="Times New Roman PS Std;serif"/>
          <w:b w:val="false"/>
          <w:i w:val="false"/>
          <w:caps w:val="false"/>
          <w:smallCaps w:val="false"/>
          <w:sz w:val="20"/>
        </w:rPr>
        <w:t>(Address of principal executive offices)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br/>
        <w:t>Chief Executive Officer</w:t>
        <w:br/>
        <w:t>Oxford Lane Capital Corp.</w:t>
        <w:br/>
        <w:t>8 Sound Shore Drive, Suite 255</w:t>
        <w:br/>
        <w:t>Greenwich, CT 06830</w:t>
        <w:br/>
      </w:r>
      <w:r>
        <w:rPr>
          <w:rFonts w:ascii="Times New Roman PS Std;serif" w:hAnsi="Times New Roman PS Std;serif"/>
          <w:b w:val="false"/>
          <w:i w:val="false"/>
          <w:caps w:val="false"/>
          <w:smallCaps w:val="false"/>
          <w:sz w:val="20"/>
        </w:rPr>
        <w:t>(Name and address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true"/>
        <w:pageBreakBefore w:val="false"/>
        <w:widowControl/>
        <w:pBdr/>
        <w:bidi w:val="0"/>
        <w:spacing w:before="5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Registrant’s telephone number, including area code: (203) 983-5275</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of fiscal year end: March 31</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of reporting period: September 30, 2025</w:t>
      </w:r>
    </w:p>
    <w:p>
      <w:pPr>
        <w:pStyle w:val="TextBody"/>
        <w:keepNext w:val="true"/>
        <w:pageBreakBefore w:val="false"/>
        <w:widowControl/>
        <w:pBdr/>
        <w:bidi w:val="0"/>
        <w:spacing w:before="72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 Reports to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semi-annual report to stockholders for the six months ended September 30, 2025 is filed herewith pursuant to Rule 30e-1 under the Investment Company Act of 1940.</w:t>
      </w:r>
    </w:p>
    <w:p>
      <w:pPr>
        <w:pStyle w:val="TextBody"/>
        <w:keepNext w:val="false"/>
        <w:pageBreakBefore w:val="false"/>
        <w:widowControl/>
        <w:pBdr/>
        <w:bidi w:val="0"/>
        <w:spacing w:before="15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Oxford Lane Capital Corp.</w:t>
      </w:r>
    </w:p>
    <w:p>
      <w:pPr>
        <w:pStyle w:val="TextBody"/>
        <w:keepNext w:val="false"/>
        <w:pageBreakBefore w:val="false"/>
        <w:widowControl/>
        <w:pBdr/>
        <w:bidi w:val="0"/>
        <w:spacing w:before="15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Semi-Annual Report</w:t>
      </w:r>
    </w:p>
    <w:p>
      <w:pPr>
        <w:pStyle w:val="TextBody"/>
        <w:keepNext w:val="false"/>
        <w:pageBreakBefore w:val="false"/>
        <w:widowControl/>
        <w:pBdr/>
        <w:bidi w:val="0"/>
        <w:spacing w:before="15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September 30, 2025</w:t>
      </w:r>
    </w:p>
    <w:p>
      <w:pPr>
        <w:pStyle w:val="TextBody"/>
        <w:keepNext w:val="false"/>
        <w:pageBreakBefore w:val="false"/>
        <w:widowControl/>
        <w:pBdr/>
        <w:bidi w:val="0"/>
        <w:spacing w:before="4800" w:after="283"/>
        <w:jc w:val="left"/>
        <w:rPr>
          <w:rFonts w:ascii="Times New Roman PS Std;serif" w:hAnsi="Times New Roman PS Std;serif"/>
          <w:b/>
          <w:i/>
          <w:caps w:val="false"/>
          <w:smallCaps w:val="false"/>
          <w:sz w:val="24"/>
        </w:rPr>
      </w:pPr>
      <w:r>
        <w:rPr>
          <w:rFonts w:ascii="Times New Roman PS Std;serif" w:hAnsi="Times New Roman PS Std;serif"/>
          <w:b/>
          <w:i/>
          <w:caps w:val="false"/>
          <w:smallCaps w:val="false"/>
          <w:sz w:val="24"/>
        </w:rPr>
        <w:t>oxfordlanecapital.com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8188" w:type="dxa"/>
        <w:jc w:val="left"/>
        <w:tblInd w:w="0" w:type="dxa"/>
        <w:tblLayout w:type="fixed"/>
        <w:tblCellMar>
          <w:top w:w="0" w:type="dxa"/>
          <w:left w:w="0" w:type="dxa"/>
          <w:bottom w:w="0" w:type="dxa"/>
          <w:right w:w="0" w:type="dxa"/>
        </w:tblCellMar>
      </w:tblPr>
      <w:tblGrid>
        <w:gridCol w:w="7381"/>
        <w:gridCol w:w="146"/>
        <w:gridCol w:w="661"/>
      </w:tblGrid>
      <w:tr>
        <w:trPr/>
        <w:tc>
          <w:tcPr>
            <w:tcW w:w="73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00">
              <w:r>
                <w:rPr>
                  <w:rStyle w:val="InternetLink"/>
                  <w:rFonts w:ascii="Times New Roman PS Std;serif" w:hAnsi="Times New Roman PS Std;serif"/>
                  <w:b w:val="false"/>
                  <w:i w:val="false"/>
                  <w:caps w:val="false"/>
                  <w:smallCaps w:val="false"/>
                  <w:sz w:val="20"/>
                </w:rPr>
                <w:t>Letter to Stockholders and Management’s Discussion of Fund Performance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01">
              <w:r>
                <w:rPr>
                  <w:rStyle w:val="InternetLink"/>
                  <w:rFonts w:ascii="Times New Roman PS Std;serif" w:hAnsi="Times New Roman PS Std;serif"/>
                  <w:b w:val="false"/>
                  <w:i w:val="false"/>
                  <w:caps w:val="false"/>
                  <w:smallCaps w:val="false"/>
                  <w:sz w:val="20"/>
                </w:rPr>
                <w:t>Important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02">
              <w:r>
                <w:rPr>
                  <w:rStyle w:val="InternetLink"/>
                  <w:rFonts w:ascii="Times New Roman PS Std;serif" w:hAnsi="Times New Roman PS Std;serif"/>
                  <w:b w:val="false"/>
                  <w:i w:val="false"/>
                  <w:caps w:val="false"/>
                  <w:smallCaps w:val="false"/>
                  <w:sz w:val="20"/>
                </w:rPr>
                <w:t>Top Ten Holdings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03">
              <w:r>
                <w:rPr>
                  <w:rStyle w:val="InternetLink"/>
                  <w:rFonts w:ascii="Times New Roman PS Std;serif" w:hAnsi="Times New Roman PS Std;serif"/>
                  <w:b w:val="false"/>
                  <w:i w:val="false"/>
                  <w:caps w:val="false"/>
                  <w:smallCaps w:val="false"/>
                  <w:sz w:val="20"/>
                </w:rPr>
                <w:t>Fees and Expenses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04">
              <w:r>
                <w:rPr>
                  <w:rStyle w:val="InternetLink"/>
                  <w:rFonts w:ascii="Times New Roman PS Std;serif" w:hAnsi="Times New Roman PS Std;serif"/>
                  <w:b w:val="false"/>
                  <w:i w:val="false"/>
                  <w:caps w:val="false"/>
                  <w:smallCaps w:val="false"/>
                  <w:sz w:val="20"/>
                </w:rPr>
                <w:t>Statement of Assets and Liabilities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05">
              <w:r>
                <w:rPr>
                  <w:rStyle w:val="InternetLink"/>
                  <w:rFonts w:ascii="Times New Roman PS Std;serif" w:hAnsi="Times New Roman PS Std;serif"/>
                  <w:b w:val="false"/>
                  <w:i w:val="false"/>
                  <w:caps w:val="false"/>
                  <w:smallCaps w:val="false"/>
                  <w:sz w:val="20"/>
                </w:rPr>
                <w:t>Schedule of Investments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06">
              <w:r>
                <w:rPr>
                  <w:rStyle w:val="InternetLink"/>
                  <w:rFonts w:ascii="Times New Roman PS Std;serif" w:hAnsi="Times New Roman PS Std;serif"/>
                  <w:b w:val="false"/>
                  <w:i w:val="false"/>
                  <w:caps w:val="false"/>
                  <w:smallCaps w:val="false"/>
                  <w:sz w:val="20"/>
                </w:rPr>
                <w:t>Statement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07">
              <w:r>
                <w:rPr>
                  <w:rStyle w:val="InternetLink"/>
                  <w:rFonts w:ascii="Times New Roman PS Std;serif" w:hAnsi="Times New Roman PS Std;serif"/>
                  <w:b w:val="false"/>
                  <w:i w:val="false"/>
                  <w:caps w:val="false"/>
                  <w:smallCaps w:val="false"/>
                  <w:sz w:val="20"/>
                </w:rPr>
                <w:t>Statements of Changes in Net Assets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08">
              <w:r>
                <w:rPr>
                  <w:rStyle w:val="InternetLink"/>
                  <w:rFonts w:ascii="Times New Roman PS Std;serif" w:hAnsi="Times New Roman PS Std;serif"/>
                  <w:b w:val="false"/>
                  <w:i w:val="false"/>
                  <w:caps w:val="false"/>
                  <w:smallCaps w:val="false"/>
                  <w:sz w:val="20"/>
                </w:rPr>
                <w:t>Statement of Cash Flows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09">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10">
              <w:r>
                <w:rPr>
                  <w:rStyle w:val="InternetLink"/>
                  <w:rFonts w:ascii="Times New Roman PS Std;serif" w:hAnsi="Times New Roman PS Std;serif"/>
                  <w:b w:val="false"/>
                  <w:i w:val="false"/>
                  <w:caps w:val="false"/>
                  <w:smallCaps w:val="false"/>
                  <w:sz w:val="20"/>
                </w:rPr>
                <w:t>Price Range of Common Stock</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11">
              <w:r>
                <w:rPr>
                  <w:rStyle w:val="InternetLink"/>
                  <w:rFonts w:ascii="Times New Roman PS Std;serif" w:hAnsi="Times New Roman PS Std;serif"/>
                  <w:b w:val="false"/>
                  <w:i w:val="false"/>
                  <w:caps w:val="false"/>
                  <w:smallCaps w:val="false"/>
                  <w:sz w:val="20"/>
                </w:rPr>
                <w:t>Distributions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12">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13">
              <w:r>
                <w:rPr>
                  <w:rStyle w:val="InternetLink"/>
                  <w:rFonts w:ascii="Times New Roman PS Std;serif" w:hAnsi="Times New Roman PS Std;serif"/>
                  <w:b w:val="false"/>
                  <w:i w:val="false"/>
                  <w:caps w:val="false"/>
                  <w:smallCaps w:val="false"/>
                  <w:sz w:val="20"/>
                </w:rPr>
                <w:t>Board Approval of the Investment Advisory Agreement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14">
              <w:r>
                <w:rPr>
                  <w:rStyle w:val="InternetLink"/>
                  <w:rFonts w:ascii="Times New Roman PS Std;serif" w:hAnsi="Times New Roman PS Std;serif"/>
                  <w:b w:val="false"/>
                  <w:i w:val="false"/>
                  <w:caps w:val="false"/>
                  <w:smallCaps w:val="false"/>
                  <w:sz w:val="20"/>
                </w:rPr>
                <w:t>Submission of Matters to a Vote of Stockholders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18">
              <w:r>
                <w:rPr>
                  <w:rStyle w:val="InternetLink"/>
                  <w:rFonts w:ascii="Times New Roman PS Std;serif" w:hAnsi="Times New Roman PS Std;serif"/>
                  <w:b w:val="false"/>
                  <w:i w:val="false"/>
                  <w:caps w:val="false"/>
                  <w:smallCaps w:val="false"/>
                  <w:sz w:val="20"/>
                </w:rPr>
                <w:t>Changes Occurring During the Reporting Period</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15">
              <w:r>
                <w:rPr>
                  <w:rStyle w:val="InternetLink"/>
                  <w:rFonts w:ascii="Times New Roman PS Std;serif" w:hAnsi="Times New Roman PS Std;serif"/>
                  <w:b w:val="false"/>
                  <w:i w:val="false"/>
                  <w:caps w:val="false"/>
                  <w:smallCaps w:val="false"/>
                  <w:sz w:val="20"/>
                </w:rPr>
                <w:t>Principal Risks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7381" w:type="dxa"/>
            <w:tcBorders/>
            <w:vAlign w:val="bottom"/>
          </w:tcPr>
          <w:p>
            <w:pPr>
              <w:pStyle w:val="TableContents"/>
              <w:keepNext w:val="false"/>
              <w:widowControl/>
              <w:pBdr/>
              <w:bidi w:val="0"/>
              <w:spacing w:before="0" w:after="283"/>
              <w:ind w:left="200" w:right="0" w:hanging="200"/>
              <w:jc w:val="left"/>
              <w:rPr/>
            </w:pPr>
            <w:hyperlink w:anchor="T99616">
              <w:r>
                <w:rPr>
                  <w:rStyle w:val="InternetLink"/>
                  <w:rFonts w:ascii="Times New Roman PS Std;serif" w:hAnsi="Times New Roman PS Std;serif"/>
                  <w:b w:val="false"/>
                  <w:i w:val="false"/>
                  <w:caps w:val="false"/>
                  <w:smallCaps w:val="false"/>
                  <w:sz w:val="20"/>
                </w:rPr>
                <w:t>Investment Objective, Opportunities and Strategies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7381" w:type="dxa"/>
            <w:tcBorders/>
            <w:shd w:fill="CCEEFF" w:val="clear"/>
            <w:vAlign w:val="bottom"/>
          </w:tcPr>
          <w:p>
            <w:pPr>
              <w:pStyle w:val="TableContents"/>
              <w:keepNext w:val="false"/>
              <w:widowControl/>
              <w:pBdr/>
              <w:bidi w:val="0"/>
              <w:spacing w:before="0" w:after="283"/>
              <w:ind w:left="200" w:right="0" w:hanging="200"/>
              <w:jc w:val="left"/>
              <w:rPr/>
            </w:pPr>
            <w:hyperlink w:anchor="T99617">
              <w:r>
                <w:rPr>
                  <w:rStyle w:val="InternetLink"/>
                  <w:rFonts w:ascii="Times New Roman PS Std;serif" w:hAnsi="Times New Roman PS Std;serif"/>
                  <w:b w:val="false"/>
                  <w:i w:val="false"/>
                  <w:caps w:val="false"/>
                  <w:smallCaps w:val="false"/>
                  <w:sz w:val="20"/>
                </w:rPr>
                <w:t>Additional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 w:name="T99600"/>
      <w:bookmarkEnd w:id="3"/>
      <w:r>
        <w:rPr>
          <w:rFonts w:ascii="Times New Roman PS Std;serif" w:hAnsi="Times New Roman PS Std;serif"/>
          <w:b/>
          <w:i w:val="false"/>
          <w:caps w:val="false"/>
          <w:smallCaps w:val="false"/>
          <w:sz w:val="20"/>
        </w:rPr>
        <w:t>Letter to Stockholders and Management’s Discussion of Fund Performance</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4, 2025</w:t>
        <w:br/>
        <w:t>To Our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Company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submit to you the report of Oxford Lane Capital Corp. (“we”, “us”, “our”, the “Fund” or “Oxford Lane”) for the six months ended September 30, 2025. The net asset value (“NAV”) of our shares as of September 30, 2025 was $19.19 per common share. Our common stock is traded on the NASDAQ Global Select Market and its trading price may, and often does, differ from our NAV. The closing price of our common stock at September 30, 2025 was $16.93 compared to $23.60 at March 31, 2025 (which amount has been adjusted retroactively to reflect our 1-for-5 reverse stock split (as discussed below.)) The total return based on market value for the six months ended September 30, 2025, as reflected in our financial highlights, was (17.32)%. This return reflects the change in market price for the six months ended September 30, 2025, as well as the impact of $2.70 per share in distributions declared and paid for the six months ended September 30, 2025. The total return based on NAV for the six months ended September 30, 2025, as reflected in the Fund’s financial highlights, was 1.34%. We completed a 1-for-5 reverse stock split effective at the close of business on September 5, 2025. Please refer to “Note 13. Financial Highlights” for further details. On October 30, 2025, the closing price of the Fund’s common stock was $15.19.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six months ended September 30, 2025 was approximately $242.0 million, we received or were entitled to receive approximately $318.0 million in distributions from our CLO equity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Investment 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risk adjusted total return, and we currently seek to achieve our investment objective by investing in structured finance investments, specifically the equity and junior debt tranches of CLO vehicles(1),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Investment Review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implement our investment objective by investing in equity and junior debt tranches of CLO vehicles, which are collateralized primarily by diverse portfolios of Senior Loans, and which generally have very little or no exposure to real estate loans, or mortgage loans or to pools of consumer-based debt, such as credit card receivables or auto loans.</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Structurally, CLO vehicles are entities formed to originate and/or acquire a portfolio of loans. The loans within a CLO vehicle are generally limited to loans which meet established credit criteria and are subject to concentration limitations in order to limit a CLO vehicle’s exposure to a single credit.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strategy also includes investing in warehouse facilities, which are financing structures intended to aggregate Senior Loans that may be used to form the basis of a CLO vehicle. We may also invest, on an opportunistic basis, in other corporate credits of a variety of types. Warehouse facilities typically incur leverage between four and six times prior to a CLO’s pricing. We may also invest, on an opportunistic basis, in other corporate credits of a variety of types.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us carries with it a significant number of meaningful risks, certain of which are discussed in the notes to our unaudited financial statements. Investors should read the section titled “Principal Risks” and “Note 14. Risks and Uncertainties”, as well as our prospectus, carefully.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2025 Portfolio Review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2025, we held equity investments in 247 different CLO structures, and debt investments in 11 different CLO 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2025, net investment income, calculated in accordance with GAAP, was approximately $156.4 million, or $1.63 per weighted average common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2025, we recorded a net increase in net assets resulting from operations of approximately $20.9 million, or $0.24 per weighted average common share (inclusive of realized and unrealized gains and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2025, we made additional investments of approximately $587.1 million, and received approximately $294.3 million from sales and repayments of our CLO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Market Overview and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a period of heightened volatility in early April, the CLO and leveraged loan markets demonstrated steadiness from mid-April through September 2025, supported by continual investor demand, tightening spreads, and broadly stable credit fundamentals. The Morningstar LSTA US Leveraged Loan Index began our fiscal year at a price of 96.31% as of March 31, 2025, and reached a high of 97.58% in July before settling at 97.06% as of September 30, 2025. The increase in U.S. loan prices led to an approximate 6-point increase in median U.S. CLO equity net asset values for the year. CLO new issuance for the prior six months totaled approximately $104 billion, and reset and refinancing activity totaled $158 billion, broadly consistent with levels observed during the same period in the prior year. The 12-month trailing default rate for the Morningstar LSTA US Leveraged Loan Index remained flat at 4.3% as of September 30, 2025, compared to March 31, 2025, when including traditional defaults and out-of-court restructurings, exchanges, and sub-par buybacks. With this backdrop, we continue to see compelling opportunities and remain active in both the primary and secondary markets, while remaining cautious of potential headwinds from (i) policy uncertainty, (ii) interest rate expectations, and (iii) escalating geopolitical tension.</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br/>
        <w:t>Chief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This letter is intended to assist stockholders in understanding the Fund’s performance during the six months ended September 30, 2025. The views and opinions in this letter were current as of November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4, 2025. Statements other than those of historical facts included herein may constitute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are not guarantees of future performance or results and involve a number of risks and uncertainties. Actual results may differ materially from those in the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a number of factors. The Fund undertakes no duty to update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 w:name="T99601"/>
      <w:bookmarkEnd w:id="4"/>
      <w:r>
        <w:rPr>
          <w:rFonts w:ascii="Times New Roman PS Std;serif" w:hAnsi="Times New Roman PS Std;serif"/>
          <w:b/>
          <w:i w:val="false"/>
          <w:caps w:val="false"/>
          <w:smallCaps w:val="false"/>
          <w:sz w:val="20"/>
        </w:rPr>
        <w:t>Important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may frequently trade at a discount from their NAV, which may increase investors’ risk of loss. Past performance is not indicative of, or a guarantee of, future performance. The performance and certain other portfolio information quoted herein represents information as of September 30, 2025.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Oxford Lane Capital Corp.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 is a publicly-traded registered closed-end management investment company. It currently seeks to achieve its investment objective of maximizing risk-adjusted total return by investing in debt and equity tranches of CLO vehicles. The Fund’s investment strategy also includes warehouse facilities, which are financing structures intended to aggregate loans that may be used to form the basis of a CLO vehicle.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may contain “forward-looking statements” within the meaning of the Private Securities Litigation Reform Act of 1995. Statements other than statements of historical facts included in this report may constitute forward-looking statements (including statements containing words such as “anticipates”, “expects”, “intends”, “plans”, “will”, “may”, “continue”, “believes”, “seeks”, “estimates”, “would”, “could”, “should”, “targets”, “projects”, and variations of these words and similar expressions are intended to identify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602"/>
      <w:bookmarkEnd w:id="5"/>
      <w:r>
        <w:rPr>
          <w:rFonts w:ascii="Times New Roman PS Std;serif" w:hAnsi="Times New Roman PS Std;serif"/>
          <w:b/>
          <w:i w:val="false"/>
          <w:caps w:val="false"/>
          <w:smallCaps w:val="false"/>
          <w:sz w:val="20"/>
        </w:rPr>
        <w:t>TOP TEN HOLDINGS</w:t>
        <w:br/>
        <w:t>AS OF SEPTEMBER 30, 2025</w:t>
        <w:br/>
        <w:t>(Unaudited)</w:t>
      </w:r>
    </w:p>
    <w:tbl>
      <w:tblPr>
        <w:tblW w:w="10205" w:type="dxa"/>
        <w:jc w:val="left"/>
        <w:tblInd w:w="0" w:type="dxa"/>
        <w:tblLayout w:type="fixed"/>
        <w:tblCellMar>
          <w:top w:w="0" w:type="dxa"/>
          <w:left w:w="0" w:type="dxa"/>
          <w:bottom w:w="0" w:type="dxa"/>
          <w:right w:w="0" w:type="dxa"/>
        </w:tblCellMar>
      </w:tblPr>
      <w:tblGrid>
        <w:gridCol w:w="5454"/>
        <w:gridCol w:w="146"/>
        <w:gridCol w:w="1669"/>
        <w:gridCol w:w="146"/>
        <w:gridCol w:w="226"/>
        <w:gridCol w:w="1186"/>
        <w:gridCol w:w="146"/>
        <w:gridCol w:w="1232"/>
      </w:tblGrid>
      <w:tr>
        <w:trPr/>
        <w:tc>
          <w:tcPr>
            <w:tcW w:w="54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Net Assets</w:t>
            </w:r>
          </w:p>
        </w:tc>
      </w:tr>
      <w:tr>
        <w:trPr/>
        <w:tc>
          <w:tcPr>
            <w:tcW w:w="54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Carlyle US CLO 2025-3, Ltd. – CLO subordinated notes</w:t>
            </w:r>
          </w:p>
        </w:tc>
        <w:tc>
          <w:tcPr>
            <w:tcW w:w="146"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25, 2038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45,514,885</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r>
      <w:tr>
        <w:trPr/>
        <w:tc>
          <w:tcPr>
            <w:tcW w:w="54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Magnetite XLV, Limited – CLO subordinated notes</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15, 2038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44,842,905</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r>
      <w:tr>
        <w:trPr/>
        <w:tc>
          <w:tcPr>
            <w:tcW w:w="54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Magnetite 50, Limited – CLO subordinated notes</w:t>
            </w:r>
          </w:p>
        </w:tc>
        <w:tc>
          <w:tcPr>
            <w:tcW w:w="146"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25, 2038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43,935,300</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r>
        <w:trPr/>
        <w:tc>
          <w:tcPr>
            <w:tcW w:w="54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Lakeside Park CLO, Ltd. – CLO subordinated notes</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15, 2038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42,236,690</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r>
      <w:tr>
        <w:trPr/>
        <w:tc>
          <w:tcPr>
            <w:tcW w:w="54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Ares Loan Funding VIII, Ltd. – CLO subordinated notes</w:t>
            </w:r>
          </w:p>
        </w:tc>
        <w:tc>
          <w:tcPr>
            <w:tcW w:w="146"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24, 2038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41,301,750</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r>
      <w:tr>
        <w:trPr/>
        <w:tc>
          <w:tcPr>
            <w:tcW w:w="54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Octagon 75, Ltd. – CLO subordinated notes</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22, 2038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40,313,440</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r>
      <w:tr>
        <w:trPr/>
        <w:tc>
          <w:tcPr>
            <w:tcW w:w="54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Onex CLO Subsidiary 2025-F, Ltd. – CLO subordinated notes</w:t>
            </w:r>
          </w:p>
        </w:tc>
        <w:tc>
          <w:tcPr>
            <w:tcW w:w="146"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2038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37,202,000</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r>
      <w:tr>
        <w:trPr/>
        <w:tc>
          <w:tcPr>
            <w:tcW w:w="54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Magnetite XLVII, Limited – CLO subordinated notes</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25, 2038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36,853,320</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r>
      <w:tr>
        <w:trPr/>
        <w:tc>
          <w:tcPr>
            <w:tcW w:w="54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Elmwood CLO 38 Ltd. – CLO subordinated notes</w:t>
            </w:r>
          </w:p>
        </w:tc>
        <w:tc>
          <w:tcPr>
            <w:tcW w:w="146"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36,253,260</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r>
      <w:tr>
        <w:trPr/>
        <w:tc>
          <w:tcPr>
            <w:tcW w:w="54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AGL CLO 40 Ltd. – CLO subordinated notes</w:t>
            </w:r>
          </w:p>
        </w:tc>
        <w:tc>
          <w:tcPr>
            <w:tcW w:w="146" w:type="dxa"/>
            <w:tcBorders/>
            <w:vAlign w:val="bottom"/>
          </w:tcPr>
          <w:p>
            <w:pPr>
              <w:pStyle w:val="TableContents"/>
              <w:bidi w:val="0"/>
              <w:spacing w:before="0" w:after="283"/>
              <w:jc w:val="left"/>
              <w:rPr/>
            </w:pPr>
            <w:r>
              <w:rPr/>
              <w:t> </w:t>
            </w:r>
          </w:p>
        </w:tc>
        <w:tc>
          <w:tcPr>
            <w:tcW w:w="16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34,556,475</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Investment Breakdown as of September 30, 2025</w:t>
        <w:br/>
        <w:t>(Excludes cash equivalents and other assets)</w:t>
        <w:br/>
        <w:t>(Unaudited)</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181225" cy="1710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1710055"/>
                    </a:xfrm>
                    <a:prstGeom prst="rect">
                      <a:avLst/>
                    </a:prstGeom>
                  </pic:spPr>
                </pic:pic>
              </a:graphicData>
            </a:graphic>
          </wp:inline>
        </w:drawing>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5734050" cy="24777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0" cy="247777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603"/>
      <w:bookmarkEnd w:id="6"/>
      <w:r>
        <w:rPr>
          <w:rFonts w:ascii="Times New Roman PS Std;serif" w:hAnsi="Times New Roman PS Std;serif"/>
          <w:b/>
          <w:i w:val="false"/>
          <w:caps w:val="false"/>
          <w:smallCaps w:val="false"/>
          <w:sz w:val="20"/>
        </w:rPr>
        <w:t>FEES AND EXPENSES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“us” or “Oxford Lane Capital,” or that “we” will pay fees or expenses, you will indirectly bear such fees or expenses as an investor in Oxford Lane Capital Corp.</w:t>
      </w:r>
    </w:p>
    <w:tbl>
      <w:tblPr>
        <w:tblW w:w="8729" w:type="dxa"/>
        <w:jc w:val="left"/>
        <w:tblInd w:w="0" w:type="dxa"/>
        <w:tblLayout w:type="fixed"/>
        <w:tblCellMar>
          <w:top w:w="0" w:type="dxa"/>
          <w:left w:w="0" w:type="dxa"/>
          <w:bottom w:w="0" w:type="dxa"/>
          <w:right w:w="0" w:type="dxa"/>
        </w:tblCellMar>
      </w:tblPr>
      <w:tblGrid>
        <w:gridCol w:w="7336"/>
        <w:gridCol w:w="146"/>
        <w:gridCol w:w="346"/>
        <w:gridCol w:w="901"/>
      </w:tblGrid>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bidi w:val="0"/>
              <w:spacing w:before="0" w:after="283"/>
              <w:jc w:val="left"/>
              <w:rPr/>
            </w:pPr>
            <w:r>
              <w:rPr/>
              <w:t> </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borne by us (as a percentage of offering price)</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 transaction expenses (as a percentage of offering price)</w:t>
            </w:r>
          </w:p>
        </w:tc>
        <w:tc>
          <w:tcPr>
            <w:tcW w:w="146" w:type="dxa"/>
            <w:tcBorders/>
            <w:vAlign w:val="bottom"/>
          </w:tcPr>
          <w:p>
            <w:pPr>
              <w:pStyle w:val="TableContents"/>
              <w:bidi w:val="0"/>
              <w:spacing w:before="0" w:after="283"/>
              <w:jc w:val="left"/>
              <w:rPr/>
            </w:pPr>
            <w:r>
              <w:rPr/>
              <w:t> </w:t>
            </w:r>
          </w:p>
        </w:tc>
        <w:tc>
          <w:tcPr>
            <w:tcW w:w="3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tbl>
      <w:tblPr>
        <w:tblW w:w="10205" w:type="dxa"/>
        <w:jc w:val="left"/>
        <w:tblInd w:w="0" w:type="dxa"/>
        <w:tblLayout w:type="fixed"/>
        <w:tblCellMar>
          <w:top w:w="0" w:type="dxa"/>
          <w:left w:w="0" w:type="dxa"/>
          <w:bottom w:w="0" w:type="dxa"/>
          <w:right w:w="0" w:type="dxa"/>
        </w:tblCellMar>
      </w:tblPr>
      <w:tblGrid>
        <w:gridCol w:w="8716"/>
        <w:gridCol w:w="146"/>
        <w:gridCol w:w="526"/>
        <w:gridCol w:w="817"/>
      </w:tblGrid>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(estimated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81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under our investment advisory agreement (20% of pre-incentive net investment income)</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8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81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8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c>
          <w:tcPr>
            <w:tcW w:w="8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expenses</w:t>
            </w:r>
          </w:p>
        </w:tc>
        <w:tc>
          <w:tcPr>
            <w:tcW w:w="146" w:type="dxa"/>
            <w:tcBorders/>
            <w:vAlign w:val="bottom"/>
          </w:tcPr>
          <w:p>
            <w:pPr>
              <w:pStyle w:val="TableContents"/>
              <w:bidi w:val="0"/>
              <w:spacing w:before="0" w:after="283"/>
              <w:jc w:val="left"/>
              <w:rPr/>
            </w:pPr>
            <w:r>
              <w:rPr/>
              <w:t> </w:t>
            </w:r>
          </w:p>
        </w:tc>
        <w:tc>
          <w:tcPr>
            <w:tcW w:w="5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81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Example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tbl>
      <w:tblPr>
        <w:tblW w:w="10205" w:type="dxa"/>
        <w:jc w:val="left"/>
        <w:tblInd w:w="0" w:type="dxa"/>
        <w:tblLayout w:type="fixed"/>
        <w:tblCellMar>
          <w:top w:w="0" w:type="dxa"/>
          <w:left w:w="0" w:type="dxa"/>
          <w:bottom w:w="0" w:type="dxa"/>
          <w:right w:w="0" w:type="dxa"/>
        </w:tblCellMar>
      </w:tblPr>
      <w:tblGrid>
        <w:gridCol w:w="6203"/>
        <w:gridCol w:w="146"/>
        <w:gridCol w:w="270"/>
        <w:gridCol w:w="414"/>
        <w:gridCol w:w="146"/>
        <w:gridCol w:w="279"/>
        <w:gridCol w:w="577"/>
        <w:gridCol w:w="146"/>
        <w:gridCol w:w="279"/>
        <w:gridCol w:w="577"/>
        <w:gridCol w:w="146"/>
        <w:gridCol w:w="313"/>
        <w:gridCol w:w="709"/>
      </w:tblGrid>
      <w:tr>
        <w:trPr/>
        <w:tc>
          <w:tcPr>
            <w:tcW w:w="620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62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w:t>
            </w:r>
          </w:p>
        </w:tc>
        <w:tc>
          <w:tcPr>
            <w:tcW w:w="146"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example and the expenses in the tables above should not be considered as a representation of our future expenses, and actual expenses may be greater or less than those shown. </w:t>
      </w:r>
      <w:r>
        <w:rPr>
          <w:rFonts w:ascii="Times New Roman PS Std;serif" w:hAnsi="Times New Roman PS Std;serif"/>
          <w:b w:val="false"/>
          <w:i w:val="false"/>
          <w:caps w:val="false"/>
          <w:smallCaps w:val="false"/>
          <w:sz w:val="20"/>
        </w:rPr>
        <w:t>While the example assumes, as required by the SEC, a 5.0% annual return, our performance will vary and may result in a return greater or less than 5.0%. The incentive fee under the investment advisory agreement (the “Investment Advisory Agreement”) with Oxford Lane Management, LLC (“Oxford Lane Management” or the “Adviser”), which, assuming a 5.0% annual return, would either not be payable or would have an insignificant impact on the expense amounts shown above, is included in the example. Also, while the example assumes reinvestment of all distributions at NAV, participants in our distribution reinvestment plan will receive a number of shares of our common stock, determined by dividing the total dollar amount of the distribution payable to a participant by (a) 95% of the market price per share of our common stock at the close of trading on the valuation date fixed by the Board of Directors in the event that newly issued shares of our common stock are used to implement the distribution reinvestment plan, or (b) the average purchase price of all shares of common stock purchased by the plan administrator, excluding any brokerage charges or other charges, in the event that shares are purchased in the open market to implement the requirements of the distribution reinvestment plan (when shares are trading below NAV).</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the event that the securities to which this report relates are sold to or through underwriters, a corresponding prospectus supplement will disclose the applicable sales load and the “Example” will be updated accordingly.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If applicable, the prospectus supplement relating to an offering of our securities will disclose the applicable offering expenses and total stockholder transaction expenses as a percentage of the offering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(4)     Assumes gross assets of approximately $2.85 billion and approximately $719.0 million of leverage (which reflects approximately $88.1 million aggregate amount of 6.25% Series 2027 Term Preferred Shares, $67.2 million aggregate amount of 6.00% Series 2029 Term Preferred Shares, $63.8 million aggregate amount of 7.125% Series 2029 Term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Preferred Shares, $100.0 million of the 6.75% Unsecured Notes due 2031, $100.0 million of the 5.00% Unsecured Notes due 2027, $115.0 million of the 8.75% Unsecured Notes due 2030 and $185.0 million of the 7.95% Unsecured Notes due 2032 issued and outstanding as of September 30, 2025 and assumes net assets of $2.06 billion (which has been adjusted to reflect the issuance of an additional $200.0 million of common stock)).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Amount reflects the estimated annual incentive fees payable to Oxford Lane Management. The estimate assumes that the incentive fee earned will be proportional to the fee earned during the fiscal year ended March 31, 2025 and adjusted to include the estimated incentive fee based on the issuance of an additional $200.0 million of common stock.</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no incentive fee is payable to Oxford Lane Management in any calendar quarter in which our Pre-Incentive Fee Net Investment Income does not exceed the Hurdle of 1.75%;</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Oxford Lane Management with 20.0% of our Pre-Incentive Fee Net Investment Income, as if a Hurdle did not apply when our Pre-Incentive Fee Net Investment Income exceeds 2.1875% in any calendar quarter;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20.0% of the amount of our Pre-Incentive Fee Net Investment Income, if any, that exceeds 2.1875% in any calendar quarter (8.75% annualized) is payable to Oxford Lane Management (once the Hurdle is reached and the catch-up is achieved, 20.0% of all Pre-Incentive Fee Investment Income thereafter is allocated to Oxford Lane Management).</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No incentive fee is payable to Oxford Lane Management on realized capital gains. For a more detailed discussion of the calculation of this fee, see “Note 5. Related Party Transactions.”</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“Interest payments on borrowed funds” represents our annualized interest expense assuming an average effective interest rate of 7.52% (including amortization of deferred issuance costs) and includes interest payable on the $100.0 million 6.75% Unsecured Notes due 2031 with an effective interest rate of approximately 7.09% (including amortization of deferred issuance costs), $100.0 million 5.00% Unsecured Notes due 2027 with an effective interest rate of approximately 5.66% (including amortization of deferred issuance costs), $115.0 million 8.75% Unsecured Notes due 2030 with an effective interest rate of approximately 9.31% (including amortization of deferred issuance costs) and $185.0 million 7.95% Unsecured Notes due 2032 with an effective interest rate of approximately 8.37% (including amortization of deferred issuance costs), each as outstanding on September 30, 2025. We may issue additional debt securities. In the event that we were to issue additional debt securities, our borrowing costs, and correspondingly our total annual expenses would increase.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Assumes an average effective interest rate of 7.52% (including amortization of deferred issuance costs) and that we have an aggregate of approximately (a) $88.1 million of preferred stock with a preferred rate of 6.25% per annum with an effective interest rate of approximately 6.72% (including amortization of deferred issuance costs), (b) $67.2 million of preferred stock with a preferred rate of 6.00% per annum with an effective interest rate of approximately 6.42% (including amortization of deferred issuance costs) and (c) $63.8 million of preferred stock with a preferred rate of 7.125% per annum with an effective interest rate of approximately 7.63% (including amortization of deferred issuance costs) which were the amounts outstanding as of September 30, 2025.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“Other expenses” ($8.3 million) are estimated for the current fiscal year.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(10)    “Total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PS Std;serif" w:hAnsi="Times New Roman PS Std;serif"/>
          <w:b/>
          <w:i w:val="false"/>
          <w:caps w:val="false"/>
          <w:smallCaps w:val="false"/>
          <w:sz w:val="18"/>
        </w:rPr>
        <w:t>The indirect expenses associated with the Fund’s CLO equity investments are not included in the fee table presentation, but if such expenses were included in the fee table presentation then the Fund’s total annual expenses would have been 31.37%.</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Principal Risks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the principal risk factors associated with an investment in the Fund, please refer to “Note 14. Risks and Uncertainties” in the Unaudited Notes to the Financial Statements and “Principal Risks” beginning on page 66.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604"/>
      <w:bookmarkEnd w:id="7"/>
      <w:r>
        <w:rPr>
          <w:rFonts w:ascii="Times New Roman PS Std;serif" w:hAnsi="Times New Roman PS Std;serif"/>
          <w:b/>
          <w:i w:val="false"/>
          <w:caps w:val="false"/>
          <w:smallCaps w:val="false"/>
          <w:sz w:val="20"/>
        </w:rPr>
        <w:t>STATEMENT OF ASSETS AND LIABILITIES</w:t>
        <w:br/>
        <w:t>(Unaudited)</w:t>
      </w:r>
    </w:p>
    <w:tbl>
      <w:tblPr>
        <w:tblW w:w="10205" w:type="dxa"/>
        <w:jc w:val="left"/>
        <w:tblInd w:w="0" w:type="dxa"/>
        <w:tblLayout w:type="fixed"/>
        <w:tblCellMar>
          <w:top w:w="0" w:type="dxa"/>
          <w:left w:w="0" w:type="dxa"/>
          <w:bottom w:w="0" w:type="dxa"/>
          <w:right w:w="0" w:type="dxa"/>
        </w:tblCellMar>
      </w:tblPr>
      <w:tblGrid>
        <w:gridCol w:w="7985"/>
        <w:gridCol w:w="146"/>
        <w:gridCol w:w="226"/>
        <w:gridCol w:w="1486"/>
        <w:gridCol w:w="362"/>
      </w:tblGrid>
      <w:tr>
        <w:trPr/>
        <w:tc>
          <w:tcPr>
            <w:tcW w:w="79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7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2025</w:t>
            </w:r>
          </w:p>
        </w:tc>
      </w:tr>
      <w:tr>
        <w:trPr/>
        <w:tc>
          <w:tcPr>
            <w:tcW w:w="798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at fair value (cost: $3,320,474,206)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2,599,602,064</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29,218,868</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19,102,016</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794,079</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on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226,944</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138,203</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116,797</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2,649,198,971</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Mandatorily redeemable preferred stock, net of unamortized deferred issuance costs of $3,023,285 (50,000,000 shares authorized, 8,761,706 shares issued and outstanding)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216,019,365</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7.95% unsecured notes, net of unamortized deferred issuance costs of $5,863,057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179,136,943</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8.75% unsecured notes, net of unamortized deferred issuance costs of $3,192,738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111,807,262</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Notes payable – 5.00% unsecured notes, net of unamortized deferred issuance </w:t>
              <w:br/>
              <w:t>costs of $901,776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99,098,224</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6.75% unsecured notes, net of unamortized deferred issuance costs of $1,955,465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98,044,535</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to affiliate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41,703,804</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 payable to affiliate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30,364,242</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6,451,468</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payables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1,440,219</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922,481</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Administrator expense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161,563</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101,444</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fees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785,398,550</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NET ASSETS applicable to common stock, $0.01 par value, 900,000,000 shares </w:t>
              <w:br/>
              <w:t>authorized, 97,108,984 shares issued and outstanding</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1,863,800,421</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consist of:</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971,090</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2,774,551,134</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(911,721,803</w:t>
            </w:r>
          </w:p>
        </w:tc>
        <w:tc>
          <w:tcPr>
            <w:tcW w:w="3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85"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1,863,800,421</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per common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w:t>
            </w:r>
          </w:p>
        </w:tc>
        <w:tc>
          <w:tcPr>
            <w:tcW w:w="3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price per share</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w:t>
            </w:r>
          </w:p>
        </w:tc>
        <w:tc>
          <w:tcPr>
            <w:tcW w:w="3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85"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market price discount to net asset value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w:t>
            </w:r>
          </w:p>
        </w:tc>
        <w:tc>
          <w:tcPr>
            <w:tcW w:w="36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605"/>
      <w:bookmarkEnd w:id="8"/>
      <w:r>
        <w:rPr>
          <w:rFonts w:ascii="Times New Roman PS Std;serif" w:hAnsi="Times New Roman PS Std;serif"/>
          <w:b/>
          <w:i w:val="false"/>
          <w:caps w:val="false"/>
          <w:smallCaps w:val="false"/>
          <w:sz w:val="20"/>
        </w:rPr>
        <w:t>SCHEDULE OF INVESTMENTS</w:t>
        <w:br/>
        <w:t>SEPTEMBER 30, 2025</w:t>
        <w:br/>
        <w:t>(Unaudited)</w:t>
      </w:r>
    </w:p>
    <w:tbl>
      <w:tblPr>
        <w:tblW w:w="10205" w:type="dxa"/>
        <w:jc w:val="left"/>
        <w:tblInd w:w="0" w:type="dxa"/>
        <w:tblLayout w:type="fixed"/>
        <w:tblCellMar>
          <w:top w:w="0" w:type="dxa"/>
          <w:left w:w="0" w:type="dxa"/>
          <w:bottom w:w="0" w:type="dxa"/>
          <w:right w:w="0" w:type="dxa"/>
        </w:tblCellMar>
      </w:tblPr>
      <w:tblGrid>
        <w:gridCol w:w="3853"/>
        <w:gridCol w:w="146"/>
        <w:gridCol w:w="1113"/>
        <w:gridCol w:w="146"/>
        <w:gridCol w:w="211"/>
        <w:gridCol w:w="1036"/>
        <w:gridCol w:w="146"/>
        <w:gridCol w:w="211"/>
        <w:gridCol w:w="1036"/>
        <w:gridCol w:w="146"/>
        <w:gridCol w:w="211"/>
        <w:gridCol w:w="1036"/>
        <w:gridCol w:w="146"/>
        <w:gridCol w:w="466"/>
        <w:gridCol w:w="302"/>
      </w:tblGrid>
      <w:tr>
        <w:trPr/>
        <w:tc>
          <w:tcPr>
            <w:tcW w:w="38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8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Debt Investments</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Debt Investments</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2019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FRR</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14.78% (SOFR + 10.45%, due July 18,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07/31/2024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2,342,041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2,278,553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2015-4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10.54% (SOFR + 6.21%, due April 20,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837,000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812,514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762,423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12.78% (SOFR + 8.47%, due July 30,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7,248,316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2,851,750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D</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10.74% (SOFR + 6.41%, due October 20,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4,116,499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4,290,675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5-2015,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FRR</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12.58% (SOFR + 8.26%, due October 15,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3,974,847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1,609,563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2013-2,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w:t>
            </w:r>
            <w:r>
              <w:rPr>
                <w:rFonts w:ascii="Times New Roman PS Std;serif" w:hAnsi="Times New Roman PS Std;serif"/>
                <w:b w:val="false"/>
                <w:i w:val="false"/>
                <w:caps w:val="false"/>
                <w:smallCaps w:val="false"/>
                <w:sz w:val="12"/>
              </w:rPr>
              <w:t>(3)(6)(17)</w:t>
            </w:r>
            <w:r>
              <w:rPr>
                <w:rFonts w:ascii="Times New Roman PS Std;serif" w:hAnsi="Times New Roman PS Std;serif"/>
                <w:b w:val="false"/>
                <w:i w:val="false"/>
                <w:caps w:val="false"/>
                <w:smallCaps w:val="false"/>
                <w:sz w:val="16"/>
              </w:rPr>
              <w:t>, 12.84% (SOFR + 8.51%, due October 20, 2029)</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2,519,634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2,300,715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1,077,395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VI</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12.60% (SOFR + 8.27%, due April 20, 2033)</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03/12/2021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3,496,601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3,356,000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Nassau 2017-II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w:t>
            </w:r>
            <w:r>
              <w:rPr>
                <w:rFonts w:ascii="Times New Roman PS Std;serif" w:hAnsi="Times New Roman PS Std;serif"/>
                <w:b w:val="false"/>
                <w:i w:val="false"/>
                <w:caps w:val="false"/>
                <w:smallCaps w:val="false"/>
                <w:sz w:val="12"/>
              </w:rPr>
              <w:t>(3)(6)(10)(17)</w:t>
            </w:r>
            <w:r>
              <w:rPr>
                <w:rFonts w:ascii="Times New Roman PS Std;serif" w:hAnsi="Times New Roman PS Std;serif"/>
                <w:b w:val="false"/>
                <w:i w:val="false"/>
                <w:caps w:val="false"/>
                <w:smallCaps w:val="false"/>
                <w:sz w:val="16"/>
              </w:rPr>
              <w:t>, 10.83% (SOFR + 6.51%, due January 15,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01/07/2022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4,037,559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3,764,630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688,808</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36,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(3)(17)</w:t>
            </w:r>
            <w:r>
              <w:rPr>
                <w:rFonts w:ascii="Times New Roman PS Std;serif" w:hAnsi="Times New Roman PS Std;serif"/>
                <w:b w:val="false"/>
                <w:i w:val="false"/>
                <w:caps w:val="false"/>
                <w:smallCaps w:val="false"/>
                <w:sz w:val="16"/>
              </w:rPr>
              <w:t>, 12.33% (SOFR + 8.01%, due April 15,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1,101,707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1,044,000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IX,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ERR</w:t>
            </w:r>
            <w:r>
              <w:rPr>
                <w:rFonts w:ascii="Times New Roman PS Std;serif" w:hAnsi="Times New Roman PS Std;serif"/>
                <w:b w:val="false"/>
                <w:i w:val="false"/>
                <w:caps w:val="false"/>
                <w:smallCaps w:val="false"/>
                <w:sz w:val="12"/>
              </w:rPr>
              <w:t>(3)(10)(17)</w:t>
            </w:r>
            <w:r>
              <w:rPr>
                <w:rFonts w:ascii="Times New Roman PS Std;serif" w:hAnsi="Times New Roman PS Std;serif"/>
                <w:b w:val="false"/>
                <w:i w:val="false"/>
                <w:caps w:val="false"/>
                <w:smallCaps w:val="false"/>
                <w:sz w:val="16"/>
              </w:rPr>
              <w:t>, 12.93% (SOFR + 8.60%, due October 20,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06/16/2023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1,535,415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1,090,317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568,871</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V-R,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secured notes – Class F</w:t>
            </w:r>
            <w:r>
              <w:rPr>
                <w:rFonts w:ascii="Times New Roman PS Std;serif" w:hAnsi="Times New Roman PS Std;serif"/>
                <w:b w:val="false"/>
                <w:i w:val="false"/>
                <w:caps w:val="false"/>
                <w:smallCaps w:val="false"/>
                <w:sz w:val="12"/>
              </w:rPr>
              <w:t>(3)(6)(17)</w:t>
            </w:r>
            <w:r>
              <w:rPr>
                <w:rFonts w:ascii="Times New Roman PS Std;serif" w:hAnsi="Times New Roman PS Std;serif"/>
                <w:b w:val="false"/>
                <w:i w:val="false"/>
                <w:caps w:val="false"/>
                <w:smallCaps w:val="false"/>
                <w:sz w:val="16"/>
              </w:rPr>
              <w:t>, 12.69% (SOFR + 8.36%, due July 18,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1,472,107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1,163,167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151,921</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Structured Finance – Debt Investments</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31,411,354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18,679,959</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3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Collateralized Loan Obligation – Debt Investments</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31,411,354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18,679,959</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30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8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Equity Investments</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522 Funding CLO 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85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10.33%, maturity April 15, 2035)</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12,460,349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6,571,592</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keepNext w:val="false"/>
        <w:pageBreakBefore w:val="false"/>
        <w:widowControl/>
        <w:pBdr/>
        <w:bidi w:val="0"/>
        <w:spacing w:before="160" w:after="52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AGL CLO 40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15.68%, maturity July 22,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03/28/2025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37,157,500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38,020,408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34,556,475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AIG CLO 2018-1, LLC</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18.36%, maturity April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04/25/2023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20,518,400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13,356,588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12,105,856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AIMCO CLO, Series 2015-A</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18.94%, maturity October 17,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15,116,763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8,098,438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8,314,220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AIMCO CLO 10,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16.07%, maturity July 22,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01/09/2025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30,849,600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19,373,866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16,967,280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AIMCO CLO 26,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preferred shares</w:t>
            </w:r>
            <w:r>
              <w:rPr>
                <w:rFonts w:ascii="Times New Roman PS Std;serif" w:hAnsi="Times New Roman PS Std;serif"/>
                <w:b w:val="false"/>
                <w:i w:val="false"/>
                <w:caps w:val="false"/>
                <w:smallCaps w:val="false"/>
                <w:sz w:val="12"/>
              </w:rPr>
              <w:t>(4)(7)</w:t>
            </w:r>
            <w:r>
              <w:rPr>
                <w:rFonts w:ascii="Times New Roman PS Std;serif" w:hAnsi="Times New Roman PS Std;serif"/>
                <w:b w:val="false"/>
                <w:i w:val="false"/>
                <w:caps w:val="false"/>
                <w:smallCaps w:val="false"/>
                <w:sz w:val="16"/>
              </w:rPr>
              <w:t>, (Estimated yield 16.73%, maturity September 19, 2026)</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09/26/2024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15,575,000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II-S,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21, 2028)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02/06/2020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3,670,680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XII,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25.22%, maturity July 21,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04/25/2025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13,147,000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6,983,342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6,573,500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XIII,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21.76%, maturity July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15,623,220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8,110,782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7,913,161</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ALM VII(R),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17.98%, maturity January 15, 2036)</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09/05/2024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28,480,000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8,145,046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5,502,576</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ALM XVII,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2028)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03/04/2019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XII, Limited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November 10,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2,441,141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48,700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25, Limited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18.45%, maturity October 15,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04/27/2022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22,569,100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15,489,138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14,895,606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1-R,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13,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08/13/2020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489,313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126,360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52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4-R,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January 28,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05/20/2019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511,015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5-R,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07/16/2019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27,316,000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734,817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81,948</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Anchorage Capital CLO 17,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16.82%, maturity February 15,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06/04/2021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40,911,000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24,744,409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21,273,720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2018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25,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03/14/2018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12,420,000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2,100,012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2019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9.87%, maturity July 18,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05/13/2019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11,075,180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5,008,189</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Apex Credit CLO 2019-II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24.21%, maturity January 25,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10/27/2020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1,828,767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1,063,577</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XVIII-R</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27.96%, maturity January 22,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14,986,100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5,792,803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6,593,884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XX</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w:t>
            </w:r>
            <w:r>
              <w:rPr>
                <w:rFonts w:ascii="Times New Roman PS Std;serif" w:hAnsi="Times New Roman PS Std;serif"/>
                <w:b w:val="false"/>
                <w:i w:val="false"/>
                <w:caps w:val="false"/>
                <w:smallCaps w:val="false"/>
                <w:sz w:val="16"/>
              </w:rPr>
              <w:t>, (Estimated yield 41.51%, maturity July 16,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03/19/2025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16,400,000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1,514,703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2,038,520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XXIII</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21.80%, maturity April 15, 2033)</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2,737,200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2,657,500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Apidos CLO LI,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14.46%, maturity January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12/18/2024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14,333,039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13,054,400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CLO Warehouse 2025-1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Subordinated warehouse notes</w:t>
            </w:r>
            <w:r>
              <w:rPr>
                <w:rFonts w:ascii="Times New Roman PS Std;serif" w:hAnsi="Times New Roman PS Std;serif"/>
                <w:b w:val="false"/>
                <w:i w:val="false"/>
                <w:caps w:val="false"/>
                <w:smallCaps w:val="false"/>
                <w:sz w:val="12"/>
              </w:rPr>
              <w:t>(4)(7)</w:t>
            </w:r>
            <w:r>
              <w:rPr>
                <w:rFonts w:ascii="Times New Roman PS Std;serif" w:hAnsi="Times New Roman PS Std;serif"/>
                <w:b w:val="false"/>
                <w:i w:val="false"/>
                <w:caps w:val="false"/>
                <w:smallCaps w:val="false"/>
                <w:sz w:val="16"/>
              </w:rPr>
              <w:t>, (Estimated yield 21.00%, maturity July 10, 2027)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08/12/2025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XXVII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13.66%, maturity October 28,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03/06/2019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27,871,690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11,638,552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7,782,729</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XXXVR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15,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810"/>
        <w:gridCol w:w="146"/>
        <w:gridCol w:w="1112"/>
        <w:gridCol w:w="146"/>
        <w:gridCol w:w="211"/>
        <w:gridCol w:w="1141"/>
        <w:gridCol w:w="146"/>
        <w:gridCol w:w="211"/>
        <w:gridCol w:w="1036"/>
        <w:gridCol w:w="146"/>
        <w:gridCol w:w="211"/>
        <w:gridCol w:w="1036"/>
        <w:gridCol w:w="146"/>
        <w:gridCol w:w="707"/>
      </w:tblGrid>
      <w:tr>
        <w:trPr/>
        <w:tc>
          <w:tcPr>
            <w:tcW w:w="38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8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XXXVII CLO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15, 2030)</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02/12/2019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1,655,693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1,152,400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 CLO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2029)</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11/30/2017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41,274,000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587,887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693,403</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XLII CLO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22, 2028)</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21,910,000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2,641,390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205,954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XLIV CLO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20.84%, maturity April 15, 2034)</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12/15/2023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30,433,621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23,239,814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XLVI CLO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2030)</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207,478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67,200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XLIX CLO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18.17%, maturity October 22, 2037)</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4,167,561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3,525,734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LVII CLO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10.20%, maturity January 25, 2035)</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12,186,752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10,255,989</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LXI CLO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7.11%, maturity April 20, 2037)</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9,524,075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LXVII CLO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28.23%, maturity January 25, 2038)</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26,046,000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19,464,203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21,834,838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Loan Funding VII,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15.58%, maturity October 22, 2037)</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30,086,063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25,638,168</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Loan Funding VIII,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18.49%, maturity January 24, 2038)</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12/19/2024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56,782,000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43,753,558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41,301,750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Loan Funding IX,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(5)(7)(9)(11)</w:t>
            </w:r>
            <w:r>
              <w:rPr>
                <w:rFonts w:ascii="Times New Roman PS Std;serif" w:hAnsi="Times New Roman PS Std;serif"/>
                <w:b w:val="false"/>
                <w:i w:val="false"/>
                <w:caps w:val="false"/>
                <w:smallCaps w:val="false"/>
                <w:sz w:val="16"/>
              </w:rPr>
              <w:t>, (Estimated yield 17.84%, maturity March 31, 2038)</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03/03/2025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10,404,963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10,298,224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Atlas Senior Loan Funding XVII, Ltd.</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10.72%, maturity October 20, 2034)</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3,806,975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Atlas Senior Loan Fund XVIII, Ltd.</w:t>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1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13.69%, maturity January 18, 2035)</w:t>
            </w:r>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04/21/2022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3,622,713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Atrium XV</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11.39%, maturity July 16,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23,394,737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12,453,953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9,357,895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Barings CLO Ltd. 2019-III</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20.46%, maturity January 20, 2036)</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30,726,502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14,581,086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13,743,964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BBAM US CLO 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20.51%, maturity March 30,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05/16/2025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12,462,392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11,189,987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2015-4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07/22/2020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9,644,700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1,363,790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48,224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2016-3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6.39%, maturity November 15,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08/18/2020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2,428,259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1,109,510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2018-1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30,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01/14/2020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161,265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2018-3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06/11/2020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3,064,202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795,755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XXXI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18.44%, maturity April 19,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04/16/2024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18,194,883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10,193,153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6,777,594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XXXIV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7.09%, maturity April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8,868,281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5,029,000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02/13/2020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27,980,000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7,390,102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419,700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2013-2,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January 18, 2029)</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03/19/2013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16,098,067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1,167,135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11,269</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2013-4,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09/29/2021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996,922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381,350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2014-5,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15,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7,134,333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1,433,138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270,391</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3"/>
        <w:gridCol w:w="146"/>
        <w:gridCol w:w="1114"/>
        <w:gridCol w:w="146"/>
        <w:gridCol w:w="211"/>
        <w:gridCol w:w="1036"/>
        <w:gridCol w:w="146"/>
        <w:gridCol w:w="211"/>
        <w:gridCol w:w="1036"/>
        <w:gridCol w:w="146"/>
        <w:gridCol w:w="211"/>
        <w:gridCol w:w="1036"/>
        <w:gridCol w:w="146"/>
        <w:gridCol w:w="707"/>
      </w:tblGrid>
      <w:tr>
        <w:trPr/>
        <w:tc>
          <w:tcPr>
            <w:tcW w:w="3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2016-3,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39.25%, maturity July 20,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06/10/2025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35,445,614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5,539,236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7,620,807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2020-1,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20.44%, maturity January 20,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28,783,404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15,583,180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15,255,204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2020-2,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7.70%, maturity January 25, 2035)</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14,558,333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9,203,278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6,551,250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2021-8,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15.83%, maturity October 15,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52,839,500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32,895,573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27,476,540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2021-11,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15.23%, maturity July 25, 2039)</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35,949,200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17,652,834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14,379,680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2022-3,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11.91%, maturity April 20,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27,370,000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22,208,103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19,159,000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2024-6,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13.48%, maturity October 25,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10/10/2024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48,222,222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39,979,925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34,237,778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2025-E,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Subordinated warehouse notes</w:t>
            </w:r>
            <w:r>
              <w:rPr>
                <w:rFonts w:ascii="Times New Roman PS Std;serif" w:hAnsi="Times New Roman PS Std;serif"/>
                <w:b w:val="false"/>
                <w:i w:val="false"/>
                <w:caps w:val="false"/>
                <w:smallCaps w:val="false"/>
                <w:sz w:val="12"/>
              </w:rPr>
              <w:t>(4)(7)</w:t>
            </w:r>
            <w:r>
              <w:rPr>
                <w:rFonts w:ascii="Times New Roman PS Std;serif" w:hAnsi="Times New Roman PS Std;serif"/>
                <w:b w:val="false"/>
                <w:i w:val="false"/>
                <w:caps w:val="false"/>
                <w:smallCaps w:val="false"/>
                <w:sz w:val="16"/>
              </w:rPr>
              <w:t>, (Estimated yield 19.05%, maturity May 20, 2027)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17,800,000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US CLO 2025-3,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15.86%, maturity July 25,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05/21/2025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54,824,000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46,466,456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45,514,885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Catskill Park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20, 2029)</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7,942,500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545,449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48,449</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CBAM 2019-10,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w:t>
            </w:r>
            <w:r>
              <w:rPr>
                <w:rFonts w:ascii="Times New Roman PS Std;serif" w:hAnsi="Times New Roman PS Std;serif"/>
                <w:b w:val="false"/>
                <w:i w:val="false"/>
                <w:caps w:val="false"/>
                <w:smallCaps w:val="false"/>
                <w:sz w:val="16"/>
              </w:rPr>
              <w:t>, (Estimated yield 16.28%, maturity April 20, 2032)</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01/30/2024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3,634,612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3,363,000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CBAM 2021-14,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12.02%, maturity October 20,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37,085,300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16,533,797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12,794,429</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CBAMR 2021-15, LLC</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21.28%, maturity January 20,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05/07/2025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28,883,687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12,702,167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12,131,149</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IV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20.28%, maturity January 23,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02/10/2022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47,440,000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21,859,128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19,450,400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VIII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21.62%, maturity January 17,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59,507,500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26,518,850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26,183,300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18.91%, maturity October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11,985,442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10,080,000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XII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20.41%, maturity January 25,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32,008,575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23,429,377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21,125,660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XIV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17.95%, maturity October 15,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12/10/2024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21,540,000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12,031,870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9,908,400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XV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13.15%, maturity April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34,235,000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23,801,339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17,802,200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Funding 2014-III,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22.19%, maturity March 31,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03/06/2018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24,208,500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13,916,869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14,283,015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Funding 2021-VII,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12.34%, maturity January 23,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28,185,000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22,041,388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18,320,250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Ravello Warehouse,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preferred shares</w:t>
            </w:r>
            <w:r>
              <w:rPr>
                <w:rFonts w:ascii="Times New Roman PS Std;serif" w:hAnsi="Times New Roman PS Std;serif"/>
                <w:b w:val="false"/>
                <w:i w:val="false"/>
                <w:caps w:val="false"/>
                <w:smallCaps w:val="false"/>
                <w:sz w:val="12"/>
              </w:rPr>
              <w:t>(4)(7)</w:t>
            </w:r>
            <w:r>
              <w:rPr>
                <w:rFonts w:ascii="Times New Roman PS Std;serif" w:hAnsi="Times New Roman PS Std;serif"/>
                <w:b w:val="false"/>
                <w:i w:val="false"/>
                <w:caps w:val="false"/>
                <w:smallCaps w:val="false"/>
                <w:sz w:val="16"/>
              </w:rPr>
              <w:t>, (Estimated yield 17.90%, maturity September 18, 2026)</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10/09/2024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22,735,000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22,735,000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22,735,000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Columbia Cent CLO 28 Limited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November 07,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9,083,733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Crestline Denali CLO XVI,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20,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2,445,157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1,194,600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Croton Park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13.11%, maturity October 15,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08/28/2024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39,573,000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34,924,312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29,284,020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38 Senior Loan Fund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15,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09/23/2021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2,050,128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298,680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75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20.30%, maturity April 14,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9,966,144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8,636,297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76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16.76%, maturity October 15,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09/11/2024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21,989,000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8,874,619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6,661,415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3"/>
        <w:gridCol w:w="146"/>
        <w:gridCol w:w="1114"/>
        <w:gridCol w:w="146"/>
        <w:gridCol w:w="211"/>
        <w:gridCol w:w="1036"/>
        <w:gridCol w:w="146"/>
        <w:gridCol w:w="211"/>
        <w:gridCol w:w="1036"/>
        <w:gridCol w:w="146"/>
        <w:gridCol w:w="211"/>
        <w:gridCol w:w="1036"/>
        <w:gridCol w:w="146"/>
        <w:gridCol w:w="707"/>
      </w:tblGrid>
      <w:tr>
        <w:trPr/>
        <w:tc>
          <w:tcPr>
            <w:tcW w:w="3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78 CLO,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10.98%, maturity April 17,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19,913,726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11,688,767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8,562,902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86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7.27%, maturity July 17, 2034)</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21,550,839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10,958,500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87 CLO,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22.93%, maturity August 20,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39,886,400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20,106,771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17,550,016</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106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19.24%, maturity October 15,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32,302,500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23,449,242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19,196,732</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108 CLO.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16.77%, maturity July 18,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21,764,344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16,588,000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2020-11,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10.77%, maturity October 15,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02/21/2020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62,021,052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28,304,920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17,055,789</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2021-12,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8.03%, maturity April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44,245,037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21,309,722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12,831,061</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Elevation CLO 2021-14,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12.51%, maturity January 20,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09/21/2021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52,930,905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28,475,080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19,319,780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 CLO 2014-1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15.35%, maturity April 17,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06/13/2024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37,275,000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6,841,344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5,218,500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14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11.87%, maturity October 20,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32,359,864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21,186,682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15,713,950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16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6.50%, maturity April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03/18/2024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39,850,000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25,885,519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15,740,750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27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8.30%, maturity April 18,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44,412,500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35,263,213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23,982,750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38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13.23%, maturity April 22,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01/17/2025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49,662,000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43,042,618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36,253,260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3"/>
        <w:gridCol w:w="146"/>
        <w:gridCol w:w="1114"/>
        <w:gridCol w:w="146"/>
        <w:gridCol w:w="211"/>
        <w:gridCol w:w="1036"/>
        <w:gridCol w:w="146"/>
        <w:gridCol w:w="211"/>
        <w:gridCol w:w="1036"/>
        <w:gridCol w:w="146"/>
        <w:gridCol w:w="211"/>
        <w:gridCol w:w="1036"/>
        <w:gridCol w:w="146"/>
        <w:gridCol w:w="707"/>
      </w:tblGrid>
      <w:tr>
        <w:trPr/>
        <w:tc>
          <w:tcPr>
            <w:tcW w:w="3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V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13.38%, maturity October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8,225,433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5,928,000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VI,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12.64%, maturity July 18,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07/11/2024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24,327,000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16,540,484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10,947,150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Elmwood CLO XII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20.12%, maturity October 15,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18,576,443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15,157,500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Franklin Park Place CLO I</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23.54%, maturity April 14,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05/30/2024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29,915,743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15,405,576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13,162,927</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Generate CLO 11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17.11%, maturity October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02/03/2025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15,211,000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12,986,981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8,061,830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Gulf Stream Meridian 5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15.92%, maturity October 15, 2039)</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09/11/2024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14,423,684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7,417,232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6,341,029</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3-2014,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18, 2029)</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06/19/2020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4,757,446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5-2015,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15, 2030)</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1,296,149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10-2016,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15.44%, maturity April 20,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28,161,448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11,724,111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6,758,748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2021-16,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11.76%, maturity January 23, 2035)</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32,364,000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22,004,542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15,858,360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ICG US CLO 2014-1,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12.40%, maturity October 20,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28,687,500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5,280,526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3,442,500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ICG US CLO 2018-2,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22, 2031)</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1,364,768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384,130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Kings Park CLO,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13.06%, maturity January 21, 2035)</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40,627,500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24,175,968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18,688,650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Lakeside Park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(5)(7)(9)(11)</w:t>
            </w:r>
            <w:r>
              <w:rPr>
                <w:rFonts w:ascii="Times New Roman PS Std;serif" w:hAnsi="Times New Roman PS Std;serif"/>
                <w:b w:val="false"/>
                <w:i w:val="false"/>
                <w:caps w:val="false"/>
                <w:smallCaps w:val="false"/>
                <w:sz w:val="16"/>
              </w:rPr>
              <w:t>, (Estimated yield 16.00%, maturity April 15,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03/07/2025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55,824,333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46,329,588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42,236,690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LCM 35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15,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10/28/2021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15,030,157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4,142,891</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LCM 40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27.27%, maturity January 15,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10,403,740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10,064,921</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23, 2029)</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01/21/2022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April 19,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497,880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681,550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w:t>
            </w:r>
            <w:r>
              <w:rPr>
                <w:rFonts w:ascii="Times New Roman PS Std;serif" w:hAnsi="Times New Roman PS Std;serif"/>
                <w:b w:val="false"/>
                <w:i w:val="false"/>
                <w:caps w:val="false"/>
                <w:smallCaps w:val="false"/>
                <w:sz w:val="16"/>
              </w:rPr>
              <w:t>, (Estimated yield 13.95%, maturity October 15, 2032)</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3,156,858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1,447,600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XXIV,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3.66%, maturity October 20, 2029)</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03/28/2019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3,568,750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1,327,164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856,500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 XLI, Ltd. (fka: Atrium XII CLO)</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22, 2027)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10/08/2015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136,763</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Magnetite XLV, Limited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16.12%, maturity April 15,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03/12/2025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50,550,000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48,232,109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44,842,905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Magnetite XLVII, Limited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11.69%, maturity January 25,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10/17/2024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50,484,000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47,280,950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36,853,320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Magnetite 50, Limited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16.20%, maturity July 25,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06/23/2025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48,817,000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45,893,871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43,935,300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XVI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16.58%, maturity November 16,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04/17/2024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7,742,445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5,337,500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XVII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20.32%, maturity July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8,142,793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7,395,000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XVIII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17.22%, maturity March 15,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48,185,419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27,904,143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23,610,855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Marble Point CLO XXIV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11.61%, maturity April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27,190,000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16,797,673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11,419,800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Mariner CLO 8,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19.25%, maturity October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12,439,280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6,923,926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6,095,247</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Medalist Partners Corporate Finance CLO VI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33.75%, maturity October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28,709,880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5,998,794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7,177,470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II</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29,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06/17/2021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3,256,849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III</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21,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04/24/2019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5,610,318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Midocean Credit CLO VI</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20, 2033)</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11/08/2016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14,048,415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2,524,500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Milford Park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05/12/2022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27,960,000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20,537,442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23,766,000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MP CLO VIII,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2.05%, maturity April 28,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3,440,011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Nassau 2017-II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15,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09/17/2019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8,200,260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Neuberger Berman CLO XIV,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28, 2030)</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01/26/2022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172,453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403,260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Neuberger Berman CLO XVII,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15.26%, maturity July 22,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06/13/2024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73,756,250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16,922,406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14,013,688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Nyack Park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16.12%, maturity October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44,553,800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29,026,622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24,504,590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2018-1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20,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3"/>
        <w:gridCol w:w="146"/>
        <w:gridCol w:w="1114"/>
        <w:gridCol w:w="146"/>
        <w:gridCol w:w="211"/>
        <w:gridCol w:w="1036"/>
        <w:gridCol w:w="146"/>
        <w:gridCol w:w="211"/>
        <w:gridCol w:w="1036"/>
        <w:gridCol w:w="146"/>
        <w:gridCol w:w="211"/>
        <w:gridCol w:w="1036"/>
        <w:gridCol w:w="146"/>
        <w:gridCol w:w="707"/>
      </w:tblGrid>
      <w:tr>
        <w:trPr/>
        <w:tc>
          <w:tcPr>
            <w:tcW w:w="3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2019-1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22, 2030)</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06/12/2024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2019-2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16.79%, maturity October 15,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01/30/2025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19,749,536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16,720,000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2019-3,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16.62%, maturity January 20,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42,243,480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27,975,023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24,078,784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2019-4,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20.55%, maturity July 20,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05/29/2025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6,354,569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2022-1,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16.31%, maturity July 15,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32,722,223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24,414,064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20,287,778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Oaktree CLO 2022-2,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18.41%, maturity October 15, 2037)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28,703,050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25,900,000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2015-10,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preference shares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17.70%, maturity January 26, 2038)</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07/06/2023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35,145,000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15,571,436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14,585,175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2016-11,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preference shares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19.65%, maturity July 26, 2038)</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05/31/2024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50,925,000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22,551,232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19,096,875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2020-18,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preference shares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14.86%, maturity July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46,010,000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17,908,108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15,183,300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XXII,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22, 2030)</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06/07/2018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32,055,000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4,822,368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80,138</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31,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20, 2030)</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01/09/2025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36,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2031)</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1,653,095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155,557</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38,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12.69%, maturity October 20, 2037)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27,930,029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7,705,209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5,027,405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809"/>
        <w:gridCol w:w="146"/>
        <w:gridCol w:w="1113"/>
        <w:gridCol w:w="146"/>
        <w:gridCol w:w="211"/>
        <w:gridCol w:w="1141"/>
        <w:gridCol w:w="146"/>
        <w:gridCol w:w="211"/>
        <w:gridCol w:w="1036"/>
        <w:gridCol w:w="146"/>
        <w:gridCol w:w="211"/>
        <w:gridCol w:w="1036"/>
        <w:gridCol w:w="146"/>
        <w:gridCol w:w="707"/>
      </w:tblGrid>
      <w:tr>
        <w:trPr/>
        <w:tc>
          <w:tcPr>
            <w:tcW w:w="38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8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40,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15.23%, maturity January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02/14/2019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17,740,000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6,978,739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3,548,000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41,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15.92%, maturity October 15, 2033)</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6,985,752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4,837,231</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42,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18.32%, maturity July 15,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31,965,078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12,904,840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9,558,243</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47,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17.20%, maturity January 22,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52,689,000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25,723,334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21,075,600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48,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12.77%, maturity January 15, 2039)</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07/25/2022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8,832,051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7,005,813</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52,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17.08%, maturity July 23,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06/05/2024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33,926,829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23,580,415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19,338,293</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57,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9.79%, maturity October 15,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31,725,000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20,403,280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11,622,492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60,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17.62%, maturity October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29,321,408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24,613,875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64,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24.54%, maturity July 21,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06/10/2025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28,433,739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75,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15.61%, maturity January 22,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01/31/2025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53,044,000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46,982,049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40,313,440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2024-34,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12.16%, maturity October 15,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07/02/2024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28,444,023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22,638,000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2024-37,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13.63%, maturity October 15,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09/27/2024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27,035,000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24,270,006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20,816,950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80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OFSI BSL VIII,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80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preferred shares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August 16, 2029)</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04/26/2019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2,626,837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551,650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OFSI BSL X,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19.43%, maturity April 20,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14,693,760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7,657,000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Onex CLO Subsidiary 2023-1,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9.37%, maturity April 23,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03/12/2024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30,545,658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22,784,000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Onex CLO Subsidiary 2025-F,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15.75%, maturity May 21,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04/09/2025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41,633,139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37,202,000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VII,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17, 2029)</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01/29/2020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21,891,673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1,615,141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148,863</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IX,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October 20,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06/24/2022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995,891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XXIII,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22.82%, maturity October 15,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05/10/2024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31,755,000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14,640,300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12,384,450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XIV,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16.38%, maturity January 15,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12/07/2015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35,176,667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14,481,783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10,377,117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OZLM XIX,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18.09%, maturity January 15, 2035)</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42,795,000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18,356,520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13,400,234</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Peace Park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16.26%, maturity October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03/15/2024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13,108,188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Polus US CLO 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20.33%, maturity October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06/12/2025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5,981,919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5,600,000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Post CLO 2018-1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23.05%, maturity October 16,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06/05/2025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29,282,500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11,332,508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10,248,875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VI Funding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16.49%, maturity October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10/21/2021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33,675,700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12,075,198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11,449,738</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 Funding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25.62%, maturity July 17,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31,600,000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6,824,314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6,952,000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XIV Funding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October 25,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02/20/2025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361,896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1,830,920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XVIII Funding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19.14%, maturity April 15,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29,740,356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19,232,892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18,810,775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XXII Funding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18.64%, maturity July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38,823,000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28,256,088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27,176,100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XXIII Funding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7.24%, maturity January 20, 2035)</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26,429,333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18,652,612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15,593,306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XXVI Funding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15.82%, maturity January 25,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23,022,500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20,302,715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17,727,325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XXIX Funding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15.14%, maturity September 06,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08/02/2024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38,542,640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34,235,547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31,604,965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Regatta 32 Funding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(5)(7)(9)(11)</w:t>
            </w:r>
            <w:r>
              <w:rPr>
                <w:rFonts w:ascii="Times New Roman PS Std;serif" w:hAnsi="Times New Roman PS Std;serif"/>
                <w:b w:val="false"/>
                <w:i w:val="false"/>
                <w:caps w:val="false"/>
                <w:smallCaps w:val="false"/>
                <w:sz w:val="16"/>
              </w:rPr>
              <w:t>, (Estimated yield 17.87%, maturity July 25,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06/11/2025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28,657,356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27,708,685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26,078,194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Riserva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18.44%, maturity January 18,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03/18/2022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4,253,116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2019-1,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16.49%, maturity April 20,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09/13/2023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5,141,346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2021-2,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32.08%, maturity July 20,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05/22/2025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10,822,195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10,780,000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6.36%, maturity July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38,068,750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26,517,614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18,463,344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2022-3,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30.73%, maturity July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10,768,056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12,810,000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2025-2,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w:t>
            </w:r>
            <w:r>
              <w:rPr>
                <w:rFonts w:ascii="Times New Roman PS Std;serif" w:hAnsi="Times New Roman PS Std;serif"/>
                <w:b w:val="false"/>
                <w:i w:val="false"/>
                <w:caps w:val="false"/>
                <w:smallCaps w:val="false"/>
                <w:sz w:val="16"/>
              </w:rPr>
              <w:t>, (Estimated yield 18.33%, maturity March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07/17/2025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30,616,000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26,153,429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25,190,845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Rockland Park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12.67%, maturity July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40,650,498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24,638,936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21,138,259</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Romark CLO – V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5.57%, maturity January 15, 2035)</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11/18/2021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17,623,137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10,500,000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XXIX,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20.66%, maturity July 22,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09/20/2023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24,180,000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11,565,401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9,913,800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XXXII,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16.80%, maturity April 30,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03/06/2024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8,253,826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7,320,000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XXXIII,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16.29%, maturity July 20,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07/01/2024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5,786,000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4,190,508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3,413,740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XXXIV,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15.93%, maturity January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11/15/2024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6,579,000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5,055,103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4,342,140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XXXV,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(5)(7)(9)(11)</w:t>
            </w:r>
            <w:r>
              <w:rPr>
                <w:rFonts w:ascii="Times New Roman PS Std;serif" w:hAnsi="Times New Roman PS Std;serif"/>
                <w:b w:val="false"/>
                <w:i w:val="false"/>
                <w:caps w:val="false"/>
                <w:smallCaps w:val="false"/>
                <w:sz w:val="16"/>
              </w:rPr>
              <w:t>, (Estimated yield 19.11%, maturity April 27,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03/24/2025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8,170,000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6,145,123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5,473,900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Sculptor CLO XXXVII,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Subordinated warehouse notes</w:t>
            </w:r>
            <w:r>
              <w:rPr>
                <w:rFonts w:ascii="Times New Roman PS Std;serif" w:hAnsi="Times New Roman PS Std;serif"/>
                <w:b w:val="false"/>
                <w:i w:val="false"/>
                <w:caps w:val="false"/>
                <w:smallCaps w:val="false"/>
                <w:sz w:val="12"/>
              </w:rPr>
              <w:t>(4)(7)</w:t>
            </w:r>
            <w:r>
              <w:rPr>
                <w:rFonts w:ascii="Times New Roman PS Std;serif" w:hAnsi="Times New Roman PS Std;serif"/>
                <w:b w:val="false"/>
                <w:i w:val="false"/>
                <w:caps w:val="false"/>
                <w:smallCaps w:val="false"/>
                <w:sz w:val="16"/>
              </w:rPr>
              <w:t>, (Estimated yield 43.94%, maturity March 26, 2027)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18,409,890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18,409,890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18,409,890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Shackleton 2013-IV-R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13,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08/14/2018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2,354,156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243,671</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4,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30.76%, maturity October 26,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08/09/2023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41,187,685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8,627,296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5,766,276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5,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14.22%, maturity April 25,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05/20/2024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33,067,500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9,277,741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5,621,475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7,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22.87%, maturity October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05/21/2025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22,817,000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9,888,524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8,442,290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9,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14.71%, maturity January 21,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07/19/2021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35,217,808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24,002,972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17,608,904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Signal Peak CLO 10,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15.62%, maturity January 24,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02/16/2023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12,586,650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8,681,799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6,922,658</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V-R,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18,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2,859,667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26, 2031)</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07/07/2021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4,520,042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32.82%, maturity July 15,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19,202,500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5,425,264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2,665,652</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XXIX,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17.96%, maturity April 25,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08/09/2023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21,428,000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9,613,225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5,142,720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18.97%, maturity July 25,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21,151,500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9,721,750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5,076,360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XXXIII,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13.55%, maturity April 25,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06/01/2023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15,733,176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7,519,689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4,090,626</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38,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19.29%, maturity February 20,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07/29/2025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3,899,359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3,852,500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40,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15.63%, maturity October 20,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08/06/2024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28,635,000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25,130,458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21,476,250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Symphony CLO XVII,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15, 2028)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06/21/2023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141,825</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TCW CLO 2021-2,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w:t>
            </w:r>
            <w:r>
              <w:rPr>
                <w:rFonts w:ascii="Times New Roman PS Std;serif" w:hAnsi="Times New Roman PS Std;serif"/>
                <w:b w:val="false"/>
                <w:i w:val="false"/>
                <w:caps w:val="false"/>
                <w:smallCaps w:val="false"/>
                <w:sz w:val="16"/>
              </w:rPr>
              <w:t>, (Estimated yield 18.15%, maturity October 24,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5,625,000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3,220,754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2,643,750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TCW CLO 2022-1,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24.59%, maturity January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28,486,000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15,040,762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15,382,440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TCW CLO 2025-1,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19.38%, maturity April 20, 2038)</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02/18/2025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26,075,000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22,116,596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21,120,750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4018"/>
        <w:gridCol w:w="146"/>
        <w:gridCol w:w="1114"/>
        <w:gridCol w:w="146"/>
        <w:gridCol w:w="211"/>
        <w:gridCol w:w="1036"/>
        <w:gridCol w:w="146"/>
        <w:gridCol w:w="211"/>
        <w:gridCol w:w="1036"/>
        <w:gridCol w:w="146"/>
        <w:gridCol w:w="211"/>
        <w:gridCol w:w="931"/>
        <w:gridCol w:w="146"/>
        <w:gridCol w:w="707"/>
      </w:tblGrid>
      <w:tr>
        <w:trPr/>
        <w:tc>
          <w:tcPr>
            <w:tcW w:w="40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2013-3,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July 17, 2026)</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01/25/2013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14,332,210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6,266,409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1,433</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2014-6,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17, 2027)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11/08/2017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9,166,640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2017-1 CLO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18, 2036)</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02/02/2017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6,956,206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2,485,000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2018-3 CLO Ltd.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January 20, 2031)</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03/02/2022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8,115,235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2,209,800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Tralee CLO II, Ltd.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20, 2029)</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06/06/2018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1,683,974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 CLO, Limited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(5)(7)(10)(11)(19)</w:t>
            </w:r>
            <w:r>
              <w:rPr>
                <w:rFonts w:ascii="Times New Roman PS Std;serif" w:hAnsi="Times New Roman PS Std;serif"/>
                <w:b w:val="false"/>
                <w:i w:val="false"/>
                <w:caps w:val="false"/>
                <w:smallCaps w:val="false"/>
                <w:sz w:val="16"/>
              </w:rPr>
              <w:t>, (Estimated yield 0.00%, maturity April 15, 2027)</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07/27/2018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532,119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 CLO, Limited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15, 2027)</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13,459,356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XXII CLO, Limited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January 15, 2031)</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02/09/2022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4,405,303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XXV CLO, Limited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April 20, 2029)</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09/25/2020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1,606,193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37 CLO, Limited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July 15, 2032)</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2,704,473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41 CLO, Limited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15.17%, maturity January 20,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7,249,490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3,920,000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42 CLO, Limited</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2034)</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3,912,539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1,750,000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01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44 CLO, Limited</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01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2034)</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08/16/2021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13,787,578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4,702,500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914"/>
        <w:gridCol w:w="146"/>
        <w:gridCol w:w="1113"/>
        <w:gridCol w:w="146"/>
        <w:gridCol w:w="211"/>
        <w:gridCol w:w="1036"/>
        <w:gridCol w:w="146"/>
        <w:gridCol w:w="211"/>
        <w:gridCol w:w="1036"/>
        <w:gridCol w:w="146"/>
        <w:gridCol w:w="211"/>
        <w:gridCol w:w="1036"/>
        <w:gridCol w:w="146"/>
        <w:gridCol w:w="707"/>
      </w:tblGrid>
      <w:tr>
        <w:trPr/>
        <w:tc>
          <w:tcPr>
            <w:tcW w:w="39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9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47 CLO, Limited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23.81%, maturity April 20, 2036)</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03/14/2023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10,504,862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8,970,000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48 CLO, Limited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10.01%, maturity October 20, 2036)</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08/24/2023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26,848,000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21,869,531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14,766,400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Verona Park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Subordinated warehouse notes</w:t>
            </w:r>
            <w:r>
              <w:rPr>
                <w:rFonts w:ascii="Times New Roman PS Std;serif" w:hAnsi="Times New Roman PS Std;serif"/>
                <w:b w:val="false"/>
                <w:i w:val="false"/>
                <w:caps w:val="false"/>
                <w:smallCaps w:val="false"/>
                <w:sz w:val="12"/>
              </w:rPr>
              <w:t>(4)(7)(11)</w:t>
            </w:r>
            <w:r>
              <w:rPr>
                <w:rFonts w:ascii="Times New Roman PS Std;serif" w:hAnsi="Times New Roman PS Std;serif"/>
                <w:b w:val="false"/>
                <w:i w:val="false"/>
                <w:caps w:val="false"/>
                <w:smallCaps w:val="false"/>
                <w:sz w:val="16"/>
              </w:rPr>
              <w:t>, (Estimated yield 18.07%, maturity July 07, 2027)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08/04/2025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3,894,444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3,894,444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3,894,444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Vibrant CLO III,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2031)</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02/05/2019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31,810,000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5,968,292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1,272,400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Vibrant CLO XIV,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15.65%, maturity October 20,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19,129,414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15,700,000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2018-4,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21.15%, maturity October 15, 2037)</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01/03/2024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38,851,800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11,746,591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10,510,953</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2020-1,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12.97%, maturity July 16, 2034)</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03/08/2022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9,200,862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6,975,000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2020-3,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15.69%, maturity January 20, 2038)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05/03/2022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15,220,000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10,889,561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9,436,400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Voya CLO 2024-4,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13.02%, maturity July 20, 2037)</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07/12/2024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42,720,000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40,945,545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33,321,600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Wellfleet 2016-2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October 20, 2028)</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09/28/2016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5,280,208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2018-2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w:t>
            </w:r>
            <w:r>
              <w:rPr>
                <w:rFonts w:ascii="Times New Roman PS Std;serif" w:hAnsi="Times New Roman PS Std;serif"/>
                <w:b w:val="false"/>
                <w:i w:val="false"/>
                <w:caps w:val="false"/>
                <w:smallCaps w:val="false"/>
                <w:sz w:val="16"/>
              </w:rPr>
              <w:t>, (Estimated yield 10.64%, maturity July 15, 2030)</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10/17/2024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694,974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1,159,692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2021-2 CLO Ltd.</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4.45%, maturity July 20, 2034)</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05/14/2021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17,350,540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8,289,000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39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2021-4 CLO Ltd.</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(5)(7)(11)(19)</w:t>
            </w:r>
            <w:r>
              <w:rPr>
                <w:rFonts w:ascii="Times New Roman PS Std;serif" w:hAnsi="Times New Roman PS Std;serif"/>
                <w:b w:val="false"/>
                <w:i w:val="false"/>
                <w:caps w:val="false"/>
                <w:smallCaps w:val="false"/>
                <w:sz w:val="16"/>
              </w:rPr>
              <w:t>, (Estimated yield 0.00%, maturity January 20, 2035)</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08/15/2023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9,096,750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4,163,723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545,805</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3143"/>
        <w:gridCol w:w="146"/>
        <w:gridCol w:w="1103"/>
        <w:gridCol w:w="146"/>
        <w:gridCol w:w="211"/>
        <w:gridCol w:w="1036"/>
        <w:gridCol w:w="146"/>
        <w:gridCol w:w="211"/>
        <w:gridCol w:w="1291"/>
        <w:gridCol w:w="146"/>
        <w:gridCol w:w="211"/>
        <w:gridCol w:w="1291"/>
        <w:gridCol w:w="146"/>
        <w:gridCol w:w="676"/>
        <w:gridCol w:w="302"/>
      </w:tblGrid>
      <w:tr>
        <w:trPr/>
        <w:tc>
          <w:tcPr>
            <w:tcW w:w="31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31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2023-1 CLO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9.23%, maturity July 25, 2038)</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03/13/2023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42,300,000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33,132,206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19,458,000</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York CLO-5 Ltd.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17.54%, maturity July 22, 2037)</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05/20/2021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32,625,000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14,226,027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9,461,250</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York CLO-6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w:t>
            </w:r>
            <w:r>
              <w:rPr>
                <w:rFonts w:ascii="Times New Roman PS Std;serif" w:hAnsi="Times New Roman PS Std;serif"/>
                <w:b w:val="false"/>
                <w:i w:val="false"/>
                <w:caps w:val="false"/>
                <w:smallCaps w:val="false"/>
                <w:sz w:val="16"/>
              </w:rPr>
              <w:t>, (Estimated yield 11.44%, maturity October 22, 2037)</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10/16/2024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16,306,515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11,385,000</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7, Limited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(5)(7)(19)</w:t>
            </w:r>
            <w:r>
              <w:rPr>
                <w:rFonts w:ascii="Times New Roman PS Std;serif" w:hAnsi="Times New Roman PS Std;serif"/>
                <w:b w:val="false"/>
                <w:i w:val="false"/>
                <w:caps w:val="false"/>
                <w:smallCaps w:val="false"/>
                <w:sz w:val="16"/>
              </w:rPr>
              <w:t>, (Estimated yield 0.00%, maturity April 15, 2030)</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06/29/2021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1,764,640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920</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9, Limited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w:t>
            </w:r>
            <w:r>
              <w:rPr>
                <w:rFonts w:ascii="Times New Roman PS Std;serif" w:hAnsi="Times New Roman PS Std;serif"/>
                <w:b w:val="false"/>
                <w:i w:val="false"/>
                <w:caps w:val="false"/>
                <w:smallCaps w:val="false"/>
                <w:sz w:val="12"/>
              </w:rPr>
              <w:t>(5)(7)(10)(19)</w:t>
            </w:r>
            <w:r>
              <w:rPr>
                <w:rFonts w:ascii="Times New Roman PS Std;serif" w:hAnsi="Times New Roman PS Std;serif"/>
                <w:b w:val="false"/>
                <w:i w:val="false"/>
                <w:caps w:val="false"/>
                <w:smallCaps w:val="false"/>
                <w:sz w:val="16"/>
              </w:rPr>
              <w:t>, (Estimated yield 0.00%, maturity July 20, 2031)</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06/19/2018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4,245,763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25,400</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 Investments</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3,265,666,615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2,552,603,646</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136.96</w:t>
            </w:r>
          </w:p>
        </w:tc>
        <w:tc>
          <w:tcPr>
            <w:tcW w:w="3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Fee Notes – Equity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u w:val="single"/>
              </w:rPr>
              <w:t>Investments – 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Structured Finance – Equity Fee Note Investments</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AMMC CLO 25, Limited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October 15, 2038)</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04/27/2022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741,639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1,129,779</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LXI CLO Ltd.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April 20, 2037)</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08/25/2021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256,671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355,892</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Fuji US CLO II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October 20, 2030)</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12/22/2021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Columbia Cent CLO 28 Limited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(8)(10)(18)</w:t>
            </w:r>
            <w:r>
              <w:rPr>
                <w:rFonts w:ascii="Times New Roman PS Std;serif" w:hAnsi="Times New Roman PS Std;serif"/>
                <w:b w:val="false"/>
                <w:i w:val="false"/>
                <w:caps w:val="false"/>
                <w:smallCaps w:val="false"/>
                <w:sz w:val="16"/>
              </w:rPr>
              <w:t>, (maturity November 07, 2030)</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01/14/2022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Croton Park CLO,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October 15, 2037)</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08/28/2024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2,293,283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2,219,432</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Franklin Park Place CLO I</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(8)(11)(18)</w:t>
            </w:r>
            <w:r>
              <w:rPr>
                <w:rFonts w:ascii="Times New Roman PS Std;serif" w:hAnsi="Times New Roman PS Std;serif"/>
                <w:b w:val="false"/>
                <w:i w:val="false"/>
                <w:caps w:val="false"/>
                <w:smallCaps w:val="false"/>
                <w:sz w:val="16"/>
              </w:rPr>
              <w:t>, (maturity April 14, 2038)</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05/30/2024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946,068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1,797,859</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Highbridge Loan Management 3-2014,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18, 2029)</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04/06/2022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HPS Loan Management 2021-16, Ltd.</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January 23, 2035)</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11/12/2021</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554,135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401,407</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LCM 40 Ltd.</w:t>
            </w:r>
          </w:p>
        </w:tc>
        <w:tc>
          <w:tcPr>
            <w:tcW w:w="14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January 15, 2038)</w:t>
            </w:r>
          </w:p>
        </w:tc>
        <w:tc>
          <w:tcPr>
            <w:tcW w:w="146" w:type="dxa"/>
            <w:tcBorders/>
            <w:vAlign w:val="bottom"/>
          </w:tcPr>
          <w:p>
            <w:pPr>
              <w:pStyle w:val="TableContents"/>
              <w:bidi w:val="0"/>
              <w:spacing w:before="0" w:after="283"/>
              <w:jc w:val="left"/>
              <w:rPr/>
            </w:pPr>
            <w:r>
              <w:rPr/>
              <w:t> </w:t>
            </w:r>
          </w:p>
        </w:tc>
        <w:tc>
          <w:tcPr>
            <w:tcW w:w="11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04/20/2023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236,533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325,622</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4731"/>
        <w:gridCol w:w="146"/>
        <w:gridCol w:w="1109"/>
        <w:gridCol w:w="146"/>
        <w:gridCol w:w="944"/>
        <w:gridCol w:w="146"/>
        <w:gridCol w:w="211"/>
        <w:gridCol w:w="781"/>
        <w:gridCol w:w="146"/>
        <w:gridCol w:w="211"/>
        <w:gridCol w:w="781"/>
        <w:gridCol w:w="146"/>
        <w:gridCol w:w="707"/>
      </w:tblGrid>
      <w:tr>
        <w:trPr/>
        <w:tc>
          <w:tcPr>
            <w:tcW w:w="4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4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Fee Notes – Equity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u w:val="single"/>
              </w:rPr>
              <w:t>Investments – Other CLO Equity Related Investments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Fee Note Investments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57,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(8)(11)(18)</w:t>
            </w:r>
            <w:r>
              <w:rPr>
                <w:rFonts w:ascii="Times New Roman PS Std;serif" w:hAnsi="Times New Roman PS Std;serif"/>
                <w:b w:val="false"/>
                <w:i w:val="false"/>
                <w:caps w:val="false"/>
                <w:smallCaps w:val="false"/>
                <w:sz w:val="16"/>
              </w:rPr>
              <w:t>, (maturity October 15, 2034)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10/13/2021</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396,791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207,237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60,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October 20, 2037)</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09/08/2022</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838,877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944,646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Point AU Roche Park CLO,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M1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05/28/2021</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89,667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37,510</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M2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2034)</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05/28/2021</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161,633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82,982</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Rockland Park CLO,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M1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2038)</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284,496</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374,794</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M2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2038)</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04/26/2021</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515,405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701,157</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2021-3,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October 20, 2034)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09/22/2021</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288,608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422,803</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2022-1,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2035)</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05/06/2022</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344,116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278,102</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Rockford Tower CLO 2022-3,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(8)(11)(18)</w:t>
            </w:r>
            <w:r>
              <w:rPr>
                <w:rFonts w:ascii="Times New Roman PS Std;serif" w:hAnsi="Times New Roman PS Std;serif"/>
                <w:b w:val="false"/>
                <w:i w:val="false"/>
                <w:caps w:val="false"/>
                <w:smallCaps w:val="false"/>
                <w:sz w:val="16"/>
              </w:rPr>
              <w:t>, (maturity July 20, 2037)</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07/22/2024</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416,774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435,227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XXIII,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(8)(11)(18)</w:t>
            </w:r>
            <w:r>
              <w:rPr>
                <w:rFonts w:ascii="Times New Roman PS Std;serif" w:hAnsi="Times New Roman PS Std;serif"/>
                <w:b w:val="false"/>
                <w:i w:val="false"/>
                <w:caps w:val="false"/>
                <w:smallCaps w:val="false"/>
                <w:sz w:val="16"/>
              </w:rPr>
              <w:t>, (maturity July 15, 2034)</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05/09/2024</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99,709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55,850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XXIX,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April 25, 2034)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08/09/2023</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128,651</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95,447</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25, 2034)</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08/03/2023</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148,689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123,973</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XXXIII,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April 25, 2035)</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06/01/2023</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158,339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153,072</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THL Credit Wind River 2017-1 CLO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April 18, 2036)</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02/02/2017</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55,636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174,430</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Tralee CLO IV, Ltd.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January 20, 2030)</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03/16/2018</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XXV CLO, Limited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(8)(10)(18)</w:t>
            </w:r>
            <w:r>
              <w:rPr>
                <w:rFonts w:ascii="Times New Roman PS Std;serif" w:hAnsi="Times New Roman PS Std;serif"/>
                <w:b w:val="false"/>
                <w:i w:val="false"/>
                <w:caps w:val="false"/>
                <w:smallCaps w:val="false"/>
                <w:sz w:val="16"/>
              </w:rPr>
              <w:t>, (maturity April 20, 2029)</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09/25/2020</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42 CLO, Limited</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Y fee notes</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April 15, 2034)</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03/15/2021</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182,227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56,301</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2021-2 CLO Ltd.</w:t>
            </w:r>
          </w:p>
        </w:tc>
        <w:tc>
          <w:tcPr>
            <w:tcW w:w="14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r>
      <w:tr>
        <w:trPr/>
        <w:tc>
          <w:tcPr>
            <w:tcW w:w="47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20, 2034)</w:t>
            </w:r>
          </w:p>
        </w:tc>
        <w:tc>
          <w:tcPr>
            <w:tcW w:w="14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05/14/2021</w:t>
            </w:r>
          </w:p>
        </w:tc>
        <w:tc>
          <w:tcPr>
            <w:tcW w:w="14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337,170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430,206</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tbl>
      <w:tblPr>
        <w:tblW w:w="10205" w:type="dxa"/>
        <w:jc w:val="left"/>
        <w:tblInd w:w="0" w:type="dxa"/>
        <w:tblLayout w:type="fixed"/>
        <w:tblCellMar>
          <w:top w:w="0" w:type="dxa"/>
          <w:left w:w="0" w:type="dxa"/>
          <w:bottom w:w="0" w:type="dxa"/>
          <w:right w:w="0" w:type="dxa"/>
        </w:tblCellMar>
      </w:tblPr>
      <w:tblGrid>
        <w:gridCol w:w="2812"/>
        <w:gridCol w:w="146"/>
        <w:gridCol w:w="815"/>
        <w:gridCol w:w="304"/>
        <w:gridCol w:w="146"/>
        <w:gridCol w:w="1036"/>
        <w:gridCol w:w="146"/>
        <w:gridCol w:w="226"/>
        <w:gridCol w:w="1486"/>
        <w:gridCol w:w="146"/>
        <w:gridCol w:w="226"/>
        <w:gridCol w:w="1486"/>
        <w:gridCol w:w="146"/>
        <w:gridCol w:w="766"/>
        <w:gridCol w:w="318"/>
      </w:tblGrid>
      <w:tr>
        <w:trPr/>
        <w:tc>
          <w:tcPr>
            <w:tcW w:w="28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(1)(13)(14)</w:t>
            </w:r>
          </w:p>
        </w:tc>
        <w:tc>
          <w:tcPr>
            <w:tcW w:w="146" w:type="dxa"/>
            <w:tcBorders/>
            <w:vAlign w:val="bottom"/>
          </w:tcPr>
          <w:p>
            <w:pPr>
              <w:pStyle w:val="TableContents"/>
              <w:bidi w:val="0"/>
              <w:spacing w:before="0" w:after="283"/>
              <w:jc w:val="left"/>
              <w:rPr/>
            </w:pPr>
            <w:r>
              <w:rPr/>
              <w:t> </w:t>
            </w:r>
          </w:p>
        </w:tc>
        <w:tc>
          <w:tcPr>
            <w:tcW w:w="111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ACQUISITION </w:t>
              <w:br/>
              <w:t>DATE</w:t>
            </w:r>
            <w:r>
              <w:rPr>
                <w:rFonts w:ascii="Times New Roman PS Std;serif" w:hAnsi="Times New Roman PS Std;serif"/>
                <w:b/>
                <w:i w:val="false"/>
                <w:caps w:val="false"/>
                <w:smallCaps w:val="false"/>
                <w:sz w:val="8"/>
              </w:rPr>
              <w:t>(15)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7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7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sz w:val="14"/>
              </w:rPr>
            </w:pPr>
            <w:r>
              <w:rPr>
                <w:rFonts w:ascii="Times New Roman PS Std;serif" w:hAnsi="Times New Roman PS Std;serif"/>
                <w:b/>
                <w:i w:val="false"/>
                <w:caps/>
                <w:sz w:val="14"/>
              </w:rPr>
              <w:t xml:space="preserve">% of </w:t>
              <w:br/>
              <w:t xml:space="preserve">Net </w:t>
              <w:br/>
              <w:t>Assets</w:t>
            </w:r>
          </w:p>
        </w:tc>
      </w:tr>
      <w:tr>
        <w:trPr/>
        <w:tc>
          <w:tcPr>
            <w:tcW w:w="2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Collateralized Loan Obligation Fee Notes – Equity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u w:val="single"/>
              </w:rPr>
              <w:t>Investments – Other CLO Equity Related Investments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(continued)</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u w:val="single"/>
              </w:rPr>
              <w:t>Structured Finance – Equity Fee Note Investments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(continued)</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Wind River 2023-1 CLO Ltd.</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CLO subordinated fee notes </w:t>
            </w:r>
            <w:r>
              <w:rPr>
                <w:rFonts w:ascii="Times New Roman PS Std;serif" w:hAnsi="Times New Roman PS Std;serif"/>
                <w:b w:val="false"/>
                <w:i w:val="false"/>
                <w:caps w:val="false"/>
                <w:smallCaps w:val="false"/>
                <w:sz w:val="12"/>
              </w:rPr>
              <w:t>(8)(18)</w:t>
            </w:r>
            <w:r>
              <w:rPr>
                <w:rFonts w:ascii="Times New Roman PS Std;serif" w:hAnsi="Times New Roman PS Std;serif"/>
                <w:b w:val="false"/>
                <w:i w:val="false"/>
                <w:caps w:val="false"/>
                <w:smallCaps w:val="false"/>
                <w:sz w:val="16"/>
              </w:rPr>
              <w:t>, (maturity July 25, 2038)</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03/13/2023</w:t>
            </w:r>
          </w:p>
        </w:tc>
        <w:tc>
          <w:tcPr>
            <w:tcW w:w="3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1,827,242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4,506,831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other</w:t>
            </w:r>
            <w:r>
              <w:rPr>
                <w:rFonts w:ascii="Times New Roman PS Std;serif" w:hAnsi="Times New Roman PS Std;serif"/>
                <w:b w:val="false"/>
                <w:i w:val="false"/>
                <w:caps w:val="false"/>
                <w:smallCaps w:val="false"/>
                <w:sz w:val="12"/>
              </w:rPr>
              <w:t>(8)(18)</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Various</w:t>
            </w:r>
          </w:p>
        </w:tc>
        <w:tc>
          <w:tcPr>
            <w:tcW w:w="304"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12,093,878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13,007,900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23,396,237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28,318,459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Structured Finance – Equity Fee Note Investments</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3,289,062,852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2,580,922,105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138.48</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3,289,062,852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2,580,922,105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138.48</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2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Investments</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3,320,474,206</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2,599,602,064</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139.48</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Cash Equivalents</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American Government Obligations Fund, Class Z Shares, 4.00%</w:t>
            </w:r>
            <w:r>
              <w:rPr>
                <w:rFonts w:ascii="Times New Roman PS Std;serif" w:hAnsi="Times New Roman PS Std;serif"/>
                <w:b w:val="false"/>
                <w:i w:val="false"/>
                <w:caps w:val="false"/>
                <w:smallCaps w:val="false"/>
                <w:sz w:val="12"/>
              </w:rPr>
              <w:t>(12)</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19,102,016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19,102,016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19,102,016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Cash Equivalents</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19,102,016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19,102,016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1.02</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Investments and Cash Equivalents</w:t>
            </w:r>
          </w:p>
        </w:tc>
        <w:tc>
          <w:tcPr>
            <w:tcW w:w="146"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3,339,576,222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2,618,704,080</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140.50</w:t>
            </w:r>
          </w:p>
        </w:tc>
        <w:tc>
          <w:tcPr>
            <w:tcW w:w="31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do not “control” and are not an “affiliate” of any of our portfolio companies, each as defined in the 1940 Act. In general, under the 1940 Act, we would be presumed to “control” a portfolio company if we owned more than 25% of its voting securities and would be an “affiliate” of a portfolio company if we owned 5% or more of its voting securities.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Fund.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Cost value reflects accretion of original issue discount or market discount.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subordinated notes represent an investment in a warehouse facility, which is a financing structure intended to aggregate loans that may be used to form the basis of a CLO vehicle.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effective yield less any cash distributions received or entitled to be received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As September 30, 2025, the investment includes interest income capitalized as additional investment principal (Payment-In-Kind interest or “PIK”). The PIK interest rate for CLO debt positions represents the interest rate at payment date when PIK interest is received. Please refer to “Note 3. Summary of Significant Accounting Policies — Payment-In-Kind.”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CLO subordinated notes, preferred shares, preference shares and income notes are considered equity positions in the CLO’s vehicle. Equity investments are entitled to recurring distributions which are generally equal to the remaining cash flow of the payments made by the CLO’s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Fair value includes the Fund’s interest in subordinated fee notes, and represents discounted cash flows associated with fees earned from those fee 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Investment has not made inaugural distribution for relevant period end. Please refer to “Note 3. Summary of Significant Accounting Policies — Investment Income.”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The CLO equity investment was optionally redeemed. Expected value of residual distributions, once received, is anticipated to be recognized as return of capital, pending any remaining amortized cost, and/or realized gain for any amounts received in excess of such amortized cost. Please refer to “Note 3. Summary of Significant Accounting Policies — Securities Transactions.”</w:t>
      </w:r>
    </w:p>
    <w:p>
      <w:pPr>
        <w:pStyle w:val="TextBody"/>
        <w:keepNext w:val="false"/>
        <w:pageBreakBefore w:val="false"/>
        <w:widowControl/>
        <w:pBdr/>
        <w:bidi w:val="0"/>
        <w:spacing w:before="0" w:after="200"/>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Investment is co-invested with the Fund’s affiliates. See “Note 5. Related Party Transactions.”</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2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SEPTEMBER 30, 2025</w:t>
        <w:br/>
        <w:t>(Unaudited)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Represents cash equivalents held in a money market fund as of September 30,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The fair value of the investment was determined using significant unobservable inputs. See “Note 4.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The Fund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Acquisition date represents the initial date of purchase.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Cost and fair value total represents multiple investments which were purchased within one year prior to September 30,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The principal balance outstanding for this debt investment, in whole or in part, is indexed to the 90-day Secured Overnight Financing Rate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Cost value reflects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As of September 30, 2025,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606"/>
      <w:bookmarkEnd w:id="9"/>
      <w:r>
        <w:rPr>
          <w:rFonts w:ascii="Times New Roman PS Std;serif" w:hAnsi="Times New Roman PS Std;serif"/>
          <w:b/>
          <w:i w:val="false"/>
          <w:caps w:val="false"/>
          <w:smallCaps w:val="false"/>
          <w:sz w:val="20"/>
        </w:rPr>
        <w:t>OXFORD LANE CAPITAL CORP.</w:t>
        <w:br/>
        <w:t>STATEMENT OF OPERATIONS</w:t>
        <w:br/>
      </w:r>
      <w:r>
        <w:rPr>
          <w:rFonts w:ascii="Times New Roman PS Std;serif" w:hAnsi="Times New Roman PS Std;serif"/>
          <w:b/>
          <w:i w:val="false"/>
          <w:caps w:val="false"/>
          <w:smallCaps w:val="false"/>
          <w:sz w:val="18"/>
        </w:rPr>
        <w:t>(Unaudited)</w:t>
      </w:r>
    </w:p>
    <w:tbl>
      <w:tblPr>
        <w:tblW w:w="10205" w:type="dxa"/>
        <w:jc w:val="left"/>
        <w:tblInd w:w="0" w:type="dxa"/>
        <w:tblLayout w:type="fixed"/>
        <w:tblCellMar>
          <w:top w:w="0" w:type="dxa"/>
          <w:left w:w="0" w:type="dxa"/>
          <w:bottom w:w="0" w:type="dxa"/>
          <w:right w:w="0" w:type="dxa"/>
        </w:tblCellMar>
      </w:tblPr>
      <w:tblGrid>
        <w:gridCol w:w="8226"/>
        <w:gridCol w:w="146"/>
        <w:gridCol w:w="226"/>
        <w:gridCol w:w="1381"/>
        <w:gridCol w:w="226"/>
      </w:tblGrid>
      <w:tr>
        <w:trPr/>
        <w:tc>
          <w:tcPr>
            <w:tcW w:w="8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September 30, </w:t>
              <w:br/>
              <w:t>2025</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and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241,991,716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4,066,985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6,274,384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252,333,085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39,106,428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28,364,243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27,138,179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1,037,699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973,854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Administrator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855,747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 and custodian fees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fees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131,992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(2,217,246</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95,907,371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156,425,714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UNREALIZED DEPRECIATION AND REALIZED LOSSES ON INVESTMENT TRANSACTIONS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(108,711,936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(26,827,566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and net change in unrealized depreciation on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(135,539,502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20,886,212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607"/>
      <w:bookmarkEnd w:id="10"/>
      <w:r>
        <w:rPr>
          <w:rFonts w:ascii="Times New Roman PS Std;serif" w:hAnsi="Times New Roman PS Std;serif"/>
          <w:b/>
          <w:i w:val="false"/>
          <w:caps w:val="false"/>
          <w:smallCaps w:val="false"/>
          <w:sz w:val="20"/>
        </w:rPr>
        <w:t>OXFORD LANE CAPITAL CORP.</w:t>
        <w:br/>
        <w:t>STATEMENTS OF CHANGES IN NET ASSETS</w:t>
      </w:r>
    </w:p>
    <w:tbl>
      <w:tblPr>
        <w:tblW w:w="10205" w:type="dxa"/>
        <w:jc w:val="left"/>
        <w:tblInd w:w="0" w:type="dxa"/>
        <w:tblLayout w:type="fixed"/>
        <w:tblCellMar>
          <w:top w:w="0" w:type="dxa"/>
          <w:left w:w="0" w:type="dxa"/>
          <w:bottom w:w="0" w:type="dxa"/>
          <w:right w:w="0" w:type="dxa"/>
        </w:tblCellMar>
      </w:tblPr>
      <w:tblGrid>
        <w:gridCol w:w="6082"/>
        <w:gridCol w:w="146"/>
        <w:gridCol w:w="226"/>
        <w:gridCol w:w="1486"/>
        <w:gridCol w:w="181"/>
        <w:gridCol w:w="146"/>
        <w:gridCol w:w="226"/>
        <w:gridCol w:w="1486"/>
        <w:gridCol w:w="226"/>
      </w:tblGrid>
      <w:tr>
        <w:trPr/>
        <w:tc>
          <w:tcPr>
            <w:tcW w:w="60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September 30, </w:t>
              <w:b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March 31, </w:t>
              <w:br/>
              <w:t>2025</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assets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156,425,714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270,923,247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(108,711,936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(219,653,602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(26,827,566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(2,811,864</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20,886,212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48,457,781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net investment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(258,293,792</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(357,264,250</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 to stockholders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(258,293,792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(357,264,250</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transactions: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(net of underwriting fees and offering costs of $195,531 and $7,296,980, respectively)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130,865,638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1,043,398,118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Repurchase of common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(20,466,816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Reinvestment of distributions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34,004,263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51,127,277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from capital share transactions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144,403,085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1,094,525,395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(decrease) increase in net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(93,004,495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785,718,926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beginning of period/year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1,956,804,916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1,171,085,990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1,863,800,421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1,956,804,916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activity:(1)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5,852,674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40,722,223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repurchased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(1,164,043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from distribution reinvestment plan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1,784,500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2,088,723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0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capital share activity</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6,473,131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42,810,946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Fund completed a 1-for-5 reverse stock split effective September 5, 2025 (the “Reverse Stock Split”), and amounts for the fiscal year ended March 31, 2025 have been adjusted retroactively to reflect the Reverse Stock Split. Please refer to “Note 2. Organization — Reverse Stock Split.”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608"/>
      <w:bookmarkEnd w:id="11"/>
      <w:r>
        <w:rPr>
          <w:rFonts w:ascii="Times New Roman PS Std;serif" w:hAnsi="Times New Roman PS Std;serif"/>
          <w:b/>
          <w:i w:val="false"/>
          <w:caps w:val="false"/>
          <w:smallCaps w:val="false"/>
          <w:sz w:val="20"/>
        </w:rPr>
        <w:t>OXFORD LANE CAPITAL CORP.</w:t>
        <w:br/>
        <w:t>STATEMENT OF CASH FLOWS</w:t>
        <w:br/>
      </w:r>
      <w:r>
        <w:rPr>
          <w:rFonts w:ascii="Times New Roman PS Std;serif" w:hAnsi="Times New Roman PS Std;serif"/>
          <w:b/>
          <w:i w:val="false"/>
          <w:caps w:val="false"/>
          <w:smallCaps w:val="false"/>
          <w:sz w:val="18"/>
        </w:rPr>
        <w:t>(Unaudited)</w:t>
      </w:r>
    </w:p>
    <w:tbl>
      <w:tblPr>
        <w:tblW w:w="10205" w:type="dxa"/>
        <w:jc w:val="left"/>
        <w:tblInd w:w="0" w:type="dxa"/>
        <w:tblLayout w:type="fixed"/>
        <w:tblCellMar>
          <w:top w:w="0" w:type="dxa"/>
          <w:left w:w="0" w:type="dxa"/>
          <w:bottom w:w="0" w:type="dxa"/>
          <w:right w:w="0" w:type="dxa"/>
        </w:tblCellMar>
      </w:tblPr>
      <w:tblGrid>
        <w:gridCol w:w="8226"/>
        <w:gridCol w:w="146"/>
        <w:gridCol w:w="226"/>
        <w:gridCol w:w="1381"/>
        <w:gridCol w:w="226"/>
      </w:tblGrid>
      <w:tr>
        <w:trPr/>
        <w:tc>
          <w:tcPr>
            <w:tcW w:w="8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September 30, </w:t>
              <w:br/>
              <w:t>2025</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20,886,212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increase in net assets resulting from operations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 on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(518,013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 on mandatorily redeemable preferred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532,041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offering costs on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 on notes payable – unsecured notes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1,306,115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interest income due to payment-in-kind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(228,551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(721,472,343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112,078,139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principal and reductions to investment cost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182,198,854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investments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108,711,936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26,827,566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reductions to CLO equity and related investment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77,811,745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distributions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(6,347,874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fee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interest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867,046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prepaid expenses and other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242,168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base management fee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17,019,453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incentive fee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22,865,274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excise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(3,447,222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interest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(1,348,188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administrator expense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74,628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accrued offering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(114,908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accrued expenses and other payables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(181,697</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(162,216,069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(net of distribution reinvestment plan of $34,004,263)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(224,289,529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131,061,169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underwriting fees and offering costs for the issuance of common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(195,531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Repurchase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(20,466,816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deferred issuance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(140,160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(114,030,867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(276,246,936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295,348,952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19,102,016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26,648,211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excise taxes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1,229,975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shares issued in connection with dividend reinvestment plan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34,004,263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securities purchased not settled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6,451,468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interest income due to payment-in-kind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609"/>
      <w:bookmarkEnd w:id="12"/>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UNAUDITED INTERIM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2025, as filed with the Securities and Exchange Commission (“SEC”).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was incorporated under the General Corporation Laws of the State of Maryland on June 9, 2010. The Fund is a closed-end management investment company that is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 The Fund’s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the Fund. Under the investment advisory agreement with Oxford Lane Management (the “Investment Advisory Agreement”), the Fund has agreed to pay Oxford Lane Management an annual base management fee based on gross assets as well as an incentive fee based on its performance. For further detail please refer to “Note 5.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Reverse Stock Split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5, 2025, the Fund filed an Articles of Amendment (the “Reverse Stock Split Articles of Amendment”) to the Fund’s Articles of Amendment and Restatement with the State Department of Assessments and Taxation of the State of Maryland to effect a 1-for-5 reverse stock split of the issued and outstanding shares of the Fund’s common stock, par value $0.01 per share (the “Reverse Stock Split”). The Reverse Stock Split became effective as of 4:00 p.m. (Eastern Time) on September 5,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Reverse Stock Split, every five shares of issued and outstanding common stock were automatically combined into one issued and outstanding share of common stock. There was no change in the par value per share or the rights and preferences to the stockholders.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 and per share values have been adjusted retroactively to reflect the split for all periods presented, except where otherwise noted.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SUMMARY OF SIGNIFICANT ACCOUNTING POLICIES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PS Std;serif" w:hAnsi="Times New Roman PS Std;serif"/>
          <w:b w:val="false"/>
          <w:i/>
          <w:caps w:val="false"/>
          <w:smallCaps w:val="false"/>
          <w:sz w:val="20"/>
        </w:rPr>
        <w:t>Financial Services — Investment Companies</w:t>
      </w:r>
      <w:r>
        <w:rPr>
          <w:rFonts w:ascii="Times New Roman PS Std;serif" w:hAnsi="Times New Roman PS Std;serif"/>
          <w:b w:val="false"/>
          <w:i w:val="false"/>
          <w:caps w:val="false"/>
          <w:smallCaps w:val="false"/>
          <w:sz w:val="20"/>
        </w:rPr>
        <w:t>. Certain prior period figures have been reclassified from those originally published on Form N-CSR to conform to the current period presentation for comparative purposes. The Fund maintains its accounting records in U.S. dollars.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 consist of highly liquid investments, such as money market funds, which contain investments with original maturities of three months or less. Cash represents cash deposits held at major financial institutions.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 and investments held in money market funds are valued at net asset value (“NAV”)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September 30, 2025, cash and cash equivalents were as follows:</w:t>
      </w:r>
    </w:p>
    <w:tbl>
      <w:tblPr>
        <w:tblW w:w="5127" w:type="dxa"/>
        <w:jc w:val="left"/>
        <w:tblInd w:w="0" w:type="dxa"/>
        <w:tblLayout w:type="fixed"/>
        <w:tblCellMar>
          <w:top w:w="0" w:type="dxa"/>
          <w:left w:w="0" w:type="dxa"/>
          <w:bottom w:w="0" w:type="dxa"/>
          <w:right w:w="0" w:type="dxa"/>
        </w:tblCellMar>
      </w:tblPr>
      <w:tblGrid>
        <w:gridCol w:w="3256"/>
        <w:gridCol w:w="146"/>
        <w:gridCol w:w="267"/>
        <w:gridCol w:w="1458"/>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2025</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19,102,016</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w:t>
            </w:r>
          </w:p>
        </w:tc>
        <w:tc>
          <w:tcPr>
            <w:tcW w:w="146" w:type="dxa"/>
            <w:tcBorders/>
            <w:shd w:fill="CCEEFF" w:val="clear"/>
            <w:vAlign w:val="bottom"/>
          </w:tcPr>
          <w:p>
            <w:pPr>
              <w:pStyle w:val="TableContents"/>
              <w:bidi w:val="0"/>
              <w:spacing w:before="0" w:after="283"/>
              <w:jc w:val="left"/>
              <w:rPr/>
            </w:pPr>
            <w:r>
              <w:rPr/>
              <w:t> </w:t>
            </w:r>
          </w:p>
        </w:tc>
        <w:tc>
          <w:tcPr>
            <w:tcW w:w="2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19,102,016</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determines the fair values of its investment portfolio in accordance with the provisions of ASC 820, Fair Value Measurement (“ASC 820-10”) and Rule 2a-5 under the 1940 Act (“Rule 2a-5”). Estimates made in the preparation of the Fund’s financial statements include the valuation of investments and the related amounts of unrealized appreciation and depreciation of investments recorded. The Fund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The Fund fair values each individual investment at least quarterly.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Fund considers the attributes of current market conditions on an ongoing basis and has determined that due to the general illiquidity of the market for its investment portfolio, whereby little or no market data exists, all of the Fund’s investments are based upon Level 3 inputs as of September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determines the value of its investment portfolio at least quarterly, after consideration of the Valuation Committee’s recommendation of fair value. In connection with that determination, Oxford Lane Management compiles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 reliable, will be considered by the Board and/or the Valuation Committee. In some instances, there may be limited trading activity in a security even though the market for the security is considered not active. In such cases the Board and/or the Valuation Committee will consider the number of trades, the size and timing of each trade, and other circumstances around such trades, to the extent such information is available. The Fund may elect to engage third-party valuation firms to provide assistance to the Valuation Committee and Board of Directors in valuing certain of our investments. The Valuation Committee will evaluate the impact of such additional information, and factor it into its consideration of fair value. Changes in fair value, as described above, are recorded in the statement of operations as net change in unrealized appreciation/depreciation on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Collateralized Loan Obligations — Debt and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acquired debt and equity positions in CLO investment vehicles and has purchased CLO warehouse facilities. These investments are special purpose financing vehicles. In valuing such investments, the Fund considers the indicative prices provided by a recognized industry pricing service as a primary source for the Fund’s CLO debt and equity positions, and the implied yield of such prices, supplemented by actual trades executed in the market at or around period-end, as well as the indicative prices provided by the broker who arranges transactions in such investment vehicles. The Fund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Fund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The Valuation Committee will evaluate the impact of such additional information, and factor it into its consideration of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Securities Sold Under Agreement to Repurchase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2025, the Board of Directors authorized a 12-month share repurchase program (the “Share Repurchase Program”). Under the Share Repurchase Program, the Fund may repurchase, during the 12-month period commencing on March 20, 2025, up to $150.0 million in the aggregate of the Fund’s outstanding common stock in the open market. The timing, manner, price and amount of any share repurchases will be determined by the Fund, in its discretion, based upon the evaluation of economic and market conditions, the Fund’s stock price, applicable legal, contractual and regulatory requirements and other factors. The Share Repurchase Program is expected to be in effect until March 20, 2026, unless extended or until the aggregate repurchase amount has been expended. The Share Repurchase Program does not require the Fund to repurchase any specific number of shares, and the Fund cannot assure stockholders that any shares will be repurchased under the Share Repurchase Program. The Share Repurchase Program may be suspended, extended, modified or discontinued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September 30, 2025, the Fund repurchased approximately 1.2 million shares of common stock in the open market under the Share Repurchase Program. During the year ended March 31, 2025, the Fund did not repurchase shares of common stock in the open market under the Share Repurchase Program.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carries its mandatorily redeemable preferred stock at accreted cost on the Statement of Assets and Liabilities, and not fair value. Refer to “Note 8. Mandatorily Redeemable Preferred Stock” for further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PREPAID EXPENSES AND OTHER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 consists primarily of insurance costs.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from securitization vehicles and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PS Std;serif" w:hAnsi="Times New Roman PS Std;serif"/>
          <w:b w:val="false"/>
          <w:i/>
          <w:caps w:val="false"/>
          <w:smallCaps w:val="false"/>
          <w:sz w:val="20"/>
        </w:rPr>
        <w:t>Beneficial Interests in Securitized Financial Assets</w:t>
      </w:r>
      <w:r>
        <w:rPr>
          <w:rFonts w:ascii="Times New Roman PS Std;serif" w:hAnsi="Times New Roman PS Std;serif"/>
          <w:b w:val="false"/>
          <w:i w:val="false"/>
          <w:caps w:val="false"/>
          <w:smallCaps w:val="false"/>
          <w:sz w:val="20"/>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also records income on its investments in certain securitization vehicles or CLO warehouse facilities, based on a stated rate per the underlying note purchase agreement plus accrued interest or, if there is no stated rate, then an estimated rate is calculated using a base case model projecting the timing of the ramp-up of the CLO warehouse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Income — Debt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2025, the Fund did not have any investments in its portfolio on non-accrual status.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also includes a payment-in-kind provision on certain investments in the Fund’s portfolio. Refer to the section below, “Payment-In-Kind,” for a description of the PIK provision and its impact on interest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Payment-In-Kind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holds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includes distributions from fee letters and success fees associated with portfolio investments. Distributions from fee letters are an enhancement to the return on CLO equity investments and are based upon a percentage of the collateral manager’s fees above the amortized cost and are recorded as other income when earned. The Fund may also earn success fees associated with its investments in CLO warehouse facilities, which are contingent upon a repayment of the warehouse by a permanent CLO securitization structure. The Fund also earns other income on its cash balance, which is swept into a money market fund at the close of business each day and then returned as cash the following business day.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intends to operate so as to continue to qualify to be taxed as a RIC under Subchapter M of the Code and, as such, to not be subject to U.S. federal income tax on the portion of its taxable income and gains timely distributed to stockholders. To qualify for RIC tax treatment, the Fund is required to distribute at least 90% of its investment company taxable income, as defined by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2025 tax returns. The Fund identifies its major tax jurisdictions as U.S Federal and Connecticut State. The Fund is not aware of any tax position for which it is reasonably possible that the total amounts of unrecognized tax benefits will change materially.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distribution policy is based upon its estimate of its taxable net investment income, which includes actual distributions from the Fund’s CLO equity class investments, with further consideration given to its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Stockholders are entitled to the Fund’s distributions based on the shares they hold on the record date. Distributions to stockholders are recorded on the ex-dividend date and are paid to stockholders on the payment date. A purchase of shares of the Fund before declaration of a distribution may be disadvantageous because the distribution to stockholders has the effect of reducing the NAV of the shares by the amount of the distribution. In addition, if you invest through a taxable account, you could be subject to tax on the amount of the distribution. A purchase of shares of the Fund at a time that net investment income and realized and unrealized capital gains have previously been earned but a corresponding distribution has not yet been declared may have tax implications and is referred to as “buying a dividend.”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to stockholders are automatically reinvested in full shares of the Fund in accordance with the Fund’s distribution reinvestment plan, unless the stockholder has elected to have them paid in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required to be distributed reflect estimates made by the Fund. The Fund intends to comply with the applicable provisions of the Code to make distributions of taxable income sufficient to relieve it of substantially all federal income taxes. Distributions paid by the Fund in accordance with RIC requirements are subject to re-characterization for tax purposes. The Fund, at its discretion, may carry forward taxable income in excess of calendar year distributions and pay a 4% excise tax on such income. The Fund will accrue excise tax on estimated excess taxable income, if any, as required. The Fund has approximately $0.9 million of estimated excise tax payable for estimated excise tax on undistributed taxable income. The amount is included in “Excise tax payable” on the Statement of Assets and Liabilities. Excise tax expense for the six months ended September 30, 2025 reflects a reversal of previously estimated excise tax expense, which is on the Statement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OFFERING COSTS ON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DEBT AND MANDATORILY REDEEMABLE PREFERRED STOCK ISSUANCE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and mandatorily redeemable preferred stock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or preferred stock. The amortized expenses are included in interest expense in the Fund’s financial statements. The unamortized deferred debt or preferred stock issuance costs are included on the Fund’s Statement of Assets and Liabilities as a direct deduction from the related debt and mandatorily redeemable preferred stock liability. Upon early termination of debt or preferred stock, the remaining balance of unamortized fees related to such debt or preferred stock is accelerated into realized loss on redemption of debt or preferred stock on the Fund’s Statement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assets measured at fair value on a recurring basis subject to the disclosure requirements of ASC 820-10 at September 30, 2025, were as follows:</w:t>
      </w:r>
    </w:p>
    <w:tbl>
      <w:tblPr>
        <w:tblW w:w="10205" w:type="dxa"/>
        <w:jc w:val="left"/>
        <w:tblInd w:w="0" w:type="dxa"/>
        <w:tblLayout w:type="fixed"/>
        <w:tblCellMar>
          <w:top w:w="0" w:type="dxa"/>
          <w:left w:w="0" w:type="dxa"/>
          <w:bottom w:w="0" w:type="dxa"/>
          <w:right w:w="0" w:type="dxa"/>
        </w:tblCellMar>
      </w:tblPr>
      <w:tblGrid>
        <w:gridCol w:w="3365"/>
        <w:gridCol w:w="146"/>
        <w:gridCol w:w="551"/>
        <w:gridCol w:w="1284"/>
        <w:gridCol w:w="188"/>
        <w:gridCol w:w="517"/>
        <w:gridCol w:w="793"/>
        <w:gridCol w:w="188"/>
        <w:gridCol w:w="335"/>
        <w:gridCol w:w="1230"/>
        <w:gridCol w:w="188"/>
        <w:gridCol w:w="291"/>
        <w:gridCol w:w="1129"/>
      </w:tblGrid>
      <w:tr>
        <w:trPr/>
        <w:tc>
          <w:tcPr>
            <w:tcW w:w="336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94"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r>
      <w:tr>
        <w:trPr/>
        <w:tc>
          <w:tcPr>
            <w:tcW w:w="3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in </w:t>
              <w:br/>
              <w:t xml:space="preserve">Active Markets </w:t>
              <w:br/>
              <w:t xml:space="preserve">for Identical </w:t>
              <w:br/>
              <w:t xml:space="preserve">Assets </w:t>
              <w:br/>
              <w:t>(Level 1)</w:t>
            </w:r>
          </w:p>
        </w:tc>
        <w:tc>
          <w:tcPr>
            <w:tcW w:w="188"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188"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88"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33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w:t>
            </w:r>
          </w:p>
        </w:tc>
        <w:tc>
          <w:tcPr>
            <w:tcW w:w="146"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18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r>
      <w:tr>
        <w:trPr/>
        <w:tc>
          <w:tcPr>
            <w:tcW w:w="33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vAlign w:val="bottom"/>
          </w:tcPr>
          <w:p>
            <w:pPr>
              <w:pStyle w:val="TableContents"/>
              <w:bidi w:val="0"/>
              <w:spacing w:before="0" w:after="283"/>
              <w:jc w:val="left"/>
              <w:rPr/>
            </w:pPr>
            <w:r>
              <w:rPr/>
              <w:t> </w:t>
            </w:r>
          </w:p>
        </w:tc>
        <w:tc>
          <w:tcPr>
            <w:tcW w:w="5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w:t>
            </w:r>
          </w:p>
        </w:tc>
        <w:tc>
          <w:tcPr>
            <w:tcW w:w="188"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w:t>
            </w:r>
          </w:p>
        </w:tc>
      </w:tr>
      <w:tr>
        <w:trPr/>
        <w:tc>
          <w:tcPr>
            <w:tcW w:w="33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18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r>
      <w:tr>
        <w:trPr/>
        <w:tc>
          <w:tcPr>
            <w:tcW w:w="33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w:t>
            </w:r>
          </w:p>
        </w:tc>
        <w:tc>
          <w:tcPr>
            <w:tcW w:w="146" w:type="dxa"/>
            <w:tcBorders/>
            <w:vAlign w:val="bottom"/>
          </w:tcPr>
          <w:p>
            <w:pPr>
              <w:pStyle w:val="TableContents"/>
              <w:bidi w:val="0"/>
              <w:spacing w:before="0" w:after="283"/>
              <w:jc w:val="left"/>
              <w:rPr/>
            </w:pPr>
            <w:r>
              <w:rPr/>
              <w:t> </w:t>
            </w:r>
          </w:p>
        </w:tc>
        <w:tc>
          <w:tcPr>
            <w:tcW w:w="5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vAlign w:val="bottom"/>
          </w:tcPr>
          <w:p>
            <w:pPr>
              <w:pStyle w:val="TableContents"/>
              <w:bidi w:val="0"/>
              <w:spacing w:before="0" w:after="283"/>
              <w:jc w:val="left"/>
              <w:rPr/>
            </w:pPr>
            <w:r>
              <w:rPr/>
              <w:t> </w:t>
            </w:r>
          </w:p>
        </w:tc>
        <w:tc>
          <w:tcPr>
            <w:tcW w:w="5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2,599.6</w:t>
            </w:r>
          </w:p>
        </w:tc>
        <w:tc>
          <w:tcPr>
            <w:tcW w:w="188" w:type="dxa"/>
            <w:tcBorders/>
            <w:vAlign w:val="bottom"/>
          </w:tcPr>
          <w:p>
            <w:pPr>
              <w:pStyle w:val="TableContents"/>
              <w:bidi w:val="0"/>
              <w:spacing w:before="0" w:after="283"/>
              <w:jc w:val="left"/>
              <w:rPr/>
            </w:pPr>
            <w:r>
              <w:rPr/>
              <w:t> </w:t>
            </w:r>
          </w:p>
        </w:tc>
        <w:tc>
          <w:tcPr>
            <w:tcW w:w="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2,599.6</w:t>
            </w:r>
          </w:p>
        </w:tc>
      </w:tr>
      <w:tr>
        <w:trPr/>
        <w:tc>
          <w:tcPr>
            <w:tcW w:w="33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8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88"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r>
      <w:tr>
        <w:trPr/>
        <w:tc>
          <w:tcPr>
            <w:tcW w:w="33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w:t>
            </w:r>
          </w:p>
        </w:tc>
        <w:tc>
          <w:tcPr>
            <w:tcW w:w="146" w:type="dxa"/>
            <w:tcBorders/>
            <w:vAlign w:val="bottom"/>
          </w:tcPr>
          <w:p>
            <w:pPr>
              <w:pStyle w:val="TableContents"/>
              <w:bidi w:val="0"/>
              <w:spacing w:before="0" w:after="283"/>
              <w:jc w:val="left"/>
              <w:rPr/>
            </w:pPr>
            <w:r>
              <w:rPr/>
              <w:t> </w:t>
            </w:r>
          </w:p>
        </w:tc>
        <w:tc>
          <w:tcPr>
            <w:tcW w:w="5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88" w:type="dxa"/>
            <w:tcBorders/>
            <w:vAlign w:val="bottom"/>
          </w:tcPr>
          <w:p>
            <w:pPr>
              <w:pStyle w:val="TableContents"/>
              <w:bidi w:val="0"/>
              <w:spacing w:before="0" w:after="283"/>
              <w:jc w:val="left"/>
              <w:rPr/>
            </w:pPr>
            <w:r>
              <w:rPr/>
              <w:t> </w:t>
            </w:r>
          </w:p>
        </w:tc>
        <w:tc>
          <w:tcPr>
            <w:tcW w:w="51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8" w:type="dxa"/>
            <w:tcBorders/>
            <w:vAlign w:val="bottom"/>
          </w:tcPr>
          <w:p>
            <w:pPr>
              <w:pStyle w:val="TableContents"/>
              <w:bidi w:val="0"/>
              <w:spacing w:before="0" w:after="283"/>
              <w:jc w:val="left"/>
              <w:rPr/>
            </w:pPr>
            <w:r>
              <w:rPr/>
              <w:t> </w:t>
            </w:r>
          </w:p>
        </w:tc>
        <w:tc>
          <w:tcPr>
            <w:tcW w:w="33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2,599.6</w:t>
            </w:r>
          </w:p>
        </w:tc>
        <w:tc>
          <w:tcPr>
            <w:tcW w:w="188" w:type="dxa"/>
            <w:tcBorders/>
            <w:vAlign w:val="bottom"/>
          </w:tcPr>
          <w:p>
            <w:pPr>
              <w:pStyle w:val="TableContents"/>
              <w:bidi w:val="0"/>
              <w:spacing w:before="0" w:after="283"/>
              <w:jc w:val="left"/>
              <w:rPr/>
            </w:pPr>
            <w:r>
              <w:rPr/>
              <w:t> </w:t>
            </w:r>
          </w:p>
        </w:tc>
        <w:tc>
          <w:tcPr>
            <w:tcW w:w="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Financial Instruments Disclosed, But Not Carried, At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Fund’s financial liabilities disclosed, but not carried at fair value as of September 30, 2025 and the level of each financial liability within the fair value hierarchy:</w:t>
      </w:r>
    </w:p>
    <w:tbl>
      <w:tblPr>
        <w:tblW w:w="9780" w:type="dxa"/>
        <w:jc w:val="left"/>
        <w:tblInd w:w="0" w:type="dxa"/>
        <w:tblLayout w:type="fixed"/>
        <w:tblCellMar>
          <w:top w:w="0" w:type="dxa"/>
          <w:left w:w="0" w:type="dxa"/>
          <w:bottom w:w="0" w:type="dxa"/>
          <w:right w:w="0" w:type="dxa"/>
        </w:tblCellMar>
      </w:tblPr>
      <w:tblGrid>
        <w:gridCol w:w="4561"/>
        <w:gridCol w:w="146"/>
        <w:gridCol w:w="271"/>
        <w:gridCol w:w="779"/>
        <w:gridCol w:w="146"/>
        <w:gridCol w:w="226"/>
        <w:gridCol w:w="646"/>
        <w:gridCol w:w="146"/>
        <w:gridCol w:w="326"/>
        <w:gridCol w:w="499"/>
        <w:gridCol w:w="146"/>
        <w:gridCol w:w="226"/>
        <w:gridCol w:w="646"/>
        <w:gridCol w:w="146"/>
        <w:gridCol w:w="318"/>
        <w:gridCol w:w="552"/>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c>
          <w:tcPr>
            <w:tcW w:w="14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 Series 2027 Term Preferred Shares(1)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 Series 2029 Term Preferred Shares(1)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 Series 2029 Term Preferred Shares(1)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 Unsecured Notes due 2027(2)</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 Unsecured Notes due 2031(2)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 Unsecured Notes due 2032(2)</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w:t>
            </w:r>
          </w:p>
        </w:tc>
        <w:tc>
          <w:tcPr>
            <w:tcW w:w="146" w:type="dxa"/>
            <w:tcBorders/>
            <w:vAlign w:val="bottom"/>
          </w:tcPr>
          <w:p>
            <w:pPr>
              <w:pStyle w:val="TableContents"/>
              <w:bidi w:val="0"/>
              <w:spacing w:before="0" w:after="283"/>
              <w:jc w:val="left"/>
              <w:rPr/>
            </w:pPr>
            <w:r>
              <w:rPr/>
              <w:t> </w:t>
            </w:r>
          </w:p>
        </w:tc>
        <w:tc>
          <w:tcPr>
            <w:tcW w:w="3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 Unsecured Notes due 2030(2)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707.6</w:t>
            </w:r>
          </w:p>
        </w:tc>
        <w:tc>
          <w:tcPr>
            <w:tcW w:w="146" w:type="dxa"/>
            <w:tcBorders/>
            <w:vAlign w:val="bottom"/>
          </w:tcPr>
          <w:p>
            <w:pPr>
              <w:pStyle w:val="TableContents"/>
              <w:bidi w:val="0"/>
              <w:spacing w:before="0" w:after="283"/>
              <w:jc w:val="left"/>
              <w:rPr/>
            </w:pPr>
            <w:r>
              <w:rPr/>
              <w:t> </w:t>
            </w:r>
          </w:p>
        </w:tc>
        <w:tc>
          <w:tcPr>
            <w:tcW w:w="3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707.6</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Term Preferred Stock (as defined below), fair value is based upon the closing price on the last day of the period. The Term Preferred Stock are listed on the NASDAQ Global Select Market (trading symbols “OXLCP”, “OXLCO” and “OXLCN”).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5.00% Unsecured Notes due 2027, 6.75% Unsecured Notes due 2031, 8.75% Unsecured Notes due 2030 and 7.95% Unsecured Notes due 2032, fair value is based upon the closing price on the last day of the period. The 5.00% Unsecured Notes due 2027, 6.75% Unsecured Notes due 2031, 8.75% Unsecured Notes due 2030 and 7.95% Unsecured Notes due 2032 are listed on the NASDAQ Global Select Market (trading symbol “OXLCZ”,“OXLCL”, “OXLCI” and “OXLCG”, respectively).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Unobservable Inputs for Level 3 Investments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820-10, the following table provides quantitative information about the Fund’s Level 3 fair value measurements as of September 30, 2025. The Fund’s Valuation Policy establishes parameters for the sources and types of valuation analysis, as well as the methodologies and inputs that the Fund uses in determining fair value. If the Board of Directors, including upon recommendation of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tbl>
      <w:tblPr>
        <w:tblW w:w="10205" w:type="dxa"/>
        <w:jc w:val="left"/>
        <w:tblInd w:w="0" w:type="dxa"/>
        <w:tblLayout w:type="fixed"/>
        <w:tblCellMar>
          <w:top w:w="0" w:type="dxa"/>
          <w:left w:w="0" w:type="dxa"/>
          <w:bottom w:w="0" w:type="dxa"/>
          <w:right w:w="0" w:type="dxa"/>
        </w:tblCellMar>
      </w:tblPr>
      <w:tblGrid>
        <w:gridCol w:w="1636"/>
        <w:gridCol w:w="146"/>
        <w:gridCol w:w="331"/>
        <w:gridCol w:w="1137"/>
        <w:gridCol w:w="146"/>
        <w:gridCol w:w="1733"/>
        <w:gridCol w:w="146"/>
        <w:gridCol w:w="1540"/>
        <w:gridCol w:w="146"/>
        <w:gridCol w:w="1537"/>
        <w:gridCol w:w="146"/>
        <w:gridCol w:w="1561"/>
      </w:tblGrid>
      <w:tr>
        <w:trPr/>
        <w:tc>
          <w:tcPr>
            <w:tcW w:w="16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vMerge w:val="restart"/>
            <w:tcBorders/>
            <w:vAlign w:val="bottom"/>
          </w:tcPr>
          <w:p>
            <w:pPr>
              <w:pStyle w:val="TableContents"/>
              <w:bidi w:val="0"/>
              <w:spacing w:before="0" w:after="283"/>
              <w:jc w:val="left"/>
              <w:rPr/>
            </w:pPr>
            <w:r>
              <w:rPr/>
              <w:t> </w:t>
            </w:r>
          </w:p>
        </w:tc>
        <w:tc>
          <w:tcPr>
            <w:tcW w:w="6716"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left"/>
              <w:rPr/>
            </w:pPr>
            <w:r>
              <w:rPr/>
              <w:t> </w:t>
            </w:r>
          </w:p>
        </w:tc>
      </w:tr>
      <w:tr>
        <w:trPr/>
        <w:tc>
          <w:tcPr>
            <w:tcW w:w="16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September 30, </w:t>
              <w:br/>
              <w:t>2025</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Valuation </w:t>
              <w:br/>
              <w:t xml:space="preserve">Techniques/ </w:t>
              <w:br/>
              <w:t>Methodologies</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Range/Weighted </w:t>
              <w:br/>
              <w:t>Average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br/>
              <w:t xml:space="preserve">Valuation from </w:t>
              <w:br/>
              <w:t xml:space="preserve">an Increase in </w:t>
              <w:br/>
              <w:t>Input</w:t>
            </w:r>
            <w:r>
              <w:rPr>
                <w:rFonts w:ascii="Times New Roman PS Std;serif" w:hAnsi="Times New Roman PS Std;serif"/>
                <w:b/>
                <w:i w:val="false"/>
                <w:caps w:val="false"/>
                <w:smallCaps w:val="false"/>
                <w:sz w:val="8"/>
              </w:rPr>
              <w:t>(4)</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left"/>
              <w:rPr/>
            </w:pPr>
            <w:r>
              <w:rPr/>
              <w:t> </w:t>
            </w:r>
          </w:p>
        </w:tc>
      </w:tr>
      <w:tr>
        <w:trPr/>
        <w:tc>
          <w:tcPr>
            <w:tcW w:w="16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CLO debt</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16.4</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Market Quotes</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 – 91.1%/56.0%</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Recent Transaction</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Actual Trade</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65.3%</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Liquidation Net Asset Value</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 – 37.1%/22.6%</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CLO equity</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2,223.4</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Market Quotes</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 – 100.0%/44.1%</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141.6</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Yield Analysis</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Discount Margin</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 – 112.4%/28.9%</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Decrease</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Recent Transaction</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Actual Trade</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37.3% – 82.3%/65.5%</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135.8</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Present Value</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NIBIB</w:t>
            </w:r>
            <w:r>
              <w:rPr>
                <w:rFonts w:ascii="Times New Roman PS Std;serif" w:hAnsi="Times New Roman PS Std;serif"/>
                <w:b w:val="false"/>
                <w:i w:val="false"/>
                <w:caps w:val="false"/>
                <w:smallCaps w:val="false"/>
                <w:sz w:val="12"/>
              </w:rPr>
              <w:t>(1)</w:t>
            </w:r>
            <w:r>
              <w:rPr>
                <w:rFonts w:ascii="Times New Roman PS Std;serif" w:hAnsi="Times New Roman PS Std;serif"/>
                <w:b w:val="false"/>
                <w:i w:val="false"/>
                <w:caps w:val="false"/>
                <w:smallCaps w:val="false"/>
                <w:sz w:val="16"/>
              </w:rPr>
              <w:t>/Discount Rate</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 – 88.7%/69.0%</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NA/Decrease</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19.8</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Liquidation Net Asset Value</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NBIB</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 – 22.4%/2.8%</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CLO equity related investments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Discounted Cash Flow</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Discount rate</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 – 31.1%/17.9%</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Decrease</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w:t>
            </w:r>
          </w:p>
        </w:tc>
        <w:tc>
          <w:tcPr>
            <w:tcW w:w="146" w:type="dxa"/>
            <w:tcBorders/>
            <w:vAlign w:val="bottom"/>
          </w:tcPr>
          <w:p>
            <w:pPr>
              <w:pStyle w:val="TableContents"/>
              <w:bidi w:val="0"/>
              <w:spacing w:before="0" w:after="283"/>
              <w:jc w:val="left"/>
              <w:rPr/>
            </w:pPr>
            <w:r>
              <w:rPr/>
              <w:t> </w:t>
            </w:r>
          </w:p>
        </w:tc>
        <w:tc>
          <w:tcPr>
            <w:tcW w:w="17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Recent Transaction</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Actual Trade</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5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3.9%</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r>
      <w:tr>
        <w:trPr/>
        <w:tc>
          <w:tcPr>
            <w:tcW w:w="16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Total Fair Value for Level 3 Investments</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2,599.6</w:t>
            </w:r>
          </w:p>
        </w:tc>
        <w:tc>
          <w:tcPr>
            <w:tcW w:w="146"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__________</w:t>
      </w:r>
    </w:p>
    <w:p>
      <w:pPr>
        <w:pStyle w:val="TextBody"/>
        <w:keepNext w:val="false"/>
        <w:pageBreakBefore w:val="false"/>
        <w:widowControl/>
        <w:pBdr/>
        <w:bidi w:val="0"/>
        <w:spacing w:before="5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5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be determinative of fair value. Each price is evaluated by the Board of Directors in conjunction with additional information compiled by Oxford Lane Management, including performance and covenant compliance information as provided by the respective CLO’s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Fund will calculate the fair value of CLO equity side letters based upon the net present value of expected contractual payment streams discounted using estimated market yields for the equity tranche of the respective CLO vehicle.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Prices provided by independent pricing services are evaluated in conjunction with actual trades and payoffs and, in certain cases, the value represented by actual trades or payoffs may be more representative of fair value as determined by the Board of Directors.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fair value of those CLO equity and debt positions which have been optionally redeemed are generally valued using a liquidation NAV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a single investment fair value position, and therefore the range/weighted average is not applicable.</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six months ended September 30, 2025,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3678"/>
        <w:gridCol w:w="146"/>
        <w:gridCol w:w="341"/>
        <w:gridCol w:w="908"/>
        <w:gridCol w:w="275"/>
        <w:gridCol w:w="146"/>
        <w:gridCol w:w="316"/>
        <w:gridCol w:w="1159"/>
        <w:gridCol w:w="254"/>
        <w:gridCol w:w="146"/>
        <w:gridCol w:w="339"/>
        <w:gridCol w:w="791"/>
        <w:gridCol w:w="273"/>
        <w:gridCol w:w="146"/>
        <w:gridCol w:w="226"/>
        <w:gridCol w:w="826"/>
        <w:gridCol w:w="235"/>
      </w:tblGrid>
      <w:tr>
        <w:trPr/>
        <w:tc>
          <w:tcPr>
            <w:tcW w:w="36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52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Collateralized </w:t>
              <w:br/>
              <w:t xml:space="preserve">Loan </w:t>
              <w:br/>
              <w:t xml:space="preserve">Obligation Debt </w:t>
              <w:br/>
              <w:t>Investments</w:t>
            </w:r>
          </w:p>
        </w:tc>
        <w:tc>
          <w:tcPr>
            <w:tcW w:w="146" w:type="dxa"/>
            <w:tcBorders/>
            <w:vAlign w:val="bottom"/>
          </w:tcPr>
          <w:p>
            <w:pPr>
              <w:pStyle w:val="TableContents"/>
              <w:bidi w:val="0"/>
              <w:spacing w:before="0" w:after="283"/>
              <w:jc w:val="left"/>
              <w:rPr/>
            </w:pPr>
            <w:r>
              <w:rPr/>
              <w:t> </w:t>
            </w:r>
          </w:p>
        </w:tc>
        <w:tc>
          <w:tcPr>
            <w:tcW w:w="17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Collateralized </w:t>
              <w:br/>
              <w:t xml:space="preserve">Loan Obligation </w:t>
              <w:br/>
              <w:t xml:space="preserve">Equity </w:t>
              <w:br/>
              <w:t>Investments</w:t>
            </w:r>
          </w:p>
        </w:tc>
        <w:tc>
          <w:tcPr>
            <w:tcW w:w="146" w:type="dxa"/>
            <w:tcBorders/>
            <w:vAlign w:val="bottom"/>
          </w:tcPr>
          <w:p>
            <w:pPr>
              <w:pStyle w:val="TableContents"/>
              <w:bidi w:val="0"/>
              <w:spacing w:before="0" w:after="283"/>
              <w:jc w:val="left"/>
              <w:rPr/>
            </w:pPr>
            <w:r>
              <w:rPr/>
              <w:t> </w:t>
            </w:r>
          </w:p>
        </w:tc>
        <w:tc>
          <w:tcPr>
            <w:tcW w:w="14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CLO </w:t>
              <w:br/>
              <w:t xml:space="preserve">Equity Related </w:t>
              <w:br/>
              <w:t>Investments</w:t>
            </w:r>
          </w:p>
        </w:tc>
        <w:tc>
          <w:tcPr>
            <w:tcW w:w="146" w:type="dxa"/>
            <w:tcBorders/>
            <w:vAlign w:val="bottom"/>
          </w:tcPr>
          <w:p>
            <w:pPr>
              <w:pStyle w:val="TableContents"/>
              <w:bidi w:val="0"/>
              <w:spacing w:before="0" w:after="283"/>
              <w:jc w:val="left"/>
              <w:rPr/>
            </w:pPr>
            <w:r>
              <w:rPr/>
              <w:t> </w:t>
            </w:r>
          </w:p>
        </w:tc>
        <w:tc>
          <w:tcPr>
            <w:tcW w:w="1287"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March 31, 2025</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2,440.1</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2,519.4</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gains/(losses) included in earnings</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3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appreciation/(depreciation) included in earnings</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0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w:t>
            </w:r>
          </w:p>
        </w:tc>
        <w:tc>
          <w:tcPr>
            <w:tcW w:w="23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579.1</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587.1</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repayments</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0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9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(294.3</w:t>
            </w:r>
          </w:p>
        </w:tc>
        <w:tc>
          <w:tcPr>
            <w:tcW w:w="23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9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23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in kind income</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September 30, 2025(2)</w:t>
            </w:r>
          </w:p>
        </w:tc>
        <w:tc>
          <w:tcPr>
            <w:tcW w:w="146" w:type="dxa"/>
            <w:tcBorders/>
            <w:vAlign w:val="bottom"/>
          </w:tcPr>
          <w:p>
            <w:pPr>
              <w:pStyle w:val="TableContents"/>
              <w:bidi w:val="0"/>
              <w:spacing w:before="0" w:after="283"/>
              <w:jc w:val="left"/>
              <w:rPr/>
            </w:pPr>
            <w:r>
              <w:rPr/>
              <w:t> </w:t>
            </w:r>
          </w:p>
        </w:tc>
        <w:tc>
          <w:tcPr>
            <w:tcW w:w="3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w:t>
            </w:r>
          </w:p>
        </w:tc>
        <w:tc>
          <w:tcPr>
            <w:tcW w:w="2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2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2,599.6</w:t>
            </w:r>
          </w:p>
        </w:tc>
        <w:tc>
          <w:tcPr>
            <w:tcW w:w="2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total gains for the period included in earnings attributable to the change in unrealized gains or (losses) related to our Level 3 assets still held at the reporting date and reported within the net change in unrealized gains or (losses) on investments in our Statement of Operations</w:t>
            </w:r>
          </w:p>
        </w:tc>
        <w:tc>
          <w:tcPr>
            <w:tcW w:w="146" w:type="dxa"/>
            <w:tcBorders/>
            <w:shd w:fill="CCEEFF" w:val="clear"/>
            <w:vAlign w:val="bottom"/>
          </w:tcPr>
          <w:p>
            <w:pPr>
              <w:pStyle w:val="TableContents"/>
              <w:bidi w:val="0"/>
              <w:spacing w:before="0" w:after="283"/>
              <w:jc w:val="left"/>
              <w:rPr/>
            </w:pPr>
            <w:r>
              <w:rPr/>
              <w:t> </w:t>
            </w:r>
          </w:p>
        </w:tc>
        <w:tc>
          <w:tcPr>
            <w:tcW w:w="3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25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146" w:type="dxa"/>
            <w:tcBorders/>
            <w:shd w:fill="CCEEFF" w:val="clear"/>
            <w:vAlign w:val="bottom"/>
          </w:tcPr>
          <w:p>
            <w:pPr>
              <w:pStyle w:val="TableContents"/>
              <w:bidi w:val="0"/>
              <w:spacing w:before="0" w:after="283"/>
              <w:jc w:val="left"/>
              <w:rPr/>
            </w:pPr>
            <w:r>
              <w:rPr/>
              <w:t> </w:t>
            </w:r>
          </w:p>
        </w:tc>
        <w:tc>
          <w:tcPr>
            <w:tcW w:w="3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w:t>
            </w:r>
          </w:p>
        </w:tc>
        <w:tc>
          <w:tcPr>
            <w:tcW w:w="2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cost value on the Fund’s CLO equity investments represents the difference between distributions received, or entitled to be received, for the six months ended September 30, 2025, of approximately $318.0 million and the effective yield interest income recognized on the Fund’s CLO equity subordinated notes of approximately $242.0 million, plus the amortization of cost of the Fund’s CLO equity fee notes of approximately $1.8 million. A reduction to cost value is not made for CLO warehouse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8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There were no transfers in or out of Level 3 during the six months ended September 30,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 Advisory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September 9, 2010, the Fund entered into the Investment Advisory Agreement with Oxford Lane Management, a registered investment adviser under the Advisers Act. Oxford Funds is the managing member of Oxford Lane Management and serves as the administrator of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Investment Advisory Agreement, the Fund has agreed to pay Oxford Lane Management a fee for advisory and management services consisting of two components — a base management fee (the “Management Fee”) and an incentive fee (the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Fee is calculated at an annual rate of 2.00% of the Fund’s gross assets. For services rendered under the Investment Advisory Agreement, the Management Fee is payable quarterly in arrears. The Management Fee is calculated based on the average value of the Fund’s gross assets, at the end of the two most recently completed calendar quarters, and appropriately adjusted for any share issuances or repurchases during the current calendar quarter. The Management Fee for any partial month or quarter will be appropriately pro-rated. For the six months ended September 30, 2025, the Fund recognized an expense of approximately $28.4 million. At September 30, 2025, the Fund had a Management Fee payable of approximately $30.4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Management Fee. The Fund pays Oxford Lane Management an Incentive Fee with respect to the Fund’s pre-incentive fee net investment income in each calendar quarter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Incentive Fee in any calendar quarter in which the Fund’s pre-incentive fee net investment income does not exceed the hurdle of 1.75%;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Fund’s pre-incentive fee net investment income with respect to that portion of such pre-incentive fee net investment income, if any, that exceeds the hurdle but is less than 2.1875% in any calendar quarter (8.75% annualized). The Fund refers to this portion of its pre-incentive fee net investment income (which exceeds the hurdle but is less than 2.1875%) as the “catch-up”. The “catch-up” is meant to provide Oxford Lane Management with 20% of the Fund’s pre-incentive fee net investment income as if a hurdle did not apply if the net investment income exceeds 2.1875% in any calendar quarter;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20% of the amount of the Fund’s pre-incentive fee net investment income, if any, that exceeds 2.1875% in any calendar quarter (8.75% annualized) is payable to Oxford Lane Management (once the hurdle is reached and the “catch-up” is achieved, 20% of all pre-incentive fee net investment income thereafter is allocated to Oxford Lane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offset in subsequent quarters for any quarter in which an Incentive Fee is not earned. For the six months ended September 30, 2025, the Fund recognized incentive fee expense of approximately $39.1 million. At September 30, 2025, the Fund had an Incentive Fee payable of approximately $41.7 million.</w:t>
      </w:r>
    </w:p>
    <w:p>
      <w:pPr>
        <w:pStyle w:val="TextBody"/>
        <w:keepNext w:val="true"/>
        <w:pageBreakBefore w:val="false"/>
        <w:widowControl/>
        <w:pBdr/>
        <w:bidi w:val="0"/>
        <w:spacing w:before="18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Funds assists the Fund in determining and publishing the Fund’s NAV,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The Fund will also reimburse Oxford Funds for costs associated with the functions performed by the Fund’s chief compliance officer that Oxford Funds pays on behalf of the Fund pursuant to the terms of an agreement between the Fund and ACA Group, LLC (“ACA”).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w:t>
      </w:r>
    </w:p>
    <w:p>
      <w:pPr>
        <w:pStyle w:val="TextBody"/>
        <w:keepNext w:val="true"/>
        <w:pageBreakBefore w:val="false"/>
        <w:widowControl/>
        <w:pBdr/>
        <w:bidi w:val="0"/>
        <w:spacing w:before="18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Director’s Compensation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independent directors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receives an additional annual fee of $10,000. No compensation is paid to directors who are interested persons of the Fund as defined in Section 2(a)(19) of the 1940 Act.</w:t>
      </w:r>
    </w:p>
    <w:p>
      <w:pPr>
        <w:pStyle w:val="TextBody"/>
        <w:keepNext w:val="true"/>
        <w:pageBreakBefore w:val="false"/>
        <w:widowControl/>
        <w:pBdr/>
        <w:bidi w:val="0"/>
        <w:spacing w:before="18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Affiliate Ownership of Fund’s Common Stock</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directors, officers and other related parties, including members of Oxford Lane Management, owned, directly or indirectly, approximately 3.3% of the common stock of the Fund at September 30, 2025.</w:t>
      </w:r>
    </w:p>
    <w:p>
      <w:pPr>
        <w:pStyle w:val="TextBody"/>
        <w:keepNext w:val="true"/>
        <w:pageBreakBefore w:val="false"/>
        <w:widowControl/>
        <w:pBdr/>
        <w:bidi w:val="0"/>
        <w:spacing w:before="18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Co-Investment Exemptive Relief</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14, 2017, the SEC issued an exemptive order (the “Exemptive Order”) permitting the Fund and certain of its affiliates to complete negotiated co-investment transactions in portfolio companies, subject to certain conditions. Subject to satisfaction of certain conditions to the Exemptive Order, the Fund and certain of its affiliates are now permitted, together with any future business development companies, registered closed-end funds and certain private funds, each of whose investment adviser is Oxford Lane Management or an investment adviser controlling, controlled by, or under common control with Oxford Lane Management, to co-invest in negotiated investment opportunities where doing so would otherwise be prohibited under the 1940 Act, providing the Fund’s stockholders with access to a broader array of investment opportunities.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Exemptive Order, the Fund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the Fund’s then-current investment objective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Oxford Lane Management have applied for a new exemptive relief order which, if granted, would supersede the Exemptive Order with respect to negotiated co-investment transactions. There can be no assurance that we will obtain such new exemptive relief from the SEC.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expenses and their definitions annually. The standard is effective for annual periods beginning after December 15, 2026, with interim periods following in 2027, and early adoption is permitted. The Fund is currently assessing the impact of this guidance, however, the Fund does not expect a material impact on its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Income Taxes (Topic 740): Improvements to Income Tax Disclosures (“ASU 2023-09”), which is intended to enhance the transparency of income tax disclosures. ASU 2023-09 is effective for fiscal years beginning after December 15, 2024 and is to be adopted on a prospective basis with the option to apply retrospectively. The Fund is currently assessing the impact of this guidance, however, the Fund does not expect a material impact on its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aforementioned guidance, the Fund’s management does not believe that any recently issued, but not yet effective, accounting standards, if currently adopted, would have a material effect on the accompanying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2025, the Fund declared and paid distributions on its common stock of $2.70 per share, or $258,293,792, which the per share amount has been adjusted retroactively to reflect the Reverse Stock Split. The Fund declared and paid distributions on its common stock of $5.25 per share, or $357,264,250 for the year ended March 31, 2025, which the per share amount has been adjusted retroactively to reflect the Reverse Stock Split. The tax character of distributions paid for the six months ended September 30, 2025 represented, on an estimated basis, $258,293,792 million from ordinary income. For the six months ended September 30, 2025, the amounts and sources of distributions reported are only estimates. The tax character of distributions paid for the year ended March 31, 2025 represented, on an estimated basis, $357,264,250 from ordinary income. For the year ended March 31, 2025 and the six months ended September 30, 2025, the amounts and sources of distributions reported are only estimates. The ultimate tax character of distributions is unknown until our tax return is filed. For the six months ended September 30, 2025 and for the year ended March 31, 2025, the Fund also declared and paid dividends on preferred stock of $7,040,023 and $15,229,663, respectively. The tax character of distributions paid on preferred stock represented ordinary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March 31, 2025, the Fund had available $138,102,229 of long-term capital losses, which can be used to offset future capital gains. For the fiscal year ended March 31, 2025, the Fund did not utilize its capital loss carryforward. Under the current law, capital losses related to securities realized after October 31 of a taxable year and prior to the Fund’s fiscal year end (“post-October”) may be deferred as occurring the first day of the following fiscal year. For the fiscal year ended March 31, 2025, the Fund had no post-October losses to defer.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DISTRIBUTIONS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2025, the estimated components of distributable earnings (accumulated losses) on a tax basis were as follows:</w:t>
      </w:r>
    </w:p>
    <w:tbl>
      <w:tblPr>
        <w:tblW w:w="8370" w:type="dxa"/>
        <w:jc w:val="left"/>
        <w:tblInd w:w="0" w:type="dxa"/>
        <w:tblLayout w:type="fixed"/>
        <w:tblCellMar>
          <w:top w:w="0" w:type="dxa"/>
          <w:left w:w="0" w:type="dxa"/>
          <w:bottom w:w="0" w:type="dxa"/>
          <w:right w:w="0" w:type="dxa"/>
        </w:tblCellMar>
      </w:tblPr>
      <w:tblGrid>
        <w:gridCol w:w="6391"/>
        <w:gridCol w:w="146"/>
        <w:gridCol w:w="226"/>
        <w:gridCol w:w="1381"/>
        <w:gridCol w:w="226"/>
      </w:tblGrid>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ordinary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131,030,156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long-term capital gains (capital loss carry forward)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(138,102,229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depreciation on investments*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(667,241,397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timing differences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difference between book basis and tax basis unrealized appreciation/(depreciation) is due to the Fund’s CLO equity and partnership investments.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2025, the effect of permanent “book/tax” reclassifications resulted in the following increase/(decrease) to the components of net assets:</w:t>
      </w:r>
    </w:p>
    <w:tbl>
      <w:tblPr>
        <w:tblW w:w="6690" w:type="dxa"/>
        <w:jc w:val="left"/>
        <w:tblInd w:w="0" w:type="dxa"/>
        <w:tblLayout w:type="fixed"/>
        <w:tblCellMar>
          <w:top w:w="0" w:type="dxa"/>
          <w:left w:w="0" w:type="dxa"/>
          <w:bottom w:w="0" w:type="dxa"/>
          <w:right w:w="0" w:type="dxa"/>
        </w:tblCellMar>
      </w:tblPr>
      <w:tblGrid>
        <w:gridCol w:w="4951"/>
        <w:gridCol w:w="146"/>
        <w:gridCol w:w="226"/>
        <w:gridCol w:w="1141"/>
        <w:gridCol w:w="226"/>
      </w:tblGrid>
      <w:tr>
        <w:trP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2,483,434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Paid-In-Capital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(2,483,434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differences are primarily due to the CLO equity investments, partnership investments, and non-deductible excise tax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2025, the aggregate gross unrealized appreciation for tax purposes was $41,941,620, and aggregate gross unrealized depreciation was $868,917,993. For tax purposes, the cost basis of the portfolio investments at September 30, 2025 was $3,426,578,437.</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MANDATORILY REDEEMABLE PREFERRED STOCK</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authorized 50 million shares of mandatorily redeemable preferred stock, at a par value of $0.01 per share, and had 8,761,706 shares issued and outstanding at September 30, 2025. During the six months ended September 30, 2025, the Fund had the following series of preferred stock outstanding: 6.25% Series 2027 Term Preferred Shares (the “6.25% Series 2027 Shares”); 6.00% Series 2029 Term Preferred Shares (the “6.00% Series 2029 Shares”); and its 7.125% Series 2029 Term Preferred Shares (the “7.125% Series 2029 Shares”), collectively the “Term Preferred Shares”, each issued in an underwritten public offering. The Fund is required to redeem all of the outstanding Term Preferred Shares on their respective redemption dates, at a redemption price equal to $25 per share plus an amount equal to accumulated but unpaid dividends, if any, to the date of the redemption. The Fund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As of September 30, 2025, there were no accumulated but unpaid dividends on the Fund’s Term Preferred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 activity for the six months ended September 30, 2025, was as follows:</w:t>
      </w:r>
    </w:p>
    <w:tbl>
      <w:tblPr>
        <w:tblW w:w="9979" w:type="dxa"/>
        <w:jc w:val="left"/>
        <w:tblInd w:w="0" w:type="dxa"/>
        <w:tblLayout w:type="fixed"/>
        <w:tblCellMar>
          <w:top w:w="0" w:type="dxa"/>
          <w:left w:w="0" w:type="dxa"/>
          <w:bottom w:w="0" w:type="dxa"/>
          <w:right w:w="0" w:type="dxa"/>
        </w:tblCellMar>
      </w:tblPr>
      <w:tblGrid>
        <w:gridCol w:w="4276"/>
        <w:gridCol w:w="146"/>
        <w:gridCol w:w="1336"/>
        <w:gridCol w:w="146"/>
        <w:gridCol w:w="1336"/>
        <w:gridCol w:w="146"/>
        <w:gridCol w:w="1336"/>
        <w:gridCol w:w="146"/>
        <w:gridCol w:w="111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March 31, 2025</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3,524,806</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2,686,900</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8,761,706</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redeemed</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September 30, 2025</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3,524,806</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2,686,900</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2,550,000</w:t>
            </w:r>
          </w:p>
        </w:tc>
        <w:tc>
          <w:tcPr>
            <w:tcW w:w="146" w:type="dxa"/>
            <w:tcBorders/>
            <w:vAlign w:val="bottom"/>
          </w:tcPr>
          <w:p>
            <w:pPr>
              <w:pStyle w:val="TableContents"/>
              <w:bidi w:val="0"/>
              <w:spacing w:before="0" w:after="283"/>
              <w:jc w:val="left"/>
              <w:rPr/>
            </w:pPr>
            <w:r>
              <w:rPr/>
              <w:t> </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8,761,706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MANDATORILY REDEEMABLE PREFERRED STOCK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 balances as of September 30, 2025, were as follows:</w:t>
      </w:r>
    </w:p>
    <w:tbl>
      <w:tblPr>
        <w:tblW w:w="9987" w:type="dxa"/>
        <w:jc w:val="left"/>
        <w:tblInd w:w="0" w:type="dxa"/>
        <w:tblLayout w:type="fixed"/>
        <w:tblCellMar>
          <w:top w:w="0" w:type="dxa"/>
          <w:left w:w="0" w:type="dxa"/>
          <w:bottom w:w="0" w:type="dxa"/>
          <w:right w:w="0" w:type="dxa"/>
        </w:tblCellMar>
      </w:tblPr>
      <w:tblGrid>
        <w:gridCol w:w="2866"/>
        <w:gridCol w:w="146"/>
        <w:gridCol w:w="226"/>
        <w:gridCol w:w="1186"/>
        <w:gridCol w:w="181"/>
        <w:gridCol w:w="146"/>
        <w:gridCol w:w="226"/>
        <w:gridCol w:w="1186"/>
        <w:gridCol w:w="181"/>
        <w:gridCol w:w="146"/>
        <w:gridCol w:w="226"/>
        <w:gridCol w:w="1186"/>
        <w:gridCol w:w="181"/>
        <w:gridCol w:w="146"/>
        <w:gridCol w:w="226"/>
        <w:gridCol w:w="1306"/>
        <w:gridCol w:w="226"/>
      </w:tblGrid>
      <w:tr>
        <w:trPr/>
        <w:tc>
          <w:tcPr>
            <w:tcW w:w="2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2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value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219,042,650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issuance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(609,195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(1,159,033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(1,255,057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(3,023,285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value(2)</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87,510,955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66,013,467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62,494,943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216,019,365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86,423,661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62,803,601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62,094,030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211,321,292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price per share(1)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September 30, 2025 closing market price per share of each respective series of Term Preferred Shares on the NASDAQ Global Select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Fund’s Term Preferred Share offerings are as set forth in the table below:</w:t>
      </w:r>
    </w:p>
    <w:tbl>
      <w:tblPr>
        <w:tblW w:w="8782" w:type="dxa"/>
        <w:jc w:val="left"/>
        <w:tblInd w:w="0" w:type="dxa"/>
        <w:tblLayout w:type="fixed"/>
        <w:tblCellMar>
          <w:top w:w="0" w:type="dxa"/>
          <w:left w:w="0" w:type="dxa"/>
          <w:bottom w:w="0" w:type="dxa"/>
          <w:right w:w="0" w:type="dxa"/>
        </w:tblCellMar>
      </w:tblPr>
      <w:tblGrid>
        <w:gridCol w:w="3331"/>
        <w:gridCol w:w="146"/>
        <w:gridCol w:w="1861"/>
        <w:gridCol w:w="146"/>
        <w:gridCol w:w="1681"/>
        <w:gridCol w:w="146"/>
        <w:gridCol w:w="147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 per share</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redemption date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2029</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2029</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redemption price per share</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Optional redemption date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2024</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2024</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rate</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Term Preferred Shares had no accrued interest payable at September 30, 2025. Deferred issuance costs represent underwriting fees and other direct costs incurred that are related to the Fund’s Term Preferred Shares. As of September 30, 2025, the Fund had an unamortized deferred debt issuance cost balance of approximately $3.0 million related to the issuance of the Term Preferred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components of interest expense, effective interest rates and cash paid on the Term Preferred Shares for the six months ended September 30, 2025:</w:t>
      </w:r>
    </w:p>
    <w:tbl>
      <w:tblPr>
        <w:tblW w:w="10205" w:type="dxa"/>
        <w:jc w:val="left"/>
        <w:tblInd w:w="0" w:type="dxa"/>
        <w:tblLayout w:type="fixed"/>
        <w:tblCellMar>
          <w:top w:w="0" w:type="dxa"/>
          <w:left w:w="0" w:type="dxa"/>
          <w:bottom w:w="0" w:type="dxa"/>
          <w:right w:w="0" w:type="dxa"/>
        </w:tblCellMar>
      </w:tblPr>
      <w:tblGrid>
        <w:gridCol w:w="3264"/>
        <w:gridCol w:w="146"/>
        <w:gridCol w:w="226"/>
        <w:gridCol w:w="1066"/>
        <w:gridCol w:w="286"/>
        <w:gridCol w:w="146"/>
        <w:gridCol w:w="226"/>
        <w:gridCol w:w="1066"/>
        <w:gridCol w:w="286"/>
        <w:gridCol w:w="146"/>
        <w:gridCol w:w="226"/>
        <w:gridCol w:w="1066"/>
        <w:gridCol w:w="286"/>
        <w:gridCol w:w="146"/>
        <w:gridCol w:w="226"/>
        <w:gridCol w:w="1066"/>
        <w:gridCol w:w="331"/>
      </w:tblGrid>
      <w:tr>
        <w:trPr/>
        <w:tc>
          <w:tcPr>
            <w:tcW w:w="32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6.25% </w:t>
              <w:br/>
              <w:t xml:space="preserve">Series 2027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6.00%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7.125% </w:t>
              <w:br/>
              <w:t xml:space="preserve">Series 2029 </w:t>
              <w:br/>
              <w:t xml:space="preserve">Term </w:t>
              <w:br/>
              <w:t xml:space="preserve">Preferred </w:t>
              <w:br/>
              <w:t>Shares</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Total(3)</w:t>
            </w:r>
          </w:p>
        </w:tc>
      </w:tr>
      <w:tr>
        <w:trPr/>
        <w:tc>
          <w:tcPr>
            <w:tcW w:w="32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expense(1)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2,753,755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2,015,175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2,271,094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7,040,024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issuance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148,220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167,769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532,041</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expense(3)</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2,969,807</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2,163,395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2,438,863</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7,572,065</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interest rate(2)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2,753,755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2,015,175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2,271,094</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7,040,024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Stated interest is composed of distributions declared and paid of approximately $7.0 million for the six months ended September 30,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weighted average effective rate for each respective series of Term Preferred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      Totals may not sum due to rounding.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BORROWINGS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6.75% UNSECURED NOTES DUE 2031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2021, the Fund completed an underwritten public offering, including the full exercise of the underwriters’ 30-day overallotment option, of approximately $100.0 million in aggregate principal amount of 6.75% Unsecured Notes due 2031 (the “6.75% Notes”). The 6.75% Notes will mature on March 31, 2031 and may be redeemed in whole or in part at any time or from time to time at the Fund’s option on or after March 16, 2024. The 6.75% Notes bear interest at a rate of 6.75% per year payable quarterly on March 31, June 30, September 30, and December 31, of each year, commencing June 30,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6.75% Notes as of September 30, 2025 was approximately $18,750. As of September 30, 2025, the Fund had unamortized deferred debt issuance costs of approximately $2.0 million, relating to the 6.75% Notes. The deferred debt issuance costs are being amortized over the term of the 6.75% Notes and are included in interest expense in the statement of operations. The effective annualized interest rate for the six months ended September 30, 2025 was approximately 7.09%. The interest expense paid for the six months ended September 30, 2025 was approximately $3.4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5.00% UNSECURED NOTES DUE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the Fund completed an underwritten public offering, including the full exercise of the underwriters’ 30-day overallotment option, of approximately $100.0 million in aggregate principal amount of 5.00% Unsecured Notes due 2027 (the “5.00% Notes”). The 5.00% Notes will mature on January 31, 2027 and may be redeemed in whole or in part at any time or from time to time at the Fund’s option on or after January 31, 2024. The 5.00% Notes bear interest at a rate of 5.00% per year, payable quarterly on March 31, June 30, September 30, and December 31, of each year, commencing March 31,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5.00% Notes as of September 30, 2025, was approximately $13,889. As of September 30, 2025, the Fund had unamortized deferred debt issuance costs of approximately $0.9 million, relating to the 5.00% Notes. The deferred debt issuance costs are being amortized over the term of the 5.00% Notes and are included in interest expense in the statement of operations. The effective annualized interest rate for the six months ended September 30, 2025 was approximately 5.66%. The interest expense paid for the six months ended September 30, 2025 was approximately $2.5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8.75% UNSECURED NOTES DUE 2030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2024, the Fund completed an underwritten public offering, including the full exercise of the underwriters’ 30-day overallotment option, of approximately $115.0 million in aggregate principal amount of 8.75% Unsecured Notes due 2030 (the “8.75% Notes”). The 8.75% Notes will mature on June 30, 2030 and may be redeemed in whole or in part at any time or from time to time at the Fund’s option on or after June 30, 2028. The 8.75% Notes bear interest at a rate of 8.75% per year payable quarterly on March 31, June 30, September 30, and December 31, of each year, commencing September 30,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8.75% Notes as of September 30, 2025, was approximately $27,951. As of September 30, 2025, the Fund had unamortized deferred debt issuance costs of approximately $3.2 million, relating to the 8.75% Notes. The deferred debt issuance costs are being amortized over the term of the 8.75% Notes and are included in interest expense in the statement of operations. The effective annualized interest rate for the six months ended September 30, 2025 was approximately 9.31%. The interest expense paid for the six months ended September 30, 2025 was approximately $5.0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BORROWINGS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PAYABLE — 7.95% UNSECURED NOTES DUE 2032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2025, the Fund completed an underwritten public offering, including the full exercise of the underwriters’ 30-day overallotment option, of approximately $185.0 million in aggregate principal amount of 7.95% Unsecured Notes due 2032 (the “7.95% Notes” together with the 5.00% Notes, 6.75% Notes and 8.75% Notes, the “Notes”). The 7.95% Notes will mature on February 29, 2032 and may be redeemed in whole or in part at any time or from time to time at the Fund’s option on or after February 28, 2030. The 7.95% Notes bear interest at a rate of 7.95% per year payable quarterly on March 31, June 30, September 30, and December 31, of each year, commencing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7.95% Notes as of September 30, 2025, was approximately $40,854. As of September 30, 2025, the Fund had unamortized deferred debt issuance costs of approximately $5.9 million, relating to the 7.95% Notes. The deferred debt issuance costs are being amortized over the term of the 7.95% Notes and are included in interest expense in the statement of operations. The effective annualized interest rate for the six months ended September 30, 2025 was approximately 8.37%. The interest expense paid for the six months ended September 30, 2025 was approximately $8.7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PURCHASES, SALES AND REPAYMENTS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September 30, 2025, purchases of securities totaled approximately $587.1 million including approximately $6.5 million of unsettled purchases. In addition, during the six months ended September 30, 2025, the Fund’s sales of securities totaled approximately $112.1 million and did not have any unsettled sales. The Fund had approximately $182.2 million in repayments, excluding short-term investments, during the six months ended September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2025, the Fund had six commitments related to AIMCO CLO 26, Ltd. preferred shares of approximately $0.4 million; Ares CLO Warehouse 2025-1 Ltd. subordinated warehouse notes of approximately $7.1 million; Carlyle US CLO 2025-E, Ltd. subordinated warehouse notes of approximately $14.2 million; CIFC Ravello Warehouse, Ltd. preferred shares of approximately $9.3 million; Sculptor CLO XXXVII, Ltd. subordinated warehouse notes of approximately $2.7 million and Verona Park CLO, Ltd. subordinated warehouse notes of approximately $10.1 million. The total commitment amount does not necessarily represent future cash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Fund’s organizational documents, the Fund’s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FINANCIAL HIGHLIGHTS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highlights for the six months ended September 30, 2025 and years ended March 31, 2025, 2024, 2023, 2022, 2021, 2020, 2019, 2018, 2017, and 2016 are as follows:</w:t>
      </w:r>
    </w:p>
    <w:tbl>
      <w:tblPr>
        <w:tblW w:w="17160" w:type="dxa"/>
        <w:jc w:val="left"/>
        <w:tblInd w:w="0" w:type="dxa"/>
        <w:tblLayout w:type="fixed"/>
        <w:tblCellMar>
          <w:top w:w="0" w:type="dxa"/>
          <w:left w:w="0" w:type="dxa"/>
          <w:bottom w:w="0" w:type="dxa"/>
          <w:right w:w="0" w:type="dxa"/>
        </w:tblCellMar>
      </w:tblPr>
      <w:tblGrid>
        <w:gridCol w:w="986"/>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916"/>
        <w:gridCol w:w="241"/>
        <w:gridCol w:w="146"/>
        <w:gridCol w:w="196"/>
        <w:gridCol w:w="826"/>
        <w:gridCol w:w="241"/>
        <w:gridCol w:w="146"/>
        <w:gridCol w:w="196"/>
        <w:gridCol w:w="826"/>
        <w:gridCol w:w="241"/>
        <w:gridCol w:w="146"/>
        <w:gridCol w:w="196"/>
        <w:gridCol w:w="826"/>
        <w:gridCol w:w="241"/>
        <w:gridCol w:w="146"/>
        <w:gridCol w:w="196"/>
        <w:gridCol w:w="826"/>
        <w:gridCol w:w="286"/>
      </w:tblGrid>
      <w:tr>
        <w:trPr/>
        <w:tc>
          <w:tcPr>
            <w:tcW w:w="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Six Months </w:t>
              <w:br/>
              <w:t xml:space="preserve">Ended </w:t>
              <w:br/>
              <w:t xml:space="preserve">September 30, </w:t>
              <w:br/>
              <w:t>2025</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2025</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2024</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2023</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2022</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2021</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2020</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2019</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2018</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2017</w:t>
            </w:r>
            <w:r>
              <w:rPr>
                <w:rFonts w:ascii="Times New Roman PS Std;serif" w:hAnsi="Times New Roman PS Std;serif"/>
                <w:b/>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Year </w:t>
              <w:br/>
              <w:t xml:space="preserve">Ended </w:t>
              <w:br/>
              <w:t xml:space="preserve">March 31, </w:t>
              <w:br/>
              <w:t>2016</w:t>
            </w:r>
            <w:r>
              <w:rPr>
                <w:rFonts w:ascii="Times New Roman PS Std;serif" w:hAnsi="Times New Roman PS Std;serif"/>
                <w:b/>
                <w:i w:val="false"/>
                <w:caps w:val="false"/>
                <w:smallCaps w:val="false"/>
                <w:sz w:val="8"/>
              </w:rPr>
              <w:t>(8)</w:t>
            </w:r>
          </w:p>
        </w:tc>
      </w:tr>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u w:val="single"/>
              </w:rPr>
            </w:pPr>
            <w:r>
              <w:rPr>
                <w:rFonts w:ascii="Times New Roman PS Std;serif" w:hAnsi="Times New Roman PS Std;serif"/>
                <w:b/>
                <w:i w:val="false"/>
                <w:caps w:val="false"/>
                <w:smallCaps w:val="false"/>
                <w:sz w:val="14"/>
                <w:u w:val="single"/>
              </w:rPr>
              <w:t>Per Share Data</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Net asset value at beginning of period/year</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17.90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50.40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70.40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Net investment income</w:t>
            </w:r>
            <w:r>
              <w:rPr>
                <w:rFonts w:ascii="Times New Roman PS Std;serif" w:hAnsi="Times New Roman PS Std;serif"/>
                <w:b w:val="false"/>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Net realized and unrealized (losses) gains</w:t>
            </w:r>
            <w:r>
              <w:rPr>
                <w:rFonts w:ascii="Times New Roman PS Std;serif" w:hAnsi="Times New Roman PS Std;serif"/>
                <w:b w:val="false"/>
                <w:i w:val="false"/>
                <w:caps w:val="false"/>
                <w:smallCaps w:val="false"/>
                <w:sz w:val="8"/>
              </w:rPr>
              <w:t>(2)</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0.95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(26.95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(0.60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19.35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from investment operations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of net investment income</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from realized gain on investments</w:t>
            </w:r>
            <w:r>
              <w:rPr>
                <w:rFonts w:ascii="Times New Roman PS Std;serif" w:hAnsi="Times New Roman PS Std;serif"/>
                <w:b w:val="false"/>
                <w:i w:val="false"/>
                <w:caps w:val="false"/>
                <w:smallCaps w:val="false"/>
                <w:sz w:val="8"/>
              </w:rPr>
              <w:t>(3)</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of return of capital</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Distributions per share based on weighted average share impact</w:t>
            </w:r>
            <w:r>
              <w:rPr>
                <w:rFonts w:ascii="Times New Roman PS Std;serif" w:hAnsi="Times New Roman PS Std;serif"/>
                <w:b w:val="false"/>
                <w:i w:val="false"/>
                <w:caps w:val="false"/>
                <w:smallCaps w:val="false"/>
                <w:sz w:val="8"/>
              </w:rPr>
              <w:t>(3)</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(0.30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distributions</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Effect of shares issued/repurchased, net of underwriting expense</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0.85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0.30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Effect of offering costs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Effect of shares issued/repurchased, net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0.85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0.45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0.50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Net asset value at end of period/year</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17.90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35.20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Per share market value at beginning of period/year.</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20.85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50.65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55.65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42.25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74.10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Per share market value at end of period/year</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16.93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20.85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42.25</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return based on market value</w:t>
            </w:r>
            <w:r>
              <w:rPr>
                <w:rFonts w:ascii="Times New Roman PS Std;serif" w:hAnsi="Times New Roman PS Std;serif"/>
                <w:b w:val="false"/>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(17.32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87.87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(48.71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(28.97</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Total return based on net asset value</w:t>
            </w:r>
            <w:r>
              <w:rPr>
                <w:rFonts w:ascii="Times New Roman PS Std;serif" w:hAnsi="Times New Roman PS Std;serif"/>
                <w:b w:val="false"/>
                <w:i w:val="false"/>
                <w:caps w:val="false"/>
                <w:smallCaps w:val="false"/>
                <w:sz w:val="8"/>
              </w:rPr>
              <w:t>(5)</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26.79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94.20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78.98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(32.95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Shares outstanding at end of period/year</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97,108,984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90,636,545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47,825,599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34,414,661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28,895,680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20,090,567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15,036,631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8,509,560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5,753,780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4,550,286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3,750,339</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u w:val="single"/>
              </w:rPr>
            </w:pPr>
            <w:r>
              <w:rPr>
                <w:rFonts w:ascii="Times New Roman PS Std;serif" w:hAnsi="Times New Roman PS Std;serif"/>
                <w:b/>
                <w:i w:val="false"/>
                <w:caps w:val="false"/>
                <w:smallCaps w:val="false"/>
                <w:sz w:val="14"/>
                <w:u w:val="single"/>
              </w:rPr>
              <w:t>Ratios/Supplemental Data</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Net assets at end of period/year (000’s)</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1,863,800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1,956,805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1,171,086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793,151</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947,156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596,254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268,788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353,832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289,930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232,048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131,950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Average net assets (000’s)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2,018,951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1,639,629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944,942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827,142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738,960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419,391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314,446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315,037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254,893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173,005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185,211</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Ratio of net investment income to average daily net assets</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19.74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Ratio of expenses to average daily net assets</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r>
        <w:trPr/>
        <w:tc>
          <w:tcPr>
            <w:tcW w:w="9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Portfolio turnover rate</w:t>
            </w:r>
            <w:r>
              <w:rPr>
                <w:rFonts w:ascii="Times New Roman PS Std;serif" w:hAnsi="Times New Roman PS Std;serif"/>
                <w:b w:val="false"/>
                <w:i w:val="false"/>
                <w:caps w:val="false"/>
                <w:smallCaps w:val="false"/>
                <w:sz w:val="8"/>
              </w:rPr>
              <w:t>(6)</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64.97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53.42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69.08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net investment income per share for the period, based upon weighted average shares outstanding.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Net realized and unrealized capital gains and losses based upon weighted average shares outstanding include adjustments to reconcile change in NAV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and that the total number of shares were sold at the closing market price per share on the last day of the period. The computation does not reflect any sales commission investors may incur in purchasing or selling shares of the Fund.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Total return based on NAV is the change in ending NAV per share plus distributions per share paid during the period divided by the beginning NAV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Portfolio turnover rate is calculated using the lesser of the year-to-date purchases or sales and repayments of investments divided by the monthly average of the fair value of total investments. Excluded from both the numerator and denominator is the fair value of all investments whose maturity or expiration date at the time of acquisition was one year or less.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Amount represents less than $0.01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(8)      The Fund completed a 1-for-5 reverse stock split effective September 5, 2025. The common stock, net asset value and per share data have been adjusted retroactively to reflect the split. For more information, see “Note 2. Organization — Reverse Stock Split.”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Senior Securities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is shown in the following tables as of the six months ended September 30, 2025 and fiscal years ended March 31, 2025, 2024, 2023, 2022, 2021, 2020, 2019, 2018, 2017, and 2016:</w:t>
      </w:r>
    </w:p>
    <w:tbl>
      <w:tblPr>
        <w:tblW w:w="6601" w:type="dxa"/>
        <w:jc w:val="left"/>
        <w:tblInd w:w="0" w:type="dxa"/>
        <w:tblLayout w:type="fixed"/>
        <w:tblCellMar>
          <w:top w:w="0" w:type="dxa"/>
          <w:left w:w="0" w:type="dxa"/>
          <w:bottom w:w="0" w:type="dxa"/>
          <w:right w:w="0" w:type="dxa"/>
        </w:tblCellMar>
      </w:tblPr>
      <w:tblGrid>
        <w:gridCol w:w="646"/>
        <w:gridCol w:w="146"/>
        <w:gridCol w:w="247"/>
        <w:gridCol w:w="1298"/>
        <w:gridCol w:w="146"/>
        <w:gridCol w:w="1216"/>
        <w:gridCol w:w="146"/>
        <w:gridCol w:w="349"/>
        <w:gridCol w:w="1001"/>
        <w:gridCol w:w="146"/>
        <w:gridCol w:w="357"/>
        <w:gridCol w:w="903"/>
      </w:tblGrid>
      <w:tr>
        <w:trPr/>
        <w:tc>
          <w:tcPr>
            <w:tcW w:w="6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Amount </w:t>
              <w:br/>
              <w:t xml:space="preserve">Outstanding </w:t>
              <w:br/>
              <w:t xml:space="preserve">Exclusive of </w:t>
              <w:br/>
              <w:t xml:space="preserve">Treasury </w:t>
              <w:br/>
              <w:t>Securities(1)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Asset </w:t>
              <w:br/>
              <w:t xml:space="preserve">Coverage </w:t>
              <w:br/>
              <w:t xml:space="preserve">Ratio </w:t>
              <w:br/>
              <w:t>Per Unit(2)</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Involuntary </w:t>
              <w:br/>
              <w:t xml:space="preserve">Liquidation </w:t>
              <w:br/>
              <w:t xml:space="preserve">Preference </w:t>
              <w:br/>
              <w:t>Per Unit(3)</w:t>
            </w:r>
          </w:p>
        </w:tc>
        <w:tc>
          <w:tcPr>
            <w:tcW w:w="146"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Market </w:t>
              <w:br/>
              <w:t xml:space="preserve">Value </w:t>
              <w:br/>
              <w:t>Per Unit(4)</w:t>
            </w:r>
          </w:p>
        </w:tc>
      </w:tr>
      <w:tr>
        <w:trPr/>
        <w:tc>
          <w:tcPr>
            <w:tcW w:w="6601" w:type="dxa"/>
            <w:gridSpan w:val="12"/>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7.50% Series 2023 Term Preferred Shares</w:t>
            </w:r>
            <w:r>
              <w:rPr>
                <w:rFonts w:ascii="Times New Roman PS Std;serif" w:hAnsi="Times New Roman PS Std;serif"/>
                <w:b/>
                <w:i w:val="false"/>
                <w:caps w:val="false"/>
                <w:smallCaps w:val="false"/>
                <w:sz w:val="20"/>
              </w:rPr>
              <w:t>(5)(8)</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57,034,875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60,400,025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90,400,025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90,638,450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6601" w:type="dxa"/>
            <w:gridSpan w:val="12"/>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8.125% Series 2024 Term Preferred Shares</w:t>
            </w:r>
            <w:r>
              <w:rPr>
                <w:rFonts w:ascii="Times New Roman PS Std;serif" w:hAnsi="Times New Roman PS Std;serif"/>
                <w:b/>
                <w:i w:val="false"/>
                <w:caps w:val="false"/>
                <w:smallCaps w:val="false"/>
                <w:sz w:val="20"/>
              </w:rPr>
              <w:t>(7)</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50,504,475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50,539,775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6601" w:type="dxa"/>
            <w:gridSpan w:val="12"/>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6.75% Series 2024 Term Preferred Shares</w:t>
            </w:r>
            <w:r>
              <w:rPr>
                <w:rFonts w:ascii="Times New Roman PS Std;serif" w:hAnsi="Times New Roman PS Std;serif"/>
                <w:b/>
                <w:i w:val="false"/>
                <w:caps w:val="false"/>
                <w:smallCaps w:val="false"/>
                <w:sz w:val="20"/>
              </w:rPr>
              <w:t>(6)(8)</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68,125,375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0.94</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r>
        <w:trPr/>
        <w:tc>
          <w:tcPr>
            <w:tcW w:w="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68,235,375</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tbl>
      <w:tblPr>
        <w:tblW w:w="9811" w:type="dxa"/>
        <w:jc w:val="left"/>
        <w:tblInd w:w="0" w:type="dxa"/>
        <w:tblLayout w:type="fixed"/>
        <w:tblCellMar>
          <w:top w:w="0" w:type="dxa"/>
          <w:left w:w="0" w:type="dxa"/>
          <w:bottom w:w="0" w:type="dxa"/>
          <w:right w:w="0" w:type="dxa"/>
        </w:tblCellMar>
      </w:tblPr>
      <w:tblGrid>
        <w:gridCol w:w="3856"/>
        <w:gridCol w:w="146"/>
        <w:gridCol w:w="228"/>
        <w:gridCol w:w="1317"/>
        <w:gridCol w:w="146"/>
        <w:gridCol w:w="1216"/>
        <w:gridCol w:w="146"/>
        <w:gridCol w:w="349"/>
        <w:gridCol w:w="1001"/>
        <w:gridCol w:w="146"/>
        <w:gridCol w:w="357"/>
        <w:gridCol w:w="903"/>
      </w:tblGrid>
      <w:tr>
        <w:trPr/>
        <w:tc>
          <w:tcPr>
            <w:tcW w:w="38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Amount </w:t>
              <w:br/>
              <w:t xml:space="preserve">Outstanding </w:t>
              <w:br/>
              <w:t xml:space="preserve">Exclusive of </w:t>
              <w:br/>
              <w:t xml:space="preserve">Treasury </w:t>
              <w:br/>
              <w:t>Securities(1)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Asset </w:t>
              <w:br/>
              <w:t xml:space="preserve">Coverage </w:t>
              <w:br/>
              <w:t xml:space="preserve">Ratio </w:t>
              <w:br/>
              <w:t>Per Unit(2)</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Involuntary </w:t>
              <w:br/>
              <w:t xml:space="preserve">Liquidation </w:t>
              <w:br/>
              <w:t xml:space="preserve">Preference </w:t>
              <w:br/>
              <w:t>Per Unit(3)</w:t>
            </w:r>
          </w:p>
        </w:tc>
        <w:tc>
          <w:tcPr>
            <w:tcW w:w="146"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Market </w:t>
              <w:br/>
              <w:t xml:space="preserve">Value </w:t>
              <w:br/>
              <w:t>Per Unit(4)</w:t>
            </w:r>
          </w:p>
        </w:tc>
      </w:tr>
      <w:tr>
        <w:trPr/>
        <w:tc>
          <w:tcPr>
            <w:tcW w:w="9811" w:type="dxa"/>
            <w:gridSpan w:val="12"/>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6.25% Series 2027 Term Preferred Shares</w:t>
            </w:r>
            <w:r>
              <w:rPr>
                <w:rFonts w:ascii="Times New Roman PS Std;serif" w:hAnsi="Times New Roman PS Std;serif"/>
                <w:b/>
                <w:i w:val="false"/>
                <w:caps w:val="false"/>
                <w:smallCaps w:val="false"/>
                <w:sz w:val="20"/>
              </w:rPr>
              <w:t>(8)</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0.95</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88,120,150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0.89</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0.89</w:t>
            </w:r>
          </w:p>
        </w:tc>
      </w:tr>
      <w:tr>
        <w:trPr/>
        <w:tc>
          <w:tcPr>
            <w:tcW w:w="3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shd w:fill="CCEEFF" w:val="clear"/>
            <w:vAlign w:val="bottom"/>
          </w:tcPr>
          <w:p>
            <w:pPr>
              <w:pStyle w:val="TableContents"/>
              <w:bidi w:val="0"/>
              <w:spacing w:before="0" w:after="283"/>
              <w:jc w:val="left"/>
              <w:rPr/>
            </w:pPr>
            <w:r>
              <w:rPr/>
              <w:t> </w:t>
            </w:r>
          </w:p>
        </w:tc>
      </w:tr>
      <w:tr>
        <w:trPr/>
        <w:tc>
          <w:tcPr>
            <w:tcW w:w="9811" w:type="dxa"/>
            <w:gridSpan w:val="12"/>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6.00% Series 2029 Term Preferred Shares</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0.91</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0.87</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67,172,500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9811" w:type="dxa"/>
            <w:gridSpan w:val="12"/>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7.125% Series 2029 Term Preferred Shares</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0.97</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0.96</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Repurchase Agreement</w:t>
            </w:r>
            <w:r>
              <w:rPr>
                <w:rFonts w:ascii="Times New Roman PS Std;serif" w:hAnsi="Times New Roman PS Std;serif"/>
                <w:b/>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42,493,500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42,493,500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3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6.75% Unsecured Notes due 2031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0.94</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0.96</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0.93</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0.96</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tbl>
      <w:tblPr>
        <w:tblW w:w="8167" w:type="dxa"/>
        <w:jc w:val="left"/>
        <w:tblInd w:w="0" w:type="dxa"/>
        <w:tblLayout w:type="fixed"/>
        <w:tblCellMar>
          <w:top w:w="0" w:type="dxa"/>
          <w:left w:w="0" w:type="dxa"/>
          <w:bottom w:w="0" w:type="dxa"/>
          <w:right w:w="0" w:type="dxa"/>
        </w:tblCellMar>
      </w:tblPr>
      <w:tblGrid>
        <w:gridCol w:w="3856"/>
        <w:gridCol w:w="146"/>
        <w:gridCol w:w="226"/>
        <w:gridCol w:w="1306"/>
        <w:gridCol w:w="146"/>
        <w:gridCol w:w="526"/>
        <w:gridCol w:w="146"/>
        <w:gridCol w:w="226"/>
        <w:gridCol w:w="646"/>
        <w:gridCol w:w="146"/>
        <w:gridCol w:w="226"/>
        <w:gridCol w:w="571"/>
      </w:tblGrid>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5.00% Unsecured Notes due 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0.96</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0.94</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0.91</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FINANCIAL HIGHLIGHTS </w:t>
      </w:r>
      <w:r>
        <w:rPr>
          <w:rFonts w:ascii="Times New Roman PS Std;serif" w:hAnsi="Times New Roman PS Std;serif"/>
          <w:b w:val="false"/>
          <w:i w:val="false"/>
          <w:caps w:val="false"/>
          <w:smallCaps w:val="false"/>
          <w:sz w:val="20"/>
        </w:rPr>
        <w:t>(cont.)</w:t>
      </w:r>
    </w:p>
    <w:tbl>
      <w:tblPr>
        <w:tblW w:w="9811" w:type="dxa"/>
        <w:jc w:val="left"/>
        <w:tblInd w:w="0" w:type="dxa"/>
        <w:tblLayout w:type="fixed"/>
        <w:tblCellMar>
          <w:top w:w="0" w:type="dxa"/>
          <w:left w:w="0" w:type="dxa"/>
          <w:bottom w:w="0" w:type="dxa"/>
          <w:right w:w="0" w:type="dxa"/>
        </w:tblCellMar>
      </w:tblPr>
      <w:tblGrid>
        <w:gridCol w:w="3856"/>
        <w:gridCol w:w="146"/>
        <w:gridCol w:w="228"/>
        <w:gridCol w:w="1317"/>
        <w:gridCol w:w="146"/>
        <w:gridCol w:w="1216"/>
        <w:gridCol w:w="146"/>
        <w:gridCol w:w="349"/>
        <w:gridCol w:w="1001"/>
        <w:gridCol w:w="146"/>
        <w:gridCol w:w="357"/>
        <w:gridCol w:w="903"/>
      </w:tblGrid>
      <w:tr>
        <w:trPr/>
        <w:tc>
          <w:tcPr>
            <w:tcW w:w="38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Amount </w:t>
              <w:br/>
              <w:t xml:space="preserve">Outstanding </w:t>
              <w:br/>
              <w:t xml:space="preserve">Exclusive of </w:t>
              <w:br/>
              <w:t xml:space="preserve">Treasury </w:t>
              <w:br/>
              <w:t>Securities(1)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Asset </w:t>
              <w:br/>
              <w:t xml:space="preserve">Coverage </w:t>
              <w:br/>
              <w:t xml:space="preserve">Ratio </w:t>
              <w:br/>
              <w:t>Per Unit(2)</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Involuntary </w:t>
              <w:br/>
              <w:t xml:space="preserve">Liquidation </w:t>
              <w:br/>
              <w:t xml:space="preserve">Preference </w:t>
              <w:br/>
              <w:t>Per Unit(3)</w:t>
            </w:r>
          </w:p>
        </w:tc>
        <w:tc>
          <w:tcPr>
            <w:tcW w:w="146"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Market </w:t>
              <w:br/>
              <w:t xml:space="preserve">Value </w:t>
              <w:br/>
              <w:t>Per Unit(4)</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8.75% Unsecured Notes due 2030</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115,000,000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vAlign w:val="bottom"/>
          </w:tcPr>
          <w:p>
            <w:pPr>
              <w:pStyle w:val="TableContents"/>
              <w:bidi w:val="0"/>
              <w:spacing w:before="0" w:after="283"/>
              <w:jc w:val="left"/>
              <w:rPr/>
            </w:pPr>
            <w:r>
              <w:rPr/>
              <w:t> </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7.95% Unsecured Notes due 2032</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03"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(as of September 30, 2025)</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185,000,000</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vAlign w:val="bottom"/>
          </w:tcPr>
          <w:p>
            <w:pPr>
              <w:pStyle w:val="TableContents"/>
              <w:bidi w:val="0"/>
              <w:spacing w:before="0" w:after="283"/>
              <w:jc w:val="left"/>
              <w:rPr/>
            </w:pPr>
            <w:r>
              <w:rPr/>
              <w:t> </w:t>
            </w:r>
          </w:p>
        </w:tc>
        <w:tc>
          <w:tcPr>
            <w:tcW w:w="3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185,000,000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 amount of each class of senior securities outstanding at the end of the period presented.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Asset coverage per unit is the ratio of the carrying value of the Fund’s total assets, less all liabilities and indebtedness not represented by senior securities, to the aggregate amount of outstanding senior securities, as calculated separately for each of the Term Preferred Shares, the Notes and the previously terminated Master Repurchase Agreement (“MRA”) with Nomura Securities International, Inc. (“Nomura”) in accordance with Section 18(h) of the 1940 Act. With respect to the Term Preferred Shares,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MRA, the asset coverage ratio per unit is expressed in terms of a ratio per unit of outstanding (when expressing in terms of dollar amounts per share, the asset coverage per unit is multiplied by $1,000 per principal amount).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 to which such class of senior security would be entitled upon the voluntary liquidation of the issuer in preference to any security junior to it.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With respect to the Term Preferred Shares and the Notes, the Average Market Value Per Unit is calculated by taking the daily average closing price of the security for the respective period and dividing it by $25 per share to determine a unit price per share consistent with Asset Coverage Per Unit. With respect to the MRA, the Average Market Value is not applicable as there are no senior securities thereunder which are registered for public trading.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On April 15, 2021, the Fund redeemed all of the issued and outstanding 7.50% Series 2023 Term Preferred Stock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On July 1, 2024 the Fund redeemed all of the issued and outstanding 6.75% Series 2024 Term Preferred Stock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On July 14, 2017, the Fund redeemed all issued and outstanding 8.125% Series 2024 Term Preferred Shares at the term redemption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On May 21, 2020, the Fund’s Board of Directors authorized a program for the purpose of repurchasing up to $40 million worth of the outstanding shares of the Fund’s 7.50% Series 2023 Term Preferred Stock, 6.75% Series 2024 Term Preferred Stock and 6.25% Series 2027 Term Preferred Stock. For the year ended March 31, 2021, the Fund repurchased 134,606 shares of 7.50% Series 2023 Term Preferred Stock for a total of approximately $3.2 million, 4,400 shares of 6.75% Series 2024 Term Preferred Stock for a total of approximately $0.1 million, and 139,194 shares of 6.25% Series 2027 Term Preferred Stock, for a total of approximately $3.1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On May 15, 2020, the Fund elected, at its option, to repay and terminate its $40.0 million repurchase agreement with Nomura. The Fund repurchased all of the previously sold CLO securities from Nomura at a repurchase price of $40.0 million plus accrued funding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RISKS AND UNCERTAINTIES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may be materially adversely affected by market conditions. Market volatility, dramatic change to interest rates and/or unfavorable economic conditions may lower performance or impair the Fund’s ability to achieve its investment objective. The occurrence of any of the events described in the section titled “Principal Risks” herein could have a significant adverse impact on the value and risk profile of the Fund’s investments. Although it is difficult to predict the extent of the impact of economic disruptions on the underlying CLO vehicles the Fund invests in, the failure by a CLO vehicle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the Fund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 and other structured finance securities are generally backed by a pool of credit-related assets that serve as collateral. Accordingly, CLO and structured finance securities present risks similar to those of other types of credit investments, including default (credit), interest rate, prepayment, and liquidity risks. 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Fund’s investments in CLO debt and equity will likely be subordinate to other senior classes of CLO debt; and (iv) the CLO vehicle itself may experience an event of default, leading to acceleration of the CLO’s debt and liquidation of CLO Assets at undesirable prices. Since the Fund primarily invests in junior debt and equity tranches of a CLO, in the event of default, insolvency, liquidation, dissolution, reorganization or bankruptcy of a CLO issuer, holders of senior debt instruments would be entitled to receive payment in full before the Fund receives any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Fund’s portfolio of investments may lack diversification among CLO vehicles which may subject the Fund to a risk of significant loss if one or more of these CLO vehicles experiences a high level of defaults on its underlying CLO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social and political circumstances in the United States and around the world (including wars and other forms of conflict and other uncertainties regarding actual and potential shifts in the U.S. and foreign, trade, economic and other policies with other countries, treaties and tariffs, terrorist acts, security operations and catastrophic events such as fires, floods, earthquakes, tornadoes, hurricanes and global health epidemics), may also contribute to increased market volatility and economic uncertainties or deterioration in the U.S. and worldwide. Any such market disruptions could have a material adverse effect on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ISSUANCES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sold a total of 5,852,674 shares of common stock pursuant to an “at-the-market” offering during the six months ended September 30, 2025. The total amount of capital raised under these issuances was approximately $131.1 million and net proceeds were approximately $130.9 million after deducting the sales agent’s commissions and offering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sold a total of 40,722,223 shares of common stock pursuant to an “at-the-market” offering during the fiscal year ended March 31, 2025. The total amount of capital raised under these issuances was approximately $1,050.7 million and net proceeds were approximately $1,043.4 million after deducting the sales agent’s commissions and offering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September 30, 2025, the Fund issued approximately 1,784,500 shares of common stock in connection with the distribution reinvestment plan. For the year ended March 31, 2025, the Fund issued 2,088,723 shares of common stock in connection with the distribution reinvestment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br/>
        <w:t>NOTES TO FINANCIAL STATEMENTS</w:t>
        <w:br/>
        <w:t>SEPTEMBER 30, 2025</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operates as a single operating and reporting segment and its primary business objective is to maximize its investment portfolio’s total return. The chief operating decision maker (“CODM”) is a combination of the Fund’s chief executive officer and president. The CODM evaluates performance through the Fund’s net asset value, net investment income and net increase/decrease in net assets resulting from operations. These performance measures also aid the CODM in providing information to the Board of Directors for the process of determining the amount of distributions to be distributed to the Fund’s stockholders. The Fund’s significant segment expenses are listed on the accompanying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declared monthly distributions of $0.40 per share on its common stock, as follows:</w:t>
      </w:r>
    </w:p>
    <w:tbl>
      <w:tblPr>
        <w:tblW w:w="9604" w:type="dxa"/>
        <w:jc w:val="left"/>
        <w:tblInd w:w="0" w:type="dxa"/>
        <w:tblLayout w:type="fixed"/>
        <w:tblCellMar>
          <w:top w:w="0" w:type="dxa"/>
          <w:left w:w="0" w:type="dxa"/>
          <w:bottom w:w="0" w:type="dxa"/>
          <w:right w:w="0" w:type="dxa"/>
        </w:tblCellMar>
      </w:tblPr>
      <w:tblGrid>
        <w:gridCol w:w="2041"/>
        <w:gridCol w:w="146"/>
        <w:gridCol w:w="1771"/>
        <w:gridCol w:w="146"/>
        <w:gridCol w:w="2026"/>
        <w:gridCol w:w="146"/>
        <w:gridCol w:w="2026"/>
        <w:gridCol w:w="146"/>
        <w:gridCol w:w="327"/>
        <w:gridCol w:w="829"/>
      </w:tblGrid>
      <w:tr>
        <w:trPr/>
        <w:tc>
          <w:tcPr>
            <w:tcW w:w="20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 Ending</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Per Share</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17, 2025</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r>
        <w:trPr/>
        <w:tc>
          <w:tcPr>
            <w:tcW w:w="2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2025</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2025</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r>
        <w:trPr/>
        <w:tc>
          <w:tcPr>
            <w:tcW w:w="2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31, 2026</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16,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30,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2026</w:t>
            </w:r>
          </w:p>
        </w:tc>
        <w:tc>
          <w:tcPr>
            <w:tcW w:w="146"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r>
        <w:trPr/>
        <w:tc>
          <w:tcPr>
            <w:tcW w:w="2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declared the required monthly dividends on 6.25% Series 2027, 6.00% Series 2029, and 7.125% Series 2029 Term Preferred Shares (each, a “Share”), as follows:</w:t>
      </w:r>
    </w:p>
    <w:tbl>
      <w:tblPr>
        <w:tblW w:w="10205" w:type="dxa"/>
        <w:jc w:val="left"/>
        <w:tblInd w:w="0" w:type="dxa"/>
        <w:tblLayout w:type="fixed"/>
        <w:tblCellMar>
          <w:top w:w="0" w:type="dxa"/>
          <w:left w:w="0" w:type="dxa"/>
          <w:bottom w:w="0" w:type="dxa"/>
          <w:right w:w="0" w:type="dxa"/>
        </w:tblCellMar>
      </w:tblPr>
      <w:tblGrid>
        <w:gridCol w:w="2253"/>
        <w:gridCol w:w="146"/>
        <w:gridCol w:w="1720"/>
        <w:gridCol w:w="146"/>
        <w:gridCol w:w="226"/>
        <w:gridCol w:w="1246"/>
        <w:gridCol w:w="146"/>
        <w:gridCol w:w="2065"/>
        <w:gridCol w:w="146"/>
        <w:gridCol w:w="2111"/>
      </w:tblGrid>
      <w:tr>
        <w:trPr/>
        <w:tc>
          <w:tcPr>
            <w:tcW w:w="225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Dividend </w:t>
              <w:br/>
              <w:t xml:space="preserve">Amount </w:t>
              <w:br/>
              <w:t>Declared</w:t>
            </w:r>
          </w:p>
        </w:tc>
        <w:tc>
          <w:tcPr>
            <w:tcW w:w="146" w:type="dxa"/>
            <w:tcBorders/>
            <w:vAlign w:val="bottom"/>
          </w:tcPr>
          <w:p>
            <w:pPr>
              <w:pStyle w:val="TableContents"/>
              <w:bidi w:val="0"/>
              <w:spacing w:before="0" w:after="283"/>
              <w:jc w:val="left"/>
              <w:rPr/>
            </w:pPr>
            <w:r>
              <w:rPr/>
              <w:t> </w:t>
            </w:r>
          </w:p>
        </w:tc>
        <w:tc>
          <w:tcPr>
            <w:tcW w:w="206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rPr/>
            </w:pPr>
            <w:r>
              <w:rPr/>
              <w:t> </w:t>
            </w:r>
          </w:p>
        </w:tc>
        <w:tc>
          <w:tcPr>
            <w:tcW w:w="2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r>
      <w:tr>
        <w:trPr/>
        <w:tc>
          <w:tcPr>
            <w:tcW w:w="2253"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 Series 2027</w:t>
            </w:r>
          </w:p>
        </w:tc>
        <w:tc>
          <w:tcPr>
            <w:tcW w:w="146" w:type="dxa"/>
            <w:tcBorders/>
            <w:shd w:fill="CCEEFF" w:val="clear"/>
          </w:tcPr>
          <w:p>
            <w:pPr>
              <w:pStyle w:val="TableContents"/>
              <w:bidi w:val="0"/>
              <w:spacing w:before="0" w:after="283"/>
              <w:jc w:val="left"/>
              <w:rPr/>
            </w:pPr>
            <w:r>
              <w:rPr/>
              <w:t> </w:t>
            </w:r>
          </w:p>
        </w:tc>
        <w:tc>
          <w:tcPr>
            <w:tcW w:w="172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0.13020833</w:t>
            </w:r>
          </w:p>
        </w:tc>
        <w:tc>
          <w:tcPr>
            <w:tcW w:w="146" w:type="dxa"/>
            <w:tcBorders/>
            <w:shd w:fill="CCEEFF" w:val="clear"/>
          </w:tcPr>
          <w:p>
            <w:pPr>
              <w:pStyle w:val="TableContents"/>
              <w:bidi w:val="0"/>
              <w:spacing w:before="0" w:after="283"/>
              <w:jc w:val="left"/>
              <w:rPr/>
            </w:pPr>
            <w:r>
              <w:rPr/>
              <w:t> </w:t>
            </w:r>
          </w:p>
        </w:tc>
        <w:tc>
          <w:tcPr>
            <w:tcW w:w="2065"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17,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shd w:fill="CCEEFF" w:val="clear"/>
          </w:tcPr>
          <w:p>
            <w:pPr>
              <w:pStyle w:val="TableContents"/>
              <w:bidi w:val="0"/>
              <w:spacing w:before="0" w:after="283"/>
              <w:jc w:val="left"/>
              <w:rPr/>
            </w:pPr>
            <w:r>
              <w:rPr/>
              <w:t> </w:t>
            </w:r>
          </w:p>
        </w:tc>
        <w:tc>
          <w:tcPr>
            <w:tcW w:w="2111"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31,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r>
      <w:tr>
        <w:trPr/>
        <w:tc>
          <w:tcPr>
            <w:tcW w:w="2253"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6.00% Series 2029</w:t>
            </w:r>
          </w:p>
        </w:tc>
        <w:tc>
          <w:tcPr>
            <w:tcW w:w="146" w:type="dxa"/>
            <w:tcBorders/>
          </w:tcPr>
          <w:p>
            <w:pPr>
              <w:pStyle w:val="TableContents"/>
              <w:bidi w:val="0"/>
              <w:spacing w:before="0" w:after="283"/>
              <w:jc w:val="left"/>
              <w:rPr/>
            </w:pPr>
            <w:r>
              <w:rPr/>
              <w:t> </w:t>
            </w:r>
          </w:p>
        </w:tc>
        <w:tc>
          <w:tcPr>
            <w:tcW w:w="172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0.12500000</w:t>
            </w:r>
          </w:p>
        </w:tc>
        <w:tc>
          <w:tcPr>
            <w:tcW w:w="146" w:type="dxa"/>
            <w:tcBorders/>
          </w:tcPr>
          <w:p>
            <w:pPr>
              <w:pStyle w:val="TableContents"/>
              <w:bidi w:val="0"/>
              <w:spacing w:before="0" w:after="283"/>
              <w:jc w:val="left"/>
              <w:rPr/>
            </w:pPr>
            <w:r>
              <w:rPr/>
              <w:t> </w:t>
            </w:r>
          </w:p>
        </w:tc>
        <w:tc>
          <w:tcPr>
            <w:tcW w:w="2065"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17,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31,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r>
      <w:tr>
        <w:trPr/>
        <w:tc>
          <w:tcPr>
            <w:tcW w:w="2253"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7.125% Series 2029</w:t>
            </w:r>
          </w:p>
        </w:tc>
        <w:tc>
          <w:tcPr>
            <w:tcW w:w="146" w:type="dxa"/>
            <w:tcBorders/>
            <w:shd w:fill="CCEEFF" w:val="clear"/>
          </w:tcPr>
          <w:p>
            <w:pPr>
              <w:pStyle w:val="TableContents"/>
              <w:bidi w:val="0"/>
              <w:spacing w:before="0" w:after="283"/>
              <w:jc w:val="left"/>
              <w:rPr/>
            </w:pPr>
            <w:r>
              <w:rPr/>
              <w:t> </w:t>
            </w:r>
          </w:p>
        </w:tc>
        <w:tc>
          <w:tcPr>
            <w:tcW w:w="172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22, 2025</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0.14843750</w:t>
            </w:r>
          </w:p>
        </w:tc>
        <w:tc>
          <w:tcPr>
            <w:tcW w:w="146" w:type="dxa"/>
            <w:tcBorders/>
            <w:shd w:fill="CCEEFF" w:val="clear"/>
          </w:tcPr>
          <w:p>
            <w:pPr>
              <w:pStyle w:val="TableContents"/>
              <w:bidi w:val="0"/>
              <w:spacing w:before="0" w:after="283"/>
              <w:jc w:val="left"/>
              <w:rPr/>
            </w:pPr>
            <w:r>
              <w:rPr/>
              <w:t> </w:t>
            </w:r>
          </w:p>
        </w:tc>
        <w:tc>
          <w:tcPr>
            <w:tcW w:w="2065"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17,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shd w:fill="CCEEFF" w:val="clear"/>
          </w:tcPr>
          <w:p>
            <w:pPr>
              <w:pStyle w:val="TableContents"/>
              <w:bidi w:val="0"/>
              <w:spacing w:before="0" w:after="283"/>
              <w:jc w:val="left"/>
              <w:rPr/>
            </w:pPr>
            <w:r>
              <w:rPr/>
              <w:t> </w:t>
            </w:r>
          </w:p>
        </w:tc>
        <w:tc>
          <w:tcPr>
            <w:tcW w:w="2111"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October 31, 2025,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r>
      <w:tr>
        <w:trPr/>
        <w:tc>
          <w:tcPr>
            <w:tcW w:w="2253"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 Series 2027</w:t>
            </w:r>
          </w:p>
        </w:tc>
        <w:tc>
          <w:tcPr>
            <w:tcW w:w="146" w:type="dxa"/>
            <w:tcBorders/>
          </w:tcPr>
          <w:p>
            <w:pPr>
              <w:pStyle w:val="TableContents"/>
              <w:bidi w:val="0"/>
              <w:spacing w:before="0" w:after="283"/>
              <w:jc w:val="left"/>
              <w:rPr/>
            </w:pPr>
            <w:r>
              <w:rPr/>
              <w:t> </w:t>
            </w:r>
          </w:p>
        </w:tc>
        <w:tc>
          <w:tcPr>
            <w:tcW w:w="172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0.13020833</w:t>
            </w:r>
          </w:p>
        </w:tc>
        <w:tc>
          <w:tcPr>
            <w:tcW w:w="146" w:type="dxa"/>
            <w:tcBorders/>
          </w:tcPr>
          <w:p>
            <w:pPr>
              <w:pStyle w:val="TableContents"/>
              <w:bidi w:val="0"/>
              <w:spacing w:before="0" w:after="283"/>
              <w:jc w:val="left"/>
              <w:rPr/>
            </w:pPr>
            <w:r>
              <w:rPr/>
              <w:t> </w:t>
            </w:r>
          </w:p>
        </w:tc>
        <w:tc>
          <w:tcPr>
            <w:tcW w:w="2065"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17,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16,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31,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30,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r>
      <w:tr>
        <w:trPr/>
        <w:tc>
          <w:tcPr>
            <w:tcW w:w="2253"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6.00% Series 2029</w:t>
            </w:r>
          </w:p>
        </w:tc>
        <w:tc>
          <w:tcPr>
            <w:tcW w:w="146" w:type="dxa"/>
            <w:tcBorders/>
            <w:shd w:fill="CCEEFF" w:val="clear"/>
          </w:tcPr>
          <w:p>
            <w:pPr>
              <w:pStyle w:val="TableContents"/>
              <w:bidi w:val="0"/>
              <w:spacing w:before="0" w:after="283"/>
              <w:jc w:val="left"/>
              <w:rPr/>
            </w:pPr>
            <w:r>
              <w:rPr/>
              <w:t> </w:t>
            </w:r>
          </w:p>
        </w:tc>
        <w:tc>
          <w:tcPr>
            <w:tcW w:w="172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0.12500000</w:t>
            </w:r>
          </w:p>
        </w:tc>
        <w:tc>
          <w:tcPr>
            <w:tcW w:w="146" w:type="dxa"/>
            <w:tcBorders/>
            <w:shd w:fill="CCEEFF" w:val="clear"/>
          </w:tcPr>
          <w:p>
            <w:pPr>
              <w:pStyle w:val="TableContents"/>
              <w:bidi w:val="0"/>
              <w:spacing w:before="0" w:after="283"/>
              <w:jc w:val="left"/>
              <w:rPr/>
            </w:pPr>
            <w:r>
              <w:rPr/>
              <w:t> </w:t>
            </w:r>
          </w:p>
        </w:tc>
        <w:tc>
          <w:tcPr>
            <w:tcW w:w="2065"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17,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16,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shd w:fill="CCEEFF" w:val="clear"/>
          </w:tcPr>
          <w:p>
            <w:pPr>
              <w:pStyle w:val="TableContents"/>
              <w:bidi w:val="0"/>
              <w:spacing w:before="0" w:after="283"/>
              <w:jc w:val="left"/>
              <w:rPr/>
            </w:pPr>
            <w:r>
              <w:rPr/>
              <w:t> </w:t>
            </w:r>
          </w:p>
        </w:tc>
        <w:tc>
          <w:tcPr>
            <w:tcW w:w="2111" w:type="dxa"/>
            <w:tcBorders/>
            <w:shd w:fill="CCEEFF" w:val="clea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31,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30,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r>
      <w:tr>
        <w:trPr/>
        <w:tc>
          <w:tcPr>
            <w:tcW w:w="2253"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7.125% Series 2029</w:t>
            </w:r>
          </w:p>
        </w:tc>
        <w:tc>
          <w:tcPr>
            <w:tcW w:w="146" w:type="dxa"/>
            <w:tcBorders/>
          </w:tcPr>
          <w:p>
            <w:pPr>
              <w:pStyle w:val="TableContents"/>
              <w:bidi w:val="0"/>
              <w:spacing w:before="0" w:after="283"/>
              <w:jc w:val="left"/>
              <w:rPr/>
            </w:pPr>
            <w:r>
              <w:rPr/>
              <w:t> </w:t>
            </w:r>
          </w:p>
        </w:tc>
        <w:tc>
          <w:tcPr>
            <w:tcW w:w="172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24, 2025</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0.14843750</w:t>
            </w:r>
          </w:p>
        </w:tc>
        <w:tc>
          <w:tcPr>
            <w:tcW w:w="146" w:type="dxa"/>
            <w:tcBorders/>
          </w:tcPr>
          <w:p>
            <w:pPr>
              <w:pStyle w:val="TableContents"/>
              <w:bidi w:val="0"/>
              <w:spacing w:before="0" w:after="283"/>
              <w:jc w:val="left"/>
              <w:rPr/>
            </w:pPr>
            <w:r>
              <w:rPr/>
              <w:t> </w:t>
            </w:r>
          </w:p>
        </w:tc>
        <w:tc>
          <w:tcPr>
            <w:tcW w:w="2065"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17,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16,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tcPr>
          <w:p>
            <w:pPr>
              <w:pStyle w:val="TableContents"/>
              <w:bidi w:val="0"/>
              <w:spacing w:before="0" w:after="283"/>
              <w:jc w:val="left"/>
              <w:rPr/>
            </w:pPr>
            <w:r>
              <w:rPr/>
              <w:t> </w:t>
            </w:r>
          </w:p>
        </w:tc>
        <w:tc>
          <w:tcPr>
            <w:tcW w:w="2111"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December 31, 2025,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January 30, 2026,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has evaluated subsequent events through the date of issuance and noted no other events that necessitate adjustments to or disclosure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610"/>
      <w:bookmarkEnd w:id="13"/>
      <w:r>
        <w:rPr>
          <w:rFonts w:ascii="Times New Roman PS Std;serif" w:hAnsi="Times New Roman PS Std;serif"/>
          <w:b/>
          <w:i w:val="false"/>
          <w:caps w:val="false"/>
          <w:smallCaps w:val="false"/>
          <w:sz w:val="20"/>
        </w:rPr>
        <w:t>Price Range of Common Stock</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under the symbol “OXLC.” The following table sets forth, for each fiscal quarter during the last two fiscal years and the current fiscal year to date, the NAV per share of our common stock, the high and low intraday sales prices for our common stock, such sales prices as a percentage of NAV per share and quarterly distributions per share.</w:t>
      </w:r>
    </w:p>
    <w:tbl>
      <w:tblPr>
        <w:tblW w:w="10205" w:type="dxa"/>
        <w:jc w:val="left"/>
        <w:tblInd w:w="0" w:type="dxa"/>
        <w:tblLayout w:type="fixed"/>
        <w:tblCellMar>
          <w:top w:w="0" w:type="dxa"/>
          <w:left w:w="0" w:type="dxa"/>
          <w:bottom w:w="0" w:type="dxa"/>
          <w:right w:w="0" w:type="dxa"/>
        </w:tblCellMar>
      </w:tblPr>
      <w:tblGrid>
        <w:gridCol w:w="2542"/>
        <w:gridCol w:w="146"/>
        <w:gridCol w:w="250"/>
        <w:gridCol w:w="716"/>
        <w:gridCol w:w="146"/>
        <w:gridCol w:w="226"/>
        <w:gridCol w:w="646"/>
        <w:gridCol w:w="146"/>
        <w:gridCol w:w="226"/>
        <w:gridCol w:w="646"/>
        <w:gridCol w:w="146"/>
        <w:gridCol w:w="804"/>
        <w:gridCol w:w="438"/>
        <w:gridCol w:w="146"/>
        <w:gridCol w:w="842"/>
        <w:gridCol w:w="401"/>
        <w:gridCol w:w="146"/>
        <w:gridCol w:w="391"/>
        <w:gridCol w:w="1201"/>
      </w:tblGrid>
      <w:tr>
        <w:trPr/>
        <w:tc>
          <w:tcPr>
            <w:tcW w:w="25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Price Range(4)</w:t>
            </w:r>
          </w:p>
        </w:tc>
        <w:tc>
          <w:tcPr>
            <w:tcW w:w="146" w:type="dxa"/>
            <w:tcBorders/>
            <w:vAlign w:val="bottom"/>
          </w:tcPr>
          <w:p>
            <w:pPr>
              <w:pStyle w:val="TableContents"/>
              <w:bidi w:val="0"/>
              <w:spacing w:before="0" w:after="283"/>
              <w:jc w:val="left"/>
              <w:rPr/>
            </w:pPr>
            <w:r>
              <w:rPr/>
              <w:t> </w:t>
            </w:r>
          </w:p>
        </w:tc>
        <w:tc>
          <w:tcPr>
            <w:tcW w:w="124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High </w:t>
              <w:br/>
              <w:t xml:space="preserve">Sales Price </w:t>
              <w:br/>
              <w:t>to NAV(2)(4)</w:t>
            </w:r>
          </w:p>
        </w:tc>
        <w:tc>
          <w:tcPr>
            <w:tcW w:w="146" w:type="dxa"/>
            <w:vMerge w:val="restart"/>
            <w:tcBorders/>
            <w:vAlign w:val="bottom"/>
          </w:tcPr>
          <w:p>
            <w:pPr>
              <w:pStyle w:val="TableContents"/>
              <w:bidi w:val="0"/>
              <w:spacing w:before="0" w:after="283"/>
              <w:jc w:val="left"/>
              <w:rPr/>
            </w:pPr>
            <w:r>
              <w:rPr/>
              <w:t> </w:t>
            </w:r>
          </w:p>
        </w:tc>
        <w:tc>
          <w:tcPr>
            <w:tcW w:w="1243"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Low </w:t>
              <w:br/>
              <w:t xml:space="preserve">Sales Price </w:t>
              <w:br/>
              <w:t>to NAV(2)(4)</w:t>
            </w:r>
          </w:p>
        </w:tc>
        <w:tc>
          <w:tcPr>
            <w:tcW w:w="146" w:type="dxa"/>
            <w:vMerge w:val="restart"/>
            <w:tcBorders/>
            <w:vAlign w:val="bottom"/>
          </w:tcPr>
          <w:p>
            <w:pPr>
              <w:pStyle w:val="TableContents"/>
              <w:bidi w:val="0"/>
              <w:spacing w:before="0" w:after="283"/>
              <w:jc w:val="left"/>
              <w:rPr/>
            </w:pPr>
            <w:r>
              <w:rPr/>
              <w:t> </w:t>
            </w:r>
          </w:p>
        </w:tc>
        <w:tc>
          <w:tcPr>
            <w:tcW w:w="159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Per Share(3)(4)</w:t>
            </w:r>
          </w:p>
        </w:tc>
      </w:tr>
      <w:tr>
        <w:trPr/>
        <w:tc>
          <w:tcPr>
            <w:tcW w:w="25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NAV(1)(4)</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124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43"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2" w:type="dxa"/>
            <w:gridSpan w:val="2"/>
            <w:vMerge w:val="continue"/>
            <w:tcBorders/>
            <w:vAlign w:val="bottom"/>
          </w:tcPr>
          <w:p>
            <w:pPr>
              <w:pStyle w:val="Normal"/>
              <w:bidi w:val="0"/>
              <w:jc w:val="left"/>
              <w:rPr/>
            </w:pPr>
            <w:r>
              <w:rPr/>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2026</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 (through October 30, 2025)</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15.90</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4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4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r>
      <w:tr>
        <w:trPr/>
        <w:tc>
          <w:tcPr>
            <w:tcW w:w="25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2025</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left"/>
              <w:rPr/>
            </w:pPr>
            <w:r>
              <w:rPr/>
              <w:t> </w:t>
            </w:r>
          </w:p>
        </w:tc>
        <w:tc>
          <w:tcPr>
            <w:tcW w:w="43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4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25.53</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4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25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2024</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left"/>
              <w:rPr/>
            </w:pPr>
            <w:r>
              <w:rPr/>
              <w:t> </w:t>
            </w:r>
          </w:p>
        </w:tc>
        <w:tc>
          <w:tcPr>
            <w:tcW w:w="43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4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22.05</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25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43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4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25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5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w:t>
            </w:r>
          </w:p>
        </w:tc>
        <w:tc>
          <w:tcPr>
            <w:tcW w:w="43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4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the respective high or low intraday sales price divided by NAV and subtracting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cash distributions, including dividends, dividends reinvested and returns of capital, if any, per share that we have declared on our common stock in the specified quarter.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On September 5, 2025, we filed the Articles of Amendment with the State Department of Assessments and Taxation of the State of Maryland to effect the Reverse Stock Split. The Reverse Stock Split became effective as of 4:00 p.m. on September 5, 2025. The share information in the table above has been adjusted to reflect the impact of the reverse stock split thereon, including retroactive adjustments for periods prior to September 5,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Not determinable at the time of filing.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last reported sales price of our common stock was $15.19 per share. As of October 30, 2025, we had 129 holders of record of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October 30, 2025, our shares of common stock traded at a discount equal to approximately (20.84)% of our net asset value per share as of September 30, 2025. It is not possible to predict whether the shares offered hereby will trade at, above, or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611"/>
      <w:bookmarkEnd w:id="14"/>
      <w:r>
        <w:rPr>
          <w:rFonts w:ascii="Times New Roman PS Std;serif" w:hAnsi="Times New Roman PS Std;serif"/>
          <w:b/>
          <w:i w:val="false"/>
          <w:caps w:val="false"/>
          <w:smallCaps w:val="false"/>
          <w:sz w:val="20"/>
        </w:rPr>
        <w:t>Distributions</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 Reinvestment Plan</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to the extent our shares of common stock are trading at a discount to NAV per share. Shares purchased in open market transactions by the plan administrator will be allocated to a stockholder based on the average purchase price, excluding any brokerage charges or other charges, of all shares of common stock purchased in the open market.</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PS Std;serif" w:hAnsi="Times New Roman PS Std;serif"/>
          <w:b w:val="false"/>
          <w:i/>
          <w:caps w:val="false"/>
          <w:smallCaps w:val="false"/>
          <w:sz w:val="20"/>
        </w:rPr>
        <w:t>www.computershare.com/investor</w:t>
      </w:r>
      <w:r>
        <w:rPr>
          <w:rFonts w:ascii="Times New Roman PS Std;serif" w:hAnsi="Times New Roman PS Std;serif"/>
          <w:b w:val="false"/>
          <w:i w:val="false"/>
          <w:caps w:val="false"/>
          <w:smallCaps w:val="false"/>
          <w:sz w:val="20"/>
        </w:rPr>
        <w:t>, telephone number is 1-800-426-5523 and written correspondence can be mailed to Computershare Trust Company, N.A., P.O. Box 43006, Providence, RI, 02940-3006.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612"/>
      <w:bookmarkEnd w:id="15"/>
      <w:r>
        <w:rPr>
          <w:rFonts w:ascii="Times New Roman PS Std;serif" w:hAnsi="Times New Roman PS Std;serif"/>
          <w:b/>
          <w:i w:val="false"/>
          <w:caps w:val="false"/>
          <w:smallCaps w:val="false"/>
          <w:sz w:val="20"/>
        </w:rPr>
        <w:t>MANAGEMENT</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our management. The Board of Directors currently consists of five members, three of whom are not “interested persons” of Oxford Lane Capital Corp. as defined in Section 2(a)(19) 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Executive Officers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the Board of Directors is as follows:</w:t>
      </w:r>
    </w:p>
    <w:tbl>
      <w:tblPr>
        <w:tblW w:w="9769" w:type="dxa"/>
        <w:jc w:val="left"/>
        <w:tblInd w:w="0" w:type="dxa"/>
        <w:tblLayout w:type="fixed"/>
        <w:tblCellMar>
          <w:top w:w="0" w:type="dxa"/>
          <w:left w:w="0" w:type="dxa"/>
          <w:bottom w:w="0" w:type="dxa"/>
          <w:right w:w="0" w:type="dxa"/>
        </w:tblCellMar>
      </w:tblPr>
      <w:tblGrid>
        <w:gridCol w:w="2581"/>
        <w:gridCol w:w="146"/>
        <w:gridCol w:w="496"/>
        <w:gridCol w:w="146"/>
        <w:gridCol w:w="3601"/>
        <w:gridCol w:w="146"/>
        <w:gridCol w:w="991"/>
        <w:gridCol w:w="146"/>
        <w:gridCol w:w="1516"/>
      </w:tblGrid>
      <w:tr>
        <w:trPr/>
        <w:tc>
          <w:tcPr>
            <w:tcW w:w="2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w:t>
              <w:br/>
              <w:t>Term</w:t>
            </w:r>
          </w:p>
        </w:tc>
      </w:tr>
      <w:tr>
        <w:trPr/>
        <w:tc>
          <w:tcPr>
            <w:tcW w:w="2581"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36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16" w:type="dxa"/>
            <w:tcBorders/>
            <w:shd w:fill="CCEEFF" w:val="clear"/>
          </w:tcPr>
          <w:p>
            <w:pPr>
              <w:pStyle w:val="TableContents"/>
              <w:bidi w:val="0"/>
              <w:spacing w:before="0" w:after="283"/>
              <w:jc w:val="left"/>
              <w:rPr/>
            </w:pPr>
            <w:r>
              <w:rPr/>
              <w:t> </w:t>
            </w:r>
          </w:p>
        </w:tc>
      </w:tr>
      <w:tr>
        <w:trPr/>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tcPr>
          <w:p>
            <w:pPr>
              <w:pStyle w:val="TableContents"/>
              <w:bidi w:val="0"/>
              <w:spacing w:before="0" w:after="283"/>
              <w:jc w:val="left"/>
              <w:rPr/>
            </w:pPr>
            <w:r>
              <w:rPr/>
              <w:t> </w:t>
            </w:r>
          </w:p>
        </w:tc>
        <w:tc>
          <w:tcPr>
            <w:tcW w:w="15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r>
      <w:tr>
        <w:trPr/>
        <w:tc>
          <w:tcPr>
            <w:tcW w:w="258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36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Director</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tcPr>
          <w:p>
            <w:pPr>
              <w:pStyle w:val="TableContents"/>
              <w:bidi w:val="0"/>
              <w:spacing w:before="0" w:after="283"/>
              <w:jc w:val="left"/>
              <w:rPr/>
            </w:pPr>
            <w:r>
              <w:rPr/>
              <w:t> </w:t>
            </w:r>
          </w:p>
        </w:tc>
        <w:tc>
          <w:tcPr>
            <w:tcW w:w="15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25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16" w:type="dxa"/>
            <w:tcBorders/>
          </w:tcPr>
          <w:p>
            <w:pPr>
              <w:pStyle w:val="TableContents"/>
              <w:bidi w:val="0"/>
              <w:spacing w:before="0" w:after="283"/>
              <w:jc w:val="left"/>
              <w:rPr/>
            </w:pPr>
            <w:r>
              <w:rPr/>
              <w:t> </w:t>
            </w:r>
          </w:p>
        </w:tc>
      </w:tr>
      <w:tr>
        <w:trPr/>
        <w:tc>
          <w:tcPr>
            <w:tcW w:w="2581"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36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16" w:type="dxa"/>
            <w:tcBorders/>
            <w:shd w:fill="CCEEFF" w:val="clear"/>
          </w:tcPr>
          <w:p>
            <w:pPr>
              <w:pStyle w:val="TableContents"/>
              <w:bidi w:val="0"/>
              <w:spacing w:before="0" w:after="283"/>
              <w:jc w:val="left"/>
              <w:rPr/>
            </w:pPr>
            <w:r>
              <w:rPr/>
              <w:t> </w:t>
            </w:r>
          </w:p>
        </w:tc>
      </w:tr>
      <w:tr>
        <w:trPr/>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tcPr>
          <w:p>
            <w:pPr>
              <w:pStyle w:val="TableContents"/>
              <w:bidi w:val="0"/>
              <w:spacing w:before="0" w:after="283"/>
              <w:jc w:val="left"/>
              <w:rPr/>
            </w:pPr>
            <w:r>
              <w:rPr/>
              <w:t> </w:t>
            </w:r>
          </w:p>
        </w:tc>
        <w:tc>
          <w:tcPr>
            <w:tcW w:w="15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r>
      <w:tr>
        <w:trPr/>
        <w:tc>
          <w:tcPr>
            <w:tcW w:w="258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bidi w:val="0"/>
              <w:spacing w:before="0" w:after="283"/>
              <w:jc w:val="left"/>
              <w:rPr/>
            </w:pPr>
            <w:r>
              <w:rPr/>
              <w:t> </w:t>
            </w:r>
          </w:p>
        </w:tc>
        <w:tc>
          <w:tcPr>
            <w:tcW w:w="360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tcPr>
          <w:p>
            <w:pPr>
              <w:pStyle w:val="TableContents"/>
              <w:bidi w:val="0"/>
              <w:spacing w:before="0" w:after="283"/>
              <w:jc w:val="left"/>
              <w:rPr/>
            </w:pPr>
            <w:r>
              <w:rPr/>
              <w:t> </w:t>
            </w:r>
          </w:p>
        </w:tc>
        <w:tc>
          <w:tcPr>
            <w:tcW w:w="151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tcPr>
          <w:p>
            <w:pPr>
              <w:pStyle w:val="TableContents"/>
              <w:bidi w:val="0"/>
              <w:spacing w:before="0" w:after="283"/>
              <w:jc w:val="left"/>
              <w:rPr/>
            </w:pPr>
            <w:r>
              <w:rPr/>
              <w:t> </w:t>
            </w:r>
          </w:p>
        </w:tc>
        <w:tc>
          <w:tcPr>
            <w:tcW w:w="15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each of our directors is c/o Oxford Lane Capital Corp., 8 Sound Shore Drive, Suite 255, Greenwich, CT 06830.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 Who Are Not Directors</w:t>
      </w:r>
    </w:p>
    <w:tbl>
      <w:tblPr>
        <w:tblW w:w="8320" w:type="dxa"/>
        <w:jc w:val="left"/>
        <w:tblInd w:w="0" w:type="dxa"/>
        <w:tblLayout w:type="fixed"/>
        <w:tblCellMar>
          <w:top w:w="0" w:type="dxa"/>
          <w:left w:w="0" w:type="dxa"/>
          <w:bottom w:w="0" w:type="dxa"/>
          <w:right w:w="0" w:type="dxa"/>
        </w:tblCellMar>
      </w:tblPr>
      <w:tblGrid>
        <w:gridCol w:w="1756"/>
        <w:gridCol w:w="146"/>
        <w:gridCol w:w="496"/>
        <w:gridCol w:w="146"/>
        <w:gridCol w:w="5776"/>
      </w:tblGrid>
      <w:tr>
        <w:trPr/>
        <w:tc>
          <w:tcPr>
            <w:tcW w:w="1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57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175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577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Treasurer and Corporate Secretary</w:t>
            </w:r>
          </w:p>
        </w:tc>
      </w:tr>
      <w:tr>
        <w:trPr/>
        <w:tc>
          <w:tcPr>
            <w:tcW w:w="17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Gerald Cummins</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Compliance Officer</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Biographical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have been divided into two groups — interested directors and independent directors. An interested director is an “interested person” as defined in Section 2(a)(19) of the 1940 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Messrs. Cohen and Rosenthal are “interested persons” of Oxford Lane Capital as defined in the 1940 Act due to their positions as Chief Executive Officer and President, respectively, of the Fund and Oxford Lane Management, and as the managing member and non-managing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member, respectively, of Oxford Funds, the administrator for Oxford Lane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Jonathan H. Cohen</w:t>
      </w:r>
      <w:r>
        <w:rPr>
          <w:rFonts w:ascii="Times New Roman PS Std;serif" w:hAnsi="Times New Roman PS Std;serif"/>
          <w:b w:val="false"/>
          <w:i w:val="false"/>
          <w:caps w:val="false"/>
          <w:smallCaps w:val="false"/>
          <w:sz w:val="20"/>
        </w:rPr>
        <w:t xml:space="preserve"> has served as Chief Executive Officer of both Oxford Lane Capital Corp. and Oxford Lane Management since 2010. Since 2003, Mr. Cohen has also served as Chief Executive Officer of both Oxford Square Capital Corp. (NasdaqGS: OXSQ), a publicly traded business development company, and Oxford Square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LLC, Oxford Square Capital Corp.’s investment adviser, and as the managing member of Oxford Funds. Since 2023, Mr. Cohen has also served as Chief Executive Officer of Oxford Park Income Fund, Inc., a non-traded registered closed-end fund, and Oxford Park Management, LLC, Oxford Park Income Fund, Inc.’s investment adviser. Mr. Cohen also serves on our Board of Directors, as well as the Oxford Square Capital Corp. and Oxford Park Income Fund, Inc. boards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2018, Mr. Cohen has also served as the Chief Executive Officer of Oxford Gate Management, LLC, the investment adviser to Oxford Gate Master Fund, LLC, Oxford Gate, LLC and Oxford Gate (Bermuda), LLC (collectively, the “Oxford Gate Funds”) and Oxford Bridge II, LLC. Oxford Bridge II, LLC and the Oxford Gate Funds are private investment funds.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Saul B. Rosenthal</w:t>
      </w:r>
      <w:r>
        <w:rPr>
          <w:rFonts w:ascii="Times New Roman PS Std;serif" w:hAnsi="Times New Roman PS Std;serif"/>
          <w:b w:val="false"/>
          <w:i w:val="false"/>
          <w:caps w:val="false"/>
          <w:smallCaps w:val="false"/>
          <w:sz w:val="20"/>
        </w:rPr>
        <w:t xml:space="preserve"> has served as President of both Oxford Lane Capital Corp. and Oxford Lane Management since 2010. Mr. Rosenthal has also served as President since 2004 of both Oxford Square Capital Corp. (NasdaqGS: OXSQ), a publicly traded business development company, and Oxford Square Management, LLC, Oxford Square Capital Corp.’s investment adviser and a member of Oxford Funds. Since 2023, Mr. Rosenthal has served as President of Oxford Park Income Fund, Inc., a registered closed-end fund, and Oxford Park Management, LLC, Oxford Park Income Fund, Inc.’s investment adviser. Mr. Rosenthal also serves on our Board of Directors, as well as Oxford Park Income Fund, Inc.’s Board of Directors. Mr. Rosenthal has also served as President of Oxford Gate Management, LLC, the investment adviser to the Oxford Gate Funds and Oxford Bridge II, LLC,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directors are not “interested persons” of Oxford Lane Capital, as defined in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Mark J. Ashenfelter</w:t>
      </w:r>
      <w:r>
        <w:rPr>
          <w:rFonts w:ascii="Times New Roman PS Std;serif" w:hAnsi="Times New Roman PS Std;serif"/>
          <w:b w:val="false"/>
          <w:i w:val="false"/>
          <w:caps w:val="false"/>
          <w:smallCaps w:val="false"/>
          <w:sz w:val="20"/>
        </w:rPr>
        <w:t xml:space="preserve"> presently serves as a Senior Vice President and the General Counsel of Haebler Capital, a private investment company located in Greenwich, CT. Prior to joining Haebler Capital in 1994, Mr. Ashenfelter was an associate at Cravath, Swaine &amp; Moore from 1985 to 1992 and Cadwalader, Wickersham &amp; Taft from 1992 to 1994. Mr. Ashenfelter also serves on the Board of Directors of Oxford Park Income Fund, Inc.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Reardon</w:t>
      </w:r>
      <w:r>
        <w:rPr>
          <w:rFonts w:ascii="Times New Roman PS Std;serif" w:hAnsi="Times New Roman PS Std;serif"/>
          <w:b w:val="false"/>
          <w:i w:val="false"/>
          <w:caps w:val="false"/>
          <w:smallCaps w:val="false"/>
          <w:sz w:val="20"/>
        </w:rPr>
        <w:t xml:space="preserve"> is the President and CEO of Schurz Communications, Inc., a leading broadband and managed cloud services provider. Mr. Reardon also serves as a Board Member and Audit Committee Member for Schurz Communications, Inc. Mr. Reardon also serves on the Board of Directors of Oxford Park Income Fund, Inc. In 2023, Mr. Reardon was elected to the board of ACA Connects (America’s Communications Association) which represents the leading broadband companies in the United States. Previously, Mr. Reardon was Of Counsel with Kutak Rock, LLP, where he advised broadband and software companies on corporate and regulatory matters. Mr. Reardon served from 2019 until 2021 as the Director of Business Strategy, Smart Cities, for American Infrastructure Partners, LP, an infrastructure fund based in Foster City, California. Mr. Reardon was previously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 Mr. Reardon received a Bachelor of Arts degree, summa cum laude, from Boston University, and earned his J.D. from Columbia Law School. Mr. Reardon’s extensive experience as a senior corporate executive provides our Board of Directors the perspective of a knowledgeable corporate leader.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David S. Shin</w:t>
      </w:r>
      <w:r>
        <w:rPr>
          <w:rFonts w:ascii="Times New Roman PS Std;serif" w:hAnsi="Times New Roman PS Std;serif"/>
          <w:b w:val="false"/>
          <w:i w:val="false"/>
          <w:caps w:val="false"/>
          <w:smallCaps w:val="false"/>
          <w:sz w:val="20"/>
        </w:rPr>
        <w:t xml:space="preserve"> is the Head of Capital Markets for Amergin Asset Management, an asset manager specializing in transportation assets. Mr. Shin also serves on the Board of Directors of Oxford Park Income Fund, Inc.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worked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 Who Are Not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Bruce L. Rubin </w:t>
      </w:r>
      <w:r>
        <w:rPr>
          <w:rFonts w:ascii="Times New Roman PS Std;serif" w:hAnsi="Times New Roman PS Std;serif"/>
          <w:b w:val="false"/>
          <w:i w:val="false"/>
          <w:caps w:val="false"/>
          <w:smallCaps w:val="false"/>
          <w:sz w:val="20"/>
        </w:rPr>
        <w:t>has served as our Chief Financial Officer, Chief Accounting Officer, and Corporate Secretary since 2015. Mr. Rubin has also served as our Controller since our initial public offering in 2011 to 2015 and as our Treasurer since 2011. Mr. Rubin has served as Oxford Square Capital Corp.’s Chief Financial Officer, Chief Accounting Officer, and Corporate Secretary since August 2015. Mr. Rubin has served as Oxford Square Capital Corp.’s Controller from 2005 to 2015 and as its Treasurer since 2009. Since 2023, Mr. Rubin has also served as Chief Financial Officer, Corporate Secretary and Treasurer of Oxford Park Income Fund, Inc., a non-traded registered closed-end fund. Mr. Rubin also currently serves as the Chief Financial Officer and Secretary of Oxford Lane Management, LLC, Oxford Square Management, LLC, Oxford Park Management, LLC, Oxford Gate Management, LLC and Oxford Funds.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Gerald Cummins</w:t>
      </w:r>
      <w:r>
        <w:rPr>
          <w:rFonts w:ascii="Times New Roman PS Std;serif" w:hAnsi="Times New Roman PS Std;serif"/>
          <w:b w:val="false"/>
          <w:i w:val="false"/>
          <w:caps w:val="false"/>
          <w:smallCaps w:val="false"/>
          <w:sz w:val="20"/>
        </w:rPr>
        <w:t xml:space="preserve"> has served as our Chief Compliance Officer since June 2015 pursuant to an agreement between the Fund and ACA Group a compliance consulting firm. Mr. Cummins also currently serves as the Chief Compliance Officer of Oxford Lane Management, Oxford Square Capital Corp., Oxford Square Management, LLC, Oxford Funds LLC, and since 2018, Oxford Gate Management, LLC. Mr. Cummins has served as the Chief Compliance Officer of Oxford Park Income Fund, Inc. and Oxford Park Management, LLC, since 2023. Mr. Cummins has been a director of ACA Group or its predecessor firms since June 2014 and in that capacity he also serves as the Chief Compliance Officer to a fund complex with three BDCs, a closed-end fund and multiple private funds, an internally managed BDC and a private credit fund manager. Prior to joining ACA Group,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compensation of our directors for the six months ended September 30, 2025:</w:t>
      </w:r>
    </w:p>
    <w:tbl>
      <w:tblPr>
        <w:tblW w:w="8179" w:type="dxa"/>
        <w:jc w:val="left"/>
        <w:tblInd w:w="0" w:type="dxa"/>
        <w:tblLayout w:type="fixed"/>
        <w:tblCellMar>
          <w:top w:w="0" w:type="dxa"/>
          <w:left w:w="0" w:type="dxa"/>
          <w:bottom w:w="0" w:type="dxa"/>
          <w:right w:w="0" w:type="dxa"/>
        </w:tblCellMar>
      </w:tblPr>
      <w:tblGrid>
        <w:gridCol w:w="2581"/>
        <w:gridCol w:w="146"/>
        <w:gridCol w:w="249"/>
        <w:gridCol w:w="846"/>
        <w:gridCol w:w="146"/>
        <w:gridCol w:w="729"/>
        <w:gridCol w:w="1116"/>
        <w:gridCol w:w="146"/>
        <w:gridCol w:w="483"/>
        <w:gridCol w:w="1737"/>
      </w:tblGrid>
      <w:tr>
        <w:trPr/>
        <w:tc>
          <w:tcPr>
            <w:tcW w:w="2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Earned(1)</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Compensation(2)</w:t>
            </w:r>
          </w:p>
        </w:tc>
        <w:tc>
          <w:tcPr>
            <w:tcW w:w="146" w:type="dxa"/>
            <w:tcBorders/>
            <w:vAlign w:val="bottom"/>
          </w:tcPr>
          <w:p>
            <w:pPr>
              <w:pStyle w:val="TableContents"/>
              <w:bidi w:val="0"/>
              <w:spacing w:before="0" w:after="283"/>
              <w:jc w:val="left"/>
              <w:rPr/>
            </w:pPr>
            <w:r>
              <w:rPr/>
              <w:t> </w:t>
            </w:r>
          </w:p>
        </w:tc>
        <w:tc>
          <w:tcPr>
            <w:tcW w:w="22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Compensation from </w:t>
              <w:br/>
              <w:t>Fund Complex(3)</w:t>
            </w:r>
          </w:p>
        </w:tc>
      </w:tr>
      <w:tr>
        <w:trPr/>
        <w:tc>
          <w:tcPr>
            <w:tcW w:w="25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tcPr>
          <w:p>
            <w:pPr>
              <w:pStyle w:val="TableContents"/>
              <w:bidi w:val="0"/>
              <w:spacing w:before="0" w:after="283"/>
              <w:jc w:val="left"/>
              <w:rPr/>
            </w:pPr>
            <w:r>
              <w:rPr/>
              <w:t> </w:t>
            </w:r>
          </w:p>
        </w:tc>
        <w:tc>
          <w:tcPr>
            <w:tcW w:w="249"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 </w:t>
            </w:r>
          </w:p>
        </w:tc>
        <w:tc>
          <w:tcPr>
            <w:tcW w:w="8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9"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 </w:t>
            </w:r>
          </w:p>
        </w:tc>
        <w:tc>
          <w:tcPr>
            <w:tcW w:w="111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83"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 </w:t>
            </w:r>
          </w:p>
        </w:tc>
        <w:tc>
          <w:tcPr>
            <w:tcW w:w="1737" w:type="dxa"/>
            <w:tcBorders/>
            <w:shd w:fill="CCEEFF" w:val="clear"/>
          </w:tcPr>
          <w:p>
            <w:pPr>
              <w:pStyle w:val="TableContents"/>
              <w:bidi w:val="0"/>
              <w:spacing w:before="0" w:after="283"/>
              <w:jc w:val="left"/>
              <w:rPr/>
            </w:pPr>
            <w:r>
              <w:rPr/>
              <w:t> </w:t>
            </w:r>
          </w:p>
        </w:tc>
      </w:tr>
      <w:tr>
        <w:trPr/>
        <w:tc>
          <w:tcPr>
            <w:tcW w:w="25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tcPr>
          <w:p>
            <w:pPr>
              <w:pStyle w:val="TableContents"/>
              <w:bidi w:val="0"/>
              <w:spacing w:before="0" w:after="283"/>
              <w:jc w:val="left"/>
              <w:rPr/>
            </w:pPr>
            <w:r>
              <w:rPr/>
              <w:t> </w:t>
            </w:r>
          </w:p>
        </w:tc>
        <w:tc>
          <w:tcPr>
            <w:tcW w:w="24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2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483"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7"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shd w:fill="CCEEFF" w:val="clear"/>
          </w:tcPr>
          <w:p>
            <w:pPr>
              <w:pStyle w:val="TableContents"/>
              <w:bidi w:val="0"/>
              <w:spacing w:before="0" w:after="283"/>
              <w:jc w:val="left"/>
              <w:rPr/>
            </w:pPr>
            <w:r>
              <w:rPr/>
              <w:t> </w:t>
            </w:r>
          </w:p>
        </w:tc>
        <w:tc>
          <w:tcPr>
            <w:tcW w:w="249"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729"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483"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7"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5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9"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9"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3"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37" w:type="dxa"/>
            <w:tcBorders/>
          </w:tcPr>
          <w:p>
            <w:pPr>
              <w:pStyle w:val="TableContents"/>
              <w:bidi w:val="0"/>
              <w:spacing w:before="0" w:after="283"/>
              <w:jc w:val="left"/>
              <w:rPr/>
            </w:pPr>
            <w:r>
              <w:rPr/>
              <w:t> </w:t>
            </w:r>
          </w:p>
        </w:tc>
      </w:tr>
      <w:tr>
        <w:trPr/>
        <w:tc>
          <w:tcPr>
            <w:tcW w:w="25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shd w:fill="CCEEFF" w:val="clear"/>
          </w:tcPr>
          <w:p>
            <w:pPr>
              <w:pStyle w:val="TableContents"/>
              <w:bidi w:val="0"/>
              <w:spacing w:before="0" w:after="283"/>
              <w:jc w:val="left"/>
              <w:rPr/>
            </w:pPr>
            <w:r>
              <w:rPr/>
              <w:t> </w:t>
            </w:r>
          </w:p>
        </w:tc>
        <w:tc>
          <w:tcPr>
            <w:tcW w:w="249"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9"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83"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37" w:type="dxa"/>
            <w:tcBorders/>
            <w:shd w:fill="CCEEFF" w:val="clear"/>
          </w:tcPr>
          <w:p>
            <w:pPr>
              <w:pStyle w:val="TableContents"/>
              <w:bidi w:val="0"/>
              <w:spacing w:before="0" w:after="283"/>
              <w:jc w:val="left"/>
              <w:rPr/>
            </w:pPr>
            <w:r>
              <w:rPr/>
              <w:t> </w:t>
            </w:r>
          </w:p>
        </w:tc>
      </w:tr>
      <w:tr>
        <w:trPr/>
        <w:tc>
          <w:tcPr>
            <w:tcW w:w="25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w:t>
            </w:r>
          </w:p>
        </w:tc>
        <w:tc>
          <w:tcPr>
            <w:tcW w:w="146" w:type="dxa"/>
            <w:tcBorders/>
          </w:tcPr>
          <w:p>
            <w:pPr>
              <w:pStyle w:val="TableContents"/>
              <w:bidi w:val="0"/>
              <w:spacing w:before="0" w:after="283"/>
              <w:jc w:val="left"/>
              <w:rPr/>
            </w:pPr>
            <w:r>
              <w:rPr/>
              <w:t> </w:t>
            </w:r>
          </w:p>
        </w:tc>
        <w:tc>
          <w:tcPr>
            <w:tcW w:w="24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w:t>
            </w:r>
          </w:p>
        </w:tc>
        <w:tc>
          <w:tcPr>
            <w:tcW w:w="146" w:type="dxa"/>
            <w:tcBorders/>
          </w:tcPr>
          <w:p>
            <w:pPr>
              <w:pStyle w:val="TableContents"/>
              <w:bidi w:val="0"/>
              <w:spacing w:before="0" w:after="283"/>
              <w:jc w:val="left"/>
              <w:rPr/>
            </w:pPr>
            <w:r>
              <w:rPr/>
              <w:t> </w:t>
            </w:r>
          </w:p>
        </w:tc>
        <w:tc>
          <w:tcPr>
            <w:tcW w:w="72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483"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7"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61,500</w:t>
            </w:r>
          </w:p>
        </w:tc>
      </w:tr>
      <w:tr>
        <w:trPr/>
        <w:tc>
          <w:tcPr>
            <w:tcW w:w="25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Reardon</w:t>
            </w:r>
          </w:p>
        </w:tc>
        <w:tc>
          <w:tcPr>
            <w:tcW w:w="146" w:type="dxa"/>
            <w:tcBorders/>
            <w:shd w:fill="CCEEFF" w:val="clear"/>
          </w:tcPr>
          <w:p>
            <w:pPr>
              <w:pStyle w:val="TableContents"/>
              <w:bidi w:val="0"/>
              <w:spacing w:before="0" w:after="283"/>
              <w:jc w:val="left"/>
              <w:rPr/>
            </w:pPr>
            <w:r>
              <w:rPr/>
              <w:t> </w:t>
            </w:r>
          </w:p>
        </w:tc>
        <w:tc>
          <w:tcPr>
            <w:tcW w:w="249"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w:t>
            </w:r>
          </w:p>
        </w:tc>
        <w:tc>
          <w:tcPr>
            <w:tcW w:w="146" w:type="dxa"/>
            <w:tcBorders/>
            <w:shd w:fill="CCEEFF" w:val="clear"/>
          </w:tcPr>
          <w:p>
            <w:pPr>
              <w:pStyle w:val="TableContents"/>
              <w:bidi w:val="0"/>
              <w:spacing w:before="0" w:after="283"/>
              <w:jc w:val="left"/>
              <w:rPr/>
            </w:pPr>
            <w:r>
              <w:rPr/>
              <w:t> </w:t>
            </w:r>
          </w:p>
        </w:tc>
        <w:tc>
          <w:tcPr>
            <w:tcW w:w="729"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483"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7"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61,500</w:t>
            </w:r>
          </w:p>
        </w:tc>
      </w:tr>
      <w:tr>
        <w:trPr/>
        <w:tc>
          <w:tcPr>
            <w:tcW w:w="25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S. Shin</w:t>
            </w:r>
          </w:p>
        </w:tc>
        <w:tc>
          <w:tcPr>
            <w:tcW w:w="146" w:type="dxa"/>
            <w:tcBorders/>
          </w:tcPr>
          <w:p>
            <w:pPr>
              <w:pStyle w:val="TableContents"/>
              <w:bidi w:val="0"/>
              <w:spacing w:before="0" w:after="283"/>
              <w:jc w:val="left"/>
              <w:rPr/>
            </w:pPr>
            <w:r>
              <w:rPr/>
              <w:t> </w:t>
            </w:r>
          </w:p>
        </w:tc>
        <w:tc>
          <w:tcPr>
            <w:tcW w:w="24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w:t>
            </w:r>
          </w:p>
        </w:tc>
        <w:tc>
          <w:tcPr>
            <w:tcW w:w="146" w:type="dxa"/>
            <w:tcBorders/>
          </w:tcPr>
          <w:p>
            <w:pPr>
              <w:pStyle w:val="TableContents"/>
              <w:bidi w:val="0"/>
              <w:spacing w:before="0" w:after="283"/>
              <w:jc w:val="left"/>
              <w:rPr/>
            </w:pPr>
            <w:r>
              <w:rPr/>
              <w:t> </w:t>
            </w:r>
          </w:p>
        </w:tc>
        <w:tc>
          <w:tcPr>
            <w:tcW w:w="729"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483"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7"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a discussion of the independent directors’ compensation, see below.</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do not maintain a stock option plan, non-equity incentive plan or pension plan for our directors.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“Fund Complex” includes Oxford Park Income Fund,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independent directors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continues to receive an additional annual fee of $10,000. No compensation is paid to directors who are interested persons of the Fund as defined in Section 2(a)(19) of the 1940 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Chief Executive Officer and Other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Cummins, our Chief Compliance Officer, is a director of ACA Group, LLC and performs his functions under the terms of an agreement between us and ACA Group,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613"/>
      <w:bookmarkEnd w:id="16"/>
      <w:r>
        <w:rPr>
          <w:rFonts w:ascii="Times New Roman PS Std;serif" w:hAnsi="Times New Roman PS Std;serif"/>
          <w:b/>
          <w:i w:val="false"/>
          <w:caps w:val="false"/>
          <w:smallCaps w:val="false"/>
          <w:sz w:val="20"/>
        </w:rPr>
        <w:t>BOARD APPROVAL OF THE INVESTMENT ADVISORY AGREEMENT</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 in-person meeting of our Board of Directors held on July 22, 2025, our Board of Directors unanimously voted to re-approve the Investment Advisory Agreement. In reaching a decision to approve the Investment Advisory Agreement, the independent directors reviewed a significant amount of information provided by Oxford Lane Management in response to a questionnaire provided by counsel to the independent directors on behalf of the independent directors and considered and concluded,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quality and extent of the advisory and other services to be provided to us by Oxford Lane Management, including with respect to the investment criteria and parameters used by Oxford Lane Management in identifying potential investment opportunities and Oxford Lane Management’s processes currently in place to monitor, manage and mitigate the risk and volatility associated with the Fund’s portfolio, and the qualifications and abilities of the professional personnel of Oxford Lane Management and the compensation structure for such personnel, and concluded Oxford Lane Management has and is expected to continue to provide a high level of quality services to the Fund and its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investment performance of the Fund and Oxford Lane Management including a comparison to the performance of the Fund’s peer group, and concluded that the Fund’s performance is satisfactory;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Comparative data with respect to advisory fees or similar expenses paid by other closed-end management investment companies with similar investment objectives and the Fund’s historical and projected operating expenses and expense ratio compared to closed-end management investment companies with similar investment objectives, and concluded that the total advisory fees paid by the Fund to Oxford Lane Management were not unreasonable;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direct and indirect costs that might be incurred by Oxford Lane Management and its affiliates in performing services for the Fund and the basis of determining and allocating these costs, and concluded the direct and indirect costs are not unreasonable;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economies of scale arising from the Fund’s size and/or anticipated growth, and concluded that the advisory fee structure is reasonable;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experience and qualifications of the personnel performing services under the Investment Advisory Agreement, and concluded that the services to be performed and the personnel performing such services were satisfactory;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and other possible benefits to the Adviser and its affiliates arising from their relationships with the Fund, and concluded that Oxford Lane Management’s and its affiliates profitability and other benefits were not excessive with respect to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Board’s evaluation process with respect to Oxford Lane Management is an ongoing one. In this regard, in making its determinations, the Board also took into account discussions with management and information provided to the Board at prior meetings throughout the year with respect to the services provided by Oxford Lane Management, including performance reports and prior presentations from Oxford Lane Management. The information received and considered by the Board in connection with the meeting at which the Investment Advisory Agreement was re-approved and throughout the year was both written and oral.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reviewed and the discussions detailed above, the Board of Directors, including all of the directors who are not “interested persons” as defined in the 1940 Act, and assisted by independent counsel, concluded that the investment advisory fees payable to Oxford Lane Management pursuant to the Investment Advisory Agreement were not unreasonable in relation to the services to be provided and that the renewal of the Investment Advisory Agreement is in the best interest of the Fund and its stockholders. The Board of Directors did not assign relative weights to the above factors, or the other factors considered by it. Individual members of the Board of Directors may have attributed different weights to different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614"/>
      <w:bookmarkEnd w:id="17"/>
      <w:r>
        <w:rPr>
          <w:rFonts w:ascii="Times New Roman PS Std;serif" w:hAnsi="Times New Roman PS Std;serif"/>
          <w:b/>
          <w:i w:val="false"/>
          <w:caps w:val="false"/>
          <w:smallCaps w:val="false"/>
          <w:sz w:val="20"/>
        </w:rPr>
        <w:t>SUBMISSION OF MATTERS TO A VOTE OF STOCKHOLDERS</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Fund held its Annual Meeting of Stockholders (the ‘‘Meeting’’) on October 24, 2025 and submitted two matters to the vote of stockholders of record of the Company as of August 27, 2025 (the “Record Date”). At the Meeting, stockholders elected nominees for director, to serve for a three-year term to expire at the 2028 Annual Meeting of Stockholders based on the following votes:</w:t>
      </w:r>
    </w:p>
    <w:tbl>
      <w:tblPr>
        <w:tblW w:w="5770" w:type="dxa"/>
        <w:jc w:val="left"/>
        <w:tblInd w:w="0" w:type="dxa"/>
        <w:tblLayout w:type="fixed"/>
        <w:tblCellMar>
          <w:top w:w="0" w:type="dxa"/>
          <w:left w:w="0" w:type="dxa"/>
          <w:bottom w:w="0" w:type="dxa"/>
          <w:right w:w="0" w:type="dxa"/>
        </w:tblCellMar>
      </w:tblPr>
      <w:tblGrid>
        <w:gridCol w:w="2461"/>
        <w:gridCol w:w="146"/>
        <w:gridCol w:w="1306"/>
        <w:gridCol w:w="146"/>
        <w:gridCol w:w="1711"/>
      </w:tblGrid>
      <w:tr>
        <w:trPr/>
        <w:tc>
          <w:tcPr>
            <w:tcW w:w="2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Votes for</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Votes Withheld</w:t>
            </w:r>
          </w:p>
        </w:tc>
      </w:tr>
      <w:tr>
        <w:trPr/>
        <w:tc>
          <w:tcPr>
            <w:tcW w:w="24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Cohen(1)(3)</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252,256,408</w:t>
            </w:r>
          </w:p>
        </w:tc>
        <w:tc>
          <w:tcPr>
            <w:tcW w:w="146" w:type="dxa"/>
            <w:tcBorders/>
            <w:shd w:fill="CCEEFF" w:val="clear"/>
          </w:tcPr>
          <w:p>
            <w:pPr>
              <w:pStyle w:val="TableContents"/>
              <w:bidi w:val="0"/>
              <w:spacing w:before="0" w:after="283"/>
              <w:jc w:val="left"/>
              <w:rPr/>
            </w:pPr>
            <w:r>
              <w:rPr/>
              <w:t> </w:t>
            </w:r>
          </w:p>
        </w:tc>
        <w:tc>
          <w:tcPr>
            <w:tcW w:w="171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51,089,825</w:t>
            </w:r>
          </w:p>
        </w:tc>
      </w:tr>
      <w:tr>
        <w:trPr/>
        <w:tc>
          <w:tcPr>
            <w:tcW w:w="24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J. Ashenfelter(2)</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4,009,701</w:t>
            </w:r>
          </w:p>
        </w:tc>
        <w:tc>
          <w:tcPr>
            <w:tcW w:w="146" w:type="dxa"/>
            <w:tcBorders/>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1,291,476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Cohen was elected by the holders of our common stock and preferred stock, voting together as a single class.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Ashenfelter was elected by the holders of our outstanding Preferred Stock, voting as a single class.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Because the Record Date for the Meeting was prior to the effective date of the Reverse Stock Split, the shares of common stock outstanding and entitled to vote at the Meeting were not impacted by the Reverse Stock Split and the votes reported herein have not been adjusted to reflect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618"/>
      <w:bookmarkEnd w:id="18"/>
      <w:r>
        <w:rPr>
          <w:rFonts w:ascii="Times New Roman PS Std;serif" w:hAnsi="Times New Roman PS Std;serif"/>
          <w:b/>
          <w:i w:val="false"/>
          <w:caps w:val="false"/>
          <w:smallCaps w:val="false"/>
          <w:sz w:val="20"/>
        </w:rPr>
        <w:t>CHANGES OCCURRING DURING THE REPORTING PERIOD</w:t>
        <w:br/>
        <w:t>(Unaudited)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in this semi-annual report is a summary of certain changes during the most recent six months. This information may not reflect all of the changes that have occurred since you purchased securities of the Fund.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applicable period, except as noted below, there have been: (i) no material changes to the Fund’s investment objectives and policies that constitute its principal portfolio emphasis that have not been approved by stockholders; (ii) no changes to the persons primarily responsible for day-to-day management of the Fund; and (iii) no changes to the Fund’s charter or by-laws that would delay or prevent a change of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Summary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our assets, as well as the market price of our securities, will fluctuate. Our investments may be risky, and you may lose all or part of your investment in us. Investing in Oxford Lane Capital involves other risks, including the following: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Business and Structure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condition and results of operations will depend on our ability to manage our existing portfolio and future growth effectively.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dependent upon Oxford Lane Management’s key management personnel for our future success, particularly Jonathan H. Cohen and Saul B. Rosenthal.</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operate in a highly competitive market for investment opportunities.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permitted to borrow money, which magnifies the potential for gain or loss on amounts invested and may increase the risk of investing in us.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significant potential conflicts of interest between Oxford Lane Management and our management team.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Federal Tax Regulation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be subject to U.S. federal income tax at corporate rates, if we are unable to qualify for tax treatment as a RIC for U.S. federal income tax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Investments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investments in CLO vehicles are riskier and less transparent to us and our stockholders than direct investments in the underlying Senior Loans or CLO Assets.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 securities and their investments are often illiquid.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portfolio of investments may lack diversification among CLO vehicles which may subject us to a risk of significant loss if one or more of these CLO vehicles experience a high level of defaults on its underlying Senior Loans or CLO Assets.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Investing in CLO vehicles, Senior Loans and other high-yield corporate credits involves a variety of risks, any of which may adversely impact our performance.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 may adversely affect our and our portfolio companies’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an Investment in Our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common stock price may be volatile and may decrease substantially.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“PRINCIPAL RISKS” below, as well as our prospectus, for additional discussion of factors you should carefully consider before investing in the Fund’s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615"/>
      <w:bookmarkEnd w:id="19"/>
      <w:r>
        <w:rPr>
          <w:rFonts w:ascii="Times New Roman PS Std;serif" w:hAnsi="Times New Roman PS Std;serif"/>
          <w:b/>
          <w:i w:val="false"/>
          <w:caps w:val="false"/>
          <w:smallCaps w:val="false"/>
          <w:sz w:val="20"/>
        </w:rPr>
        <w:t>PRINCIPAL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a number of significant risks. In addition to the other information contained elsewhere in this semi-annual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report, you should consider carefully the following information before making an investment in our securities. If any of the following events occur, our business, financial condition and results of operations could be materially and adversely affected. In such case, the net asset value of our common stock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Business and Structure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condition and results of operations depend on Oxford Lane Management’s ability to effectively manage and deploy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achieve our investment objective depends on our ability to effectively manage and deploy capital, which depends, in turn, on Oxford Lane Management’s ability to identify, evaluate and monitor, and our ability to acquire, investments that meet our investment criteria.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Accomplishing our investment objective on a cost-effective basis is largely a function of Oxford Lane Management’s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distributions.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success will depend on the ability of Oxford Lane Management and certain of its affiliates to attract and retain qualified personnel in a competitive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also requires that Oxford Lane Management retain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mezzanine funds and business development companies) and traditional financial services companies, with which we compete for experienced personnel have greater resources than we have. Oxford Lane Management has the right, under the Investment Advisory Agreement, to resign at any time upon 60 days’ written notice, whether we have found a replacement or not. If Oxford Lane Management resigns, we may not be able to find a new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Oxford Lane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upon Oxford Lane Management’s key management personnel for our future success, particularly Jonathan H. Cohen and Saul B. Rosenthal.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depend on the diligence, skill and network of business contacts of the senior management of Oxford Lane Management. The senior management, together with other investment professionals, will evaluate, negotiate, structure, close, monitor and service our investments. Our future success will depend to a significant extent on the continued service and coordination of the senior management team, particularly Jonathan H. Cohen, the Chief Executive Officer of Oxford Lane Management, and Saul B. Rosenthal, the President of Oxford Lane Management. Neither Mr. Cohen nor Mr. Rosenthal will devote all of their business time to our operations, and both will have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demands on their time as a result of their other activities. Neither Mr. Cohen nor Mr. Rosenthal is subject to an employment contract. The departure of either of these individuals could have a material adverse effect on our ability to achieve our investment objective. In addition, due to Oxford Lane Management’s relatively small staff size, the departure of any of Oxford Lane Management’s personnel, including investment, accounting and compliance professionals, could have a material adverse effect on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Messrs. Cohen and Rosenthal have experience managing other investment portfolios, including those of Oxford Square Capital Corp., a publicly traded business development company that invests principally in the debt of U.S.-based companies, Oxford Park Income Fund, Inc., a non-traded registered closed-end fund that invests principally in CLO debt and equity securities, and the Oxford Gate Funds and Oxford Bridge II, LLC, private investment funds that invest principally in the equity of CLOs, their track record and prior achievements are not necessarily indicative of future results that will be achieved by Oxford Lane Management. We cannot assure you that we will be able to achieve the results realized by other vehicles managed by Messrs. Cohen and Rosenthal.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incentive fee structure and the formula for calculating the fee payable to Oxford Lane Management may incentivize Oxford Lane Management to pursue speculative investments, use leverage when it may be unwise to do so, or refrain from de-levering when it would otherwise be appropriate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 payable by us to Oxford Lane Management may create an incentive for Oxford Lane Management to pursue investments on our behalf that are riskier or more speculative than would be the case in the absence of such compensation arrangement. Such a practice could result in our investing in more speculative securities than would otherwise be the case, which could result in higher investment losses, particularly during economic downturns. The incentive fee payable to Oxford Lane Management is based on our pre-incentive net investment income, as calculated in accordance with our Investment Advisory Agreement. In addition, our base management fee is calculated on the basis of our gross assets, including assets acquired through the use of leverage. This may encourage Oxford Lane Management to use leverage to increase the aggregate amount of and the return on our investments, even when it may not be appropriate to do so, and to refrain from de-levering when it would otherwise be appropriate to do so. Under certain circumstances, the use of leverage may increase the likelihood of default, which would impair the value of our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invest, to the extent permitted by law, in the securities and other instruments of other investment companies, including private funds, and, to the extent we so invest, will bear our ratable share of any such investment company’s expenses, including management and performance fees. We will also remain obligated to pay management and incentive fees to Oxford Lane Management with respect to the assets invested in the securities and other instruments of other investment companies. With respect to each of these investments, each of our stockholders will bear his or her share of the management and incentive fee of Oxford Lane Management as well as indirectly bearing the management and performance fees and other expenses of any investment companies in which we invest.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our investing activities, we will pay management and incentive fees to Oxford Lane Management and reimburse Oxford Lane Management for certain expenses it incurs. As a result, investors in our common stock will invest on a “gross” basis and receive distributions on a “net” basis after expenses, resulting in a lower rate of return than an investor might achieve through direct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general increase in interest rates may have the effect of making it easier for Oxford Lane Management to receive incentive fees, without necessarily resulting in an increase in our net earnings.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structure of our Investment Advisory Agreement with Oxford Lane Management, any general increase in interest rates will likely have the effect of making it easier for Oxford Lane Management to meet the quarterly hurdle rate for payment of income incentive fees under the Investment Advisory Agreement without any additional increase in relative performance on the part of Oxford Lane Management. In addition, in view of the catch-up provision applicable to income incentive fees under the Investment Advisory Agreement, Oxford Lane Management could potentially receive a significant portion of the increase in our investment income attributable to such a general increase in interest rates. If that were to occur, our increase in net earnings, if any, would likely be significantly smaller than the relative increase in Oxford Lane Management’s income incentive fee resulting from such a general increase in interest rates.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borrow money and/or issue preferred stock to leverage our portfolio, which would magnify the potential for gain or loss on amounts invested and will increase the risk of investing in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leverage magnifies the potential for gain or loss on amounts invested and, therefore, increases the risks associated with investing in our securities. As of September 30, 2025, we have an aggregate of $88.1 million of preferred stock with a preferred rate of 6.25% per annum, an aggregate of $67.2 million of preferred stock with a preferred rate of 6.00% per annum, an aggregate of $63.8 million of preferred stock with a preferred rate of 7.125% per annum, $100.0 million of 5.00% Unsecured Notes due 2027, $100.0 million of 6.75% Unsecured Notes due 2031, $115.0 million of 8.75% Unsecured Notes due 2030, and $185.0 million of 7.95% Unsecured Notes due 2032. Although we have no current intention to do so, we may borrow from and issue senior securities, including additional shares of preferred stock,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Oxford Lane Management will be payable based on our gross assets, including those assets acquired through the use of leverage, Oxford Lane Management will have a financial incentive to incur leverage which may not be consistent with our stockholders’ interests. In addition, our common stockholders will bear the burden of any increase in our expenses as a result of leverage, including any increase in the management fee payable to Oxford Lane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will generally be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will generally be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If this ratio declines, we may not be able to incur additional debt or issue additional shares of preferred stock and could be required by law to sell a portion of our investments to repay some debt or redeem some preferred stock when it is disadvantageous to do so, which could have a material adverse effect on our operations, and we may not be able to make distributions or repurchases of stock. The amount of leverage that we employ will depend on Oxford Lane Management’s and our Board of Directors’ assessment of market and other factors at the time of any proposed borrowing. We cannot assure you that we will be able to obtain credit at all or on terms acceptable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Illustration.    </w:t>
      </w:r>
      <w:r>
        <w:rPr>
          <w:rFonts w:ascii="Times New Roman PS Std;serif" w:hAnsi="Times New Roman PS Std;serif"/>
          <w:b w:val="false"/>
          <w:i w:val="false"/>
          <w:caps w:val="false"/>
          <w:smallCaps w:val="false"/>
          <w:sz w:val="20"/>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tbl>
      <w:tblPr>
        <w:tblW w:w="10205" w:type="dxa"/>
        <w:jc w:val="left"/>
        <w:tblInd w:w="0" w:type="dxa"/>
        <w:tblLayout w:type="fixed"/>
        <w:tblCellMar>
          <w:top w:w="0" w:type="dxa"/>
          <w:left w:w="0" w:type="dxa"/>
          <w:bottom w:w="0" w:type="dxa"/>
          <w:right w:w="0" w:type="dxa"/>
        </w:tblCellMar>
      </w:tblPr>
      <w:tblGrid>
        <w:gridCol w:w="5317"/>
        <w:gridCol w:w="146"/>
        <w:gridCol w:w="601"/>
        <w:gridCol w:w="348"/>
        <w:gridCol w:w="146"/>
        <w:gridCol w:w="481"/>
        <w:gridCol w:w="348"/>
        <w:gridCol w:w="146"/>
        <w:gridCol w:w="481"/>
        <w:gridCol w:w="348"/>
        <w:gridCol w:w="146"/>
        <w:gridCol w:w="406"/>
        <w:gridCol w:w="286"/>
        <w:gridCol w:w="146"/>
        <w:gridCol w:w="526"/>
        <w:gridCol w:w="333"/>
      </w:tblGrid>
      <w:tr>
        <w:trPr/>
        <w:tc>
          <w:tcPr>
            <w:tcW w:w="53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Assumed Return on Our Portfolio(1) (net of expenses)</w:t>
            </w:r>
          </w:p>
        </w:tc>
        <w:tc>
          <w:tcPr>
            <w:tcW w:w="146"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-10.0%</w:t>
            </w:r>
          </w:p>
        </w:tc>
        <w:tc>
          <w:tcPr>
            <w:tcW w:w="146"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w:t>
            </w:r>
          </w:p>
        </w:tc>
        <w:tc>
          <w:tcPr>
            <w:tcW w:w="146"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146" w:type="dxa"/>
            <w:tcBorders/>
            <w:vAlign w:val="bottom"/>
          </w:tcPr>
          <w:p>
            <w:pPr>
              <w:pStyle w:val="TableContents"/>
              <w:bidi w:val="0"/>
              <w:spacing w:before="0" w:after="283"/>
              <w:jc w:val="left"/>
              <w:rPr/>
            </w:pPr>
            <w:r>
              <w:rPr/>
              <w:t> </w:t>
            </w:r>
          </w:p>
        </w:tc>
        <w:tc>
          <w:tcPr>
            <w:tcW w:w="6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w:t>
            </w:r>
          </w:p>
        </w:tc>
        <w:tc>
          <w:tcPr>
            <w:tcW w:w="146" w:type="dxa"/>
            <w:tcBorders/>
            <w:vAlign w:val="bottom"/>
          </w:tcPr>
          <w:p>
            <w:pPr>
              <w:pStyle w:val="TableContents"/>
              <w:bidi w:val="0"/>
              <w:spacing w:before="0" w:after="283"/>
              <w:jc w:val="left"/>
              <w:rPr/>
            </w:pPr>
            <w:r>
              <w:rPr/>
              <w:t> </w:t>
            </w:r>
          </w:p>
        </w:tc>
        <w:tc>
          <w:tcPr>
            <w:tcW w:w="85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10.0%</w:t>
            </w:r>
          </w:p>
        </w:tc>
      </w:tr>
      <w:tr>
        <w:trPr/>
        <w:tc>
          <w:tcPr>
            <w:tcW w:w="531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Corresponding net return to common stockholder</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3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3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4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3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Assumes (i) $2.85 billion in pro forma total assets as of September 30, 2025; (ii) $2.06 billion in pro forma net assets as of September 30, 2025 (adjusted to reflect the issuances noted in the Fees and Expenses section above); and (iii) an annualized average effective interest rate on our indebtedness and preferred equity, as of September 30, 2025 (adjusted to reflect the issuances described above), of 7.52%. Based on our assumed leverage described above, our investment portfolio would have been required to experience an annual return of at least 1.4% to cover annual interest and dividend payments on our outstanding indebtedness and preferred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required to carry our portfolio investments at market value or, if there is no readily available market value, at fair value as determined by us in accordance with our written valuation policy with our Board of Directors having final responsibility for overseeing, reviewing and approving, in good faith, its estimate of fair value. Typically, there will not be a public market for the type of investments we target. As a result, the Board will determine the fair value of these securities quarterly based on relevant information compiled by our Adviser, third-party pricing services (when available) and our Valuation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available indicative bids or quotations, as well as external events, such as private mergers, sales and acquisitions involving comparable companies. Because such valuations, and particularly valuations of private securities, are inherently uncertain, they may fluctuate over short periods of time and may be based on estimates. The fair value of our investments may differ materially from the values that would have been used if an active public market for these securities existed. The fair value of our investments has a material impact on our net earnings through the recording of unrealized appreciation or depreciation of investments and may cause our net asset value on a given date to materially understate or overstate the value that we may ultimately realize on one or more of our investments. Investors purchasing our securities based on an overstated net asset value may pay a higher price than the value of our investments might warrant. Conversely, investors selling shares during a period in which the net asset value understates the value of our investments may receive a lower price for their shares than the value of our investments might warrant.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in a highly competitive market for investment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compete for investments with other investment funds (potentially including private equity funds, mezzanine funds and business development companies), as well as traditional financial services companies, which could include commercial banks, investment banks, finance companies and other sources of funding.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are substantially larger and have considerably greater financial, technical and marketing resources than us. For example, some competitors may have a lower cost of capital and access to funding sources that may not be available to us. In addition, some of our competitors may have higher risk tolerances or different risk assessments than we have. These characteristics could allow our competitors to consider a wider variety of investments, establish more relationships and offer higher pricing than we are willing to offer to potential sellers. We may lose investment opportunities if our competitors are willing to pay more for the types of investments that we intend to target. If we are forced to pay more for our investments, we may not be able to achieve acceptable returns on our investments or may bear substantial risk of capital loss. An increase in the number and/or the size of our competitors in our target markets could force us to accept less attractive investments. Furthermore, many of our competitors have greater experience operating under, or are not be subject to, the regulatory restrictions that the 1940 Act imposes on us as a closed-end management investment company.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significant potential conflicts of interest which could impact our investment returns.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Oxford Lane Management’s investment team presently manages the portfolios of Oxford Square Capital Corp., a publicly-traded business development company that invests principally in the debt of U.S.-based companies, and Oxford Park Income Fund, Inc., a non-traded registered closed-end fund that invests principally in CLO debt and equity securities. Additionally, Oxford Lane Management’s investment team also manages the Oxford Gate Funds and Oxford Bridge II, LLC, managed by Oxford Gate Management, LLC. Oxford Bridge II, LLC and the Oxford Gate Funds are private investment funds. 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Oxford Square Capital Corp., Oxford Park Income Fund, Inc., Oxford Bridge II, LLC and the Oxford Gate Funds, as well as any affiliated investment vehicle formed in the future and managed by Oxford Lane Management or its affiliates may, notwithstanding different stated investment objectives, have overlapping investment objectives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own and, accordingly, may invest in asset classes similar to those targeted by us. As a result, Oxford Lane Management’s investment team may face conflicts in allocating investment opportunities between us and such other entities. Although Oxford Lane Management’s investment team will endeavor to allocate investment opportunities in a fair and equitable manner, it is possible that, in the future, we may not be given the opportunity to participate in investments made by investment funds, including Oxford Square Capital Corp., Oxford Park Income Fund, Inc., Oxford Bridge II, LLC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 although the Fund, Oxford Square Capital Corp., Oxford Park Income Fund, Inc., Oxford Bridge II, LLC and the Oxford Gate Funds are subject to an allocation policy to ensure the equitable distribution of such investment opportunities, consistent with the requirements of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fund, we are limited in our ability to co-invest in privately negotiated transactions with certain funds or entities managed by Oxford Lane Management or its affiliates without an exemptive order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(as defined in Section 2(a)(19) of the 1940 Act)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 We and Oxford Lane Management have applied for a new exemptive relief order which, if granted, would supersede the Exemptive Order with respect to negotiated co-investment transactions. There can be no assurance that we will obtain such new exemptive relief from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reimburse Oxford Funds, as our administrator,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Fund’s behalf pursuant to the terms of an agreement between us and ACA Group. These arrangements may create conflicts of interest that our Board of Directors must monitor. Oxford Lane Management will not be reimbursed for any performance-related compensation of its employees.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we have no current intention to do so, we may in the future issue debt securities or additional shares of preferred stock and/or borrow money from banks or other financial institutions, which we refer to collectively as “senior securities,” up to the maximum amount permitted by the 1940 Act. Under the provisions of the 1940 Act, we will be permitted, as a registered closed-end management investment company, to issue senior securities representing indebtedness so long as our asset coverage ratio with respect thereto, defined under the 1940 Act as the ratio of our gross assets (less all liabilities and indebtedness not represented by senior securities) to our outstanding senior securities representing indebtedness, is at least 300% after each issuance of such senior securities. In addition, we will be permitted to issue additional shares of preferred stock so long as our asset coverage ratio with respect thereto,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is at least 200% after each issuance of such preferred stock. If the value of our assets declines, we may be unable to satisfy this test. If that happens, we may be required to sell a portion of our investments and, depending on the nature of our leverage, repay a portion of our indebtedness or redeem outstanding shares of preferred stock or debt, in each case at a time when doing so may be disadvantageous. Also, any amounts that we use to service our indebtedness or preferred dividends would not be available for distributions to our common stockholders. Furthermore, as a result of issuing senior securities, we would also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exposed to typical risks associated with leverage, including an increased risk of loss. If we issue additional preferred stock, the preferred stock would continue to rank “senior” to common stock in our capital structure, preferred stockholders would continue to have separate voting rights on certain matters and might have other rights, preferences, or privileges more favorable than those of our common stockholders, and the issuance of additional shares of preferred stock could have the effect of delaying, deferring or preventing a transaction or a change of control that might involve a premium price for holders of our common stock or otherwise be in your best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generally able to issue and sell our common stock at a price below net asset value per share, other than in connection with a rights offering to our existing stockholders. We may, however, sell our common stock at a price below the then-current net asset value per share of our common stock if our Board of Directors determines that such sale is in the best interests of the Fund and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then the percentage ownership of our stockholders at that time will decrease, and you may experience dilution.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condition and results of operations depend on our ability to effectively manage and deploy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achieve our investment objective depends on our ability to effectively manage and deploy capital, which depends, in turn, on Oxford Lane Management’s ability to identify, evaluate and monitor, and our ability to acquire, investments that meet our investment criteria.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Accomplishing our investment objective on a cost-effective basis is largely a function of Oxford Lane Management’s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distributions.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Board of Directors is authorized to reclassify any unissued shares of common stock into one or more classes of preferred stock, which could convey special rights and privileges to its owners.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General Corporation Law and our charter, or “Charter,” our Board of Directors is authorized to classify and reclassify any authorized but unissued shares of stock into one or more classes of stock, including preferred stock. Prior to issuance of shares of each class or series, the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registered closed-end management investment company. In addition, the 1940 Act provides that holders of preferred stock are entitled to vote separately from holders of common stock to elect two preferred stock directors. We have issued preferred stock and may issue additional shares of preferred stock in the future. These effects, among others, could have an adverse effect on your investment in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Board of Directors may change our operating policies and strategies without prior notice or stockholder approval, the effects of which may be adverse.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will have the authority to modify or waive our current operating policies, investment criteria and strategies, other than those that we have deemed to be fundamental, without prior notice and without stockholder approval. We cannot predict the effect any changes to our current operating policies, investment criteria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strategies would have on our business, net asset value, operating results and value of our stock. However, the effects might be adverse, which could negatively impact our ability to pay you dividends and cause you to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and operation could be negatively affected if we become subject to any securities litigation or shareholder activism, which could cause us to incur significant expense, hinder execution of our investment strategy and impact our stock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volatility in the market price of a company’s securities, securities class action litigation has often been brought against that company. While we are currently not subject to any securities litigation, due to the volatility of our stock price and for a variety of other reasons, we may in the future become the target of securities litigation and the subject of shareholder activism. If at any time our current Investment Advisory Agreement is terminated, we may not be able to find a new investment adviser or hire internal management with similar expertise and ability to provide the same or equivalent services on acceptable terms. If we are unable to do so quickly, our operations are likely to experience a disruption, our financial condition, business and results of operations as well as our ability to pay distributions are likely to be adversely affected and the market price of our shares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incur significant costs as a result of being a publicly traded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publicly traded company, we incur legal, accounting and other expenses, including the costs associated with periodic reporting requirements, as well as additional corporate governance requirements and other rules implemented by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subject to increasingly complex corporate governance, public disclosure and accounting requirements that could adversely affect our business and financial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requirements have resulted in, and are likely to continue to result in, an increase in expenses and a diversion of management’s time from other business activities.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Federal Income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be subject to corporate-level U.S. federal income tax if we are unable to maintain our RIC status under Subchapter M of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elected to be treated as a RIC under Subchapter M of the Code, no assurance can be given that we will be able to continue to qualify for and maintain RIC status. If we qualify as a RIC under the Code, we generally will not be subject to corporate-level federal income taxes on our income and capital gains that are timely distributed (or deemed distributed) as dividends for U.S. federal income tax purposes to our stockholders. To qualify as a RIC under the Code and to be relieved of federal taxes on income and gains distributed as dividends for U.S. federal income tax purposes to our stockholders, we must, among other things, meet certain source-of-income, asset diversification and distribution requirements. The distribution requirement for a RIC is satisfied if we distribute dividends each tax year for U.S. federal income tax purposes of an amount generally at least equal to 90% of the sum of its net ordinary income and net short-term capital gains in excess of net long-term capital losses, if any,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cannot predict how tax reform legislation will affect us, our investments, or our stockholders, and any such legislation could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tax laws, regulations or administrative interpretations or any amendments thereto could adversely affect us, the entities in which we invest, or our stockholders. You are urged to consult with your tax advisor with respect to the impact of any such legislation or other regulatory or administrative developments and proposals and their potential effect on your investment in 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amount of any distributions we may make on our common stock is uncertain. We may not be able to pay you distributions or be able to sustain distributions at any particular level, and our distributions per share, if any, may not grow over time, and our distributions per share may be reduced.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investors that we will achieve investment results that will allow us to make a specified level of cash distributions or year-to-year increases in cash distributions. All distributions will be paid at the discretion of the Board of Directors and may depend on our net investment income, financial condition, maintenance of our RIC status, compliance with applicable regulations and such other factors as the Board of Directors may deem relevant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we encounter delays in locating suitable investment opportunities, all or a substantial portion of our distributions may constitute a return of capital to stockholders. To the extent that we pay distributions that constitute a return of capital for U.S. federal income tax purposes, it will lower an investor’s tax basis in his or her shares. A return of capital generally is a return of an investor’s investment, rather than a return of earnings or gains derived from our investment activities, and generally results in a reduction of the tax basis in the shares. As a result from such reduction in tax basis, stockholders may be subject to tax in connection with the sale of their shares, even if such shares are sold at a loss relative to the stockholder’s original investment.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have difficulty paying our required distributions if we recognize income before or without receiving cash representing such income.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we will include in income certain amounts that we have not yet received in cash, such as OID, which may arise if we receive warrants in connection with the making of a loan or possibly in other circumstances, or PIK interest, which represents contractual interest added to the loan balance and due at the end of the loan term. In addition, we may be required to accrue for U.S. federal income tax purposes amounts attributable to our investment in CLOs that may differ from the distributions received in respect of such investments. We also may be required to include in income certain other amounts that we will not receive in cash.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in certain cases we may recognize income before or without receiving cash representing such income, we may have difficulty satisfying the annual distribution requirement applicable to RICs under the Code. Accordingly, we may have to sell some of our investments at times we would not consider advantageous, raise additional debt or equity capital, reduce new investments or make taxable distributions of our stock or debt securities to meet that distribution requirement. If we are not able to obtain cash from other sources, we may fail to qualify for RIC tax treatment and thus be subject to U.S. federal income tax at corporate rates.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OID income for certain portfolio investments may or may not be included as a factor in the determination of the fair value of such investments.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Investments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in CLO vehicles are riskier and less transparent to us and our stockholders than direct investments in the underlying Senior Loans or CLO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initially invested principally in equity and junior debt tranches issued by CLO vehicles. Generally, there may be less information available to us regarding the underlying debt investments held by such CLO vehicles than if we had invested directly in the debt of the underlying companies. As a result, our stockholders may not know the details of the underlying debt investments of the CLO vehicles in which we invest. Our CLO investments will also be subject to the risk of leverage associated with the debt issued by such CLOs and the repayment priority of senior debt holders in such CLO vehicles. Additionally, CLOs in which we invest are often governed by a complex series of legal documents and contracts. As a result, the risk of dispute over interpretation or enforceability of the documentation may be higher relative to other types of investments.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CLO may experience losses associated with selling CLO Assets at a loss; (iv) our investments in CLO debt and equity will likely be subordinate to other senior classes of CLO debt; (v) the CLO vehicle itself may experience an event of default, leading to acceleration of the CLO’s debt and liquidation of CLO Assets at undesirable prices and (vi) the complex structure of the security may not be fully understood at the time of investment and may produce disputes among participants of the CLO transaction or unexpected investment results. Our net asset value may also decline over time if our principal recovery with respect to CLO equity investments is less than the price we paid for those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vehicles in which we invest will issue and sell or have already issued and sold debt tranches that will rank senior to the debt and equity tranches in which we invest. By their terms, such tranches entitle the holders to receive payment of interest or principal on or before the dates on which we are entitled to receive payments with respect to the tranches in which we invest. Also, in the event of default, insolvency, liquidation, dissolution, reorganization or bankruptcy of a CLO vehicle, holders of senior debt instruments would be entitled to receive payment in full before we receive any distribution. After repaying such senior creditors, such CLO vehicle may not have any remaining assets to use for repaying its obligation to us. In the case of tranches ranking equally with the tranches in which we invest, we would have to share on an equal basis any distributions with other investors holding such securities in the event of a default, insolvency, liquidation, dissolution, reorganization or bankruptcy of the relevant CLO vehicle. Therefore, we may not receive back the full amount of our investment (or any of our investment) in a CLO vehicle or may not receive our anticipated yield.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equity market has experienced significant downturns from time to time. Due to the continued uncertainty in the CLO equity market, we cannot assure you that we will achieve our expected investment results and/or maintain our current level of cash distributions. Our future distributions are dependent upon the investment income we receive on our portfolio investments, including our CLO equity investments. To the extent such CLO investments are terminated prior to the specified maturity date, such proceeds derived from a termination may be less than originally contemplated at that time of such investment. This may result in proceeds which may not be of a sufficient amount to invest in future CLO investments in order to generate cash returns that will enable us to maintain the same level of distributions. This may result in a meaningful reduction in, or complete cessation of, our distributions going forward. In addition, due to the asset coverage test applicable to us as a registered closed-end management investment company, a reduction in the fair value of our investments may limit our ability to make distributions.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 investments involve complex accounting and 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and tax implications of such investments are complicated. In particular, reported earnings from the equity tranche investments of these CLO vehicles are recorded under GAAP based upon an effective yield calculation. Current taxable earnings on these investments, however, will generally not be determinable until after the end of the fiscal year of each individual CLO vehicle that ends within our fiscal year, even though the investments are generating cash flow. In general, the tax treatment of these investments may result in higher distributable earnings in the early years and a capital loss at maturity, while for reporting purposes the totality of cash flows are reflected in a constant yield to maturity.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in CLO securities may be less transparent to us and our stockholders than direct investments in the collateral.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information contained in a CLO’s monthly reports, other trustee reports or any other financial information furnished to us as an investor in a CLO is audited and reported upon, nor is an opinion expressed, by an independent public accountant. We will not be required to share any trustee reports or other reports received from any CLO with our stockholders. Thus, you will have limited information on the assets held by, and the performance of, the CLOs in which we invest.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 securities and their investments are often illiquid.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by a CLO in which we are invested to satisfy certain tests will harm our operating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vehicles in which we invest may fail to satisfy certain financial covenants, specifically those with respect to adequate collateralization and/or interest coverage tests. Such failure could lead to a reduction in such CLO’s payments to us because senior debt holders generally would be entitled to additional payments that would, in turn, reduce the payments we would otherwise be entitled to receive.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may be highly subordinated and subject to leveraged securities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portfolio will include equity and junior debt investments in CLOs, which involve a number of significant risks. CLOs are typically very highly levered (with CLO equity securities typically being leveraged between nine and 13 times), and therefore the junior equity and debt tranches in which we invest will be subject to a higher degree of risk of total loss. In particular, investors in CLO securities indirectly bear risks of the collateral held by such CLOs. We generally have the right to receive payments only from the CLOs, and generally do not have direct rights against the underlying borrowers or the entity that sponsored the CLO transaction. In addition, we may have the option in certain CLOs to contribute additional amounts to the CLO issuer for purposes of acquiring additional assets or curing coverage tests, thereby increasing our overall exposure and capital at risk to such CLO. Although it is difficult to predict whether the prices of assets underlying CLOs will rise or fall, these prices (and, therefore, the prices of the CLOs’ securities) are influenced by the same types of political and economic events that affect issuers of securities and capital markets generally.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will bear indirectly the fees and expenses of the CLO equity securities in which we invest.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CLO vehicles we target generally enable the investor to acquire interests in a pool of CLO Assets without the expenses associated with directly holding the same investments, the CLO vehicle itself will incur management fees (including incentive fees) and other expenses. CLO collateral manager fees are charged on the total assets of a CLO but are assumed to be paid from the residual cash flows after interest payments to the CLO senior debt tranches. Therefore, these CLO collateral manager fees are effectively much higher when allocated only to the CLO equity tranche. These fees incurred at the CLO level are in addition to the fees charged by the Adviser at the Fund level. Additionally, CLOs could also be liable to the collateral manager, trustee and other parties for indemnity payments. We, as a CLO equity investor, will generally bear a share of the CLO vehicles’ administrative and other expenses that is proportionate with other CLO equity investors; however, CLO equity investors often negotiate fee rebates through side letters and other arrangements, and there can be no assurance that we will be able to negotiate fee rebates for any CLO in which we invest, or that any fee rebates we do negotiate will be as favorable as fee rebates other CLO equity investors may negotiate. Separately, we may incur expenses to the extent necessary to seek recovery upon default or to negotiate new terms with a defaulting CLO vehicle or any other investment we may make. If any of these occur, it could materially and adversely affect our operating results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portfolio of investments may lack diversification among CLO vehicles which may subject us to a risk of significant loss if one or more of these CLO vehicles experience a high level of defaults on its underlying Senior Loans or CLO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portfolio may hold investments in a limited number of CLO vehicles. Beyond the asset diversification requirements associated with our qualification as a RIC under the Code, we will not have fixed guidelines for diversification, we will not have any limitations on the ability to invest in any one CLO vehicle, and our investments may be concentrated in relatively few CLO vehicles. As our portfolio is less diversified than the portfolios of some larger funds, we are more susceptible to failure if one or more of the CLO vehicles in which we are invested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experiences a high level of defaults on its underlying Senior Loans and other CLO Assets. Similarly, the aggregate returns we realize may be significantly adversely affected if a small number of investments perform poorly or if we need to write down the value of any one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CLO vehicles in which we invest may have CLO Asset portfolios that are concentrated in a limited number of industries or borrowers. A downturn in any particular industry or borrower in which a CLO vehicle is heavily invested may subject that vehicle, and in turn us, to a risk of significant loss and could significantly impact the aggregate returns we realize. If an industry in which a CLO vehicle is heavily invested suffers from adverse business or economic conditions, a material portion of our investment in that CLO vehicle could be affected adversely, which, in turn, could adversely affect our financial position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invest in multiple CLOs managed by the same CLO collateral manager, thereby increasing our risk of loss in the event the CLO collateral manager were to fail, experience the loss of key portfolio management employees or sell its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maintain adequate diversification of underlying obligors across the CLOs in which we invest would make us more vulnerable to defaults.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maintain adequate diversification across different CLO issuers, we may still be subject to concentration risk since CLO portfolios tend to have a certain amount of overlap across underlying obligors. This trend is generally exacerbated when demand for bank loans by CLO issuers outpaces supply. Market analysts have noted that the overlap of obligor names among CLO issuers has increased recently, and is particularly evident across CLOs of the same year of origination, as well as with CLOs managed by the same asset manager. To the extent we invest in CLOs which have a high percentage of overlap, this may increase the likelihood of defaults on our CLO investments occurring together.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our investments are subject to reinvestment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ordinary management of its portfolio, a CLO will typically generate cash from asset repayments and sales and reinvest those proceeds in substitute assets, subject to compliance with its investment tests and certain other conditions. The earnings with respect to such substitute assets will depend on the quality of reinvestment opportunities available at the time. If the CLO collateral manager causes the CLO to purchase substitute assets at a lower yield than those initially acquired (for example, during periods of loan compression or in response to the need to satisfy the CLO’s covenants) or sale proceeds are maintained temporarily in cash, it would reduce the excess interest-related cash flow that the CLO collateral manager is able to achieve. The investment tests may incentivize a CLO collateral manager to cause the CLO to buy riskier assets than it otherwise would, which could result in additional losses. These factors could reduce our return on investment and may have a negative effect on the fair value of our assets and the market value of our securities. In addition, the reinvestment period for a CLO may terminate early, which would cause the holders of the CLO’s securities to receive principal payments earlier than anticipated. In addition, in CLO transactions in which we own a minority of the equity tranche, the holders of a majority of the equity tranche direct a call or refinancing of a CLO, thus causing such CLO’s outstanding CLO debt securities to be repaid at par earlier than expected. There can be no assurance that we will be able to reinvest such amounts in an alternative investment that provides a comparable return relative to the credit risk assumed.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on the collateral managers of the CLOs in which we invest, and those CLOs are generally not registered under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CLO collateral managers to administer and review the portfolios of collateral of the CLOs in which they invest. The actions of the CLO collateral managers may significantly affect the return on our investments; however, we, as an investor of the CLO, typically do not have any direct contractual relationship with the collateral managers of the CLOs in which we invest. The ability of each CLO collateral manager to identify and report on issues affecting its securitization portfolio on a timely basis could also affect the return on our investments, as we may not be provided with information on a timely basis in order to take appropriate measures to manage our risks. We will also rely on CLO collateral managers to act in the best interests of a CLO it manages; however, such CLO collateral managers are subject to fiduciary duties owed to other classes of debt besides those in which we invest; therefore, there can be no assurance that the collateral managers will always act in the best interest of the CLO securities in which we are invested. If any CLO collateral manager were to act in a manner that was not in the best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of the CLOs, this could adversely impact the overall performance of our investments. Furthermore, since the underlying CLO issuer often provides an indemnity to its CLO collateral manager, we may not be incentivized to pursue actions against the collateral manager since any such action, if successful, may ultimately be borne by the underlying CLO issuer and payable from its assets, which could create losses to us as an investor in the CLO. In addition, liabilities incurred by the CLO manger to third parties may be borne by us as an investor in the CLO to the extent such CLO is required to indemnify its collateral manager for such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is no guarantee that, for any CLO we invest in, the collateral manager in place when we invest in such CLO securities will continue to manage such CLO through the life of our investment. Collateral managers are subject to removal or replacement by other holders of CLO securities without our consent, and may also voluntarily resign as collateral manager or assign their role as collateral manager to another entity. There can be no assurance that any removal, replacement, resignation or assignment of any particular CLO manager’s role will not adversely affect the returns on the CLO securities in which we invest.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CLO investments are subject to risks related to leverage of underlying obligors.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Underlying obligors of the CLO Assets are typically highly leveraged, and there may not be significant restrictions on the amount of debt an obligor can incur. Substantial indebtedness adds additional risk with respect to an obligor and could (i) limit its ability to borrow money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favorable business activities or the financing of future operations or other capital needs. In some cases, proceeds of debt incurred by an obligor could be paid as a dividend to stockholders rather than retained by the obligor for its working capital.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obligor is unable to generate sufficient cash flow to meet principal and/or interest payments on its indebtedness, it may be forced to take other actions to satisfy its obligations under its indebtedness. These alternative measures may include reducing or delaying capital expenditures, selling assets, seeking additional capital, or restructuring or refinancing indebtedness. Any of these actions could significantly reduce the value of the CLO Assets and thus the CLO securities in which we invest. If such strategies are not successful and do not permit the obligor to meet its scheduled debt service obligations, the obligor may also be forced into liquidation, dissolution or insolvency, and the value of the CLO’s investment in such obligor could be significantly reduced or even eliminated.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associated with the bankruptcy or insolvency of an issuer or borrower of a loan that we hold or of an underlying asset held by a CLO in which we invest.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bankruptcy or insolvency of an issuer or borrower of a CLO Asset, a court or other governmental entity may determine that the claims of the relevant CLO are not valid or not entitled to the treatment the CLO expected when making its initial investment decision.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Various laws enacted for the protection of debtors may apply to the CLO Assets held by the CLOs in which we invest.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CLO Asset.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court in a lawsuit brought by an unpaid creditor or representative of creditors of an issuer or borrower of a CLO Asset, such as a trustee in bankruptcy, were to find that such issuer or borrower did not receive fair consideration or reasonably equivalent value for incurring the indebtedness constituting such CLO Asset and, after giving effect to such indebtedness, the issuer or borrower (1) was insolvent; (2) was engaged in a business for which the remaining assets of such issuer or borrower constituted unreasonably small capital; or (3) intended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incur, or believed that it would incur, debts beyond its ability to pay such debts as they mature, such court could decide to invalidate, in whole or in part, the indebtedness constituting the CLO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a CLO Asset, payments made on such CLO Asset could be subject to avoidance as a “preference” if made within a certain period of time (which may be as long as one year under U.S. Federal bankruptcy law or even longer under state laws) before insolvency.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Assets of the CLOs in which we invest may be subject to various laws for the protection of debtors in other jurisdictions, including the jurisdiction of incorporation of the issuer or borrower of such CLO Assets and, if different, the jurisdiction from which it conducts business and in which it holds assets, any of which may adversely affect such issuer’s or borrower’s ability to make, or a creditor’s ability to enforce, payment in full, on a timely basis or at all. These insolvency considerations will differ depending on the jurisdiction in which an issuer or borrower or the related CLO Assets are located and may differ depending on the legal status of the issuer or borrower.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application of risk retention rules to CLOs may have broader effects on the CLO and loan markets in general, potentially resulting in fewer or less desirable investment opportunities for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2014, six federal agencies (the Federal Deposit Insurance Corporation, or the “FDIC,” the Comptroller of the Currency, the Federal Reserve Board, the SEC, the Department of Housing and Urban Development and the Federal Housing Finance Agency) adopted joint final rules implementing certain credit risk retention requirements contemplated in Section 941 of the Dodd-Frank Act, or the “Final U.S. Risk Retention Rules.” These rules were published in the Federal Register on December 24, 2014. With respect to the regulation of CLOs, the Final U.S. Risk Retention Rules require that the “sponsor” or a “majority owned affiliate” thereof (in each case as defined in the rules), will retain an “eligible vertical interest” or an “eligible horizontal interest” (in each case as defined therein) or any combination thereof in the CLO in the manner required by the Final U.S. Risk Retention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Final U.S. Risk Retention Rules became fully effective on December 24, 2016, and to the extent applicable to CLOs in which we invest, the Final U.S. Risk Retention Rules contain provisions that may adversely affect the return of our investments. On February 9, 2018, a three-judge panel of the United States Court of Appeals for the District of Columbia Circuit, or the “DC Circuit Court,” rendered a decision in The Loan Syndications and Trading Association v. Securities and Exchange Commission and Board of Governors of the Federal Reserve System, No. 1:16-cv-0065, in which the DC Circuit Court held that open market CLO collateral managers are not “securitizers” subject to the requirements of the Final U.S. Risk Retention Rules (the “DC Circuit Ruling”). Thus, collateral managers of open market CLOs are no longer required to comply with the Final U.S. Risk Retention Rules at this time. As such, it is possible that some collateral managers of open market CLOs will decide to dispose of the securities (or cause their majority owned affiliates to dispose of the securities) constituting the “eligible vertical interest” or “eligible horizontal interest” they were previously required to retain or take other actions with respect to such securities that is not otherwise prohibited by the Final U.S. Risk Retention Rules. To the extent either the underlying collateral manager or its majority-owned affiliate divests itself of such securities, or to the extent none of the underlying collateral manager or its affiliates holds any CLO securities in any event, this will reduce the degree to which the relevant collateral manager’s incentives are aligned with those of the holders of the CLO debt or equity (which may include us as a CLO investor). This could influence the way in which the relevant collateral manager manages the CLO assets and/or makes other decisions under the transaction documents related to the CLO in a manner that is adverse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or representation that any of the transactions, structures or arrangements currently under consideration by or currently used by CLO market participants will comply with the Final U.S. Risk Retention Rules to the extent such rules are reinstated or otherwise become applicable to open market CLOs. The ultimate impact of the Final U.S. Risk Retention Rules on the loan securitization market and the leveraged loan market generally remains uncertain, and any negative impact on secondary market liquidity for securities comprising a CLO may be experienced due to the effects of the Final U.S. Risk Retention Rules on market expectations or uncertainty, the relative appeal of other investments not impacted by the Final U.S. Risk Retention Rules and other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EU/UK Risk Retention.    </w:t>
      </w:r>
      <w:r>
        <w:rPr>
          <w:rFonts w:ascii="Times New Roman PS Std;serif" w:hAnsi="Times New Roman PS Std;serif"/>
          <w:b w:val="false"/>
          <w:i w:val="false"/>
          <w:caps w:val="false"/>
          <w:smallCaps w:val="false"/>
          <w:sz w:val="20"/>
        </w:rPr>
        <w:t>The securitization industry in both European Union (“EU”) and the United Kingdom (“UK”) has also undergone a number of significant changes in the past few years. Regulation (EU) 2017/2402 relating to a European framework for simple, transparent and standardized securitization (as amended by Regulation (EU) 2021/557 and as further amended from time to time, the “EU Securitization Regulation”) applies to certain specified EU investors, and Regulation (EU) 2017/2402 relating to a European framework for simple, transparent and standardized securitization in the form in effect on 31 December 2020 (which forms part of UK domestic law by virtue of the European Union (Withdrawal) Act 2018 (as amended, the “EUWA”)) (as amended by the Securitization (Amendment) (EU Exit) Regulations 2019 and as further amended from time to time, the “UK Securitization Regulation” and, together with the EU Securitization Regulation, the “Securitization Regulations”) applies to certain specified UK investors, in each case, who are investing in a “securitization” (as such term is defined under each Securitization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due diligence requirements of Article 5 of the EU Securitization Regulation (the “EU Due Diligence Requirements”) apply to each investor that is an “institutional investor” (as such term is defined in the EU Securitization Regulation), being an investor which is one of the following: (a) an insurance undertaking as defined in Directive 2009/138/EC of the European Parliament and of the Council of 25 November 2009 on the taking-up and pursuit of the business of Insurance and Reinsurance (Solvency II) (recast) (“Solvency II”); (b) a reinsurance undertaking as defined in Solvency II; (c) subject to certain conditions and exceptions, an institution for occupational retirement provision falling within the scope of Directive (EU) 2016/2341 of the European Parliament and of the Council of 14 December 2016 on the activities and supervision of institutions for occupational retirement provision (IORPs) (the “IORP Directive”), or an investment manager or an authorized entity appointed by an institution for occupational retirement provision pursuant to the IORP Directive; (d) an alternative investment fund manager (“AIFM”) as defined in Directive 2011/61/EU of the European Parliament and of the Council of 8 June 2011 on Alternative Investment Fund Managers that manages and/or markets alternative investment funds in the EU; (e) an undertaking for the collective investment in transferable securities (“UCITS”) management company, as defined in Directive 2009/65/EC of the European Parliament and of the Council of 13 July 2009 on the coordination of laws, regulations and administrative provisions relating to undertakings for collective investment in transferable securities (UCITS) (the “UCITS Directive”); (f) an internally managed UCITS, which is an investment company authorized in accordance with the UCITS Directive and which has not designated a management company authorized under the UCITS Directive for its management; or (g) a credit institution as defined in Regulation (EU) No 575/2013 of the European Parliament and of the Council of 26 June 2013 on prudential requirements for credit institutions and investment firms (the “CRR”) for the purposes of the CRR, or an investment firm as defined in the CRR, in each case, such investor an “EU Institutional Investor”.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due diligence requirements of Article 5 of the UK Securitization Regulation (the “UK Due Diligence Requirements” and, together with the EU Due Diligence Requirements, the “Due Diligence Requirements”) apply to each investor that is an “institutional investor” (as such term is defined in the UK Securitization Regulation), being an investor which is one of the following: (a) an insurance undertaking as defined in the Financial Services and Markets Act 2000 (as amended, the “FSMA”); (b) a reinsurance undertaking as defined in the FSMA; (c) an occupational pension scheme as defined in the Pension Schemes Act 1993 that has its main administration in the UK, or a fund manager of such a scheme appointed under the Pensions Act 1995 that, in respect of activity undertaken pursuant to that appointment, is authorized under the FSMA; (d) an AIFM (as defined in the Alternative Investment Fund Managers Regulations 2013 (the “AIFM Regulations”)) which markets or manages AIFs (as defined in the AIFM Regulations) in the UK; (e) a management company as defined in the FSMA; (f) a UCITS as defined by the FSMA, which is an authorized open ended investment company as defined in the FSMA; (g) a FCA investment firm as defined by the CRR as it forms part of UK domestic law by virtue of EUWA (the “UK CRR”); or (h) a CRR investment firm as defined in the UK CRR, in each case, such investor a “UK Institutional Investor” and, such investors together with EU Institutional Investors, “Institutional Investors”.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the applicable Due Diligence Requirements require that prior to holding a “securitization position” (as defined in each Securitization Regulation) an Institutional Investor (other than the originator, sponsor or original lender) has verified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originator, sponsor or original lender will retain on an ongoing basis a material net economic interest which, in any event, shall be not less than five per cent. in the securitization, determined in accordance with Article 6 of the applicable Securitization Regulation, and has disclosed the risk retention to such Institutional Investor;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the case of each EU Institutional Investor only) the originator, sponsor or securitization special purpose entity (“SSPE”) has, where applicable, made available the information required by Article 7 of the EU Securitization Regulation in accordance with the frequency and modalities provided for thereunder;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case of each UK Institutional Investor only) the originator, sponsor or SSPE: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established in the UK has, where applicable, made available the information required by Article 7 of the UK Securitization Regulation (the “UK Transparency Requirements”) in accordance with the frequency and modalities provided for thereunder; or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established in a country other than the UK, where applicable, made available information which is substantially the same as that which it would have made available under the UK Transparency Requirements if it had been established in the UK, and has done so with such frequency and modalities as are substantially the same as those with which it would have made information available under the UK Transparency Requirements if it had been established in the UK;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in the case of each Institutional Investor, where the originator or original lender either (i) is not a credit institution or an investment firm (each as defined in the applicable Securitization Regulation) or (ii) is established in a third country (being (x) in respect of the EU Securitization Regulation, a country other than an EU member state, or (y) in respect of the UK Securitization Regulation, a country other than the UK), the originator or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in order to ensure that credit-granting is based on a thorough assessment of the obligor’s creditworthiness.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Due Diligence Requirements further require that prior to holding a securitization position, an Institutional Investor, other than the originator, sponsor or original lender, carry out a due diligence assessment which enables it to assess the risks involved, including but not limited to (a) the risk characteristics of the individual securitization position and the underlying exposures; and (b) all the structural features of the securitization that can materially impact the performance of the securitization position, including the contractual priorities of payment and priority of payment-related triggers, credit enhancements, liquidity enhancements, market value triggers, and transaction-specific definitions of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Institutional Investor that fails to comply with the applicable Due Diligence Requirements in respect of a securitization position which it holds may become subject to a range of regulatory sanctions including, in the case of a credit institution, investment firm, insurer or reinsurer, a punitive regulatory capital charge with respect to such securitization position, or, in certain other cases, a requirement to take corrective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CLO is structured in compliance with the Securitization Regulations, our ability to invest in the CLO equity of such CLOs could be limited, or we could be required to hold our investment for the life of the CLO. If a CLO has not been structured to comply with the Securitization Regulations, it will limit the ability of Institutional Investors to purchase CLO securities, which may adversely affect the price and liquidity of the securities (including the CLO equity) in the secondary market. Additionally, the Securitization Regulations and any regulatory uncertainty in relation thereto may reduce the issuance of new CLOs and reduce the liquidity provided by CLOs to the leveraged loan market generally. Reduced liquidity in the loan market could reduce investment opportunities for collateral managers, which could negatively affect the return of our investments. Any reduction in the volume and liquidity provided by CLOs to the leveraged loan market could also reduce opportunities to redeem or refinance the securities comprising a CLO in an optional redemption or refinancing and could negatively affect the ability of obligors to refinance of their collateral obligations, either of which developments could increase defaulted obligations above historic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Japanese Risk Retention.    </w:t>
      </w:r>
      <w:r>
        <w:rPr>
          <w:rFonts w:ascii="Times New Roman PS Std;serif" w:hAnsi="Times New Roman PS Std;serif"/>
          <w:b w:val="false"/>
          <w:i w:val="false"/>
          <w:caps w:val="false"/>
          <w:smallCaps w:val="false"/>
          <w:sz w:val="20"/>
        </w:rPr>
        <w:t xml:space="preserve">The Japanese Financial Services Agency (the “JFSA”) published a risk retention rule as part of the regulatory capital regulation of certain categories of Japanese investors seeking to invest in securitization transactions (the “JRR Rule”).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exposure of the total underlying assets in the transaction (the “Japanese Retention Requirement”)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“Japanese Affected Investors”). Such Japanese Affected Investors may be subject to punitive capital requirements and/or other regulatory penalties with respect to investments in securitizations that fail to comply with the Japanese Retention Requirement.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JRR Rule became effective on March 31, 2019. At this time, there are a number of unresolved questions and no established line of authority, precedent or 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we purchase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in CLO vehicles, Senior Loans and other high-yield corporate credits involves a variety of risks, any of which may adversely impact our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Investment Risk.    </w:t>
      </w:r>
      <w:r>
        <w:rPr>
          <w:rFonts w:ascii="Times New Roman PS Std;serif" w:hAnsi="Times New Roman PS Std;serif"/>
          <w:b w:val="false"/>
          <w:i w:val="false"/>
          <w:caps w:val="false"/>
          <w:smallCaps w:val="false"/>
          <w:sz w:val="20"/>
        </w:rPr>
        <w:t>An investment in our securities is subject to investment risk, including the possible loss of your entire investment. An investment in our securities represents an indirect investment in the portfolio of equity and junior tranches issued by CLO vehicles and other securities owned by us, and the value of these securities may fluctuate, sometimes rapidly and unpredictably. At any point in time an investment in our securities may be worth less than the original amount invested, even after taking into account distributions paid by us and the ability of stockholders to reinvest 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Market Risk.    </w:t>
      </w:r>
      <w:r>
        <w:rPr>
          <w:rFonts w:ascii="Times New Roman PS Std;serif" w:hAnsi="Times New Roman PS Std;serif"/>
          <w:b w:val="false"/>
          <w:i w:val="false"/>
          <w:caps w:val="false"/>
          <w:smallCaps w:val="false"/>
          <w:sz w:val="20"/>
        </w:rPr>
        <w:t>Market risk is the risk that the fair value or future cash flows of a financial instrument will fluctuate because of changes in market prices and includes interest rate risk, foreign currency risk and “other price risks”, such as index price risk. We may use derivative instruments to hedge the investment portfolio against currency risks. Our investments in CLO vehicles and other types of corporate credits typically have no significant assets other than the collateral. Accordingly, payments on the equity and junior debt instruments we initially target are payable solely from the cash flows from the collateral, net of all management fees and other expenses. Quarterly distributions or interest payments to us as a holder of equity or junior debt instruments, respectively, will only be made after payments due on any outstanding senior debt tranches have been made in full for such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Rating Risk.    </w:t>
      </w:r>
      <w:r>
        <w:rPr>
          <w:rFonts w:ascii="Times New Roman PS Std;serif" w:hAnsi="Times New Roman PS Std;serif"/>
          <w:b w:val="false"/>
          <w:i w:val="false"/>
          <w:caps w:val="false"/>
          <w:smallCaps w:val="false"/>
          <w:sz w:val="20"/>
        </w:rPr>
        <w:t>Certain of the major rating agencies (including Moody’s, Standard and Poor’s and Fitch) have downgraded, and may continue to downgrade, the tranches of CLO vehicles that we are targeting and, therefore, these investments may be seen as riskier than they were previously thought to be. We cannot assure you that the rated CLO securities in which it invests will not experience downgrades. To the extent our portfolio experiences such downgrades, the value of our investments, and our ability to liquidate such investments, would likely be impaired. A significant impairment of any of our investments may have a material adverse effect on our financial results and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ratings assigned to the CLO Assets in which the CLOs invest are subject to change at any time, including for reasons unrelated to performance, such as changes in rating agency methodology, changes in economic conditions, changes in the loan markets, changes in the creditworthiness of the underlying obligors and a variety of other factors. If downgrade actions a rating agency result in an increase in the number of CLO Assets with ratings of “Caa1” or “CCC+” or lower, then even if such CLO Asset do not suffer defaults or delinquencies or otherwise deteriorate in performance, the CLO vehicle could fail to satisfy certain tests, which could lead to the early amortization of some or all of the CLO debt. As a result, payments that would have otherwise been made to the CLO equity or CLO debt securities that we hold would instead be diverted to buy additional loans within a given CLO or paid to senior CLO debt holders as an early amortization payment.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Interest Rate Risk.    </w:t>
      </w:r>
      <w:r>
        <w:rPr>
          <w:rFonts w:ascii="Times New Roman PS Std;serif" w:hAnsi="Times New Roman PS Std;serif"/>
          <w:b w:val="false"/>
          <w:i w:val="false"/>
          <w:caps w:val="false"/>
          <w:smallCaps w:val="false"/>
          <w:sz w:val="20"/>
        </w:rPr>
        <w:t>Our investments have initially been focused on investments in equity and floating rate junior debt tranches issued by CLO vehicles, and to a lesser extent warehouse facilities and corporate credits, each of which are exposed to interest rate risk. Since a CLO’s asset portfolio is typically comprised principally of floating rate loans and the CLO’s liabilities are also generally floating rate instruments, we expect CLO equity and junior debt tranches to provide potential protection against rising interest rates when the benchmark is above the average benchmark floor on a CLO’s assets. However, our investments in CLO Assets through investments in junior equity and debt tranches of CLOs are nonetheless sensitive to interest rate levels and volatility. For example, because CLO debt securities are floating rate securities, a reduction in interest rates would generally result in a reduction in the coupon payment and cash flow we receive on the junior debt securities and CLO equity in which we invest. Furthermore, because floating or variable rates only reset periodically, changes in prevailing interest rates can be expected to cause some fluctuations in our net asset value. Similarly, a sudden and significant increase in market interest rates may cause a decline in our net asset value. In addition, many underlying corporate borrowers can elect to pay interest based on a 1-month, 3-month and/or other term base rates in respect of the loans held by CLOs in which we invest, in each case plus an applicable spread, whereas floating rate CLO securities generally pay interest based on a 3-month term plus a spread. The 3-month term rate may fluctuate in excess of other potential term rates, which may result in many underlying corporate borrowers electing to pay interest based on a shorter or lower, but in any event lower, base rate. This mismatch in the rate at which CLOs earn interest and the rate at which they pay interest on their debt tranches negatively impacts the cash flows on a CLO’s equity tranche, which may in turn adversely affect our cash flows, results of operations or net asset value, which may impact our ability to maintain required levels of asset coverage. Unless spreads are adjusted to account for such increases, these negative impacts may worsen as the amount by which the 3-month term base rate exceeds the 1-month term base rate increases.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CLOs may not be able to enter into hedge agreements, even if it may otherwise be in the best interests of the CLO to hedge such interest rate risk. Furthermore, in the event of a significant rising interest rate environment and/or economic downturn, underlying obligors may be unable to pay their debt liabilities or refinance, and loan defaults may increase, thus resulting in credit losses that would adversely affect our cash flow, fair value of our assets and operating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Benchmark Floor Risk.    </w:t>
      </w:r>
      <w:r>
        <w:rPr>
          <w:rFonts w:ascii="Times New Roman PS Std;serif" w:hAnsi="Times New Roman PS Std;serif"/>
          <w:b w:val="false"/>
          <w:i w:val="false"/>
          <w:caps w:val="false"/>
          <w:smallCaps w:val="false"/>
          <w:sz w:val="20"/>
        </w:rPr>
        <w:t>Because CLOs issue debt primarily on a floating rate basis, an increase in the relevant benchmark will increase the financing costs of CLOs. Many of the senior secured loans held by these CLOs have benchmark floors such that, when the relevant benchmark is below the stated benchmark floor, the stated benchmark floor (rather than the benchmark itself) is used to determine the interest payable under the loans. Therefore, if the relevant benchmark increases but stays below the average benchmark floor rate of the senior secured loans held by a CLO, there would not be a corresponding increase in the investment income of such CLOs. The combination of increased financing costs without a corresponding increase in investment income in such a scenario could result in the CLO not having adequate cash to make interest or other payments on the securities which we hold.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Credit Risk.    </w:t>
      </w:r>
      <w:r>
        <w:rPr>
          <w:rFonts w:ascii="Times New Roman PS Std;serif" w:hAnsi="Times New Roman PS Std;serif"/>
          <w:b w:val="false"/>
          <w:i w:val="false"/>
          <w:caps w:val="false"/>
          <w:smallCaps w:val="false"/>
          <w:sz w:val="20"/>
        </w:rPr>
        <w:t xml:space="preserve">Credit risk is the risk that one or more investments in a portfolio will decline in price or fail to pay interest or principal when due because the issuer of the security experiences a decline in its financial condition. If a CLO in which we invest, an underlying asset of any such CLO or any other type of credit investment in our portfolio declines in price or fails to pay interest or principal when due because the issuer or debtor, as the case may be, experiences a decline in its financial status either or both our income and net asset value may be adversely impacted. Non-payment would result in a reduction of our income, a reduction in the value of the applicable CLO security or other credit investment experiencing non-payment and, potentially, a decrease in our net asset value. With respect to our investments in CLO securities and credit investments that are secured, there can be no assurance that liquidation of collateral would satisfy the issuer’s obligation in the event of non-payment of scheduled dividend, interest or principal or that such collateral could be readily liquidated. In the event of bankruptcy of an issuer, we could experience delays or limitations with respect to our ability to realize the benefits of any collateral securing a CLO security or credit investment. While a senior position in the capital structure of a corporate borrower may provide some protection to the CLO vehicles or other credit investments in which we invest, losses or other reductions in collateral may still occur in the portfolios of such CLO vehicles or corporate credits because the market value of such loans is affected by the creditworthiness of borrowers and by general economic and specific industry conditions. CLOs may also invest in second lien loans, first lien last out loans and unsecured loans and bonds, all of which have a heightened level of risk in the event of a decline in the financial condition of the underlying obligor. As we invest primarily in equity and junior debt tranches of CLO vehicles, we are exposed to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greater amount of credit risk than a fund which invests in senior debt or investment grade securities. The prices of primarily non-investment grade securities are more sensitive to negative developments, such as a decline in a CLO vehicle’s collateral or cash flows or a general economic downturn, than are the prices of more senior debt securities. Our CLO Assets of below investment grade quality, which are often referred to as “junk,” are predominantly speculative with respect to the obligor’s capacity to pay interest and repay principal when due and therefore involve a greater risk of default. We will typically be in a first loss or subordinated position with respect to realized losses on the collateral of each investment we make in a CLO vehicle. The leveraged nature of the CLO vehicle, in particular, magnifies the adverse impact of collateral defaults.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Participation Risk.    </w:t>
      </w:r>
      <w:r>
        <w:rPr>
          <w:rFonts w:ascii="Times New Roman PS Std;serif" w:hAnsi="Times New Roman PS Std;serif"/>
          <w:b w:val="false"/>
          <w:i w:val="false"/>
          <w:caps w:val="false"/>
          <w:smallCaps w:val="false"/>
          <w:sz w:val="20"/>
        </w:rPr>
        <w:t>The CLOs in which we invest may acquire interests in loans either directly (by way of assignment, or “Assignments”) or indirectly (by way of participation, or “Participations”). The purchaser by an Assignment of a loan obligation typically succeeds to all the rights and obligations of the selling institution and becomes a lender under the loan or credit agreement with respect to the debt obligation. In contrast, when a CLO acquires a Participation, the selling institution retains title to the loan and grants the CLO rights to the cash flow and other rights related to such loan (or portion thereof). Thus, in a participation, the contractual relationship is with the lender selling the participation, but not with the borrower. In purchasing a Participation, the CLOs in which we invest generally will have no right to enforce compliance by the obligor with the terms of the loan or credit agreement or other instrument evidencing such debt obligation, nor any rights of setoff against the obligor, and the CLOs in which we invest may not directly benefit from the collateral supporting the debt obligation in which it has purchased the Participation. Furthermore, a participant assumes the credit risk of the lender selling the participation in addition to the credit risk of the borrower. In the event of the insolvency of the lender selling the participation, a participant may be treated as a general creditor of the lender and may not have a senior claim to the lender’s interest in the CLO Asset. Additionally, the holder of a Participation in a debt obligation may not have the right to vote on certain matters presented to the lenders under the relevant CLO Asset.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Liquidity Risk.    </w:t>
      </w:r>
      <w:r>
        <w:rPr>
          <w:rFonts w:ascii="Times New Roman PS Std;serif" w:hAnsi="Times New Roman PS Std;serif"/>
          <w:b w:val="false"/>
          <w:i w:val="false"/>
          <w:caps w:val="false"/>
          <w:smallCaps w:val="false"/>
          <w:sz w:val="20"/>
        </w:rPr>
        <w:t>Liquidity risk is defined as the risk that we may not be able to settle or meet our obligations on time or at a reasonable price. We may invest up to 100% of our portfolio in securities that are considered illiquid. “Illiquid securities” are securities which cannot be sold within seven days in the ordinary course of business at approximately the value used by us in determining our net asset value. We may not be able to readily dispose of such securities at prices that approximate those at which we could sell such securities if they were more widely-traded and, as a result of such illiquidity, we may have to sell other investments or engage in borrowing transactions to raise cash to meet our obligations. Some instruments issued by CLO vehicles may not be readily marketable and may be subject to restrictions on resale. Securities issued by CLO vehicles are generally not listed on any U.S. national securities exchange and no active trading market may exist for the securities in which we invest. Although a secondary market may exist for our investments, the market for our investments may be subject to irregular trading activity, wide bid/ask spreads and extended trade settlement periods. As a result, these types of investments may be more difficult to value. In addition, we believe that ownership of CLO equity and junior debt instruments has generally been distributed across a wide range of holders, some of whom we believe may continue to face near- to intermediate-term liquidity issues, which may result in such holders attempting to liquidate CLO securities, which can cause a decline in market value of such CLO securities. Further, we believe that larger institutional investors with sufficient resources to source, analyze and negotiate the purchase of these assets may refrain from purchases of the size that we are targeting, thereby reducing the prospective investor population, which would limit our ability to sell our position in a CLO vehicle if we choose to or need to do so. None of us or any CLO in which we invest has any limitation on the amount of assets which may be invested in assets that are not readily marketable or are subject to restrictions on resale. Further, the CLO securities in which we invest and the CLO Assets in which CLOs invest are typically not listed on any national securities exchange or automated quotation system, and no active trading market exists for many CLO securities or CLO Assets. As a result, many CLO securities and CLO Assets are illiquid, meaning that we may not be able to sell CLO securities quickly at a fair price, and the CLOs in which we invest may not be able to sell underlying CLO Assets quickly at a fair price. The market for illiquid securities is more volatile than the market for liquid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in foreign securities may involve significant risks in addition to the risks inherent in U.S.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we invest primarily in CLOs that hold underlying U.S. assets, these CLOs may be organized outside the United States and we may also invest in CLOs that hold collateral that are non-U.S. assets. Investing in foreign entities may expose us and the CLOs in which we invest to additional risks not typically associated with investing in U.S. issues. These risks include changes in exchange control regulations, political and social instability,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and the CLO vehicles in which it invests, may have difficulty enforcing creditor’s rights in foreign jurisdictions.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international trade tensions may arise from time to time which could result in trade tariffs, embargoes or other restrictions or limitations on trade. The imposition of any actions on trade could trigger a significant reduction in international trade, supply chain disruptions, an oversupply of certain manufactured goods, substantial price reductions of goods and possible failure of individual companies or industries, which could have a negative impact on the value of the CLO securities that we hold.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markets also have different clearance and settlement procedures, and in certain markets there have been times when settlements have failed to keep pace with the volume of securities transactions, making it difficult to conduct such transactions. Delays in settlement could result in periods when our assets are uninvested. Our inability to make intended investments due to settlement problems or the risk of intermediary counterparty failures could cause it to miss investment opportunities. The inability to dispose of an investment due to settlement problems could result either in losses to the funds due to subsequent declines in the value of such investment or, if we have entered into a contract to sell the security, could result in possible liability to the purchaser. Transaction costs of buying and selling foreign securities also are generally higher than those involved in domestic transactions. Furthermore, foreign financial markets have, for the most part, substantially less volume than U.S. markets, and securities of many foreign companies are less liquid and their prices more volatile than securities of comparable domestic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economies of individual non-U.S. countries may also differ favorably or unfavorably from the U.S. economy in such respects as growth of gross domestic product, rate of inflation, volatility of currency exchange rates, depreciation, capital reinvestment, resources self-sufficiency and balance of payments 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expect that most of our investments will be U.S. dollar-denominated and that most of the CLOs in which we invest will hold CLO Assets which are primarily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it will, in fact, hedge currency risk, or that if we do, such strategies will be effective.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may adversely affect our and our CLO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risk is the risk that the value of certain assets or income from our investments will be worth less in the future as inflation decreases the value of money. The U.S. and other developed economies have begun to experience higher-than normal inflation rates. It remains uncertain whether substantial inflation in the U.S. and other developed economies will be sustained over an extended period of time or have a significant effect on the U.S. or other economies. Inflation and rapid fluctuations in inflation rates have had in the past, and may in the future have, negative effects on economies and financial markets, particularly in emerging economies. For example, if an obligor of a CLO Asset in which we invest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CLO’s underlying obligors. In addition, during any periods of rising inflation, the real value of investments and distributions to us would decline, and the dividend rates or borrowing costs associated with our use of leverage would likely increase, all of which would tend to further reduce returns to stockholders. Conversely, as inflation declines, the Fund, any CLO in which we invest and any underlying obligor of the CLO Assets may not be able to reduce expenses commensurate with any resulting reduction in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 attempt to stabilize inflation, countries may impose wage and price controls, tighten the monetary supply, or otherwise intervene in the economy. Governmental efforts to curb inflation often have negative effects on the level of economic activity. There can be no assurance that inflation will not become a serious problem in the future and have an adverse impact on our returns.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expose ourselves to risks if we engage in hedging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currently intend to engage in hedging transactions, if we engage in hedging transactions, we may expose ourself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enter into transactions involving derivatives and financial commitment transactions may be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we are required to trade derivatives and other transactions that create future payment or delivery obligations (except reverse repurchase agreements and similar financing transactions if we have elected to treat them as borrowings) subject to a limit on notional derivatives exposure as a limited derivatives user or subject to a value-at-risk (“VaR”) leverage limit and certain derivatives risk management program and testing requirements and requirements related to board reporting. These requirements may limit our ability to invest in derivatives, short sales and similar financing transactions, limit our ability to employ certain strategies that use these instruments and/or adversely affect our performance, efficiency in implementing our strategy, liquidity and/or ability to pursue our investment objectives and may increase the cost of our investments and cost of doing business, which could adversely affect investors.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unrealized losses we experience on our portfolio may be an indication of future realized losses, and could reduce our income available for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portfolio could be an indication of an issuer’s inability to meet its repayment obligations or distribution expectations to us with respect to the affected investments. This could result in realized losses in the future and also in reductions of our income available for distribution in future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in senior secured loans indirectly through CLO securities involves particular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 exposure to underlying senior secured loans and other CLO Assets through our investments in CLOs, but may obtain such exposure directly or indirectly through other means from time to time. Such loans may become nonperforming or impaired for a variety of reasons. Nonperforming or impaired loans may require substantial workout negotiations or restructuring that may entail a substantial reduction in the interest rate and/or a substantial write-down of the principal of the loan. In addition, because of the unique and customized nature of a loan agreement and the private syndication of a loan, certain loans may not be purchased or sold as easily as publicly traded securities, and, historically, the trading volume in the loan market has been small relative to other markets. Loans may encounter trading delays due to their unique and customized nature, and transfers may require the consent of an agent bank and/or borrower. Risks associated with senior secured loans include the fact that prepayments generally may occur at any time without premium or penalty.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portfolios of certain CLOs in which we invest may contain middle market loans. Loans to middle market companies may carry more inherent risks than loans to larger, publicly traded entities. These companies generally have more limited access to capital and higher funding costs, may be in a weaker financial position, may need more capital to expand or compete, and may be unable to obtain financing from public capital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markets or from traditional sources, such as commercial banks. Middle market companies typically have narrower product lines and smaller market shares than large companies. Therefore, they tend to be more vulnerable to competitors’ actions and market conditions, as well as general economic downturns. These companies may also experience substantial variations in operating results. The success of a middle market business may also depend on the management talents and efforts of one or two persons or a small group of persons. The death, disability or resignation of one or more of these persons could have a material adverse impact on the obligor. Accordingly, loans made to middle market companies may involve higher risks than loans made to companies that have greater financial resources or are otherwise able to access traditional credit sources. Middle market loans are less liquid and have a smaller trading market than the market for broadly syndicated loans and may have default rates or recovery rates that differ (and may be better or worse) than has been the case for broadly syndicated loans or investment grade securities. There can be no assurance as to the levels of defaults and/or recoveries that may be experienced with respect to middle market loans in any CLO in which we may invest. As a consequence of the forgoing factors, the securities issued by CLOs that primarily invest in middle market loans (or hold significant portions thereof) are generally considered to be a riskier investment than securities issued by CLOs that primarily invest in broadly syndicated loans.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competition in the market or a decrease in new CLO issuances may result in increased price volatility or a shortage of investment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there has been a marked increase in the number of, and flow of capital into, investment vehicles established to pursue investments in CLO securities whereas the size of this market is relatively limited. While we cannot determine the precise effect of such competition, such increase may result in greater competition for investment opportunities, which may result in an increase in the price of such investments relative to the risk taken on by holders of such investments. Such competition may also result under certain circumstances in increased price volatility or decreased liquidity with respect to certain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volume of new CLO issuances and CLO refinancings varies over time as a result of a variety of factors including new regulations, changes in interest rates, and other market forces. As a result of increased competition and uncertainty regarding the volume of new CLO issuances and CLO refinancings, we can offer no assurances that we will deploy all of our capital in a timely manner or at all. Prospective investors should understand that we may compete with other investment vehicles, as well as investment and commercial banking firms, which have substantially greater resources, in terms of financial wherewithal and research staffs, than may be available to 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associated with warehouse facilities.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invest capital in warehouse facilities, which are short- to medium-term facilities often provided by the bank that will serve as the placement agent or arranger on a CLO transaction and which acquire loans on an interim basis that are expected to form part of the portfolio of such future CLO. Warehouse facilities typically incur leverage between four and six times prior to a CLO’s pricing. Prior to a CLO closing and issuing CLO securities to CLO investors, in anticipation of such CLO closing, a vehicle (often the future CLO issuer or its affiliate) will purchase and “warehouse” a portion of the underlying loans that will be held by such CLO. We may be expected to provide equity capital in support of warehouse facilities during warehousing periods. The period from the date such warehouse facility is opened and asset accumulation begins to the date the CLO closes is referred to as the “warehousing period.” During this period, the price and availability of these loans (referred to as collateral obligations) may be adversely affected by a number of market factors, including price volatility, interest rate volatility and availability of investments suitable for the CLO, which could hamper the ability of the collateral manager to acquire a portfolio of collateral obligations that will satisfy specified concentration limitations and allow the CLO to reach the target initial par amount of collateral prior to the effective date. An inability or delay in reaching the target initial par amount of collateral may adversely affect the timing and amount of interest or principal payments received by the holders of the CLO debt securities and distributions on the CLO equity securities and could result in early redemptions which may cause CLO debt and equity investors to receive less than face value of their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warehouse facilities present risks similar to those of investments in CLOs and, accordingly, any references herein to CLOs in which we invest or CLO equity investments shall also refer to warehouse facilities and investments therein, as the context requires.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in CLO vehicles may be subject to special anti-deferral provisions that could result in us incurring tax or recognizing income prior to receiving cash distributions related to such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Certain elections may be available to mitigate or eliminate such tax on excess distributions, but such elections (if available) will generally require us to recognize our share of a PFIC’s income for each year regardless of whether we receive any distributions from such PFIC. We must nonetheless distribute such income to maintain our status as a RIC.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hold more than 10% of the shares in a foreign corporation that is treated as a controlled foreign corporation (“CFC”) (including equity tranche investments in a CLO vehicle treated as a CFC), we may be treated as receiving a deemed distribution (taxable as ordinary income) each year from such foreign corporation in an amount equal to our pro rata share of the corporation’s income for the tax year (including both ordinary earnings and capital gains). If we are required to include such deemed distributions from a CFC in our income, we will be required to distribute such income to maintain our RIC tax treatment regardless of whether or not the CFC makes an actual distribution during such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required to include amounts in income prior to receiving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 CLO vehicle in which we invest fails to comply with certain U.S. tax disclosure requirements, such CLO may be subject to withholding requirements that could materially and adversely affect our operating results and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imposes a withholding tax of 30% on payments of U.S. source interest and dividends,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its operating results and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an Investment in our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common stock of closed-end management investment companies, including the Fund, have in the past frequently traded at discounts to their NAV, and we cannot assure you that the market price of shares of our common stock will not decline below our NAV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of closed-end management investment companies have in the past frequently traded at discounts to their NAV and our stock may also be discounted in the market. This characteristic of closed-end management investment companies is separate and distinct from the risk that our net asset value per share may decline. We cannot predict whether shares of our common stock will trade above, at or below our NAV. The risk of loss associated with this characteristic of closed-end management investment companies may be greater for investors expecting to sell shares of common stock purchased in the offering soon after the offering. In addition, if our common stock trades below our NAV, we will generally not be able to sell additional shares of our common stock to the public at our market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common stock price may be volatile and may decrease substantially.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price of our common stock may fluctuate substantially. The price of our common stock that will prevail in the market after this offering may be higher or lower than the price you pay, depending on many factors, some of which are beyond our control and may not be directly related to our operating performance. These factors include, but are not limited to,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 and volume fluctuations in the overall stock market from time to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investor demand for our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volatility in the market price and trading volume of securities of registered closed-end management investment companies or other companies in our sector, which are not necessarily related to the operating performance of these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regulatory policies or tax guidelines with respect to RICs or registered closed-end management investment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continue to qualify as a RIC, or the loss of RIC status;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shortfall in revenue or net income or any increase in losses from levels expected by investors or securities analysts;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or perceived changes, in the value of our portfolio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departures of any members of Oxford Lane Management’s senior investment team;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performance of companies comparable to us;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and trends and other external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fluctuations in our quarterly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experience fluctuations in our quarterly operating results due to a number of factors, including our ability or inability to make investments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cannot assure you that we will be able to successfully deploy the proceeds of any offering of our securities within the timeframe we have contemplated.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anticipate that substantially all of the net proceeds of any offering conducted will be invested in accordance with our investment objective within approximately one to three months after the consummation of such offering. We cannot assure you, however, that we will be able to locate a sufficient number of suitable investment opportunities to allow us to successfully deploy substantially all of the net proceeds of any such offering in that timeframe. To the extent we are unable to invest substantially all of the net proceeds of any such offering within our contemplated timeframe after the completion of such offering, our investment income, and in turn our results of operations, will likely be materially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have broad discretion over the use of proceeds of any offering conducted and will use proceeds in part to satisfy 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have significant flexibility in applying the proceeds of any offering conducted and may use the net proceeds from any such offering in ways with which you may not agree, or for purposes other than those contemplated at the time of such offering. We will also pay operating expenses, and may pay other expenses such as due diligence expenses of potential new investments, from net proceeds. Our ability to achieve our investment objective may be limited to the extent that net proceeds of any such offering, pending full investment, are used to pay operating expenses.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Your interest in us may be diluted if you do not fully exercise your subscription rights in any rights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issue subscription rights to purchase shares of our common stock, stockholders who do not fully exercise their rights should expect that they will, at the completion of the offer,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the offer.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subscription price is less than our net asset value per share, then our stockholders would experience an immediate dilution of the aggregate net asset value of their shares as a result of the offer. The amount of any decrease in net asset value is not predictable because it is not known at this time what the subscription price and net asset value per share will be on the expiration date of the rights offering or what proportion of the shares will be purchased as a result of the offer. Such dilution could be substantial.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issue additional preferred stock, the NAV and market value of our common stock will likely become more volatile.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the issuance of additional preferred stock would result in a higher yield or return to the holders of the common stock. The issuance of additional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common stock is subject to a risk of subordination relative to holders of our debt instruments and holders of our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holders of our common stock are subordinated to the rights of holders of our indebtedness and to the rights of holders of our preferred stock. Therefore, dividends, distributions and other payments to holders of our common stock in liquidation or otherwise may be subject to prior payments due to the holders of our indebtedness or our preferred stock. In addition, under some circumstances the 1940 Act may provide debt holders with voting rights that are superior to the voting rights of holders of our equity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Holders of our preferred stock have the right to elect two members of our Board of Directors and class voting rights on certain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our Articles of Amendment and Restatement, as amended, or as otherwise required by law, (1) each holder of our preferred stock is entitled to one vote for each share of preferred stock held by such holder on each matter submitted to a vote of our stockholders and (2) the holders of all outstanding preferred stock and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Preferred stockholders will also vote separately as a class on any matter that materially and adversely affects any preference, right or power of holders of preferred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of the Maryland General Corporation Law and of our Charter and bylaws could deter takeover attempts and delay, defer or prevent a transaction or change in control that might otherwise be in the best interest of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Maryland General Corporation Law and the Charter and our bylaws (the “Bylaws”) contain provisions that may discourage, delay or make more difficult a change in control of the Fund or the removal of our directors. We are subject to the Maryland Business Combination Act, subject to any applicable requirements of the 1940 Act. The Board of Directors has adopted a resolution exempting from the Business Combination Act any business combination between us and any other person, subject to prior approval of such business combination by the Board of Directors, including approval by a majority of independent directors. If the resolution exempting business combinations is repealed or the Board of Directors does not approve a business combination, the Business Combination Act may discourage third parties from trying to acquire control of us and increase the difficulty of consummating such an offer. Additionally, we are subject to the Maryland Control Share Act pursuant to our Bylaws, which makes it more difficult for a third party to obtain control of us and increases the difficulty of consummating such a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could give our stockholders a premium over the value of their shares or otherwise be in their best interest.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NAV per share of our common stock may be diluted if we sell shares of our common stock in one or more offerings at prices below the then current NAV per share of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to sell shares of our common stock below our then current NAV per share, such sales would result in an immediate dilution to the NAV per share of our common stock. This dilution would occur as a result of the sale of shares at a price below the then current NAV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if our current stockholders do not purchase any shares to maintain their percentage interest, regardless of whether such offering is above or below the then current NAV per share, their voting power will be diluted. For example, if we sell an additional 10% of our common shares at a 10% discount from NAV, a stockholder who does not participate in that offering for its proportionate interest will suffer net asset value dilution of up to 1.0% or $10 per $1,000 of NAV.</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indenture governing our debt securities contains limited protection for holders of our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governing our debt securities, including the Notes, offers limited protection to holders of our debt securities. The terms of the indenture do not restrict our or any of our subsidiaries’ ability to engage in, or otherwise be a party to, a variety of corporate transactions, circumstances or events that could have an adverse impact on your investment in our debt securities. In particular, the terms of the indenture do not place any restrictions on our or our subsidiaries’ ability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securities or otherwise incur additional indebtedness or other obligations, including (1) any indebtedness or other obligations that would be equal in right of payment to our debt securities, (2) any indebtedness or other obligations that would be secured and therefore rank effectively senior in right of payment to our debt securities to the extent of the values of the assets securing such debt, (3) indebtedness of ours that is guaranteed by one or more of our subsidiaries and which therefore would rank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18(a)(1)(A) of the 1940 Act or any successor provisions;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distributions or dividends on, or purchase or redeem or make any payments in respect of, capital stock or other securities ranking junior in right of payment to our debt securities, other than a distribution, dividend or purchase that would cause a violation of Section 18(a)(1)(B) of the 1940 Act or any successor provisions;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assets (other than certain limited restrictions on our ability to consolidate, merge or sell all or substantially all of our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transactions with affiliates;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liens (including liens on the shares of our subsidiaries) or enter into sale and leaseback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investments;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restrictions on the payment of dividends or other amounts to us from our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recapitalize, incur additional debt and take a number of other actions that are not limited by the terms of our debt securities may have important consequences for you as a holder of our debt securities, including making it more difficult for us to satisfy our obligations with respect to our debt securities or negatively affecting the trading value of our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 we issue or incur in the future could contain more protections for its holders than the indenture and our debt securities, including additional covenants and events of default. The issuance or incurrence of any such debt with incremental protections could affect the market for and trading levels and prices of our debt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optional redemption provision may materially adversely affect the return on our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debt securities may be redeemable in whole or in part at any time or from time to time at our sole option as set forth in the applicable indenture or otherwise. We may choose to redeem any of our debt securities, including the Notes, at times when prevailing interest rates are lower than the interest rate paid on the applicable debt securities. In this circumstance, holders may not be able to reinvest the redemption proceeds in a comparable security at an effective interest rate as high as that of the debt securities being redeemed.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default on our obligations to pay our other indebtedness, we may not be able to make payments on our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default under any agreements governing the Notes, our future indebtedness or under other indebtedness to which we may be a party that is not waived by the required lenders or holders,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any future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of the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or holders of any debt that we may incur in the future to avoid being in default. If we breach our covenants under our debt and seek a waiver, we may not be able to obtain a waiver from the required lenders or holders of the debt. If this occurs, we would be in default and our lenders or debt holders could exercise their rights as described above, and we could be forced into bankruptcy or liquidation. If we are unable to repay debt, lenders having secured obligations could proceed against the collateral securing the debt. Because any future debt will likely have customary cross-default provisions, if the indebtedness thereunder or under any future credit facility is accelerated, we may be unable to repay or finance the amounts due.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Risks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operating in a period of capital markets volatility and economic uncertainty. The conditions have materially and adversely affected debt and equity capital markets in the United States, and any future volatility or instability in capital markets may have a negative impact on our business and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capital markets may experience periods of volatility and instability for a variety of reasons. Capital markets volatility and instability have occurred in the past and may occur in the future. For example, from 2008 to 2009, the global capital markets were unstable as evidenced by the lack of liquidity in the debt capital markets, significant write-offs in the financial services sector, the re-pricing of credit risk in the broadly syndicated credit market and the failure of major financial institutions. Despite actions of the U.S. federal government and various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There have been more recent periods of volatility and there can be no assurance that adverse market conditions will not repeat themselves in the future. Furthermore, uncertainty between the United States and other countries with respect to trade policies, treaties and tariffs, among other factors, have caused volatility in the global markets, and we cannot assure you that these market conditions will not continue or worsen in the future. Terrorist acts, acts of war, natural disasters, or disease outbreaks, pandemics or other public health crises may cause periods of market instability and volatility and may our operations for extended periods of time. If similar adverse and volatile market conditions repeat in the future, we and other companies in the financial services sector may have to access, if available, alternative markets for debt and equity capital in order to grow. Equity capital may be particularly difficult to raise during periods of adverse or volatile market conditions because, subject to some limited exceptions, as a registered closed end fund, we are generally not able to issue additional shares of our common stock at a price less than the net asset value per share without first obtaining approval for such issuance from our stockholders and our Board of Directors, including all of our directors who are not “interested persons” of the Company, as defined in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the re-appearance of market conditions similar to those experienced from 2008 through 2009 for any substantial length of time or worsened market conditions,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Government shutdowns or austerity measures that certain countries may agree to as part of any debt crisis or disruptions to major financial trading markets may also adversely affect world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economic conditions or our business. The debt capital that will be available to us in the future, if any, may be at a higher cost and on less favorable terms and conditions than would currently be available. If we are unable to raise or refinance debt, stockholders may not benefit from the potential for increased returns on equity resulting from leverage and we may be limited in our ability to make new commitments or to fund existing commitments to our portfolio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economic, regulatory and market conditions may adversely affect our business, results of operations and financial condition, including our revenue growth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our activities will be affected by general economic and market conditions, such as interest rates, availability of credit, credit defaults, inflation rates, economic uncertainty, changes in laws (including laws relating to taxation of our investments), trade barriers, currency exchange controls, disease outbreaks, pandemics, and national and international political, environmental and socioeconomic circumstances (including wars, terrorist acts or security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conflict between Russia and Ukraine and in the Middle East and resulting market volatility, could also adversely affect our business, operating results, and financial condition. The extent and duration or escalation of such conflicts, resulting sanctions and resulting future market disruptions are impossible to predict, but could be significant.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strategy and the availability of opportunities satisfying our risk-adjusted return parameters relies in part on observable trends and conditions in the financial markets and in some cases the improvement of such conditions. Trends and historical events do not imply, forecast or predict future events and, in any event, past performance is not necessarily indicative of future results. There can be no assurance that the assumptions made or the beliefs and expectations currently held by Oxford Lane Management will prove correct and actual events and circumstances may vary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economic conditions also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 An issuer’s failure to satisfy financial or operating covenants imposed by us or other lenders could lead to defaults and, potentially, acceleration of the time when the loans are due and foreclosure on our secured assets, which could trigger cross-defaults under other agreements and jeopardize the issuer’s ability to meet our obligations under the debt that we hold. We may incur additional expenses to the extent necessary to seek recovery upon default or to negotiate new terms with a defaulting issuer. In addition, if one of the issuers were to go bankrupt, depending on the facts and circumstances, including the extent to which we will actually provide significant managerial assistance to that issuer, a bankruptcy court might subordinate all or a portion of our claim to that of other creditors.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prices of financial instruments in which we may invest can be highly volatile. General fluctuations in the market prices of securities may affect the value of the investments held by us. Instability in the securities markets may also increase the risks inherent in our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Terrorist attacks, acts of war, global health emergencies or natural disasters may affect any market for our securities, impact the businesses in which we invest and harm our business, operating results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Terrorist acts, acts of war, global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global health emergencies or natural disasters could further weaken the domestic/global economies and create additional uncertainties, which may negatively impact the businesses in which we invest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directly or indirectly and, in turn, could have a material adverse impact on our business, operating results and financial condition. Losses from terrorist attacks, global health emergencies and natural disasters are generally uninsurable.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laws or regulations governing our operations may adversely affect our business or cause us to alter our business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 CLO vehicles in which we intend to invest, and the portfolio companies whose securities are held by such CLO vehicles will be subject to applicable local, state and federal laws and regulations, including, without limitation, federal immigration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Adviser’s senior investment team to other types of investments in which the investment team may have less expertise or little or no experience. Thus, any such changes, if they occur, could have a material adverse effect on our results of operations and the value of your investment.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Cybersecurity threats, as well as other disasters, could impair our ability to conduct business effectively.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 disaster such as a cyber-attack against us or against a third-party that has access to our data or networks, a natural catastrophe, an industrial accident, a terrorist attack or war, disease pandemics,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heavily upon computer systems to perform necessary business functions. Despite our implementation of a variety of security measures, our computers,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sudden electrical or telecommunications outages;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natural disasters such as earthquakes, tornadoes and hurricanes;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events arising from local or larger scale political or social matters, including terrorist acts;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 attacks.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events, in turn, could have a material adverse effect on our operating results and negatively affect the market price of our common stock and our ability to pay distributions to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associated with artificial intelligence and machine learning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Artificial intelligence, including machine learning and similar tools and technologies that collect, aggregate, analyze or generate data or other materials, or collectively, AI, and its current and potential future applications including in the private investment and financial industries, as well as the legal and regulatory frameworks within which AI operates, continue to rapidly evolve.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technological advances in AI pose risks to the Fund, the Adviser, and our portfolio investments. The Fund could also be exposed to the risks of AI if third-party service providers or any counterparties, whether or not known to the Fund, also use AI in their business activities. The Fund may not be in a position to control the use of AI technology in third-party products or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AI could include the input of confidential information in contravention of applicable policies, contractual or other obligations or restrictions, resulting in such confidential information becoming part accessible by other third-party AI applications and users. While the Adviser does not currently use AI to make investment recommendations, the use of AI could also exacerbate or create new and unpredictable risks to our business and the Adviser’s business, including by potentially significantly disrupting the markets in which we operate or subjecting us and the Adviser to increased competition and regulation, which could materially and adversely affect business, financial condition or results of operations of us and the Adviser. In addition, the use of AI by bad actors could heighten the sophistication and effectiveness of cyber and security attacks experienced by the Adviser.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of its context of use, AI technology is generally highly reliant on the collection and analysis of large amounts of data, and it is not possible or practicable to incorporate all relevant data into the model that AI technology utilizes to operate. Certain data in such models will inevitably contain a degree of inaccuracy and error — potentially materially so — and could otherwise be inadequate or flawed, which would be likely to degrade the effectiveness of AI technology. To the extent that we are exposed to the risks of AI use, any such inaccuracies or errors could have adverse impacts on the Fund or our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 technology and its applications, including in the private investment and financial sectors, continue to develop rapidly, and it is impossible to predict the future risks that may arise from such developments.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to United States tariff and import/export regulations may have a negative effect on our portfolio companies and, in turn, harm our operating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significant uncertainty about the future relationship between the United States and other countries with respect to the trade policies, treaties and tariffs. These developments may have a material impact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the Adviser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and our Adviser’s cash is held in accounts at U.S. banking institutions that we believe are of high quality. Cash held by us and our Adviser in non-interest-bearing and interest-bearing operating accounts may exceed the Federal Deposit Insurance Corporation (“FDIC”) insurance limits. If such banking institutions were to fail, we or our Adviser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Adviser’s business, financial condition, results of operations, or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and our Adviser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or our Adviser, the financial institutions with which we or our Adviser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Adviser have financial or business relationships, but could also include factors involving financial markets or the financial services industry generally.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616"/>
      <w:bookmarkEnd w:id="20"/>
      <w:r>
        <w:rPr>
          <w:rFonts w:ascii="Times New Roman PS Std;serif" w:hAnsi="Times New Roman PS Std;serif"/>
          <w:b/>
          <w:i w:val="false"/>
          <w:caps w:val="false"/>
          <w:smallCaps w:val="false"/>
          <w:sz w:val="20"/>
        </w:rPr>
        <w:t>INVESTMENT OBJECTIVE, OPPORTUNITIES AND STRATEGIES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Objective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risk-adjusted total return. 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“Principal Risks — Risks Related to Our Investments” beginning on page 73 to read about factors you should consider before investing in our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 Structural Elements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is for illustrative purposes only. The CLO structure highlighted below is illustrative only and depicts structures among CLO vehicles in which we may invest may vary substantially from the illustrative example set forth below.</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4019550" cy="197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19550" cy="197485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typically invest in the equity tranches, which are not rated, and to a lesser extent the “B” and “BB” tranches of CLO vehicles.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Syndicated Senior Loan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while the syndicated leveraged corporate loan market is relatively large, with Morningstar LSTA Leveraged Loan Index estimating the total par value outstanding at approximately $1.51 trillion as of September 30, 2025,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Loan market is characterized by various factors,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Floating rate instruments.    </w:t>
      </w:r>
      <w:r>
        <w:rPr>
          <w:rFonts w:ascii="Times New Roman PS Std;serif" w:hAnsi="Times New Roman PS Std;serif"/>
          <w:b w:val="false"/>
          <w:i w:val="false"/>
          <w:caps w:val="false"/>
          <w:smallCaps w:val="false"/>
          <w:sz w:val="2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Frequency of interest payments.    </w:t>
      </w:r>
      <w:r>
        <w:rPr>
          <w:rFonts w:ascii="Times New Roman PS Std;serif" w:hAnsi="Times New Roman PS Std;serif"/>
          <w:b w:val="false"/>
          <w:i w:val="false"/>
          <w:caps w:val="false"/>
          <w:smallCaps w:val="false"/>
          <w:sz w:val="2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Selection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Deal Sourcing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Screening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screening potential investments in CLO vehicles, Oxford Lane Management’s investment team utilizes a similar income-oriented investment philosophy they employ in their work managing other CLO investments at Oxford Square Capital Corp. and Oxford Park Income Fund, Inc.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Identification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identify opportunities in the CLO market through our network of brokers, dealers, agent banks, collateral mangers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generally includes a review of current financial information and projections, review of collateral quality, concentration limitation and coverage test ratios, and a review of the prospective investment’s capital structure and the terms and conditions.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Diligence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conducts due diligence on prospective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due diligence process generally includes some or all of the following elements: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indenture structures;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underlying collateral loans;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projected future cash flows;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compliance with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Ongoing Relationships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Monitoring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monitors our investments on an ongoing basis. Oxford Lane Management has several methods of monitoring the performance and value of our investments, which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pricing data and indicative bids for recent transactions in our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comparisons to other Senior Loans and CLO vehicles;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available financial reports for our investments.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617"/>
      <w:bookmarkEnd w:id="21"/>
      <w:r>
        <w:rPr>
          <w:rFonts w:ascii="Times New Roman PS Std;serif" w:hAnsi="Times New Roman PS Std;serif"/>
          <w:b/>
          <w:i w:val="false"/>
          <w:caps w:val="false"/>
          <w:smallCaps w:val="false"/>
          <w:sz w:val="20"/>
        </w:rPr>
        <w:t>ADDITIONAL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Fund files its complete schedule of portfolio holdings for the first quarter and the third quarter of each fiscal year on SEC Form N-PORT. The Fund’s N-PORT filings are available on the SEC’s website at </w:t>
      </w:r>
      <w:r>
        <w:rPr>
          <w:rFonts w:ascii="Times New Roman PS Std;serif" w:hAnsi="Times New Roman PS Std;serif"/>
          <w:b w:val="false"/>
          <w:i/>
          <w:caps w:val="false"/>
          <w:smallCaps w:val="false"/>
          <w:sz w:val="20"/>
        </w:rPr>
        <w:t>http://www.sec.gov.</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description of the policies and procedures that Oxford Lane Management uses to determine how to vote proxies relating to the Fund’s portfolio securities is available (i) without charge, upon request, by calling (203) 983-5275; (ii) on the Fund’s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Information about how Oxford Lane Management voted proxies with respect to the Fund’s portfolio securities during the most recent 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purposes, distributions to stockholders during the six months ended September 30, 2025 were approximately $258.3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Privacy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safeguard, according to strict standards of security and confidentiality, all information we receive about you. With regard to this information, we maintain procedural safeguards that comply with federal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limit the collection and use of information about you. When you purchase shares of our common stock, our transfer agent collects personal information about you, such as your name, address, social security number or tax identification number.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is used only so that we can send you annual and semi-annual reports, proxy statements and other information required by law, and to send you information we believe may be of interest to you.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share such information with any non-affiliated third party except as described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our policy that only authorized employees of our investment adviser, Oxford Lane Management LLC, who need to know your personal information will have access to 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required by law, we may disclose stockholder-related information in accordance with a court order or at the request of government regulators. Only that information required by law, subpoena, or court order will be disclosed.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privacy policy is available on our website at </w:t>
      </w:r>
      <w:r>
        <w:rPr>
          <w:rFonts w:ascii="Times New Roman PS Std;serif" w:hAnsi="Times New Roman PS Std;serif"/>
          <w:b w:val="false"/>
          <w:i/>
          <w:caps w:val="false"/>
          <w:smallCaps w:val="false"/>
          <w:sz w:val="20"/>
        </w:rPr>
        <w:t>https://www.oxfordfunds.com/privacy-policy/</w:t>
      </w:r>
      <w:r>
        <w:rPr>
          <w:rFonts w:ascii="Times New Roman PS Std;serif" w:hAnsi="Times New Roman PS Std;serif"/>
          <w:b w:val="false"/>
          <w:i w:val="false"/>
          <w:caps w:val="false"/>
          <w:smallCaps w:val="false"/>
          <w:sz w:val="20"/>
        </w:rPr>
        <w:t>. If you have any questions or concerns about the policy, please contact by calling (203) 983-5275.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BOARD OF DIRECTORS</w:t>
        <w:br/>
        <w:t>Independent Directors</w:t>
        <w:br/>
      </w:r>
      <w:r>
        <w:rPr>
          <w:rFonts w:ascii="Times New Roman PS Std;serif" w:hAnsi="Times New Roman PS Std;serif"/>
          <w:b/>
          <w:i w:val="false"/>
          <w:caps w:val="false"/>
          <w:smallCaps w:val="false"/>
          <w:sz w:val="20"/>
        </w:rPr>
        <w:t>Mark J. Ashenfelter, Chairman of the Board of Directors</w:t>
        <w:br/>
        <w:t>John Reardon</w:t>
        <w:br/>
        <w:t>David S. Shin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Interested Directors(1)</w:t>
        <w:br/>
      </w:r>
      <w:r>
        <w:rPr>
          <w:rFonts w:ascii="Times New Roman PS Std;serif" w:hAnsi="Times New Roman PS Std;serif"/>
          <w:b/>
          <w:i w:val="false"/>
          <w:caps w:val="false"/>
          <w:smallCaps w:val="false"/>
          <w:sz w:val="20"/>
        </w:rPr>
        <w:t>Jonathan H. Cohen</w:t>
        <w:br/>
        <w:t>Saul B. Rosenthal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OFFICERS</w:t>
        <w:br/>
      </w:r>
      <w:r>
        <w:rPr>
          <w:rFonts w:ascii="Times New Roman PS Std;serif" w:hAnsi="Times New Roman PS Std;serif"/>
          <w:b/>
          <w:i w:val="false"/>
          <w:caps w:val="false"/>
          <w:smallCaps w:val="false"/>
          <w:sz w:val="20"/>
        </w:rPr>
        <w:t>Jonathan H. Cohen, Chief Executive Officer</w:t>
        <w:br/>
        <w:t>Saul B. Rosenthal, President</w:t>
        <w:br/>
        <w:t>Bruce L. Rubin, Chief Financial Officer, Corporate Secretary and Treasurer</w:t>
        <w:br/>
        <w:t>Gerald Cummins, Chief Compliance Officer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INVESTMENT ADVISER</w:t>
        <w:br/>
      </w:r>
      <w:r>
        <w:rPr>
          <w:rFonts w:ascii="Times New Roman PS Std;serif" w:hAnsi="Times New Roman PS Std;serif"/>
          <w:b/>
          <w:i w:val="false"/>
          <w:caps w:val="false"/>
          <w:smallCaps w:val="false"/>
          <w:sz w:val="20"/>
        </w:rPr>
        <w:t>Oxford Lane Management, LLC</w:t>
        <w:br/>
        <w:t>8 Sound Shore Drive, Suite 255</w:t>
        <w:br/>
        <w:t>Greenwich, CT 06830</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Interested directors are “interested persons,” as defined in section 2(a)(19) of the Investment Company Act of 1940,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 Sound Shore Drive, Suite 255 | Greenwich, CT 06830 | </w:t>
      </w:r>
      <w:r>
        <w:rPr>
          <w:rFonts w:ascii="Times New Roman PS Std;serif" w:hAnsi="Times New Roman PS Std;serif"/>
          <w:b w:val="false"/>
          <w:i/>
          <w:caps w:val="false"/>
          <w:smallCaps w:val="false"/>
          <w:sz w:val="20"/>
        </w:rPr>
        <w:t>oxfordlanecapital.com</w:t>
      </w:r>
      <w:r>
        <w:rPr>
          <w:rFonts w:ascii="Times New Roman PS Std;serif" w:hAnsi="Times New Roman PS Std;serif"/>
          <w:b w:val="false"/>
          <w:i w:val="false"/>
          <w:caps w:val="false"/>
          <w:smallCaps w:val="false"/>
          <w:sz w:val="20"/>
        </w:rPr>
        <w:t xml:space="preserve"> | (203) 983-5275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 Code of Ethics.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 Audit Committee Financial Expert.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4. Principal Accountant Fees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5. Audit Committee of Listed Registrant.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schedule of investments contained in the Report to Stockholders included under Item 1 of this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Financial Statements and Financial Highlights for Open-End Management Investment Companies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applicable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applicable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Changes in and Disagreements with Accountants for Open-End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Proxy Disclosures for Open-End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10. Remuneration Paid to Directors, Officer, and Others of Open-End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11. Statement Regarding Basis for Approval of Investment Advisory Contract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statement regarding basis for approval of the Investment Advisory Agreement is included in the Registrant’s Report to Stockholders under Item 1 herein.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12. Disclosure of Proxy Voting Policies and Procedures for Closed-End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required by this item is not required in a semi-annual report on Form N-CSR.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Portfolio Managers of Closed-End Investment Companies.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information required by this item is not required in a semi-annual report on Form N-CSR.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has been no change, as of the date of the filing of this semi-annual report on Form N-CSR, to any of the portfolio managers identified in response to paragraph (a)(1) of this item in the Registrant’s most recent annual report on Form N-CSR.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Purchases of Equity Securities by Closed-End Management Investment Company and Affiliated Purchasers.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summarizes repurchases of our common stock for the six months ended September 30, 2025:</w:t>
      </w:r>
    </w:p>
    <w:tbl>
      <w:tblPr>
        <w:tblW w:w="10205" w:type="dxa"/>
        <w:jc w:val="left"/>
        <w:tblInd w:w="0" w:type="dxa"/>
        <w:tblLayout w:type="fixed"/>
        <w:tblCellMar>
          <w:top w:w="0" w:type="dxa"/>
          <w:left w:w="0" w:type="dxa"/>
          <w:bottom w:w="0" w:type="dxa"/>
          <w:right w:w="0" w:type="dxa"/>
        </w:tblCellMar>
      </w:tblPr>
      <w:tblGrid>
        <w:gridCol w:w="3172"/>
        <w:gridCol w:w="146"/>
        <w:gridCol w:w="1443"/>
        <w:gridCol w:w="146"/>
        <w:gridCol w:w="395"/>
        <w:gridCol w:w="1134"/>
        <w:gridCol w:w="146"/>
        <w:gridCol w:w="1553"/>
        <w:gridCol w:w="146"/>
        <w:gridCol w:w="275"/>
        <w:gridCol w:w="1649"/>
      </w:tblGrid>
      <w:tr>
        <w:trPr/>
        <w:tc>
          <w:tcPr>
            <w:tcW w:w="31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Period(1)</w:t>
            </w:r>
          </w:p>
        </w:tc>
        <w:tc>
          <w:tcPr>
            <w:tcW w:w="146" w:type="dxa"/>
            <w:tcBorders/>
            <w:vAlign w:val="bottom"/>
          </w:tcPr>
          <w:p>
            <w:pPr>
              <w:pStyle w:val="TableContents"/>
              <w:bidi w:val="0"/>
              <w:spacing w:before="0" w:after="283"/>
              <w:jc w:val="left"/>
              <w:rPr/>
            </w:pPr>
            <w:r>
              <w:rPr/>
              <w:t> </w:t>
            </w:r>
          </w:p>
        </w:tc>
        <w:tc>
          <w:tcPr>
            <w:tcW w:w="14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number </w:t>
              <w:br/>
              <w:t xml:space="preserve">of shares </w:t>
              <w:br/>
              <w:t>purchased(1)</w:t>
            </w:r>
          </w:p>
        </w:tc>
        <w:tc>
          <w:tcPr>
            <w:tcW w:w="146" w:type="dxa"/>
            <w:tcBorders/>
            <w:vAlign w:val="bottom"/>
          </w:tcPr>
          <w:p>
            <w:pPr>
              <w:pStyle w:val="TableContents"/>
              <w:bidi w:val="0"/>
              <w:spacing w:before="0" w:after="283"/>
              <w:jc w:val="left"/>
              <w:rPr/>
            </w:pPr>
            <w:r>
              <w:rPr/>
              <w:t> </w:t>
            </w:r>
          </w:p>
        </w:tc>
        <w:tc>
          <w:tcPr>
            <w:tcW w:w="15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price </w:t>
              <w:br/>
              <w:t>paid per share(1)</w:t>
            </w:r>
          </w:p>
        </w:tc>
        <w:tc>
          <w:tcPr>
            <w:tcW w:w="146" w:type="dxa"/>
            <w:tcBorders/>
            <w:vAlign w:val="bottom"/>
          </w:tcPr>
          <w:p>
            <w:pPr>
              <w:pStyle w:val="TableContents"/>
              <w:bidi w:val="0"/>
              <w:spacing w:before="0" w:after="283"/>
              <w:jc w:val="left"/>
              <w:rPr/>
            </w:pPr>
            <w:r>
              <w:rPr/>
              <w:t> </w:t>
            </w:r>
          </w:p>
        </w:tc>
        <w:tc>
          <w:tcPr>
            <w:tcW w:w="15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number </w:t>
              <w:br/>
              <w:t xml:space="preserve">of shares </w:t>
              <w:br/>
              <w:t xml:space="preserve">purchased as </w:t>
              <w:br/>
              <w:t xml:space="preserve">part of publicly </w:t>
              <w:br/>
              <w:t xml:space="preserve">announced </w:t>
              <w:br/>
              <w:t xml:space="preserve">plans or </w:t>
              <w:br/>
              <w:t>programs(1)</w:t>
            </w:r>
          </w:p>
        </w:tc>
        <w:tc>
          <w:tcPr>
            <w:tcW w:w="146" w:type="dxa"/>
            <w:tcBorders/>
            <w:vAlign w:val="bottom"/>
          </w:tcPr>
          <w:p>
            <w:pPr>
              <w:pStyle w:val="TableContents"/>
              <w:bidi w:val="0"/>
              <w:spacing w:before="0" w:after="283"/>
              <w:jc w:val="left"/>
              <w:rPr/>
            </w:pPr>
            <w:r>
              <w:rPr/>
              <w:t> </w:t>
            </w:r>
          </w:p>
        </w:tc>
        <w:tc>
          <w:tcPr>
            <w:tcW w:w="192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Approximate </w:t>
              <w:br/>
              <w:t xml:space="preserve">dollar value of </w:t>
              <w:br/>
              <w:t xml:space="preserve">shares that may </w:t>
              <w:br/>
              <w:t xml:space="preserve">yet be purchased </w:t>
              <w:br/>
              <w:t xml:space="preserve">under the plans or </w:t>
              <w:br/>
              <w:t>programs</w:t>
            </w:r>
          </w:p>
        </w:tc>
      </w:tr>
      <w:tr>
        <w:trPr/>
        <w:tc>
          <w:tcPr>
            <w:tcW w:w="3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 through April 30, 2025</w:t>
            </w:r>
          </w:p>
        </w:tc>
        <w:tc>
          <w:tcPr>
            <w:tcW w:w="146"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 through May 31, 2025</w:t>
            </w:r>
          </w:p>
        </w:tc>
        <w:tc>
          <w:tcPr>
            <w:tcW w:w="146" w:type="dxa"/>
            <w:tcBorders/>
            <w:vAlign w:val="bottom"/>
          </w:tcPr>
          <w:p>
            <w:pPr>
              <w:pStyle w:val="TableContents"/>
              <w:bidi w:val="0"/>
              <w:spacing w:before="0" w:after="283"/>
              <w:jc w:val="left"/>
              <w:rPr/>
            </w:pPr>
            <w:r>
              <w:rPr/>
              <w:t> </w:t>
            </w:r>
          </w:p>
        </w:tc>
        <w:tc>
          <w:tcPr>
            <w:tcW w:w="14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 through June 30, 2025</w:t>
            </w:r>
          </w:p>
        </w:tc>
        <w:tc>
          <w:tcPr>
            <w:tcW w:w="146"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 through July 31, 2025</w:t>
            </w:r>
          </w:p>
        </w:tc>
        <w:tc>
          <w:tcPr>
            <w:tcW w:w="146" w:type="dxa"/>
            <w:tcBorders/>
            <w:vAlign w:val="bottom"/>
          </w:tcPr>
          <w:p>
            <w:pPr>
              <w:pStyle w:val="TableContents"/>
              <w:bidi w:val="0"/>
              <w:spacing w:before="0" w:after="283"/>
              <w:jc w:val="left"/>
              <w:rPr/>
            </w:pPr>
            <w:r>
              <w:rPr/>
              <w:t> </w:t>
            </w:r>
          </w:p>
        </w:tc>
        <w:tc>
          <w:tcPr>
            <w:tcW w:w="14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563,188</w:t>
            </w:r>
          </w:p>
        </w:tc>
        <w:tc>
          <w:tcPr>
            <w:tcW w:w="14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17.70</w:t>
            </w:r>
          </w:p>
        </w:tc>
        <w:tc>
          <w:tcPr>
            <w:tcW w:w="146" w:type="dxa"/>
            <w:tcBorders/>
            <w:vAlign w:val="bottom"/>
          </w:tcPr>
          <w:p>
            <w:pPr>
              <w:pStyle w:val="TableContents"/>
              <w:bidi w:val="0"/>
              <w:spacing w:before="0" w:after="283"/>
              <w:jc w:val="left"/>
              <w:rPr/>
            </w:pPr>
            <w:r>
              <w:rPr/>
              <w:t> </w:t>
            </w:r>
          </w:p>
        </w:tc>
        <w:tc>
          <w:tcPr>
            <w:tcW w:w="15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563,188</w:t>
            </w:r>
          </w:p>
        </w:tc>
        <w:tc>
          <w:tcPr>
            <w:tcW w:w="146"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140,002,919</w:t>
            </w:r>
          </w:p>
        </w:tc>
      </w:tr>
      <w:tr>
        <w:trPr/>
        <w:tc>
          <w:tcPr>
            <w:tcW w:w="3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through August 31, 2025</w:t>
            </w:r>
          </w:p>
        </w:tc>
        <w:tc>
          <w:tcPr>
            <w:tcW w:w="146"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600,855</w:t>
            </w:r>
          </w:p>
        </w:tc>
        <w:tc>
          <w:tcPr>
            <w:tcW w:w="14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w:t>
            </w:r>
          </w:p>
        </w:tc>
        <w:tc>
          <w:tcPr>
            <w:tcW w:w="146"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1,164,043</w:t>
            </w:r>
          </w:p>
        </w:tc>
        <w:tc>
          <w:tcPr>
            <w:tcW w:w="14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129,545,764</w:t>
            </w:r>
          </w:p>
        </w:tc>
      </w:tr>
      <w:tr>
        <w:trPr/>
        <w:tc>
          <w:tcPr>
            <w:tcW w:w="3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 through September 30, 2025</w:t>
            </w:r>
          </w:p>
        </w:tc>
        <w:tc>
          <w:tcPr>
            <w:tcW w:w="146" w:type="dxa"/>
            <w:tcBorders/>
            <w:vAlign w:val="bottom"/>
          </w:tcPr>
          <w:p>
            <w:pPr>
              <w:pStyle w:val="TableContents"/>
              <w:bidi w:val="0"/>
              <w:spacing w:before="0" w:after="283"/>
              <w:jc w:val="left"/>
              <w:rPr/>
            </w:pPr>
            <w:r>
              <w:rPr/>
              <w:t> </w:t>
            </w:r>
          </w:p>
        </w:tc>
        <w:tc>
          <w:tcPr>
            <w:tcW w:w="14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1,164,043</w:t>
            </w:r>
          </w:p>
        </w:tc>
        <w:tc>
          <w:tcPr>
            <w:tcW w:w="146"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4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129,545,764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 share and per share amounts have been updated retroactively to reflect the Reverse Stock Split. Please refer to “Note 2. Organization — Reverse Stock Split.”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Submission of Matters to a Vote of Security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material changes to the procedures by which stockholders may recommend nominees to the registrant’s board of directors.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Controls and Procedures.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Based on an evaluation of the Disclosure Controls and Procedures (as defined in Rule 30a-3(c)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Disclosure of Securities Lending Activities for Closed-End Management Investment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18. Exhibits.</w:t>
      </w:r>
    </w:p>
    <w:p>
      <w:pPr>
        <w:pStyle w:val="TextBody"/>
        <w:keepNext w:val="false"/>
        <w:pageBreakBefore w:val="false"/>
        <w:widowControl/>
        <w:pBdr/>
        <w:bidi w:val="0"/>
        <w:spacing w:before="160" w:after="283"/>
        <w:ind w:left="108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  Not applicable.</w:t>
      </w:r>
    </w:p>
    <w:p>
      <w:pPr>
        <w:pStyle w:val="TextBody"/>
        <w:keepNext w:val="false"/>
        <w:pageBreakBefore w:val="false"/>
        <w:widowControl/>
        <w:pBdr/>
        <w:bidi w:val="0"/>
        <w:spacing w:before="160" w:after="283"/>
        <w:ind w:left="1080" w:right="0" w:hanging="600"/>
        <w:jc w:val="left"/>
        <w:rPr/>
      </w:pPr>
      <w:r>
        <w:rPr>
          <w:rFonts w:ascii="Times New Roman PS Std;serif" w:hAnsi="Times New Roman PS Std;serif"/>
          <w:b w:val="false"/>
          <w:i w:val="false"/>
          <w:caps w:val="false"/>
          <w:smallCaps w:val="false"/>
          <w:sz w:val="20"/>
        </w:rPr>
        <w:t>(a)(2)  </w:t>
      </w:r>
      <w:hyperlink w:anchor="ea026173901ex99-cert.htm">
        <w:r>
          <w:rPr>
            <w:rStyle w:val="InternetLink"/>
            <w:rFonts w:ascii="Times New Roman PS Std;serif" w:hAnsi="Times New Roman PS Std;serif"/>
            <w:b w:val="false"/>
            <w:i w:val="false"/>
            <w:caps w:val="false"/>
            <w:smallCaps w:val="false"/>
            <w:sz w:val="20"/>
          </w:rPr>
          <w:t>Certifications of principal executive officer and principal financial officer as required by Rule 30a-2(a) under the Investment Company Act of 1940.</w:t>
        </w:r>
      </w:hyperlink>
    </w:p>
    <w:p>
      <w:pPr>
        <w:pStyle w:val="TextBody"/>
        <w:keepNext w:val="false"/>
        <w:pageBreakBefore w:val="false"/>
        <w:widowControl/>
        <w:pBdr/>
        <w:bidi w:val="0"/>
        <w:spacing w:before="160" w:after="283"/>
        <w:ind w:left="108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  Not applicable.</w:t>
      </w:r>
    </w:p>
    <w:p>
      <w:pPr>
        <w:pStyle w:val="TextBody"/>
        <w:keepNext w:val="false"/>
        <w:pageBreakBefore w:val="false"/>
        <w:widowControl/>
        <w:pBdr/>
        <w:bidi w:val="0"/>
        <w:spacing w:before="160" w:after="283"/>
        <w:ind w:left="108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  Not applicable.</w:t>
      </w:r>
    </w:p>
    <w:p>
      <w:pPr>
        <w:pStyle w:val="TextBody"/>
        <w:keepNext w:val="false"/>
        <w:pageBreakBefore w:val="false"/>
        <w:widowControl/>
        <w:pBdr/>
        <w:bidi w:val="0"/>
        <w:spacing w:before="160" w:after="283"/>
        <w:ind w:left="1080" w:right="0" w:hanging="600"/>
        <w:jc w:val="left"/>
        <w:rPr/>
      </w:pPr>
      <w:r>
        <w:rPr>
          <w:rFonts w:ascii="Times New Roman PS Std;serif" w:hAnsi="Times New Roman PS Std;serif"/>
          <w:b w:val="false"/>
          <w:i w:val="false"/>
          <w:caps w:val="false"/>
          <w:smallCaps w:val="false"/>
          <w:sz w:val="20"/>
        </w:rPr>
        <w:t>(b)       </w:t>
      </w:r>
      <w:hyperlink w:anchor="ea026173901ex99-906cert.htm">
        <w:r>
          <w:rPr>
            <w:rStyle w:val="InternetLink"/>
            <w:rFonts w:ascii="Times New Roman PS Std;serif" w:hAnsi="Times New Roman PS Std;serif"/>
            <w:b w:val="false"/>
            <w:i w:val="false"/>
            <w:caps w:val="false"/>
            <w:smallCaps w:val="false"/>
            <w:sz w:val="20"/>
          </w:rPr>
          <w:t>Certifications of chief executive officer and chief accounting officer as required by Rule 30a-2(b) under the Investment Company Act of 1940.</w:t>
        </w:r>
      </w:hyperlink>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and the Investment Company Act of 1940, the Registrant has duly caused this report to be signed on its behalf by the undersigned, thereunto duly authorized.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tbl>
      <w:tblPr>
        <w:tblW w:w="3800" w:type="dxa"/>
        <w:jc w:val="left"/>
        <w:tblInd w:w="0" w:type="dxa"/>
        <w:tblLayout w:type="fixed"/>
        <w:tblCellMar>
          <w:top w:w="0" w:type="dxa"/>
          <w:left w:w="0" w:type="dxa"/>
          <w:bottom w:w="0" w:type="dxa"/>
          <w:right w:w="0" w:type="dxa"/>
        </w:tblCellMar>
      </w:tblPr>
      <w:tblGrid>
        <w:gridCol w:w="161"/>
        <w:gridCol w:w="146"/>
        <w:gridCol w:w="421"/>
        <w:gridCol w:w="146"/>
        <w:gridCol w:w="29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9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Jonathan H. Cohen </w:t>
              <w:br/>
              <w:t xml:space="preserve">Chief Executive Officer </w:t>
              <w:br/>
              <w:t xml:space="preserve">(Principal Executive Officer) </w:t>
              <w:br/>
              <w:t>Date: November 4, 2025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and the Investment Company Act of 1940, this report has been signed below by the following persons on behalf of the Registrant and in the capacities and on the dates indicated.</w:t>
      </w:r>
    </w:p>
    <w:tbl>
      <w:tblPr>
        <w:tblW w:w="3800" w:type="dxa"/>
        <w:jc w:val="left"/>
        <w:tblInd w:w="0" w:type="dxa"/>
        <w:tblLayout w:type="fixed"/>
        <w:tblCellMar>
          <w:top w:w="0" w:type="dxa"/>
          <w:left w:w="0" w:type="dxa"/>
          <w:bottom w:w="0" w:type="dxa"/>
          <w:right w:w="0" w:type="dxa"/>
        </w:tblCellMar>
      </w:tblPr>
      <w:tblGrid>
        <w:gridCol w:w="161"/>
        <w:gridCol w:w="146"/>
        <w:gridCol w:w="421"/>
        <w:gridCol w:w="146"/>
        <w:gridCol w:w="29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9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Jonathan H. Cohen </w:t>
              <w:br/>
              <w:t xml:space="preserve">Chief Executive Officer </w:t>
              <w:br/>
              <w:t xml:space="preserve">(Principal Executive Officer) </w:t>
              <w:br/>
              <w:t>Date: November 4, 2025</w:t>
            </w:r>
          </w:p>
        </w:tc>
      </w:tr>
    </w:tbl>
    <w:tbl>
      <w:tblPr>
        <w:tblW w:w="3710" w:type="dxa"/>
        <w:jc w:val="left"/>
        <w:tblInd w:w="0" w:type="dxa"/>
        <w:tblLayout w:type="fixed"/>
        <w:tblCellMar>
          <w:top w:w="0" w:type="dxa"/>
          <w:left w:w="0" w:type="dxa"/>
          <w:bottom w:w="0" w:type="dxa"/>
          <w:right w:w="0" w:type="dxa"/>
        </w:tblCellMar>
      </w:tblPr>
      <w:tblGrid>
        <w:gridCol w:w="161"/>
        <w:gridCol w:w="146"/>
        <w:gridCol w:w="421"/>
        <w:gridCol w:w="146"/>
        <w:gridCol w:w="283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8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Bruce L. Rubin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Bruce L. Rubin </w:t>
              <w:br/>
              <w:t xml:space="preserve">Chief Financial Officer </w:t>
              <w:br/>
              <w:t xml:space="preserve">(Principal Financial Officer) </w:t>
              <w:br/>
              <w:t>Date: November 4, 2025</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2" w:name="ea026173901ex99-cert.htm"/>
      <w:bookmarkStart w:id="23" w:name="ksea026173901ex99cert"/>
      <w:bookmarkEnd w:id="22"/>
      <w:bookmarkEnd w:id="23"/>
      <w:r>
        <w:rPr>
          <w:rFonts w:ascii="Times New Roman PS Std;serif" w:hAnsi="Times New Roman PS Std;serif"/>
          <w:b/>
          <w:i w:val="false"/>
          <w:caps w:val="false"/>
          <w:smallCaps w:val="false"/>
          <w:sz w:val="20"/>
        </w:rPr>
        <w:t>Exhibit 99.CERT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13(a)(2)</w:t>
        <w:br/>
        <w:t>Rule 30a-2(a) Certification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Jonathan H. Cohen, Chief Executive Officer of Oxford Lane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report on Form N-CSR of Oxford Lane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4th day of November, 2025</w:t>
      </w:r>
    </w:p>
    <w:tbl>
      <w:tblPr>
        <w:tblW w:w="3173" w:type="dxa"/>
        <w:jc w:val="left"/>
        <w:tblInd w:w="0" w:type="dxa"/>
        <w:tblLayout w:type="fixed"/>
        <w:tblCellMar>
          <w:top w:w="0" w:type="dxa"/>
          <w:left w:w="0" w:type="dxa"/>
          <w:bottom w:w="0" w:type="dxa"/>
          <w:right w:w="0" w:type="dxa"/>
        </w:tblCellMar>
      </w:tblPr>
      <w:tblGrid>
        <w:gridCol w:w="161"/>
        <w:gridCol w:w="146"/>
        <w:gridCol w:w="286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8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caps/>
                <w:sz w:val="20"/>
              </w:rPr>
              <w:t>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Executive Officer </w:t>
              <w:br/>
              <w:t>(Principal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13(a)(2)</w:t>
        <w:br/>
        <w:t>Rule 30a-2(a) Certification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Bruce L. Rubin, Chief Financial Officer of Oxford Lane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report on Form N-CSR of Oxford Lane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4th day of November, 2025</w:t>
      </w:r>
    </w:p>
    <w:tbl>
      <w:tblPr>
        <w:tblW w:w="3083" w:type="dxa"/>
        <w:jc w:val="left"/>
        <w:tblInd w:w="0" w:type="dxa"/>
        <w:tblLayout w:type="fixed"/>
        <w:tblCellMar>
          <w:top w:w="0" w:type="dxa"/>
          <w:left w:w="0" w:type="dxa"/>
          <w:bottom w:w="0" w:type="dxa"/>
          <w:right w:w="0" w:type="dxa"/>
        </w:tblCellMar>
      </w:tblPr>
      <w:tblGrid>
        <w:gridCol w:w="161"/>
        <w:gridCol w:w="146"/>
        <w:gridCol w:w="277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77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caps/>
                <w:sz w:val="20"/>
              </w:rPr>
              <w:t>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w:t>
              <w:br/>
              <w:t>(Principal Financial Officer)</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bookmarkStart w:id="24" w:name="ea026173901ex99-906cert.htm"/>
      <w:bookmarkStart w:id="25" w:name="ksea026173901ex99906cert"/>
      <w:bookmarkEnd w:id="24"/>
      <w:bookmarkEnd w:id="25"/>
      <w:r>
        <w:rPr>
          <w:rFonts w:ascii="Times New Roman PS Std;serif" w:hAnsi="Times New Roman PS Std;serif"/>
          <w:b/>
          <w:i w:val="false"/>
          <w:caps w:val="false"/>
          <w:smallCaps w:val="false"/>
          <w:sz w:val="20"/>
        </w:rPr>
        <w:t>Exhibit 99.906 CERT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13(b)</w:t>
        <w:br/>
        <w:t>Rule 30a-2(b) Certification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Report on Form N-CSR for the period ended September 30, 2025 (the “Report”) of Oxford Lane Capital Corp. (the “Registrant”), as filed with the Securities and Exchange Commission on the date hereof, I, Jonathan H. Cohen, the Chief Executive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308" w:type="dxa"/>
        <w:jc w:val="left"/>
        <w:tblInd w:w="0" w:type="dxa"/>
        <w:tblLayout w:type="fixed"/>
        <w:tblCellMar>
          <w:top w:w="0" w:type="dxa"/>
          <w:left w:w="0" w:type="dxa"/>
          <w:bottom w:w="0" w:type="dxa"/>
          <w:right w:w="0" w:type="dxa"/>
        </w:tblCellMar>
      </w:tblPr>
      <w:tblGrid>
        <w:gridCol w:w="161"/>
        <w:gridCol w:w="146"/>
        <w:gridCol w:w="300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caps/>
                <w:sz w:val="20"/>
              </w:rPr>
              <w:t>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Jonathan H. Cohen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Chief Executive Officer </w:t>
              <w:br/>
              <w:t>(Principal Executive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4th, 2025</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13(b)</w:t>
        <w:br/>
        <w:t>Rule 30a-2(b) Certification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Report on Form N-CSR for the period ended September 30, 2025 (the “Report”) of Oxford Lane Capital Corp. (the “Registrant”), as filed with the Securities and Exchange Commission on the date hereof, I, Bruce L. Rubin, the Chief Financial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218" w:type="dxa"/>
        <w:jc w:val="left"/>
        <w:tblInd w:w="0" w:type="dxa"/>
        <w:tblLayout w:type="fixed"/>
        <w:tblCellMar>
          <w:top w:w="0" w:type="dxa"/>
          <w:left w:w="0" w:type="dxa"/>
          <w:bottom w:w="0" w:type="dxa"/>
          <w:right w:w="0" w:type="dxa"/>
        </w:tblCellMar>
      </w:tblPr>
      <w:tblGrid>
        <w:gridCol w:w="161"/>
        <w:gridCol w:w="146"/>
        <w:gridCol w:w="291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caps/>
                <w:sz w:val="20"/>
              </w:rPr>
              <w:t>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Bruce L. Rubin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Chief Financial Officer </w:t>
              <w:br/>
              <w:t>(Principal Financial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4th, 2025</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59801</Words>
  <Characters>331135</Characters>
  <CharactersWithSpaces>400611</CharactersWithSpaces>
  <Paragraphs>18616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