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ROSENTHAL SAUL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OXFORD LANE CAPITAL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 SOUND SHORE DRIVE, SUITE 255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GREENWICH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Oxford Lane Capital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OXLC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2,960,000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5,474,887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Saul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2,315,000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Rosenthal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2012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Family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purchased into a joint tenants in common account in which Mr. Rosenthal has a 50% pecuniary interest. The number of shares reported represents only Mr. Rosenthal's 50% pecuniary interest in such account. Jonathan H. Cohen, CEO and a director of the issuer, has a 50% pecuniary interest in such account.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Saul B. Rosenthal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68529" TargetMode="External"/><Relationship Id="rId14" Type="http://schemas.openxmlformats.org/officeDocument/2006/relationships/hyperlink" Target="http://www.sec.gov/cgi-bin/browse-edgar?action=getcompany&amp;CIK=0001495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2024-12-17T15:22:34Z</dcterms:created>
  <dcterms:modified xsi:type="dcterms:W3CDTF">2024-12-17T15:22:34Z</dcterms:modified>
</cp:coreProperties>
</file>