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337820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380365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N-CSR</w:t>
      </w:r>
    </w:p>
    <w:p>
      <w:pPr>
        <w:spacing w:after="0" w:line="3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CERTIFIED SHAREHOLDER REPORT OF REGISTERED MANAGEMENT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COMPANIES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Company Act file number 811-22432</w:t>
      </w:r>
    </w:p>
    <w:p>
      <w:pPr>
        <w:spacing w:after="0" w:line="26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Oxford Lane Capital Corp.</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 Sound Shore Drive, Suite 255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Greenwich, CT 06830</w:t>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Jonathan H. Cohen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Greenwich, CT 06830</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and address of agent for service)</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(203) 983-5275</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fiscal year end: March 31</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reporting period: September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608965</wp:posOffset>
            </wp:positionV>
            <wp:extent cx="514540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652145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934720</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431" w:right="1440"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t>Item 1. Reports to Stockholders.</w:t>
      </w:r>
    </w:p>
    <w:p>
      <w:pPr>
        <w:spacing w:after="0" w:line="14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semi-annual report to stockholders for the six months ended September 30, 2019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i w:val="1"/>
          <w:iCs w:val="1"/>
          <w:color w:val="auto"/>
        </w:rPr>
        <w:t>oxfordlanecapital.com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IMPORTANT NOTICE REGARDING ELECTRONIC DELIVERY</w:t>
      </w:r>
    </w:p>
    <w:p>
      <w:pPr>
        <w:spacing w:after="0" w:line="198"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i w:val="1"/>
          <w:iCs w:val="1"/>
          <w:color w:val="auto"/>
        </w:rPr>
        <w:t>Beginning in May 2021, as permitted by regulations adopted by the Securities and Exchange Commission, paper copies of shareholder reports for Oxford Lane Capital Corp. (the “Company”) such as this report will no longer be sent by mail, unless you specifically request paper copies of the reports from the Company or from your financial intermediary, such as a broker-dealer or bank. Instead, the reports will be made available on the Company’s website, and you will be notified each time a report is posted and provided with a website link to access the report.</w:t>
      </w:r>
    </w:p>
    <w:p>
      <w:pPr>
        <w:spacing w:after="0" w:line="153"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i w:val="1"/>
          <w:iCs w:val="1"/>
          <w:color w:val="auto"/>
        </w:rPr>
        <w:t>If you already elected to receive shareholder reports electronically, you will not be affected by this change and you do not need to take any action. For shareholder reports and other communications from the Company issued prior to May 2021, you may elect to receive such reports and other communications electronically. If you own shares of the Company through a financial intermediary, you may contact your financial intermediary to elect to receive materials electronically. This information is available free of charge by contacting us by mail at 8 Sound Shore Drive, Suite 255, Greenwich, CT 06830, by telephone at (203) 983-5275 or on our website at http://www.oxfordlanecapital.com.</w:t>
      </w:r>
    </w:p>
    <w:p>
      <w:pPr>
        <w:spacing w:after="0" w:line="13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i w:val="1"/>
          <w:iCs w:val="1"/>
          <w:color w:val="auto"/>
        </w:rPr>
        <w:t>You may elect to receive all future reports in paper, free of charge. If you own shares of the Company through a financial intermediary, you may contact your financial intermediary to elect to continue to receive paper copies of your shareholder reports after May 2021. This information is available free of charge by contacting us by mail at 8 Sound Shore Drive, Suite 255, Greenwich, CT 06830, by telephone at (203) 983-5275 or on our website at http://www.oxfordlanecapital.com. If you make such an election through your financial intermediary, your election to receive reports in paper may apply to all funds held through your financial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249555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tbl>
      <w:tblPr>
        <w:tblLayout w:type="fixed"/>
        <w:tblInd w:w="4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9"/>
              </w:rPr>
              <w:t>OXFORD LANE CAPITAL CORP.</w:t>
            </w:r>
          </w:p>
        </w:tc>
        <w:tc>
          <w:tcPr>
            <w:tcW w:w="6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9"/>
              </w:rPr>
              <w:t>TABLE OF CONTENTS</w:t>
            </w:r>
          </w:p>
        </w:tc>
        <w:tc>
          <w:tcPr>
            <w:tcW w:w="620" w:type="dxa"/>
            <w:vAlign w:val="bottom"/>
          </w:tcPr>
          <w:p>
            <w:pPr>
              <w:spacing w:after="0"/>
              <w:rPr>
                <w:sz w:val="24"/>
                <w:szCs w:val="24"/>
                <w:color w:val="auto"/>
              </w:rPr>
            </w:pPr>
          </w:p>
        </w:tc>
      </w:tr>
      <w:tr>
        <w:trPr>
          <w:trHeight w:val="413"/>
        </w:trPr>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0" w:type="dxa"/>
            <w:vAlign w:val="bottom"/>
          </w:tcPr>
          <w:p>
            <w:pPr>
              <w:jc w:val="right"/>
              <w:ind w:right="71"/>
              <w:spacing w:after="0"/>
              <w:rPr>
                <w:sz w:val="20"/>
                <w:szCs w:val="20"/>
                <w:color w:val="auto"/>
              </w:rPr>
            </w:pPr>
            <w:r>
              <w:rPr>
                <w:rFonts w:ascii="Arial" w:cs="Arial" w:eastAsia="Arial" w:hAnsi="Arial"/>
                <w:sz w:val="16"/>
                <w:szCs w:val="16"/>
                <w:b w:val="1"/>
                <w:bCs w:val="1"/>
                <w:color w:val="auto"/>
              </w:rPr>
              <w:t>Page</w:t>
            </w:r>
          </w:p>
        </w:tc>
      </w:tr>
      <w:tr>
        <w:trPr>
          <w:trHeight w:val="47"/>
        </w:trPr>
        <w:tc>
          <w:tcPr>
            <w:tcW w:w="9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4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500" w:type="dxa"/>
            <w:vAlign w:val="bottom"/>
            <w:gridSpan w:val="15"/>
            <w:shd w:val="clear" w:color="auto" w:fill="CCEEFF"/>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Letter to Stockholders</w:t>
              </w:r>
            </w:hyperlink>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Important Information</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Top Ten Holdings</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Statement of Assets and Liabilities</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Schedule of Investments</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Statement of Operations</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Statement of Changes in Net Assets</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Statement of Cash Flows</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Notes to Financial Statements</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Distribution Reinvestment Plan</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Management</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15"/>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Board Approval of the Investment Advisory Agreement</w:t>
              </w:r>
            </w:hyperlink>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61"/>
        </w:trPr>
        <w:tc>
          <w:tcPr>
            <w:tcW w:w="9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1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Submission of Matters to a Vote of Stockholders</w:t>
              </w:r>
            </w:hyperlink>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1680" w:type="dxa"/>
            <w:vAlign w:val="bottom"/>
            <w:tcBorders>
              <w:bottom w:val="single" w:sz="8" w:color="0000EE"/>
            </w:tcBorders>
            <w:gridSpan w:val="5"/>
          </w:tcPr>
          <w:p>
            <w:pPr>
              <w:spacing w:after="0" w:line="202"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Additional Information</w:t>
              </w:r>
            </w:hyperlink>
          </w:p>
        </w:tc>
        <w:tc>
          <w:tcPr>
            <w:tcW w:w="5820" w:type="dxa"/>
            <w:vAlign w:val="bottom"/>
            <w:gridSpan w:val="10"/>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 2019</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Stockholders:</w:t>
      </w:r>
    </w:p>
    <w:p>
      <w:pPr>
        <w:spacing w:after="0" w:line="13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are pleased to submit to you the report of Oxford Lane Capital Corp. (“we”, “us”, “our”, the “Fund” or “Oxford Lane”) for the six months ended September 30, 2019. The net asset value of our shares at that date was $6.63 per common share. The Fund’s common stock is traded on the NASDAQ Global Select Market and its share price can differ from its net asset value. The Fund’s closing price at September 30, 2019 was $9.30, compared to $9.84 at March 31, 2019. The total return based on market value for Oxford Lane, for the six months ended September 30, 2019, as reflected in the Fund’s financial highlights, was 2.43%. This return reflects the change in market price for the six month period ended September 30, 2019, as well as the impact of $0.81 per share in distributions declared and paid. The total return based on net asset value (“NAV”) for the six months ended September 30, 2019, as reflected in the Fund’s financial highlights, was (10.58%). Please refer to “Note 13. Financial Highlights” for further details. On October 31, 2019, the last reported sale price of the Fund’s common stock was $9.34.</w:t>
      </w:r>
    </w:p>
    <w:p>
      <w:pPr>
        <w:spacing w:after="0" w:line="115"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revenue from our CLO equity investments for the six months ended September 30, 2019 was approximately $53.7 million, we received or were entitled to receive approximately $68.4 million in distributions from our CLO equity investments.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Investment Review</w:t>
      </w:r>
    </w:p>
    <w:p>
      <w:pPr>
        <w:spacing w:after="0" w:line="148" w:lineRule="exact"/>
        <w:rPr>
          <w:sz w:val="20"/>
          <w:szCs w:val="20"/>
          <w:color w:val="auto"/>
        </w:rPr>
      </w:pPr>
    </w:p>
    <w:p>
      <w:pPr>
        <w:ind w:left="460" w:right="539" w:firstLine="432"/>
        <w:spacing w:after="0" w:line="266" w:lineRule="auto"/>
        <w:rPr>
          <w:sz w:val="20"/>
          <w:szCs w:val="20"/>
          <w:color w:val="auto"/>
        </w:rPr>
      </w:pPr>
      <w:r>
        <w:rPr>
          <w:rFonts w:ascii="Arial" w:cs="Arial" w:eastAsia="Arial" w:hAnsi="Arial"/>
          <w:sz w:val="17"/>
          <w:szCs w:val="17"/>
          <w:color w:val="auto"/>
        </w:rPr>
        <w:t>The Fund’s investment objective is to maximize its portfolio’s risk-adjusted total return over its investment horizon. Our current focus is to seek that return by investing in equity and junior tranches of CLO vehicles</w:t>
      </w:r>
      <w:r>
        <w:rPr>
          <w:rFonts w:ascii="Arial" w:cs="Arial" w:eastAsia="Arial" w:hAnsi="Arial"/>
          <w:sz w:val="19"/>
          <w:szCs w:val="19"/>
          <w:color w:val="auto"/>
          <w:vertAlign w:val="superscript"/>
        </w:rPr>
        <w:t>(1)</w:t>
      </w:r>
      <w:r>
        <w:rPr>
          <w:rFonts w:ascii="Arial" w:cs="Arial" w:eastAsia="Arial" w:hAnsi="Arial"/>
          <w:sz w:val="17"/>
          <w:szCs w:val="17"/>
          <w:color w:val="auto"/>
        </w:rPr>
        <w:t>, which are collateralized primarily by a diverse portfolio of senior loans, which are senior secured loans made to companies whose debt is unrated or is rated below investment grade, and which generally have little to no exposure to real estate loans, mortgage loans or pools of consumer-based debt, such as credit card receivables or auto loans. Our investment strategy also includes investing in warehouse facilities, which are financing structures intended to aggregate senior loans that may be used to form the basis of a CLO vehicle. As of September 30, 2019, we held debt investments in six different CLO structures, and equity investments in approximately 110 different CLO structures.</w:t>
      </w:r>
    </w:p>
    <w:p>
      <w:pPr>
        <w:spacing w:after="0" w:line="118" w:lineRule="exact"/>
        <w:rPr>
          <w:sz w:val="20"/>
          <w:szCs w:val="20"/>
          <w:color w:val="auto"/>
        </w:rPr>
      </w:pPr>
    </w:p>
    <w:p>
      <w:pPr>
        <w:ind w:left="460" w:right="499" w:firstLine="432"/>
        <w:spacing w:after="0" w:line="312" w:lineRule="auto"/>
        <w:rPr>
          <w:sz w:val="20"/>
          <w:szCs w:val="20"/>
          <w:color w:val="auto"/>
        </w:rPr>
      </w:pPr>
      <w:r>
        <w:rPr>
          <w:rFonts w:ascii="Arial" w:cs="Arial" w:eastAsia="Arial" w:hAnsi="Arial"/>
          <w:sz w:val="16"/>
          <w:szCs w:val="16"/>
          <w:color w:val="auto"/>
        </w:rPr>
        <w:t>Structurally, CLO vehicles are entities formed to originate and manage a portfolio of loans. The loans within a CLO vehicle are limited to those which, on an aggregated basis, meet established credit criteria and are subject to concentration limitations in order to limit a CLO vehicle’s exposure to a single credit or industry.</w:t>
      </w:r>
    </w:p>
    <w:p>
      <w:pPr>
        <w:spacing w:after="0" w:line="79" w:lineRule="exact"/>
        <w:rPr>
          <w:sz w:val="20"/>
          <w:szCs w:val="20"/>
          <w:color w:val="auto"/>
        </w:rPr>
      </w:pPr>
    </w:p>
    <w:p>
      <w:pPr>
        <w:ind w:left="460" w:right="659" w:firstLine="432"/>
        <w:spacing w:after="0" w:line="264" w:lineRule="auto"/>
        <w:rPr>
          <w:sz w:val="20"/>
          <w:szCs w:val="20"/>
          <w:color w:val="auto"/>
        </w:rPr>
      </w:pPr>
      <w:r>
        <w:rPr>
          <w:rFonts w:ascii="Arial" w:cs="Arial" w:eastAsia="Arial" w:hAnsi="Arial"/>
          <w:sz w:val="18"/>
          <w:szCs w:val="18"/>
          <w:color w:val="auto"/>
        </w:rPr>
        <w:t>An investment in our Fund carries with it a significant number of meaningful risks, certain of which are discussed in the notes to our financial statements. Investors should read “Note 14. Risks and Uncertainties” carefully.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Investment Outlook</w:t>
      </w:r>
    </w:p>
    <w:p>
      <w:pPr>
        <w:spacing w:after="0" w:line="162"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We believe that the market for CLO-related assets continues to provide us with opportunities to generate attractive risk-adjusted returns over the long term.</w:t>
      </w:r>
    </w:p>
    <w:p>
      <w:pPr>
        <w:spacing w:after="0" w:line="103" w:lineRule="exact"/>
        <w:rPr>
          <w:sz w:val="20"/>
          <w:szCs w:val="20"/>
          <w:color w:val="auto"/>
        </w:rPr>
      </w:pPr>
    </w:p>
    <w:p>
      <w:pPr>
        <w:ind w:left="460" w:right="759" w:firstLine="432"/>
        <w:spacing w:after="0" w:line="286" w:lineRule="auto"/>
        <w:rPr>
          <w:sz w:val="20"/>
          <w:szCs w:val="20"/>
          <w:color w:val="auto"/>
        </w:rPr>
      </w:pPr>
      <w:r>
        <w:rPr>
          <w:rFonts w:ascii="Arial" w:cs="Arial" w:eastAsia="Arial" w:hAnsi="Arial"/>
          <w:sz w:val="16"/>
          <w:szCs w:val="16"/>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4" w:lineRule="exact"/>
        <w:rPr>
          <w:sz w:val="20"/>
          <w:szCs w:val="20"/>
          <w:color w:val="auto"/>
        </w:rPr>
      </w:pPr>
    </w:p>
    <w:p>
      <w:pPr>
        <w:ind w:left="900" w:right="459" w:hanging="438"/>
        <w:spacing w:after="0" w:line="293" w:lineRule="auto"/>
        <w:tabs>
          <w:tab w:leader="none" w:pos="864" w:val="left"/>
        </w:tabs>
        <w:numPr>
          <w:ilvl w:val="0"/>
          <w:numId w:val="1"/>
        </w:numPr>
        <w:rPr>
          <w:rFonts w:ascii="Arial" w:cs="Arial" w:eastAsia="Arial" w:hAnsi="Arial"/>
          <w:sz w:val="15"/>
          <w:szCs w:val="15"/>
          <w:color w:val="auto"/>
        </w:rPr>
      </w:pPr>
      <w:r>
        <w:rPr>
          <w:rFonts w:ascii="Arial" w:cs="Arial" w:eastAsia="Arial" w:hAnsi="Arial"/>
          <w:sz w:val="15"/>
          <w:szCs w:val="15"/>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ind w:left="460" w:right="559" w:firstLine="432"/>
        <w:spacing w:after="0" w:line="259" w:lineRule="auto"/>
        <w:rPr>
          <w:sz w:val="20"/>
          <w:szCs w:val="20"/>
          <w:color w:val="auto"/>
        </w:rPr>
      </w:pPr>
      <w:r>
        <w:rPr>
          <w:rFonts w:ascii="Arial" w:cs="Arial" w:eastAsia="Arial" w:hAnsi="Arial"/>
          <w:sz w:val="18"/>
          <w:szCs w:val="18"/>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i w:val="1"/>
          <w:iCs w:val="1"/>
          <w:color w:val="auto"/>
        </w:rPr>
        <w:t>This letter is intended to assist stockholders in understanding the Fund’s performance during the six months ended September 30, 2019. The views and opinions in this letter were current as of November 1, 2019. Statements other than those of historical facts included herein may constitute forward-looking statements and are not guarantees of future performance or results and involve a number of risks and uncertainties. Actual results may differ materially from those in the forward-looking statements as a result of a number of factors. The Fund undertakes no duty to update any forward-looking 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Important Information</w:t>
      </w:r>
    </w:p>
    <w:p>
      <w:pPr>
        <w:spacing w:after="0" w:line="148"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1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frequently trade at a discount from their net asset value (“NAV”), which may increase investors’ risk of loss. Past performance is not indicative of, or a guarantee of, future performance. The performance and certain other portfolio information quoted herein represents information as of September 30, 2019.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About Oxford Lane Capital Corp.</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Oxford Lane Capital Corp. is a publicly-traded registered closed-end management investment company. It currently seeks to achieve its investment objective of maximizing risk-adjusted total return by investing in debt and equity tranches of collateralized loan obligation (“CLO”) vehicles. CLO investments may also include warehouse facilities, which are financing structures intended to aggregate loans that may be used to form the basis of a CLO vehicle.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Investment</w:t>
            </w:r>
          </w:p>
        </w:tc>
        <w:tc>
          <w:tcPr>
            <w:tcW w:w="13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Maturity</w:t>
            </w:r>
          </w:p>
        </w:tc>
        <w:tc>
          <w:tcPr>
            <w:tcW w:w="10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Fair Value</w:t>
            </w: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6"/>
        </w:trPr>
        <w:tc>
          <w:tcPr>
            <w:tcW w:w="484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26"/>
        </w:trPr>
        <w:tc>
          <w:tcPr>
            <w:tcW w:w="4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Octagon Investment Partners 40, Ltd. – CLO subordinated notes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20, 2031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$ 37,327,500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Madison Park Fund XLI, Ltd. (fka: Atrium XII CLO) – CLO</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subordinated 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April 22, 2027</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$ 19,814,625</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Atrium XV – CLO subordinated notes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January 23, 2031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$ 16,626,250</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840" w:type="dxa"/>
            <w:vAlign w:val="bottom"/>
            <w:gridSpan w:val="3"/>
          </w:tcPr>
          <w:p>
            <w:pPr>
              <w:spacing w:after="0"/>
              <w:rPr>
                <w:sz w:val="20"/>
                <w:szCs w:val="20"/>
                <w:color w:val="auto"/>
              </w:rPr>
            </w:pPr>
            <w:r>
              <w:rPr>
                <w:rFonts w:ascii="Arial" w:cs="Arial" w:eastAsia="Arial" w:hAnsi="Arial"/>
                <w:sz w:val="18"/>
                <w:szCs w:val="18"/>
                <w:color w:val="auto"/>
              </w:rPr>
              <w:t>Nassau 2017-II Ltd. – CLO subordinated 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January 15, 2030</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$ 16,470,000</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Midocean Credit CLO VI – CLO income notes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January 20, 2029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$ 15,444,000</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4840" w:type="dxa"/>
            <w:vAlign w:val="bottom"/>
            <w:gridSpan w:val="3"/>
          </w:tcPr>
          <w:p>
            <w:pPr>
              <w:spacing w:after="0"/>
              <w:rPr>
                <w:sz w:val="20"/>
                <w:szCs w:val="20"/>
                <w:color w:val="auto"/>
              </w:rPr>
            </w:pPr>
            <w:r>
              <w:rPr>
                <w:rFonts w:ascii="Arial" w:cs="Arial" w:eastAsia="Arial" w:hAnsi="Arial"/>
                <w:sz w:val="18"/>
                <w:szCs w:val="18"/>
                <w:color w:val="auto"/>
              </w:rPr>
              <w:t>Anchorage Capital CLO 5-R, Ltd. – CLO subordinated 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January 15, 2030</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$ 14,923,151</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Madison Park Funding XXX, Ltd. – CLO subordinated notes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15, 2047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$ 14,186,997</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4840" w:type="dxa"/>
            <w:vAlign w:val="bottom"/>
            <w:gridSpan w:val="3"/>
          </w:tcPr>
          <w:p>
            <w:pPr>
              <w:spacing w:after="0"/>
              <w:rPr>
                <w:sz w:val="20"/>
                <w:szCs w:val="20"/>
                <w:color w:val="auto"/>
              </w:rPr>
            </w:pPr>
            <w:r>
              <w:rPr>
                <w:rFonts w:ascii="Arial" w:cs="Arial" w:eastAsia="Arial" w:hAnsi="Arial"/>
                <w:sz w:val="18"/>
                <w:szCs w:val="18"/>
                <w:color w:val="auto"/>
              </w:rPr>
              <w:t>Hayfin Kingsland IX, Ltd. – CLO subordinated 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April 28, 2031</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$ 13,325,896</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Madison Park Funding XXIX, Ltd. – CLO subordinated notes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October 18, 2047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$ 12,920,000</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840" w:type="dxa"/>
            <w:vAlign w:val="bottom"/>
            <w:gridSpan w:val="3"/>
          </w:tcPr>
          <w:p>
            <w:pPr>
              <w:spacing w:after="0"/>
              <w:rPr>
                <w:sz w:val="20"/>
                <w:szCs w:val="20"/>
                <w:color w:val="auto"/>
              </w:rPr>
            </w:pPr>
            <w:r>
              <w:rPr>
                <w:rFonts w:ascii="Arial" w:cs="Arial" w:eastAsia="Arial" w:hAnsi="Arial"/>
                <w:sz w:val="18"/>
                <w:szCs w:val="18"/>
                <w:color w:val="auto"/>
              </w:rPr>
              <w:t>Shackleton 2017-X CLO, Ltd. – CLO subordinated 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April 20, 2029</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$ 12,258,240</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Investment Breakdown as of September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(Excludes cash equivalents and other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142875</wp:posOffset>
            </wp:positionV>
            <wp:extent cx="3627755" cy="3627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2"/>
              </w:rPr>
              <w:t>(Unaudited)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Investments, at fair value (cost: $789,015,644)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590,560,448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25,519,069</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Distributions receivable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11,271,045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receivable, including accrued interest purchased</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498,284</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Deferred offering costs on common stock</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165,536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receivable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61,246</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50,682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628,126,310</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60"/>
              <w:spacing w:after="0" w:line="201" w:lineRule="exact"/>
              <w:rPr>
                <w:sz w:val="20"/>
                <w:szCs w:val="20"/>
                <w:color w:val="auto"/>
              </w:rPr>
            </w:pPr>
            <w:r>
              <w:rPr>
                <w:rFonts w:ascii="Arial" w:cs="Arial" w:eastAsia="Arial" w:hAnsi="Arial"/>
                <w:sz w:val="18"/>
                <w:szCs w:val="18"/>
                <w:color w:val="auto"/>
                <w:w w:val="98"/>
              </w:rPr>
              <w:t>Mandatorily redeemable preferred stock, net of discount and deferred issuance costs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(10,000,000 shares authorized, 6,345,416 shares issued and outstanding)</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153,559,207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 to repurchase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Securities purchased not settled</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38,775,230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Incentive fees payable to affiliate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4,183,018</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Investment advisory fee payable to affiliate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3,215,416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461,814</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307,825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Directors’ fees payable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offering costs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45,881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Administrator expense payable</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235,637,250</w:t>
            </w: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8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6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20" w:type="dxa"/>
            <w:vAlign w:val="bottom"/>
          </w:tcPr>
          <w:p>
            <w:pPr>
              <w:spacing w:after="0" w:line="198" w:lineRule="exact"/>
              <w:rPr>
                <w:sz w:val="20"/>
                <w:szCs w:val="20"/>
                <w:color w:val="auto"/>
              </w:rPr>
            </w:pPr>
            <w:r>
              <w:rPr>
                <w:rFonts w:ascii="Arial" w:cs="Arial" w:eastAsia="Arial" w:hAnsi="Arial"/>
                <w:sz w:val="18"/>
                <w:szCs w:val="18"/>
                <w:b w:val="1"/>
                <w:bCs w:val="1"/>
                <w:color w:val="auto"/>
              </w:rPr>
              <w:t>NET ASSETS applicable to common stock, $0.01 par value, 90,000,000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authorized, and 59,191,517 shares issued and outstanding</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392,489,060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ASSETS consist of:</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Paid in capital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639,580,835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Total distributable earnings/(accumulated losses)</w:t>
            </w:r>
          </w:p>
        </w:tc>
        <w:tc>
          <w:tcPr>
            <w:tcW w:w="140" w:type="dxa"/>
            <w:vAlign w:val="bottom"/>
          </w:tcPr>
          <w:p>
            <w:pPr>
              <w:spacing w:after="0"/>
              <w:rPr>
                <w:sz w:val="22"/>
                <w:szCs w:val="22"/>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(247,091,775)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392,489,060</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40" w:type="dxa"/>
            <w:vAlign w:val="bottom"/>
            <w:gridSpan w:val="2"/>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Market price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Percentage of market price premium to net asset value per share</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4"/>
        </w:trPr>
        <w:tc>
          <w:tcPr>
            <w:tcW w:w="6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40.27</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 w:name="page8"/>
    <w:bookmarkEnd w:id="7"/>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9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0" w:type="dxa"/>
            <w:vAlign w:val="bottom"/>
            <w:vMerge w:val="restart"/>
          </w:tcPr>
          <w:p>
            <w:pPr>
              <w:spacing w:after="0"/>
              <w:rPr>
                <w:sz w:val="13"/>
                <w:szCs w:val="13"/>
                <w:color w:val="auto"/>
              </w:rPr>
            </w:pPr>
          </w:p>
        </w:tc>
        <w:tc>
          <w:tcPr>
            <w:tcW w:w="1040" w:type="dxa"/>
            <w:vAlign w:val="bottom"/>
            <w:gridSpan w:val="3"/>
          </w:tcPr>
          <w:p>
            <w:pPr>
              <w:ind w:left="120"/>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gridSpan w:val="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Collateralized Loan Obligation – Debt Investments</w:t>
            </w:r>
          </w:p>
        </w:tc>
        <w:tc>
          <w:tcPr>
            <w:tcW w:w="86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00" w:type="dxa"/>
            <w:vAlign w:val="bottom"/>
            <w:gridSpan w:val="6"/>
          </w:tcPr>
          <w:p>
            <w:pPr>
              <w:spacing w:after="0"/>
              <w:rPr>
                <w:sz w:val="20"/>
                <w:szCs w:val="20"/>
                <w:color w:val="auto"/>
              </w:rPr>
            </w:pPr>
            <w:r>
              <w:rPr>
                <w:rFonts w:ascii="Arial" w:cs="Arial" w:eastAsia="Arial" w:hAnsi="Arial"/>
                <w:sz w:val="14"/>
                <w:szCs w:val="14"/>
                <w:b w:val="1"/>
                <w:bCs w:val="1"/>
                <w:color w:val="auto"/>
              </w:rPr>
              <w:t>Structured Finance – Debt Investments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Longfellow Place CLO,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FRR</w:t>
            </w:r>
            <w:r>
              <w:rPr>
                <w:rFonts w:ascii="Arial" w:cs="Arial" w:eastAsia="Arial" w:hAnsi="Arial"/>
                <w:sz w:val="19"/>
                <w:szCs w:val="19"/>
                <w:color w:val="auto"/>
                <w:vertAlign w:val="superscript"/>
              </w:rPr>
              <w:t>(3)(6)</w:t>
            </w:r>
            <w:r>
              <w:rPr>
                <w:rFonts w:ascii="Arial" w:cs="Arial" w:eastAsia="Arial" w:hAnsi="Arial"/>
                <w:sz w:val="13"/>
                <w:szCs w:val="13"/>
                <w:color w:val="auto"/>
              </w:rPr>
              <w:t>, 10.80% (LIBOR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8.50%, due April 15, 2029)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775,000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629,734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505,455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Midocean Credit CLO VI</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ER</w:t>
            </w:r>
            <w:r>
              <w:rPr>
                <w:rFonts w:ascii="Arial" w:cs="Arial" w:eastAsia="Arial" w:hAnsi="Arial"/>
                <w:sz w:val="19"/>
                <w:szCs w:val="19"/>
                <w:color w:val="auto"/>
                <w:vertAlign w:val="superscript"/>
              </w:rPr>
              <w:t>(3)(6)</w:t>
            </w:r>
            <w:r>
              <w:rPr>
                <w:rFonts w:ascii="Arial" w:cs="Arial" w:eastAsia="Arial" w:hAnsi="Arial"/>
                <w:sz w:val="13"/>
                <w:szCs w:val="13"/>
                <w:color w:val="auto"/>
              </w:rPr>
              <w:t>, 9.18% (LIBOR + 6.90%,</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due January 20, 2029)</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5,436,600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Mountain Hawk II CLO,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19"/>
                <w:szCs w:val="19"/>
                <w:color w:val="auto"/>
                <w:vertAlign w:val="superscript"/>
              </w:rPr>
              <w:t>(3)(6)</w:t>
            </w:r>
            <w:r>
              <w:rPr>
                <w:rFonts w:ascii="Arial" w:cs="Arial" w:eastAsia="Arial" w:hAnsi="Arial"/>
                <w:sz w:val="13"/>
                <w:szCs w:val="13"/>
                <w:color w:val="auto"/>
              </w:rPr>
              <w:t>, 7.08% (LIBOR + 4.80%,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due July 20, 2024)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7,102,259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5,368,000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OZLM XIII, Ltd.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D</w:t>
            </w:r>
            <w:r>
              <w:rPr>
                <w:rFonts w:ascii="Arial" w:cs="Arial" w:eastAsia="Arial" w:hAnsi="Arial"/>
                <w:sz w:val="19"/>
                <w:szCs w:val="19"/>
                <w:color w:val="auto"/>
                <w:vertAlign w:val="superscript"/>
              </w:rPr>
              <w:t>(3)(6)</w:t>
            </w:r>
            <w:r>
              <w:rPr>
                <w:rFonts w:ascii="Arial" w:cs="Arial" w:eastAsia="Arial" w:hAnsi="Arial"/>
                <w:sz w:val="13"/>
                <w:szCs w:val="13"/>
                <w:color w:val="auto"/>
              </w:rPr>
              <w:t>, 7.72% (LIBOR + 5.45%,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due July 30, 2027)</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9,500,000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8,826,839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8,393,250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OZLM XIII,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19"/>
                <w:szCs w:val="19"/>
                <w:color w:val="auto"/>
                <w:vertAlign w:val="superscript"/>
              </w:rPr>
              <w:t>(3)(6)</w:t>
            </w:r>
            <w:r>
              <w:rPr>
                <w:rFonts w:ascii="Arial" w:cs="Arial" w:eastAsia="Arial" w:hAnsi="Arial"/>
                <w:sz w:val="13"/>
                <w:szCs w:val="13"/>
                <w:color w:val="auto"/>
              </w:rPr>
              <w:t>, 8.77% (LIBOR + 6.50%,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due July 30,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1,463,188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1,463,000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OZLM XXII, Ltd.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19"/>
                <w:szCs w:val="19"/>
                <w:color w:val="auto"/>
                <w:vertAlign w:val="superscript"/>
              </w:rPr>
              <w:t>(3)(6)</w:t>
            </w:r>
            <w:r>
              <w:rPr>
                <w:rFonts w:ascii="Arial" w:cs="Arial" w:eastAsia="Arial" w:hAnsi="Arial"/>
                <w:sz w:val="13"/>
                <w:szCs w:val="13"/>
                <w:color w:val="auto"/>
              </w:rPr>
              <w:t>, 9.69% (LIBOR + 7.39%,</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due January 17, 2031)</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2,588,172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2,112,771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Venture XV,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secured notes – Class ER2</w:t>
            </w:r>
            <w:r>
              <w:rPr>
                <w:rFonts w:ascii="Arial" w:cs="Arial" w:eastAsia="Arial" w:hAnsi="Arial"/>
                <w:sz w:val="19"/>
                <w:szCs w:val="19"/>
                <w:color w:val="auto"/>
                <w:vertAlign w:val="superscript"/>
              </w:rPr>
              <w:t>(3)(6)(12)</w:t>
            </w:r>
            <w:r>
              <w:rPr>
                <w:rFonts w:ascii="Arial" w:cs="Arial" w:eastAsia="Arial" w:hAnsi="Arial"/>
                <w:sz w:val="13"/>
                <w:szCs w:val="13"/>
                <w:color w:val="auto"/>
              </w:rPr>
              <w:t>, 9.49% (LIBOR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00" w:type="dxa"/>
            <w:vAlign w:val="bottom"/>
            <w:tcBorders>
              <w:bottom w:val="single" w:sz="8" w:color="CCEEFF"/>
            </w:tcBorders>
            <w:gridSpan w:val="6"/>
          </w:tcPr>
          <w:p>
            <w:pPr>
              <w:ind w:left="360"/>
              <w:spacing w:after="0"/>
              <w:rPr>
                <w:sz w:val="20"/>
                <w:szCs w:val="20"/>
                <w:color w:val="auto"/>
              </w:rPr>
            </w:pPr>
            <w:r>
              <w:rPr>
                <w:rFonts w:ascii="Arial" w:cs="Arial" w:eastAsia="Arial" w:hAnsi="Arial"/>
                <w:sz w:val="14"/>
                <w:szCs w:val="14"/>
                <w:color w:val="auto"/>
              </w:rPr>
              <w:t>7.19%, due July 15, 2032)</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2,250,000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1,929,825</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00" w:type="dxa"/>
            <w:vAlign w:val="bottom"/>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 xml:space="preserve">Total Structured Finance </w:t>
            </w:r>
            <w:r>
              <w:rPr>
                <w:rFonts w:ascii="Arial" w:cs="Arial" w:eastAsia="Arial" w:hAnsi="Arial"/>
                <w:sz w:val="14"/>
                <w:szCs w:val="14"/>
                <w:color w:val="auto"/>
              </w:rPr>
              <w:t>–</w:t>
            </w:r>
            <w:r>
              <w:rPr>
                <w:rFonts w:ascii="Arial" w:cs="Arial" w:eastAsia="Arial" w:hAnsi="Arial"/>
                <w:sz w:val="14"/>
                <w:szCs w:val="14"/>
                <w:b w:val="1"/>
                <w:bCs w:val="1"/>
                <w:color w:val="auto"/>
              </w:rPr>
              <w:t xml:space="preserve"> Debt Investments</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28,683,148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25,208,901</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
        </w:trPr>
        <w:tc>
          <w:tcPr>
            <w:tcW w:w="400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 xml:space="preserve">Total Collateralized Loan Obligation </w:t>
            </w:r>
            <w:r>
              <w:rPr>
                <w:rFonts w:ascii="Arial" w:cs="Arial" w:eastAsia="Arial" w:hAnsi="Arial"/>
                <w:sz w:val="14"/>
                <w:szCs w:val="14"/>
                <w:color w:val="auto"/>
              </w:rPr>
              <w:t>–</w:t>
            </w:r>
            <w:r>
              <w:rPr>
                <w:rFonts w:ascii="Arial" w:cs="Arial" w:eastAsia="Arial" w:hAnsi="Arial"/>
                <w:sz w:val="14"/>
                <w:szCs w:val="14"/>
                <w:b w:val="1"/>
                <w:bCs w:val="1"/>
                <w:color w:val="auto"/>
              </w:rPr>
              <w:t xml:space="preserve"> Debt Investments</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00" w:type="dxa"/>
            <w:vAlign w:val="bottom"/>
            <w:gridSpan w:val="6"/>
            <w:vMerge w:val="continue"/>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28,683,148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25,208,901</w:t>
            </w:r>
          </w:p>
        </w:tc>
        <w:tc>
          <w:tcPr>
            <w:tcW w:w="8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83"/>
        </w:trPr>
        <w:tc>
          <w:tcPr>
            <w:tcW w:w="2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6"/>
          </w:tcPr>
          <w:p>
            <w:pPr>
              <w:spacing w:after="0"/>
              <w:rPr>
                <w:sz w:val="20"/>
                <w:szCs w:val="20"/>
                <w:color w:val="auto"/>
              </w:rPr>
            </w:pPr>
            <w:r>
              <w:rPr>
                <w:rFonts w:ascii="Arial" w:cs="Arial" w:eastAsia="Arial" w:hAnsi="Arial"/>
                <w:sz w:val="14"/>
                <w:szCs w:val="14"/>
                <w:b w:val="1"/>
                <w:bCs w:val="1"/>
                <w:color w:val="auto"/>
              </w:rPr>
              <w:t>Collateralized Loan Obligation – Equity Investments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2"/>
              </w:rPr>
              <w:t>Structured Finance – Equity Investments</w:t>
            </w:r>
          </w:p>
        </w:tc>
        <w:tc>
          <w:tcPr>
            <w:tcW w:w="1460" w:type="dxa"/>
            <w:vAlign w:val="bottom"/>
            <w:tcBorders>
              <w:bottom w:val="single" w:sz="8" w:color="CCEEFF"/>
            </w:tcBorders>
            <w:gridSpan w:val="4"/>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ALM XVII, Ltd.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27.38%,</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maturity January 15, 2028)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6,500,000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3,712,246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3,038,165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AMMC CLO XI,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(5)(7)(12)</w:t>
            </w:r>
            <w:r>
              <w:rPr>
                <w:rFonts w:ascii="Arial" w:cs="Arial" w:eastAsia="Arial" w:hAnsi="Arial"/>
                <w:sz w:val="13"/>
                <w:szCs w:val="13"/>
                <w:color w:val="auto"/>
              </w:rPr>
              <w:t>, (Estimated yield 16.27%,</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maturity April 30,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1,260,914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987,000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AMMC CLO XII, Ltd.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(5)(7)(12)</w:t>
            </w:r>
            <w:r>
              <w:rPr>
                <w:rFonts w:ascii="Arial" w:cs="Arial" w:eastAsia="Arial" w:hAnsi="Arial"/>
                <w:sz w:val="13"/>
                <w:szCs w:val="13"/>
                <w:color w:val="auto"/>
              </w:rPr>
              <w:t>, (Estimated yield 14.70%,</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maturity November 10, 2030)</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11,428,571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5,894,504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3,657,143</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Anchorage Capital CLO 4-R,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(5)(7)(12)</w:t>
            </w:r>
            <w:r>
              <w:rPr>
                <w:rFonts w:ascii="Arial" w:cs="Arial" w:eastAsia="Arial" w:hAnsi="Arial"/>
                <w:sz w:val="13"/>
                <w:szCs w:val="13"/>
                <w:color w:val="auto"/>
              </w:rPr>
              <w:t>, (Estimated yield 18.35%,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maturity January 28,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5,088,762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4,500,000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gridSpan w:val="6"/>
          </w:tcPr>
          <w:p>
            <w:pPr>
              <w:ind w:left="180"/>
              <w:spacing w:after="0"/>
              <w:rPr>
                <w:sz w:val="20"/>
                <w:szCs w:val="20"/>
                <w:color w:val="auto"/>
              </w:rPr>
            </w:pPr>
            <w:r>
              <w:rPr>
                <w:rFonts w:ascii="Arial" w:cs="Arial" w:eastAsia="Arial" w:hAnsi="Arial"/>
                <w:sz w:val="14"/>
                <w:szCs w:val="14"/>
                <w:b w:val="1"/>
                <w:bCs w:val="1"/>
                <w:color w:val="auto"/>
              </w:rPr>
              <w:t>Anchorage Capital CLO 5-R, Ltd.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gridSpan w:val="6"/>
            <w:shd w:val="clear" w:color="auto" w:fill="CCEEFF"/>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24.52%,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4"/>
                <w:szCs w:val="14"/>
                <w:color w:val="auto"/>
              </w:rPr>
              <w:t>maturity January 15, 2030)</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15,847,148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14,923,151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b w:val="1"/>
                <w:bCs w:val="1"/>
                <w:color w:val="auto"/>
              </w:rPr>
              <w:t>Anchorage Capital CLO 8, Ltd.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gridSpan w:val="6"/>
          </w:tcPr>
          <w:p>
            <w:pPr>
              <w:ind w:left="180"/>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(5)(7)(12)</w:t>
            </w:r>
            <w:r>
              <w:rPr>
                <w:rFonts w:ascii="Arial" w:cs="Arial" w:eastAsia="Arial" w:hAnsi="Arial"/>
                <w:sz w:val="13"/>
                <w:szCs w:val="13"/>
                <w:color w:val="auto"/>
              </w:rPr>
              <w:t>, (Estimated yield 21.95%,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0" w:type="dxa"/>
            <w:vAlign w:val="bottom"/>
            <w:gridSpan w:val="6"/>
          </w:tcPr>
          <w:p>
            <w:pPr>
              <w:ind w:left="360"/>
              <w:spacing w:after="0"/>
              <w:rPr>
                <w:sz w:val="20"/>
                <w:szCs w:val="20"/>
                <w:color w:val="auto"/>
              </w:rPr>
            </w:pPr>
            <w:r>
              <w:rPr>
                <w:rFonts w:ascii="Arial" w:cs="Arial" w:eastAsia="Arial" w:hAnsi="Arial"/>
                <w:sz w:val="14"/>
                <w:szCs w:val="14"/>
                <w:color w:val="auto"/>
              </w:rPr>
              <w:t>maturity July 28,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4,984,745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4,440,000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337" w:right="1440"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20" w:type="dxa"/>
            <w:vAlign w:val="bottom"/>
            <w:gridSpan w:val="5"/>
          </w:tcPr>
          <w:p>
            <w:pPr>
              <w:spacing w:after="0" w:line="160" w:lineRule="exact"/>
              <w:rPr>
                <w:sz w:val="20"/>
                <w:szCs w:val="20"/>
                <w:color w:val="auto"/>
              </w:rPr>
            </w:pPr>
            <w:r>
              <w:rPr>
                <w:rFonts w:ascii="Arial" w:cs="Arial" w:eastAsia="Arial" w:hAnsi="Arial"/>
                <w:sz w:val="14"/>
                <w:szCs w:val="14"/>
                <w:b w:val="1"/>
                <w:bCs w:val="1"/>
                <w:color w:val="auto"/>
              </w:rPr>
              <w:t>Apex Credit CLO 2015-II, Ltd. (fka: JFIN CLO 2015-II</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b w:val="1"/>
                <w:bCs w:val="1"/>
                <w:color w:val="auto"/>
              </w:rPr>
              <w:t>Ltd.)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16.51%,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17, 2026)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5,750,000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4,465,729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2,517,626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Apex Credit CLO 2018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23.08%,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25,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7,615,159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6,134,911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Apex Credit CLO 2019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subordinated notes</w:t>
            </w:r>
            <w:r>
              <w:rPr>
                <w:rFonts w:ascii="Arial" w:cs="Arial" w:eastAsia="Arial" w:hAnsi="Arial"/>
                <w:sz w:val="21"/>
                <w:szCs w:val="21"/>
                <w:color w:val="auto"/>
                <w:w w:val="97"/>
                <w:vertAlign w:val="superscript"/>
              </w:rPr>
              <w:t>(5)(7)(9)(12)</w:t>
            </w:r>
            <w:r>
              <w:rPr>
                <w:rFonts w:ascii="Arial" w:cs="Arial" w:eastAsia="Arial" w:hAnsi="Arial"/>
                <w:sz w:val="14"/>
                <w:szCs w:val="14"/>
                <w:color w:val="auto"/>
                <w:w w:val="97"/>
              </w:rPr>
              <w:t>, (Estimated yield 20.46%,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18, 2032)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12,735,569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10,556,946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Arch Street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23.89%,</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1,940,601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Ares XXVII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26.55%,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28,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8,363,479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6,979,760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Ares XXXVII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24.55%,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15,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10,790,826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9,951,010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Ares XL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21.33%,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15,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7,149,909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5,311,937</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Atrium XV</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16.83%,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23,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16,733,550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16,626,250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Battalion CLO VI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 xml:space="preserve">CLO preference shares </w:t>
            </w:r>
            <w:r>
              <w:rPr>
                <w:rFonts w:ascii="Arial" w:cs="Arial" w:eastAsia="Arial" w:hAnsi="Arial"/>
                <w:sz w:val="21"/>
                <w:szCs w:val="21"/>
                <w:color w:val="auto"/>
                <w:vertAlign w:val="superscript"/>
              </w:rPr>
              <w:t>(5)(7)(10)</w:t>
            </w:r>
            <w:r>
              <w:rPr>
                <w:rFonts w:ascii="Arial" w:cs="Arial" w:eastAsia="Arial" w:hAnsi="Arial"/>
                <w:sz w:val="14"/>
                <w:szCs w:val="14"/>
                <w:color w:val="auto"/>
              </w:rPr>
              <w:t>, (Estimated yield 0.00%,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17,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414,168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Battalion CLO VII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14.33%,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17,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16,025,492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9,953,000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Benefit Street Partners CLO III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25.42%,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20,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2,328,739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Benefit Street Partners CLO 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 xml:space="preserve">CLO preference shares </w:t>
            </w:r>
            <w:r>
              <w:rPr>
                <w:rFonts w:ascii="Arial" w:cs="Arial" w:eastAsia="Arial" w:hAnsi="Arial"/>
                <w:sz w:val="21"/>
                <w:szCs w:val="21"/>
                <w:color w:val="auto"/>
                <w:vertAlign w:val="superscript"/>
              </w:rPr>
              <w:t>(5)(7)(10)</w:t>
            </w:r>
            <w:r>
              <w:rPr>
                <w:rFonts w:ascii="Arial" w:cs="Arial" w:eastAsia="Arial" w:hAnsi="Arial"/>
                <w:sz w:val="14"/>
                <w:szCs w:val="14"/>
                <w:color w:val="auto"/>
              </w:rPr>
              <w:t>, (Estimated yield 0.00%,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852,715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B&amp;M CLO 2014-1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-29.82%,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16,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469,067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Bristol Park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8.54%,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April 15,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7,568,873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-8241665</wp:posOffset>
            </wp:positionV>
            <wp:extent cx="514540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2146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59"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0" w:name="page11"/>
    <w:bookmarkEnd w:id="10"/>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Canyon Capital CLO 2015-1,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23.14%,</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2029)</w:t>
            </w:r>
          </w:p>
        </w:tc>
        <w:tc>
          <w:tcPr>
            <w:tcW w:w="940" w:type="dxa"/>
            <w:vAlign w:val="bottom"/>
          </w:tcPr>
          <w:p>
            <w:pPr>
              <w:jc w:val="right"/>
              <w:spacing w:after="0"/>
              <w:rPr>
                <w:sz w:val="20"/>
                <w:szCs w:val="20"/>
                <w:color w:val="auto"/>
              </w:rPr>
            </w:pPr>
            <w:r>
              <w:rPr>
                <w:rFonts w:ascii="Arial" w:cs="Arial" w:eastAsia="Arial" w:hAnsi="Arial"/>
                <w:sz w:val="14"/>
                <w:szCs w:val="14"/>
                <w:color w:val="auto"/>
              </w:rPr>
              <w:t>$  10,000,000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6,516,802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Carlyle Global Market Strategies CLO 2013-2,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19.07%,</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18, 2029)</w:t>
            </w:r>
          </w:p>
        </w:tc>
        <w:tc>
          <w:tcPr>
            <w:tcW w:w="940" w:type="dxa"/>
            <w:vAlign w:val="bottom"/>
          </w:tcPr>
          <w:p>
            <w:pPr>
              <w:jc w:val="right"/>
              <w:spacing w:after="0"/>
              <w:rPr>
                <w:sz w:val="20"/>
                <w:szCs w:val="20"/>
                <w:color w:val="auto"/>
              </w:rPr>
            </w:pPr>
            <w:r>
              <w:rPr>
                <w:rFonts w:ascii="Arial" w:cs="Arial" w:eastAsia="Arial" w:hAnsi="Arial"/>
                <w:sz w:val="14"/>
                <w:szCs w:val="14"/>
                <w:color w:val="auto"/>
              </w:rPr>
              <w:t>16,098,067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10,425,076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8,344,368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Carlyle Global Market Strategies CLO 2014-5,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16.43%,</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2031)</w:t>
            </w:r>
          </w:p>
        </w:tc>
        <w:tc>
          <w:tcPr>
            <w:tcW w:w="940" w:type="dxa"/>
            <w:vAlign w:val="bottom"/>
          </w:tcPr>
          <w:p>
            <w:pPr>
              <w:jc w:val="right"/>
              <w:spacing w:after="0"/>
              <w:rPr>
                <w:sz w:val="20"/>
                <w:szCs w:val="20"/>
                <w:color w:val="auto"/>
              </w:rPr>
            </w:pPr>
            <w:r>
              <w:rPr>
                <w:rFonts w:ascii="Arial" w:cs="Arial" w:eastAsia="Arial" w:hAnsi="Arial"/>
                <w:sz w:val="14"/>
                <w:szCs w:val="14"/>
                <w:color w:val="auto"/>
              </w:rPr>
              <w:t>5,500,000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3,402,503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Cathedral Lake CLO 2013,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17.45%,</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15, 2029)</w:t>
            </w:r>
          </w:p>
        </w:tc>
        <w:tc>
          <w:tcPr>
            <w:tcW w:w="940" w:type="dxa"/>
            <w:vAlign w:val="bottom"/>
          </w:tcPr>
          <w:p>
            <w:pPr>
              <w:jc w:val="right"/>
              <w:spacing w:after="0"/>
              <w:rPr>
                <w:sz w:val="20"/>
                <w:szCs w:val="20"/>
                <w:color w:val="auto"/>
              </w:rPr>
            </w:pPr>
            <w:r>
              <w:rPr>
                <w:rFonts w:ascii="Arial" w:cs="Arial" w:eastAsia="Arial" w:hAnsi="Arial"/>
                <w:sz w:val="14"/>
                <w:szCs w:val="14"/>
                <w:color w:val="auto"/>
              </w:rPr>
              <w:t>6,350,000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2,899,316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2,159,000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Cathedral Lake 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22.22%,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2029)</w:t>
            </w:r>
          </w:p>
        </w:tc>
        <w:tc>
          <w:tcPr>
            <w:tcW w:w="940" w:type="dxa"/>
            <w:vAlign w:val="bottom"/>
          </w:tcPr>
          <w:p>
            <w:pPr>
              <w:jc w:val="right"/>
              <w:spacing w:after="0"/>
              <w:rPr>
                <w:sz w:val="20"/>
                <w:szCs w:val="20"/>
                <w:color w:val="auto"/>
              </w:rPr>
            </w:pPr>
            <w:r>
              <w:rPr>
                <w:rFonts w:ascii="Arial" w:cs="Arial" w:eastAsia="Arial" w:hAnsi="Arial"/>
                <w:sz w:val="14"/>
                <w:szCs w:val="14"/>
                <w:color w:val="auto"/>
              </w:rPr>
              <w:t>12,112,200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7,628,527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6,298,344</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CIFC Funding 2013-III-R,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20.36%,</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24, 2031)</w:t>
            </w:r>
          </w:p>
        </w:tc>
        <w:tc>
          <w:tcPr>
            <w:tcW w:w="940" w:type="dxa"/>
            <w:vAlign w:val="bottom"/>
          </w:tcPr>
          <w:p>
            <w:pPr>
              <w:jc w:val="right"/>
              <w:spacing w:after="0"/>
              <w:rPr>
                <w:sz w:val="20"/>
                <w:szCs w:val="20"/>
                <w:color w:val="auto"/>
              </w:rPr>
            </w:pPr>
            <w:r>
              <w:rPr>
                <w:rFonts w:ascii="Arial" w:cs="Arial" w:eastAsia="Arial" w:hAnsi="Arial"/>
                <w:sz w:val="14"/>
                <w:szCs w:val="14"/>
                <w:color w:val="auto"/>
              </w:rPr>
              <w:t>4,900,000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2,450,144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2,009,000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CIFC Funding 2014,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15.32%, maturity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January 18, 2031)</w:t>
            </w:r>
          </w:p>
        </w:tc>
        <w:tc>
          <w:tcPr>
            <w:tcW w:w="94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3,677,284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CIFC Funding 2014-III,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income notes</w:t>
            </w:r>
            <w:r>
              <w:rPr>
                <w:rFonts w:ascii="Arial" w:cs="Arial" w:eastAsia="Arial" w:hAnsi="Arial"/>
                <w:sz w:val="21"/>
                <w:szCs w:val="21"/>
                <w:color w:val="auto"/>
                <w:w w:val="97"/>
                <w:vertAlign w:val="superscript"/>
              </w:rPr>
              <w:t>(5)(7)(12)</w:t>
            </w:r>
            <w:r>
              <w:rPr>
                <w:rFonts w:ascii="Arial" w:cs="Arial" w:eastAsia="Arial" w:hAnsi="Arial"/>
                <w:sz w:val="14"/>
                <w:szCs w:val="14"/>
                <w:color w:val="auto"/>
                <w:w w:val="97"/>
              </w:rPr>
              <w:t>, (Estimated yield 18.99%, maturity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October 22, 2031)</w:t>
            </w:r>
          </w:p>
        </w:tc>
        <w:tc>
          <w:tcPr>
            <w:tcW w:w="940" w:type="dxa"/>
            <w:vAlign w:val="bottom"/>
          </w:tcPr>
          <w:p>
            <w:pPr>
              <w:jc w:val="right"/>
              <w:spacing w:after="0"/>
              <w:rPr>
                <w:sz w:val="20"/>
                <w:szCs w:val="20"/>
                <w:color w:val="auto"/>
              </w:rPr>
            </w:pPr>
            <w:r>
              <w:rPr>
                <w:rFonts w:ascii="Arial" w:cs="Arial" w:eastAsia="Arial" w:hAnsi="Arial"/>
                <w:sz w:val="14"/>
                <w:szCs w:val="14"/>
                <w:color w:val="auto"/>
              </w:rPr>
              <w:t>18,225,000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10,604,237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8,383,500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Dryden 49 Senior Loan Fund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17.52%,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18, 2030)</w:t>
            </w:r>
          </w:p>
        </w:tc>
        <w:tc>
          <w:tcPr>
            <w:tcW w:w="940" w:type="dxa"/>
            <w:vAlign w:val="bottom"/>
          </w:tcPr>
          <w:p>
            <w:pPr>
              <w:jc w:val="right"/>
              <w:spacing w:after="0"/>
              <w:rPr>
                <w:sz w:val="20"/>
                <w:szCs w:val="20"/>
                <w:color w:val="auto"/>
              </w:rPr>
            </w:pPr>
            <w:r>
              <w:rPr>
                <w:rFonts w:ascii="Arial" w:cs="Arial" w:eastAsia="Arial" w:hAnsi="Arial"/>
                <w:sz w:val="14"/>
                <w:szCs w:val="14"/>
                <w:color w:val="auto"/>
              </w:rPr>
              <w:t>12,850,000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9,601,956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7,196,000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Dryden 54 Senior Loan Fund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14.52%,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19, 2029)</w:t>
            </w:r>
          </w:p>
        </w:tc>
        <w:tc>
          <w:tcPr>
            <w:tcW w:w="94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2,023,760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Elevation CLO 2015-4,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41.18%,</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18, 2027)</w:t>
            </w:r>
          </w:p>
        </w:tc>
        <w:tc>
          <w:tcPr>
            <w:tcW w:w="940" w:type="dxa"/>
            <w:vAlign w:val="bottom"/>
          </w:tcPr>
          <w:p>
            <w:pPr>
              <w:jc w:val="right"/>
              <w:spacing w:after="0"/>
              <w:rPr>
                <w:sz w:val="20"/>
                <w:szCs w:val="20"/>
                <w:color w:val="auto"/>
              </w:rPr>
            </w:pPr>
            <w:r>
              <w:rPr>
                <w:rFonts w:ascii="Arial" w:cs="Arial" w:eastAsia="Arial" w:hAnsi="Arial"/>
                <w:sz w:val="14"/>
                <w:szCs w:val="14"/>
                <w:color w:val="auto"/>
              </w:rPr>
              <w:t>19,350,000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6,662,462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6,579,000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Ellington CLO 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16.51%,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February 15, 2029)</w:t>
            </w:r>
          </w:p>
        </w:tc>
        <w:tc>
          <w:tcPr>
            <w:tcW w:w="94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4,958,328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Figueroa CLO 2013-2,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20.83%,</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June 20, 2027)</w:t>
            </w:r>
          </w:p>
        </w:tc>
        <w:tc>
          <w:tcPr>
            <w:tcW w:w="940" w:type="dxa"/>
            <w:vAlign w:val="bottom"/>
          </w:tcPr>
          <w:p>
            <w:pPr>
              <w:jc w:val="right"/>
              <w:spacing w:after="0"/>
              <w:rPr>
                <w:sz w:val="20"/>
                <w:szCs w:val="20"/>
                <w:color w:val="auto"/>
              </w:rPr>
            </w:pPr>
            <w:r>
              <w:rPr>
                <w:rFonts w:ascii="Arial" w:cs="Arial" w:eastAsia="Arial" w:hAnsi="Arial"/>
                <w:sz w:val="14"/>
                <w:szCs w:val="14"/>
                <w:color w:val="auto"/>
              </w:rPr>
              <w:t>8,500,000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4,117,077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Flatiron CLO 17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21.34%,</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May 15, 2030)</w:t>
            </w:r>
          </w:p>
        </w:tc>
        <w:tc>
          <w:tcPr>
            <w:tcW w:w="940" w:type="dxa"/>
            <w:vAlign w:val="bottom"/>
          </w:tcPr>
          <w:p>
            <w:pPr>
              <w:jc w:val="right"/>
              <w:spacing w:after="0"/>
              <w:rPr>
                <w:sz w:val="20"/>
                <w:szCs w:val="20"/>
                <w:color w:val="auto"/>
              </w:rPr>
            </w:pPr>
            <w:r>
              <w:rPr>
                <w:rFonts w:ascii="Arial" w:cs="Arial" w:eastAsia="Arial" w:hAnsi="Arial"/>
                <w:sz w:val="14"/>
                <w:szCs w:val="14"/>
                <w:color w:val="auto"/>
              </w:rPr>
              <w:t>2,337,500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1,575,814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7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477"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1" w:name="page12"/>
    <w:bookmarkEnd w:id="11"/>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GoldenTree Loan Opportunities XI,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12.70%,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18, 2031)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2,413,083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Halcyon Loan Advisors Funding 2015-1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-11.80%,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20,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3,200,407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Halcyon Loan Advisors Funding 2018-1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15.96%,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20,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10,169,425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7,425,000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Hayfin Kingsland IX,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20.56%,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28,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22,877,075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12,969,832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13,325,896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HPS Loan Management 10-2016,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22.75%,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20,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6,055,972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Hull Street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-26.63%,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18,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3,651,869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487,500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ICG US CLO 2016-1,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9.60%,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July 29,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4,461,741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3,182,975</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Ivy Hill Middle Market Credit VII,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8.11%,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4,380,751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2,803,010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Jamestown CLO IV,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0.03%,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July 15,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2,674,759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538,161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Jamestown CLO VII,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-2.11%,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25,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13,912,500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6,224,289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4,173,750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Longfellow Place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23.67%,</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19,640,000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7,553,481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2,159,600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XIII,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25.42%,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19,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10,905,307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13.40%,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27,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4,111,597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XXII,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16.28%,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25,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11,868,968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45"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2" w:name="page13"/>
    <w:bookmarkEnd w:id="12"/>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XXIV,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17.00%,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3,568,750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2,567,140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1,998,500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XXV,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11.58%,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25,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1,158,381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871,000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XXIX,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5"/>
              </w:rPr>
              <w:t>CLO subordinated notes</w:t>
            </w:r>
            <w:r>
              <w:rPr>
                <w:rFonts w:ascii="Arial" w:cs="Arial" w:eastAsia="Arial" w:hAnsi="Arial"/>
                <w:sz w:val="21"/>
                <w:szCs w:val="21"/>
                <w:color w:val="auto"/>
                <w:w w:val="95"/>
                <w:vertAlign w:val="superscript"/>
              </w:rPr>
              <w:t>(5)(7)(11)(12)</w:t>
            </w:r>
            <w:r>
              <w:rPr>
                <w:rFonts w:ascii="Arial" w:cs="Arial" w:eastAsia="Arial" w:hAnsi="Arial"/>
                <w:sz w:val="14"/>
                <w:szCs w:val="14"/>
                <w:color w:val="auto"/>
                <w:w w:val="95"/>
              </w:rPr>
              <w:t>, (Estimated yield 13.67%,</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18, 2047)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14,475,285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12,920,000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Funding XXX,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5"/>
              </w:rPr>
              <w:t>CLO subordinated notes</w:t>
            </w:r>
            <w:r>
              <w:rPr>
                <w:rFonts w:ascii="Arial" w:cs="Arial" w:eastAsia="Arial" w:hAnsi="Arial"/>
                <w:sz w:val="21"/>
                <w:szCs w:val="21"/>
                <w:color w:val="auto"/>
                <w:w w:val="95"/>
                <w:vertAlign w:val="superscript"/>
              </w:rPr>
              <w:t>(5)(7)(11)(12)</w:t>
            </w:r>
            <w:r>
              <w:rPr>
                <w:rFonts w:ascii="Arial" w:cs="Arial" w:eastAsia="Arial" w:hAnsi="Arial"/>
                <w:sz w:val="14"/>
                <w:szCs w:val="14"/>
                <w:color w:val="auto"/>
                <w:w w:val="95"/>
              </w:rPr>
              <w:t>, (Estimated yield 19.88%,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2047)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15,617,664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14,186,997</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Madison Park Fund XLI, Ltd. (fka: Atrium XII CLO)</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subordinated notes</w:t>
            </w:r>
            <w:r>
              <w:rPr>
                <w:rFonts w:ascii="Arial" w:cs="Arial" w:eastAsia="Arial" w:hAnsi="Arial"/>
                <w:sz w:val="21"/>
                <w:szCs w:val="21"/>
                <w:color w:val="auto"/>
                <w:w w:val="97"/>
                <w:vertAlign w:val="superscript"/>
              </w:rPr>
              <w:t>(4)(5)(7)(11)</w:t>
            </w:r>
            <w:r>
              <w:rPr>
                <w:rFonts w:ascii="Arial" w:cs="Arial" w:eastAsia="Arial" w:hAnsi="Arial"/>
                <w:sz w:val="14"/>
                <w:szCs w:val="14"/>
                <w:color w:val="auto"/>
                <w:w w:val="97"/>
              </w:rPr>
              <w:t>, (Estimated yield 17.24%,</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22,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34,762,500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22,690,722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19,814,625</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Marble Point CLO XI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21.63%,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December 18, 2047)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5,556,603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Midocean Credit CLO III</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income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19.04%,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April 21,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7,104,500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4,495,500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Midocean Credit CLO VI</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income notes</w:t>
            </w:r>
            <w:r>
              <w:rPr>
                <w:rFonts w:ascii="Arial" w:cs="Arial" w:eastAsia="Arial" w:hAnsi="Arial"/>
                <w:sz w:val="21"/>
                <w:szCs w:val="21"/>
                <w:color w:val="auto"/>
                <w:w w:val="97"/>
                <w:vertAlign w:val="superscript"/>
              </w:rPr>
              <w:t>(5)(7)(11)</w:t>
            </w:r>
            <w:r>
              <w:rPr>
                <w:rFonts w:ascii="Arial" w:cs="Arial" w:eastAsia="Arial" w:hAnsi="Arial"/>
                <w:sz w:val="14"/>
                <w:szCs w:val="14"/>
                <w:color w:val="auto"/>
                <w:w w:val="97"/>
              </w:rPr>
              <w:t>, (Estimated yield 14.13%,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January 20,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25,285,501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15,444,000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Mountain Hawk II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 xml:space="preserve">CLO secured notes </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-14.77%,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July 20, 2024)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25,670,000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3,936,349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513,400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Mountain View CLO 2014-1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5"/>
              </w:rPr>
              <w:t>CLO subordinated notes</w:t>
            </w:r>
            <w:r>
              <w:rPr>
                <w:rFonts w:ascii="Arial" w:cs="Arial" w:eastAsia="Arial" w:hAnsi="Arial"/>
                <w:sz w:val="21"/>
                <w:szCs w:val="21"/>
                <w:color w:val="auto"/>
                <w:w w:val="95"/>
                <w:vertAlign w:val="superscript"/>
              </w:rPr>
              <w:t>(5)(7)</w:t>
            </w:r>
            <w:r>
              <w:rPr>
                <w:rFonts w:ascii="Arial" w:cs="Arial" w:eastAsia="Arial" w:hAnsi="Arial"/>
                <w:sz w:val="14"/>
                <w:szCs w:val="14"/>
                <w:color w:val="auto"/>
                <w:w w:val="95"/>
              </w:rPr>
              <w:t>, (Estimated yield -2.09%,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October 15,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3,023,777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830,179</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Mountain View CLO 2017-2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19.76%,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16,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1,139,945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Nassau 2017-II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27.72%,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15,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16,645,096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16,470,000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Ocean Trails CLO VI</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19.34%,</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3,413,602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2,378,008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Investment Partners XXII,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19.38%,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22,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3,168,750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2,090,459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1,616,063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45"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3" w:name="page14"/>
    <w:bookmarkEnd w:id="13"/>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Investment Partners 33,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16.91%,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20, 2031)</w:t>
            </w:r>
          </w:p>
        </w:tc>
        <w:tc>
          <w:tcPr>
            <w:tcW w:w="940" w:type="dxa"/>
            <w:vAlign w:val="bottom"/>
          </w:tcPr>
          <w:p>
            <w:pPr>
              <w:jc w:val="right"/>
              <w:spacing w:after="0"/>
              <w:rPr>
                <w:sz w:val="20"/>
                <w:szCs w:val="20"/>
                <w:color w:val="auto"/>
              </w:rPr>
            </w:pPr>
            <w:r>
              <w:rPr>
                <w:rFonts w:ascii="Arial" w:cs="Arial" w:eastAsia="Arial" w:hAnsi="Arial"/>
                <w:sz w:val="14"/>
                <w:szCs w:val="14"/>
                <w:color w:val="auto"/>
              </w:rPr>
              <w:t>$  10,000,000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9,012,199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Investment Partners 38,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17.46%,</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20, 2030)</w:t>
            </w:r>
          </w:p>
        </w:tc>
        <w:tc>
          <w:tcPr>
            <w:tcW w:w="94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4,252,417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Investment Partners 39,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18.57%,</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2030)</w:t>
            </w:r>
          </w:p>
        </w:tc>
        <w:tc>
          <w:tcPr>
            <w:tcW w:w="940" w:type="dxa"/>
            <w:vAlign w:val="bottom"/>
          </w:tcPr>
          <w:p>
            <w:pPr>
              <w:jc w:val="right"/>
              <w:spacing w:after="0"/>
              <w:rPr>
                <w:sz w:val="20"/>
                <w:szCs w:val="20"/>
                <w:color w:val="auto"/>
              </w:rPr>
            </w:pPr>
            <w:r>
              <w:rPr>
                <w:rFonts w:ascii="Arial" w:cs="Arial" w:eastAsia="Arial" w:hAnsi="Arial"/>
                <w:sz w:val="14"/>
                <w:szCs w:val="14"/>
                <w:color w:val="auto"/>
              </w:rPr>
              <w:t>10,400,000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8,828,739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7,696,000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Investment Partners 40,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9"/>
              </w:rPr>
              <w:t>CLO subordinated notes</w:t>
            </w:r>
            <w:r>
              <w:rPr>
                <w:rFonts w:ascii="Arial" w:cs="Arial" w:eastAsia="Arial" w:hAnsi="Arial"/>
                <w:sz w:val="21"/>
                <w:szCs w:val="21"/>
                <w:color w:val="auto"/>
                <w:w w:val="99"/>
                <w:vertAlign w:val="superscript"/>
              </w:rPr>
              <w:t>(4)(5)(7)(9)</w:t>
            </w:r>
            <w:r>
              <w:rPr>
                <w:rFonts w:ascii="Arial" w:cs="Arial" w:eastAsia="Arial" w:hAnsi="Arial"/>
                <w:sz w:val="14"/>
                <w:szCs w:val="14"/>
                <w:color w:val="auto"/>
                <w:w w:val="99"/>
              </w:rPr>
              <w:t>, (Estimated yield 17.23%,</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20, 2031)</w:t>
            </w:r>
          </w:p>
        </w:tc>
        <w:tc>
          <w:tcPr>
            <w:tcW w:w="940" w:type="dxa"/>
            <w:vAlign w:val="bottom"/>
          </w:tcPr>
          <w:p>
            <w:pPr>
              <w:jc w:val="right"/>
              <w:spacing w:after="0"/>
              <w:rPr>
                <w:sz w:val="20"/>
                <w:szCs w:val="20"/>
                <w:color w:val="auto"/>
              </w:rPr>
            </w:pPr>
            <w:r>
              <w:rPr>
                <w:rFonts w:ascii="Arial" w:cs="Arial" w:eastAsia="Arial" w:hAnsi="Arial"/>
                <w:sz w:val="14"/>
                <w:szCs w:val="14"/>
                <w:color w:val="auto"/>
              </w:rPr>
              <w:t>47,250,000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43,618,742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37,327,500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Octagon Loan Funding,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19.97%,</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November 18, 2031)</w:t>
            </w:r>
          </w:p>
        </w:tc>
        <w:tc>
          <w:tcPr>
            <w:tcW w:w="940" w:type="dxa"/>
            <w:vAlign w:val="bottom"/>
          </w:tcPr>
          <w:p>
            <w:pPr>
              <w:jc w:val="right"/>
              <w:spacing w:after="0"/>
              <w:rPr>
                <w:sz w:val="20"/>
                <w:szCs w:val="20"/>
                <w:color w:val="auto"/>
              </w:rPr>
            </w:pPr>
            <w:r>
              <w:rPr>
                <w:rFonts w:ascii="Arial" w:cs="Arial" w:eastAsia="Arial" w:hAnsi="Arial"/>
                <w:sz w:val="14"/>
                <w:szCs w:val="14"/>
                <w:color w:val="auto"/>
              </w:rPr>
              <w:t>1,774,526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1,013,843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905,008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OFSI Fund VII,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5"/>
              </w:rPr>
              <w:t>CLO subordinated notes</w:t>
            </w:r>
            <w:r>
              <w:rPr>
                <w:rFonts w:ascii="Arial" w:cs="Arial" w:eastAsia="Arial" w:hAnsi="Arial"/>
                <w:sz w:val="21"/>
                <w:szCs w:val="21"/>
                <w:color w:val="auto"/>
                <w:w w:val="95"/>
                <w:vertAlign w:val="superscript"/>
              </w:rPr>
              <w:t>(5)(7)</w:t>
            </w:r>
            <w:r>
              <w:rPr>
                <w:rFonts w:ascii="Arial" w:cs="Arial" w:eastAsia="Arial" w:hAnsi="Arial"/>
                <w:sz w:val="14"/>
                <w:szCs w:val="14"/>
                <w:color w:val="auto"/>
                <w:w w:val="95"/>
              </w:rPr>
              <w:t>, (Estimated yield -6.12%, maturity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October 18, 2026)</w:t>
            </w:r>
          </w:p>
        </w:tc>
        <w:tc>
          <w:tcPr>
            <w:tcW w:w="940" w:type="dxa"/>
            <w:vAlign w:val="bottom"/>
          </w:tcPr>
          <w:p>
            <w:pPr>
              <w:jc w:val="right"/>
              <w:spacing w:after="0"/>
              <w:rPr>
                <w:sz w:val="20"/>
                <w:szCs w:val="20"/>
                <w:color w:val="auto"/>
              </w:rPr>
            </w:pPr>
            <w:r>
              <w:rPr>
                <w:rFonts w:ascii="Arial" w:cs="Arial" w:eastAsia="Arial" w:hAnsi="Arial"/>
                <w:sz w:val="14"/>
                <w:szCs w:val="14"/>
                <w:color w:val="auto"/>
              </w:rPr>
              <w:t>28,840,000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16,728,951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OFSI BSL VIII,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8"/>
              </w:rPr>
              <w:t>CLO preferred shares</w:t>
            </w:r>
            <w:r>
              <w:rPr>
                <w:rFonts w:ascii="Arial" w:cs="Arial" w:eastAsia="Arial" w:hAnsi="Arial"/>
                <w:sz w:val="21"/>
                <w:szCs w:val="21"/>
                <w:color w:val="auto"/>
                <w:w w:val="98"/>
                <w:vertAlign w:val="superscript"/>
              </w:rPr>
              <w:t>(5)(7)</w:t>
            </w:r>
            <w:r>
              <w:rPr>
                <w:rFonts w:ascii="Arial" w:cs="Arial" w:eastAsia="Arial" w:hAnsi="Arial"/>
                <w:sz w:val="14"/>
                <w:szCs w:val="14"/>
                <w:color w:val="auto"/>
                <w:w w:val="98"/>
              </w:rPr>
              <w:t>, (Estimated yield 25.81%, maturity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August 16, 2029)</w:t>
            </w:r>
          </w:p>
        </w:tc>
        <w:tc>
          <w:tcPr>
            <w:tcW w:w="940" w:type="dxa"/>
            <w:vAlign w:val="bottom"/>
          </w:tcPr>
          <w:p>
            <w:pPr>
              <w:jc w:val="right"/>
              <w:spacing w:after="0"/>
              <w:rPr>
                <w:sz w:val="20"/>
                <w:szCs w:val="20"/>
                <w:color w:val="auto"/>
              </w:rPr>
            </w:pPr>
            <w:r>
              <w:rPr>
                <w:rFonts w:ascii="Arial" w:cs="Arial" w:eastAsia="Arial" w:hAnsi="Arial"/>
                <w:sz w:val="14"/>
                <w:szCs w:val="14"/>
                <w:color w:val="auto"/>
              </w:rPr>
              <w:t>8,500,000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6,118,610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4,845,000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OFSI BSL IX,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preferred shares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18.10%,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31, 2118)</w:t>
            </w:r>
          </w:p>
        </w:tc>
        <w:tc>
          <w:tcPr>
            <w:tcW w:w="940" w:type="dxa"/>
            <w:vAlign w:val="bottom"/>
          </w:tcPr>
          <w:p>
            <w:pPr>
              <w:jc w:val="right"/>
              <w:spacing w:after="0"/>
              <w:rPr>
                <w:sz w:val="20"/>
                <w:szCs w:val="20"/>
                <w:color w:val="auto"/>
              </w:rPr>
            </w:pPr>
            <w:r>
              <w:rPr>
                <w:rFonts w:ascii="Arial" w:cs="Arial" w:eastAsia="Arial" w:hAnsi="Arial"/>
                <w:sz w:val="14"/>
                <w:szCs w:val="14"/>
                <w:color w:val="auto"/>
              </w:rPr>
              <w:t>11,480,000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10,057,862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8,265,600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OHA Loan Funding 2012-1,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subordinated notes</w:t>
            </w:r>
            <w:r>
              <w:rPr>
                <w:rFonts w:ascii="Arial" w:cs="Arial" w:eastAsia="Arial" w:hAnsi="Arial"/>
                <w:sz w:val="21"/>
                <w:szCs w:val="21"/>
                <w:color w:val="auto"/>
                <w:w w:val="97"/>
                <w:vertAlign w:val="superscript"/>
              </w:rPr>
              <w:t>(5)(7)(10)(15)</w:t>
            </w:r>
            <w:r>
              <w:rPr>
                <w:rFonts w:ascii="Arial" w:cs="Arial" w:eastAsia="Arial" w:hAnsi="Arial"/>
                <w:sz w:val="14"/>
                <w:szCs w:val="14"/>
                <w:color w:val="auto"/>
                <w:w w:val="97"/>
              </w:rPr>
              <w:t>, (Estimated yield 0.00%,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23, 2025)</w:t>
            </w:r>
          </w:p>
        </w:tc>
        <w:tc>
          <w:tcPr>
            <w:tcW w:w="940" w:type="dxa"/>
            <w:vAlign w:val="bottom"/>
          </w:tcPr>
          <w:p>
            <w:pPr>
              <w:jc w:val="right"/>
              <w:spacing w:after="0"/>
              <w:rPr>
                <w:sz w:val="20"/>
                <w:szCs w:val="20"/>
                <w:color w:val="auto"/>
              </w:rPr>
            </w:pPr>
            <w:r>
              <w:rPr>
                <w:rFonts w:ascii="Arial" w:cs="Arial" w:eastAsia="Arial" w:hAnsi="Arial"/>
                <w:sz w:val="14"/>
                <w:szCs w:val="14"/>
                <w:color w:val="auto"/>
              </w:rPr>
              <w:t>7,400,000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165,547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444,000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OZLM Funding III,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6"/>
              </w:rPr>
              <w:t>CLO subordinated notes</w:t>
            </w:r>
            <w:r>
              <w:rPr>
                <w:rFonts w:ascii="Arial" w:cs="Arial" w:eastAsia="Arial" w:hAnsi="Arial"/>
                <w:sz w:val="21"/>
                <w:szCs w:val="21"/>
                <w:color w:val="auto"/>
                <w:w w:val="96"/>
                <w:vertAlign w:val="superscript"/>
              </w:rPr>
              <w:t>(5)(7)</w:t>
            </w:r>
            <w:r>
              <w:rPr>
                <w:rFonts w:ascii="Arial" w:cs="Arial" w:eastAsia="Arial" w:hAnsi="Arial"/>
                <w:sz w:val="14"/>
                <w:szCs w:val="14"/>
                <w:color w:val="auto"/>
                <w:w w:val="96"/>
              </w:rPr>
              <w:t>, (Estimated yield 7.55%, maturity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January 22, 2029)</w:t>
            </w:r>
          </w:p>
        </w:tc>
        <w:tc>
          <w:tcPr>
            <w:tcW w:w="9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7,363,247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4,560,000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OZLM VIII,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25.23%,</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17, 2029)</w:t>
            </w:r>
          </w:p>
        </w:tc>
        <w:tc>
          <w:tcPr>
            <w:tcW w:w="9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3,446,487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OZLM XIII,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21.49%,</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30, 2027)</w:t>
            </w:r>
          </w:p>
        </w:tc>
        <w:tc>
          <w:tcPr>
            <w:tcW w:w="940" w:type="dxa"/>
            <w:vAlign w:val="bottom"/>
          </w:tcPr>
          <w:p>
            <w:pPr>
              <w:jc w:val="right"/>
              <w:spacing w:after="0"/>
              <w:rPr>
                <w:sz w:val="20"/>
                <w:szCs w:val="20"/>
                <w:color w:val="auto"/>
              </w:rPr>
            </w:pPr>
            <w:r>
              <w:rPr>
                <w:rFonts w:ascii="Arial" w:cs="Arial" w:eastAsia="Arial" w:hAnsi="Arial"/>
                <w:sz w:val="14"/>
                <w:szCs w:val="14"/>
                <w:color w:val="auto"/>
              </w:rPr>
              <w:t>23,000,000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12,234,631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6,440,000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OZLM XIV,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 8.14%,</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15, 2029)</w:t>
            </w:r>
          </w:p>
        </w:tc>
        <w:tc>
          <w:tcPr>
            <w:tcW w:w="9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8,144,020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5,012,974</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Regatta III Funding Ltd.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w w:val="97"/>
              </w:rPr>
              <w:t>CLO subordinated notes</w:t>
            </w:r>
            <w:r>
              <w:rPr>
                <w:rFonts w:ascii="Arial" w:cs="Arial" w:eastAsia="Arial" w:hAnsi="Arial"/>
                <w:sz w:val="21"/>
                <w:szCs w:val="21"/>
                <w:color w:val="auto"/>
                <w:w w:val="97"/>
                <w:vertAlign w:val="superscript"/>
              </w:rPr>
              <w:t>(5)(7)(10)(16)</w:t>
            </w:r>
            <w:r>
              <w:rPr>
                <w:rFonts w:ascii="Arial" w:cs="Arial" w:eastAsia="Arial" w:hAnsi="Arial"/>
                <w:sz w:val="14"/>
                <w:szCs w:val="14"/>
                <w:color w:val="auto"/>
                <w:w w:val="97"/>
              </w:rPr>
              <w:t>, (Estimated yield 0.00%,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2026)</w:t>
            </w:r>
          </w:p>
        </w:tc>
        <w:tc>
          <w:tcPr>
            <w:tcW w:w="940" w:type="dxa"/>
            <w:vAlign w:val="bottom"/>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38,367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45"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4" w:name="page15"/>
    <w:bookmarkEnd w:id="14"/>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Seneca Park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36.68%,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17, 2026)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812,148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Shackleton 2013-IV-R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18.03%,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13,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9,616,605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5,810,013</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Shackleton 2014-V-R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24.48%,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May 07,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9,367,752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9,280,625</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Shackleton 2015-VII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15.51%,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9,159,370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5,337,072</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Shackleton 2017-X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16.68%,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20,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25,538,000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16,186,786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12,258,240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Sound Point CLO VI-R,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17.75%,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19,656,983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9,198,504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6,093,665</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Sound Point CLO XXII,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24.25%,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20, 2032)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3,351,008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3,324,500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Telos CLO 2013-3,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-29.57%,</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17,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14,332,210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7,438,546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3,296,408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Telos CLO 2013-4,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17.91%,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17,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7,016,440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4,126,123</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Telos CLO 2014-6,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26.05%,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17,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8,737,971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4,992,042</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Thacher Park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25.35%,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1,234,504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THL Credit Wind River 2015-1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22.32%,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819,480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676,000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THL Credit Wind River 2017-1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(5)(7)(11)</w:t>
            </w:r>
            <w:r>
              <w:rPr>
                <w:rFonts w:ascii="Arial" w:cs="Arial" w:eastAsia="Arial" w:hAnsi="Arial"/>
                <w:sz w:val="14"/>
                <w:szCs w:val="14"/>
                <w:color w:val="auto"/>
              </w:rPr>
              <w:t>, (Estimated yield 9.61%,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18,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10,102,797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THL Credit Wind River 2017-4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15.02%,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November 20,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7,732,464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45"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5" w:name="page16"/>
    <w:bookmarkEnd w:id="15"/>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Structured Finance – Equity Investments (continued)</w:t>
            </w:r>
          </w:p>
        </w:tc>
        <w:tc>
          <w:tcPr>
            <w:tcW w:w="7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Tralee CLO 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16.76%,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20, 2029)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6,300,000</w:t>
            </w:r>
          </w:p>
        </w:tc>
        <w:tc>
          <w:tcPr>
            <w:tcW w:w="10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2,438,568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Tralee CLO IV,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15.28%,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20, 2030)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13,270,000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11,559,214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6,635,000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Trinitas CLO VII,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23.38%,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January 25,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1,177,724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1,168,000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Trinitas CLO VIII,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19.38%,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20, 2117)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630,614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562,500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XIV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19.24%,</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August 28, 2029)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5,067,278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XV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11.23%,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2032)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9,450,126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5,890,814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2,835,038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XVII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4.13%,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10,400,477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5,623,378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XX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-14.96%,</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3,657,081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XXI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19.83%,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2027)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18,096,174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32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17.83%,</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18,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3,184,518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2,485,000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Venture 37 CLO, Limited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(5)(7)(9)</w:t>
            </w:r>
            <w:r>
              <w:rPr>
                <w:rFonts w:ascii="Arial" w:cs="Arial" w:eastAsia="Arial" w:hAnsi="Arial"/>
                <w:sz w:val="14"/>
                <w:szCs w:val="14"/>
                <w:color w:val="auto"/>
              </w:rPr>
              <w:t>, (Estimated yield 19.68%,</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15, 2032)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8,053,126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7,290,000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Vibrant CLO III,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18.75%,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2031)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3,627,808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Wellfleet 2016-2 CLO,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w:t>
            </w:r>
            <w:r>
              <w:rPr>
                <w:rFonts w:ascii="Arial" w:cs="Arial" w:eastAsia="Arial" w:hAnsi="Arial"/>
                <w:sz w:val="14"/>
                <w:szCs w:val="14"/>
                <w:color w:val="auto"/>
              </w:rPr>
              <w:t>, (Estimated yield 17.75%,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October 20, 2028)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8,362,726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5,800,000</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West CLO 2014-1, Ltd.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4"/>
                <w:szCs w:val="14"/>
                <w:color w:val="auto"/>
              </w:rPr>
              <w:t>CLO subordinated notes</w:t>
            </w:r>
            <w:r>
              <w:rPr>
                <w:rFonts w:ascii="Arial" w:cs="Arial" w:eastAsia="Arial" w:hAnsi="Arial"/>
                <w:sz w:val="21"/>
                <w:szCs w:val="21"/>
                <w:color w:val="auto"/>
                <w:vertAlign w:val="superscript"/>
              </w:rPr>
              <w:t>(5)(7)(12)</w:t>
            </w:r>
            <w:r>
              <w:rPr>
                <w:rFonts w:ascii="Arial" w:cs="Arial" w:eastAsia="Arial" w:hAnsi="Arial"/>
                <w:sz w:val="14"/>
                <w:szCs w:val="14"/>
                <w:color w:val="auto"/>
              </w:rPr>
              <w:t>, (Estimated yield 30.71%,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July 18, 2026)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8,779,003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-8207375</wp:posOffset>
            </wp:positionV>
            <wp:extent cx="5145405"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-7787005</wp:posOffset>
            </wp:positionV>
            <wp:extent cx="5145405" cy="180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-7426960</wp:posOffset>
            </wp:positionV>
            <wp:extent cx="5145405"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-7006590</wp:posOffset>
            </wp:positionV>
            <wp:extent cx="5145405"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-6586220</wp:posOffset>
            </wp:positionV>
            <wp:extent cx="514540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-6226175</wp:posOffset>
            </wp:positionV>
            <wp:extent cx="5145405"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-5806440</wp:posOffset>
            </wp:positionV>
            <wp:extent cx="514540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-5386070</wp:posOffset>
            </wp:positionV>
            <wp:extent cx="514540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-5026025</wp:posOffset>
            </wp:positionV>
            <wp:extent cx="5145405"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-4605655</wp:posOffset>
            </wp:positionV>
            <wp:extent cx="5145405"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-4185285</wp:posOffset>
            </wp:positionV>
            <wp:extent cx="5145405"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-3825240</wp:posOffset>
            </wp:positionV>
            <wp:extent cx="5145405"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-3404870</wp:posOffset>
            </wp:positionV>
            <wp:extent cx="5145405"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-2984500</wp:posOffset>
            </wp:positionV>
            <wp:extent cx="5145405"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-2624455</wp:posOffset>
            </wp:positionV>
            <wp:extent cx="5145405"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-2204085</wp:posOffset>
            </wp:positionV>
            <wp:extent cx="5145405"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-1784350</wp:posOffset>
            </wp:positionV>
            <wp:extent cx="514540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-1423670</wp:posOffset>
            </wp:positionV>
            <wp:extent cx="5145405"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-1003935</wp:posOffset>
            </wp:positionV>
            <wp:extent cx="514540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-583565</wp:posOffset>
            </wp:positionV>
            <wp:extent cx="5145405"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5405" cy="18034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-223520</wp:posOffset>
            </wp:positionV>
            <wp:extent cx="5145405"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149"/>
        <w:spacing w:after="0"/>
        <w:tabs>
          <w:tab w:leader="none" w:pos="34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6261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4545" w:lineRule="exact"/>
        <w:rPr>
          <w:sz w:val="20"/>
          <w:szCs w:val="20"/>
          <w:color w:val="auto"/>
        </w:rPr>
      </w:pPr>
    </w:p>
    <w:p>
      <w:pPr>
        <w:sectPr>
          <w:pgSz w:w="11900" w:h="16838" w:orient="portrait"/>
          <w:cols w:equalWidth="0" w:num="2">
            <w:col w:w="7500" w:space="200"/>
            <w:col w:w="1319"/>
          </w:cols>
          <w:pgMar w:left="1440" w:top="337" w:right="1440" w:bottom="0" w:gutter="0" w:footer="0" w:header="0"/>
        </w:sect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16" w:name="page17"/>
    <w:bookmarkEnd w:id="16"/>
    <w:p>
      <w:pPr>
        <w:ind w:left="3140"/>
        <w:spacing w:after="0"/>
        <w:rPr>
          <w:sz w:val="20"/>
          <w:szCs w:val="20"/>
          <w:color w:val="auto"/>
        </w:rPr>
      </w:pPr>
      <w:r>
        <w:rPr>
          <w:rFonts w:ascii="Arial" w:cs="Arial" w:eastAsia="Arial" w:hAnsi="Arial"/>
          <w:sz w:val="18"/>
          <w:szCs w:val="18"/>
          <w:b w:val="1"/>
          <w:bCs w:val="1"/>
          <w:color w:val="auto"/>
        </w:rPr>
        <w:t>OXFORD LANE CAPITAL CORP.</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0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COMPANY/INVESTMENT</w:t>
            </w:r>
            <w:r>
              <w:rPr>
                <w:rFonts w:ascii="Arial" w:cs="Arial" w:eastAsia="Arial" w:hAnsi="Arial"/>
                <w:sz w:val="14"/>
                <w:szCs w:val="14"/>
                <w:b w:val="1"/>
                <w:bCs w:val="1"/>
                <w:color w:val="auto"/>
                <w:vertAlign w:val="superscript"/>
              </w:rPr>
              <w:t>(1)(14)</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PRINCIPAL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FAIR</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96"/>
        </w:trPr>
        <w:tc>
          <w:tcPr>
            <w:tcW w:w="400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AMOUNT</w:t>
            </w:r>
          </w:p>
        </w:tc>
        <w:tc>
          <w:tcPr>
            <w:tcW w:w="16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VALUE</w:t>
            </w:r>
            <w:r>
              <w:rPr>
                <w:rFonts w:ascii="Arial" w:cs="Arial" w:eastAsia="Arial" w:hAnsi="Arial"/>
                <w:sz w:val="14"/>
                <w:szCs w:val="14"/>
                <w:b w:val="1"/>
                <w:bCs w:val="1"/>
                <w:color w:val="auto"/>
                <w:w w:val="93"/>
                <w:vertAlign w:val="superscript"/>
              </w:rPr>
              <w:t>(2)</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gridSpan w:val="7"/>
          </w:tcPr>
          <w:p>
            <w:pPr>
              <w:spacing w:after="0"/>
              <w:rPr>
                <w:sz w:val="20"/>
                <w:szCs w:val="20"/>
                <w:color w:val="auto"/>
              </w:rPr>
            </w:pPr>
            <w:r>
              <w:rPr>
                <w:rFonts w:ascii="Arial" w:cs="Arial" w:eastAsia="Arial" w:hAnsi="Arial"/>
                <w:sz w:val="14"/>
                <w:szCs w:val="14"/>
                <w:b w:val="1"/>
                <w:bCs w:val="1"/>
                <w:color w:val="auto"/>
              </w:rPr>
              <w:t>Structured Finance – Equity Investments (continued)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Zais CLO 8, Limited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5"/>
          </w:tcPr>
          <w:p>
            <w:pPr>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(5)(7)(12)</w:t>
            </w:r>
            <w:r>
              <w:rPr>
                <w:rFonts w:ascii="Arial" w:cs="Arial" w:eastAsia="Arial" w:hAnsi="Arial"/>
                <w:sz w:val="13"/>
                <w:szCs w:val="13"/>
                <w:color w:val="auto"/>
              </w:rPr>
              <w:t>, (Estimated yield 25.38%,</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5"/>
          </w:tcPr>
          <w:p>
            <w:pPr>
              <w:ind w:left="180"/>
              <w:spacing w:after="0"/>
              <w:rPr>
                <w:sz w:val="20"/>
                <w:szCs w:val="20"/>
                <w:color w:val="auto"/>
              </w:rPr>
            </w:pPr>
            <w:r>
              <w:rPr>
                <w:rFonts w:ascii="Arial" w:cs="Arial" w:eastAsia="Arial" w:hAnsi="Arial"/>
                <w:sz w:val="14"/>
                <w:szCs w:val="14"/>
                <w:color w:val="auto"/>
              </w:rPr>
              <w:t>maturity April 15, 2029)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2,288,932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1,920,000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Zais CLO 9, Limited</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20" w:type="dxa"/>
            <w:vAlign w:val="bottom"/>
            <w:gridSpan w:val="5"/>
            <w:shd w:val="clear" w:color="auto" w:fill="CCEEFF"/>
          </w:tcPr>
          <w:p>
            <w:pPr>
              <w:spacing w:after="0" w:line="171"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19"/>
                <w:szCs w:val="19"/>
                <w:color w:val="auto"/>
                <w:vertAlign w:val="superscript"/>
              </w:rPr>
              <w:t>(5)(7)</w:t>
            </w:r>
            <w:r>
              <w:rPr>
                <w:rFonts w:ascii="Arial" w:cs="Arial" w:eastAsia="Arial" w:hAnsi="Arial"/>
                <w:sz w:val="13"/>
                <w:szCs w:val="13"/>
                <w:color w:val="auto"/>
              </w:rPr>
              <w:t>, (Estimated yield 19.75%,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maturity July 20, 2031)</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10,700,000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9,188,416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6,848,000</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Other CLO equity related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CLO other</w:t>
            </w:r>
            <w:r>
              <w:rPr>
                <w:rFonts w:ascii="Arial" w:cs="Arial" w:eastAsia="Arial" w:hAnsi="Arial"/>
                <w:sz w:val="21"/>
                <w:szCs w:val="21"/>
                <w:color w:val="auto"/>
                <w:vertAlign w:val="superscript"/>
              </w:rPr>
              <w:t>(8)</w:t>
            </w: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1,928,086</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Structured Finance - Equity Investments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760,332,496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565,351,547</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Collateralized Loan Obligation - Equity Investments</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2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760,332,496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565,351,547</w:t>
            </w: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144.04%</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23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789,015,644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590,560,448</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150.47%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23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20" w:type="dxa"/>
            <w:vAlign w:val="bottom"/>
            <w:gridSpan w:val="5"/>
          </w:tcPr>
          <w:p>
            <w:pPr>
              <w:spacing w:after="0"/>
              <w:rPr>
                <w:sz w:val="20"/>
                <w:szCs w:val="20"/>
                <w:color w:val="auto"/>
              </w:rPr>
            </w:pPr>
            <w:r>
              <w:rPr>
                <w:rFonts w:ascii="Arial" w:cs="Arial" w:eastAsia="Arial" w:hAnsi="Arial"/>
                <w:sz w:val="14"/>
                <w:szCs w:val="14"/>
                <w:b w:val="1"/>
                <w:bCs w:val="1"/>
                <w:color w:val="auto"/>
              </w:rPr>
              <w:t>Cash Equivalents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First American Government Obligations Fund</w:t>
            </w:r>
            <w:r>
              <w:rPr>
                <w:rFonts w:ascii="Arial" w:cs="Arial" w:eastAsia="Arial" w:hAnsi="Arial"/>
                <w:sz w:val="21"/>
                <w:szCs w:val="21"/>
                <w:color w:val="auto"/>
                <w:vertAlign w:val="superscript"/>
              </w:rPr>
              <w:t>(13)</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25,519,069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25,519,069</w:t>
            </w: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20" w:type="dxa"/>
            <w:vAlign w:val="bottom"/>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Total Cash Equivalents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25,519,069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25,519,069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Investments and Cash Equivalents</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814,534,713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616,079,517</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156.97%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60" w:type="dxa"/>
            <w:vAlign w:val="bottom"/>
            <w:gridSpan w:val="4"/>
            <w:vMerge w:val="restart"/>
          </w:tcPr>
          <w:p>
            <w:pPr>
              <w:spacing w:after="0"/>
              <w:rPr>
                <w:sz w:val="20"/>
                <w:szCs w:val="20"/>
                <w:color w:val="auto"/>
              </w:rPr>
            </w:pPr>
            <w:r>
              <w:rPr>
                <w:rFonts w:ascii="Arial" w:cs="Arial" w:eastAsia="Arial" w:hAnsi="Arial"/>
                <w:sz w:val="16"/>
                <w:szCs w:val="16"/>
                <w:color w:val="auto"/>
              </w:rPr>
              <w:t>____________</w:t>
            </w: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00" w:right="739" w:hanging="438"/>
        <w:spacing w:after="0" w:line="265" w:lineRule="auto"/>
        <w:tabs>
          <w:tab w:leader="none" w:pos="85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 w:lineRule="exact"/>
        <w:rPr>
          <w:rFonts w:ascii="Arial" w:cs="Arial" w:eastAsia="Arial" w:hAnsi="Arial"/>
          <w:sz w:val="16"/>
          <w:szCs w:val="16"/>
          <w:color w:val="auto"/>
        </w:rPr>
      </w:pP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Fair value is determined in good faith by the Board of Directors of the Fund.</w:t>
      </w:r>
    </w:p>
    <w:p>
      <w:pPr>
        <w:spacing w:after="0" w:line="18" w:lineRule="exact"/>
        <w:rPr>
          <w:rFonts w:ascii="Arial" w:cs="Arial" w:eastAsia="Arial" w:hAnsi="Arial"/>
          <w:sz w:val="16"/>
          <w:szCs w:val="16"/>
          <w:color w:val="auto"/>
        </w:rPr>
      </w:pP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value reflects accretion of original issue discount or market discount.</w:t>
      </w:r>
    </w:p>
    <w:p>
      <w:pPr>
        <w:spacing w:after="0" w:line="18" w:lineRule="exact"/>
        <w:rPr>
          <w:rFonts w:ascii="Arial" w:cs="Arial" w:eastAsia="Arial" w:hAnsi="Arial"/>
          <w:sz w:val="16"/>
          <w:szCs w:val="16"/>
          <w:color w:val="auto"/>
        </w:rPr>
      </w:pP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 represents greater than 5% of net assets.</w:t>
      </w:r>
    </w:p>
    <w:p>
      <w:pPr>
        <w:spacing w:after="0" w:line="18" w:lineRule="exact"/>
        <w:rPr>
          <w:rFonts w:ascii="Arial" w:cs="Arial" w:eastAsia="Arial" w:hAnsi="Arial"/>
          <w:sz w:val="16"/>
          <w:szCs w:val="16"/>
          <w:color w:val="auto"/>
        </w:rPr>
      </w:pPr>
    </w:p>
    <w:p>
      <w:pPr>
        <w:ind w:left="900" w:right="479" w:hanging="438"/>
        <w:spacing w:after="0" w:line="264" w:lineRule="auto"/>
        <w:tabs>
          <w:tab w:leader="none" w:pos="85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value reflects accretion of effective yield less any cash distributions received or entitled to be received from CLO equity investments.</w:t>
      </w:r>
    </w:p>
    <w:p>
      <w:pPr>
        <w:ind w:left="900" w:right="619" w:hanging="438"/>
        <w:spacing w:after="0" w:line="264" w:lineRule="auto"/>
        <w:tabs>
          <w:tab w:leader="none" w:pos="8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CLO secured notes generally bear interest at a rate determined by reference to three-month LIBOR which resets quarterly. For each CLO debt investment, the rate provided is as of September 30, 2019.</w:t>
      </w:r>
    </w:p>
    <w:p>
      <w:pPr>
        <w:ind w:left="900" w:right="499" w:hanging="438"/>
        <w:spacing w:after="0" w:line="281" w:lineRule="auto"/>
        <w:tabs>
          <w:tab w:leader="none" w:pos="85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3" w:lineRule="exact"/>
        <w:rPr>
          <w:rFonts w:ascii="Arial" w:cs="Arial" w:eastAsia="Arial" w:hAnsi="Arial"/>
          <w:sz w:val="15"/>
          <w:szCs w:val="15"/>
          <w:color w:val="auto"/>
        </w:rPr>
      </w:pP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Fair value represents discounted cash flows associated with fees earned from CLO equity investments</w:t>
      </w:r>
    </w:p>
    <w:p>
      <w:pPr>
        <w:spacing w:after="0" w:line="18" w:lineRule="exact"/>
        <w:rPr>
          <w:rFonts w:ascii="Arial" w:cs="Arial" w:eastAsia="Arial" w:hAnsi="Arial"/>
          <w:sz w:val="16"/>
          <w:szCs w:val="16"/>
          <w:color w:val="auto"/>
        </w:rPr>
      </w:pPr>
    </w:p>
    <w:p>
      <w:pPr>
        <w:ind w:left="900" w:right="1079" w:hanging="438"/>
        <w:spacing w:after="0" w:line="264" w:lineRule="auto"/>
        <w:tabs>
          <w:tab w:leader="none" w:pos="85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 has not made inaugural distribution for relevant period end. See “Note 3. Summary of Significant Accounting Policies — Investment Income.”</w:t>
      </w:r>
    </w:p>
    <w:p>
      <w:pPr>
        <w:ind w:left="900" w:right="639" w:hanging="438"/>
        <w:spacing w:after="0" w:line="264" w:lineRule="auto"/>
        <w:tabs>
          <w:tab w:leader="none" w:pos="8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CLO equity investment was optionally redeemed. See “Note 3. Summary of Significant Accounting Policies — Securities Transactions.”</w:t>
      </w:r>
    </w:p>
    <w:p>
      <w:pPr>
        <w:ind w:left="900" w:right="519" w:hanging="438"/>
        <w:spacing w:after="0" w:line="264" w:lineRule="auto"/>
        <w:tabs>
          <w:tab w:leader="none" w:pos="853"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Securities held as collateral pursuant to repurchase agreement with Nomura Securities International, Inc. See “Note 9. Borrowings Related to Securities Sold Under Agreement to Repurchase.”</w:t>
      </w: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CLO is co-invested with the Fund’s affiliates. See “Note 5. Related Party Transactions.”</w:t>
      </w:r>
    </w:p>
    <w:p>
      <w:pPr>
        <w:spacing w:after="0" w:line="18" w:lineRule="exact"/>
        <w:rPr>
          <w:rFonts w:ascii="Arial" w:cs="Arial" w:eastAsia="Arial" w:hAnsi="Arial"/>
          <w:sz w:val="16"/>
          <w:szCs w:val="16"/>
          <w:color w:val="auto"/>
        </w:rPr>
      </w:pPr>
    </w:p>
    <w:p>
      <w:pPr>
        <w:ind w:left="860" w:hanging="398"/>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cash equivalents held in a money market account as of September 30, 2019.</w:t>
      </w:r>
    </w:p>
    <w:p>
      <w:pPr>
        <w:spacing w:after="0" w:line="18" w:lineRule="exact"/>
        <w:rPr>
          <w:rFonts w:ascii="Arial" w:cs="Arial" w:eastAsia="Arial" w:hAnsi="Arial"/>
          <w:sz w:val="16"/>
          <w:szCs w:val="16"/>
          <w:color w:val="auto"/>
        </w:rPr>
      </w:pPr>
    </w:p>
    <w:p>
      <w:pPr>
        <w:ind w:left="860" w:hanging="398"/>
        <w:spacing w:after="0"/>
        <w:tabs>
          <w:tab w:leader="none" w:pos="8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fair value of the investment was determined using significant unobservable inputs. See “Note 4. Fair Value.”</w:t>
      </w:r>
    </w:p>
    <w:p>
      <w:pPr>
        <w:spacing w:after="0" w:line="30" w:lineRule="exact"/>
        <w:rPr>
          <w:rFonts w:ascii="Arial" w:cs="Arial" w:eastAsia="Arial" w:hAnsi="Arial"/>
          <w:sz w:val="15"/>
          <w:szCs w:val="15"/>
          <w:color w:val="auto"/>
        </w:rPr>
      </w:pPr>
    </w:p>
    <w:p>
      <w:pPr>
        <w:ind w:left="900" w:right="1139" w:hanging="438"/>
        <w:spacing w:after="0" w:line="264" w:lineRule="auto"/>
        <w:tabs>
          <w:tab w:leader="none" w:pos="8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investment was optionally redeemed during the quarter ended June 30, 2019. See “Note 3. Summary of Significant Accounting Policies — Securities Transactions.”</w:t>
      </w:r>
    </w:p>
    <w:p>
      <w:pPr>
        <w:ind w:left="900" w:right="1159" w:hanging="438"/>
        <w:spacing w:after="0" w:line="288" w:lineRule="auto"/>
        <w:tabs>
          <w:tab w:leader="none" w:pos="89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investment represents our percent ownership in certain equity securities transferred to OXLC upon the redemption of this investment on October 25,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337" w:right="1440" w:bottom="622"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622"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Six Months</w:t>
            </w: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r>
      <w:tr>
        <w:trPr>
          <w:trHeight w:val="203"/>
        </w:trPr>
        <w:tc>
          <w:tcPr>
            <w:tcW w:w="68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Income from securitization vehicles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53,688,784</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 debt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1,128,050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1,009,319</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55,826,153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68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Incentive fees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8,144,446</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7,350,002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6,273,389</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396,683</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Administrator expense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343,112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agent and custodian fees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72,481</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23,248,370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32,577,783</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(116,179,886)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(2,970,302)</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loss and net change in unrealized depreciation</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(119,150,188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(86,572,405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5"/>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Six Months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5560" w:type="dxa"/>
            <w:vAlign w:val="bottom"/>
          </w:tcPr>
          <w:p>
            <w:pPr>
              <w:spacing w:after="0"/>
              <w:rPr>
                <w:sz w:val="17"/>
                <w:szCs w:val="17"/>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net assets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32,577,783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49,085,417</w:t>
            </w:r>
          </w:p>
        </w:tc>
        <w:tc>
          <w:tcPr>
            <w:tcW w:w="140" w:type="dxa"/>
            <w:vAlign w:val="bottom"/>
          </w:tcPr>
          <w:p>
            <w:pPr>
              <w:spacing w:after="0"/>
              <w:rPr>
                <w:sz w:val="21"/>
                <w:szCs w:val="21"/>
                <w:color w:val="auto"/>
              </w:rPr>
            </w:pPr>
          </w:p>
        </w:tc>
      </w:tr>
      <w:tr>
        <w:trPr>
          <w:trHeight w:val="41"/>
        </w:trPr>
        <w:tc>
          <w:tcPr>
            <w:tcW w:w="5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losses on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(2,970,302)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(2,897,270)</w:t>
            </w:r>
          </w:p>
        </w:tc>
      </w:tr>
      <w:tr>
        <w:trPr>
          <w:trHeight w:val="257"/>
        </w:trPr>
        <w:tc>
          <w:tcPr>
            <w:tcW w:w="5560" w:type="dxa"/>
            <w:vAlign w:val="bottom"/>
          </w:tcPr>
          <w:p>
            <w:pPr>
              <w:ind w:left="180"/>
              <w:spacing w:after="0"/>
              <w:rPr>
                <w:sz w:val="20"/>
                <w:szCs w:val="20"/>
                <w:color w:val="auto"/>
              </w:rPr>
            </w:pPr>
            <w:r>
              <w:rPr>
                <w:rFonts w:ascii="Arial" w:cs="Arial" w:eastAsia="Arial" w:hAnsi="Arial"/>
                <w:sz w:val="18"/>
                <w:szCs w:val="18"/>
                <w:color w:val="auto"/>
              </w:rPr>
              <w:t>Net change in unrealized depreciation on investments</w:t>
            </w:r>
          </w:p>
        </w:tc>
        <w:tc>
          <w:tcPr>
            <w:tcW w:w="1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(116,179,886)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5"/>
              </w:rPr>
              <w:t>(67,170,145)</w:t>
            </w: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(86,572,405</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(20,981,998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5560" w:type="dxa"/>
            <w:vAlign w:val="bottom"/>
          </w:tcPr>
          <w:p>
            <w:pPr>
              <w:spacing w:after="0"/>
              <w:rPr>
                <w:sz w:val="20"/>
                <w:szCs w:val="20"/>
                <w:color w:val="auto"/>
              </w:rPr>
            </w:pPr>
            <w:r>
              <w:rPr>
                <w:rFonts w:ascii="Arial" w:cs="Arial" w:eastAsia="Arial" w:hAnsi="Arial"/>
                <w:sz w:val="18"/>
                <w:szCs w:val="18"/>
                <w:color w:val="auto"/>
              </w:rPr>
              <w:t>Distributions of net investment income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(35,914,573)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(47,264,503)</w:t>
            </w:r>
          </w:p>
        </w:tc>
        <w:tc>
          <w:tcPr>
            <w:tcW w:w="140" w:type="dxa"/>
            <w:vAlign w:val="bottom"/>
          </w:tcPr>
          <w:p>
            <w:pPr>
              <w:spacing w:after="0"/>
              <w:rPr>
                <w:sz w:val="19"/>
                <w:szCs w:val="19"/>
                <w:color w:val="auto"/>
              </w:rPr>
            </w:pPr>
          </w:p>
        </w:tc>
      </w:tr>
      <w:tr>
        <w:trPr>
          <w:trHeight w:val="40"/>
        </w:trPr>
        <w:tc>
          <w:tcPr>
            <w:tcW w:w="5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of return of capital</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(4,920,556)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(9,750,228)</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Total distributions to stockholders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(40,835,129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(57,014,731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Capital share transactions: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Issuance of common stock (net of underwriting fees and offering costs of</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$2,284,330 and $2,535,898,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161,336,635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139,119,170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560" w:type="dxa"/>
            <w:vAlign w:val="bottom"/>
          </w:tcPr>
          <w:p>
            <w:pPr>
              <w:ind w:left="180"/>
              <w:spacing w:after="0"/>
              <w:rPr>
                <w:sz w:val="20"/>
                <w:szCs w:val="20"/>
                <w:color w:val="auto"/>
              </w:rPr>
            </w:pPr>
            <w:r>
              <w:rPr>
                <w:rFonts w:ascii="Arial" w:cs="Arial" w:eastAsia="Arial" w:hAnsi="Arial"/>
                <w:sz w:val="18"/>
                <w:szCs w:val="18"/>
                <w:color w:val="auto"/>
              </w:rPr>
              <w:t>Reinvestment of distributions</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4,727,869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2,779,536</w:t>
            </w:r>
          </w:p>
        </w:tc>
        <w:tc>
          <w:tcPr>
            <w:tcW w:w="140" w:type="dxa"/>
            <w:vAlign w:val="bottom"/>
          </w:tcPr>
          <w:p>
            <w:pPr>
              <w:spacing w:after="0"/>
              <w:rPr>
                <w:sz w:val="22"/>
                <w:szCs w:val="22"/>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from capital share transactions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166,064,504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141,898,706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5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increase in net 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38,656,970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63,901,977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353,832,090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289,930,113</w:t>
            </w:r>
          </w:p>
        </w:tc>
        <w:tc>
          <w:tcPr>
            <w:tcW w:w="140" w:type="dxa"/>
            <w:vAlign w:val="bottom"/>
          </w:tcPr>
          <w:p>
            <w:pPr>
              <w:spacing w:after="0"/>
              <w:rPr>
                <w:sz w:val="22"/>
                <w:szCs w:val="22"/>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304"/>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392,489,060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353,832,090</w:t>
            </w:r>
          </w:p>
        </w:tc>
        <w:tc>
          <w:tcPr>
            <w:tcW w:w="140" w:type="dxa"/>
            <w:vAlign w:val="bottom"/>
            <w:tcBorders>
              <w:bottom w:val="single" w:sz="8" w:color="CCEEFF"/>
            </w:tcBorders>
          </w:tcPr>
          <w:p>
            <w:pPr>
              <w:spacing w:after="0"/>
              <w:rPr>
                <w:sz w:val="24"/>
                <w:szCs w:val="24"/>
                <w:color w:val="auto"/>
              </w:rPr>
            </w:pPr>
          </w:p>
        </w:tc>
      </w:tr>
      <w:tr>
        <w:trPr>
          <w:trHeight w:val="271"/>
        </w:trPr>
        <w:tc>
          <w:tcPr>
            <w:tcW w:w="5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Capital share activity:</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16,141,877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13,496,082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60" w:type="dxa"/>
            <w:vAlign w:val="bottom"/>
          </w:tcPr>
          <w:p>
            <w:pPr>
              <w:ind w:left="180"/>
              <w:spacing w:after="0"/>
              <w:rPr>
                <w:sz w:val="20"/>
                <w:szCs w:val="20"/>
                <w:color w:val="auto"/>
              </w:rPr>
            </w:pPr>
            <w:r>
              <w:rPr>
                <w:rFonts w:ascii="Arial" w:cs="Arial" w:eastAsia="Arial" w:hAnsi="Arial"/>
                <w:sz w:val="18"/>
                <w:szCs w:val="18"/>
                <w:color w:val="auto"/>
              </w:rPr>
              <w:t>Shares issued from reinvestment of distributions</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282,820</w:t>
            </w:r>
          </w:p>
        </w:tc>
        <w:tc>
          <w:tcPr>
            <w:tcW w:w="140" w:type="dxa"/>
            <w:vAlign w:val="bottom"/>
          </w:tcPr>
          <w:p>
            <w:pPr>
              <w:spacing w:after="0"/>
              <w:rPr>
                <w:sz w:val="22"/>
                <w:szCs w:val="22"/>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capital share activity</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16,643,716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13,778,902</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Six Months</w:t>
            </w: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r>
      <w:tr>
        <w:trPr>
          <w:trHeight w:val="203"/>
        </w:trPr>
        <w:tc>
          <w:tcPr>
            <w:tcW w:w="68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Net decrease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9"/>
              </w:rPr>
              <w:t>(86,572,405)</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decrease in net assets resulting from operations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 net cash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Amortization/accretion of discounts and premiums</w:t>
            </w: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(138,614)</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Amortization of deferred issuance costs on mandatorily redeemable preferred stock</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342,496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Accretion of discount on mandatorily redeemable preferred stock</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285,570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deferred offering costs on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195,697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(225,189,202)</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of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64,547,844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Net change in unrealized depreciation on investments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116,179,886</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2,970,302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Net reductions to CLO equity cost value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14,670,371</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distributions receivable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(2,916,666)</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Increase in fee receivable</w:t>
            </w: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(1,287)</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interest receivable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(287,072)</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Decrease in prepaid expenses and other assets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666,894</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investment advisory fee payable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959,980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Increase in incentive fee payable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799,223</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 in interest payable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(162,938)</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Increase in administrator expense payable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17,198</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accrued offering costs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360"/>
              <w:spacing w:after="0"/>
              <w:rPr>
                <w:sz w:val="20"/>
                <w:szCs w:val="20"/>
                <w:color w:val="auto"/>
              </w:rPr>
            </w:pPr>
            <w:r>
              <w:rPr>
                <w:rFonts w:ascii="Arial" w:cs="Arial" w:eastAsia="Arial" w:hAnsi="Arial"/>
                <w:sz w:val="18"/>
                <w:szCs w:val="18"/>
                <w:color w:val="auto"/>
              </w:rPr>
              <w:t>Decrease in accrued expenses</w:t>
            </w:r>
          </w:p>
        </w:tc>
        <w:tc>
          <w:tcPr>
            <w:tcW w:w="1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(41,035)</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(113,634,139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paid (net of distribution reinvestment plan of $4,727,869)</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(36,107,260)</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163,620,965</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Underwriting fees and offering costs for the issuance of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(2,284,330)</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(56,601)</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related to securities sold under agreement to repurchase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Repayment of borrowings related to securities sold under agreement to repurchase</w:t>
            </w:r>
          </w:p>
        </w:tc>
        <w:tc>
          <w:tcPr>
            <w:tcW w:w="1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9"/>
              </w:rPr>
              <w:t>(42,493,500)</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117,679,274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6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4,045,135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84"/>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 beginning of period</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21,473,934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7"/>
        </w:trPr>
        <w:tc>
          <w:tcPr>
            <w:tcW w:w="6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25,519,069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6,884,874</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Value of shares issued in connection with distribution reinvestment plan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4,727,869</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purchased not settled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38,775,230</w:t>
            </w:r>
          </w:p>
        </w:tc>
        <w:tc>
          <w:tcPr>
            <w:tcW w:w="140" w:type="dxa"/>
            <w:vAlign w:val="bottom"/>
            <w:shd w:val="clear" w:color="auto" w:fill="CCEEFF"/>
          </w:tcPr>
          <w:p>
            <w:pPr>
              <w:spacing w:after="0"/>
              <w:rPr>
                <w:sz w:val="21"/>
                <w:szCs w:val="21"/>
                <w:color w:val="auto"/>
              </w:rPr>
            </w:pPr>
          </w:p>
        </w:tc>
      </w:tr>
      <w:tr>
        <w:trPr>
          <w:trHeight w:val="41"/>
        </w:trPr>
        <w:tc>
          <w:tcPr>
            <w:tcW w:w="6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337" w:right="1440" w:bottom="82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825"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2018, as filed with the Securities and Exchange Commission (“SEC”).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ORGANIZATION</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OXLC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Loans, and which generally have very little or no exposure to real estate loans, or mortgage loans or to pools of consumer-based debt, such as credit card receivables or auto loans.</w:t>
      </w:r>
    </w:p>
    <w:p>
      <w:pPr>
        <w:spacing w:after="0" w:line="11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OXLC’s investment activities are managed by Oxford Lane Management, LLC (“OXLC Management”), a registered investment adviser under the Investment Advisers Act of 1940, as amended (the “Advisers Act”). Oxford Funds, LLC (“Oxford Funds”), is the managing member of OXLC Management and serves as the administrator of OXLC. Under the investment advisory agreement with OXLC Management (the “Investment Advisory Agreement”), OXLC has agreed to pay OXLC Management an annual base management fee based on gross assets as well as an incentive fee based on its performance. For further detail please refer to “Note 5. Related Party Transactions.”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 xml:space="preserve">The accompanying financial statements, which have been prepared in accordance with generally accepted accounting principles in the United States of America (“GAAP”), include the accounts of the Fund. The Fund follows the accounting and reporting guidance in Financial Accounting Standards Board (“FASB”) Accounting Standards Codification (“ASC”) Topic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Certain prior period figures have been reclassified from those originally published on Form N-CSR to conform to the current period presentation for comparative purposes. The Fund maintains its accounting records in U.S. dollars.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559" w:firstLine="432"/>
        <w:spacing w:after="0" w:line="312" w:lineRule="auto"/>
        <w:rPr>
          <w:sz w:val="20"/>
          <w:szCs w:val="20"/>
          <w:color w:val="auto"/>
        </w:rPr>
      </w:pPr>
      <w:r>
        <w:rPr>
          <w:rFonts w:ascii="Arial" w:cs="Arial" w:eastAsia="Arial" w:hAnsi="Arial"/>
          <w:sz w:val="16"/>
          <w:szCs w:val="16"/>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79" w:lineRule="exact"/>
        <w:rPr>
          <w:sz w:val="20"/>
          <w:szCs w:val="20"/>
          <w:color w:val="auto"/>
        </w:rPr>
      </w:pPr>
    </w:p>
    <w:p>
      <w:pPr>
        <w:ind w:left="460" w:right="799" w:firstLine="432"/>
        <w:spacing w:after="0" w:line="302" w:lineRule="auto"/>
        <w:rPr>
          <w:sz w:val="20"/>
          <w:szCs w:val="20"/>
          <w:color w:val="auto"/>
        </w:rPr>
      </w:pPr>
      <w:r>
        <w:rPr>
          <w:rFonts w:ascii="Arial" w:cs="Arial" w:eastAsia="Arial" w:hAnsi="Arial"/>
          <w:sz w:val="16"/>
          <w:szCs w:val="16"/>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EQUIVALENTS</w:t>
      </w:r>
    </w:p>
    <w:p>
      <w:pPr>
        <w:spacing w:after="0" w:line="162" w:lineRule="exact"/>
        <w:rPr>
          <w:sz w:val="20"/>
          <w:szCs w:val="20"/>
          <w:color w:val="auto"/>
        </w:rPr>
      </w:pPr>
    </w:p>
    <w:p>
      <w:pPr>
        <w:ind w:left="460" w:right="519" w:firstLine="432"/>
        <w:spacing w:after="0" w:line="297" w:lineRule="auto"/>
        <w:rPr>
          <w:sz w:val="20"/>
          <w:szCs w:val="20"/>
          <w:color w:val="auto"/>
        </w:rPr>
      </w:pPr>
      <w:r>
        <w:rPr>
          <w:rFonts w:ascii="Arial" w:cs="Arial" w:eastAsia="Arial" w:hAnsi="Arial"/>
          <w:sz w:val="16"/>
          <w:szCs w:val="16"/>
          <w:color w:val="auto"/>
        </w:rPr>
        <w:t>Cash equivalents consist of demand deposits and cash held in a money market fund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VALUATION</w:t>
      </w:r>
    </w:p>
    <w:p>
      <w:pPr>
        <w:spacing w:after="0" w:line="14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 xml:space="preserve">The Fund determines the fair values of its investment portfolio in accordance with the provisions of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Estimates made in the preparation of OXLC’s financial statements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0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OXLC has acquired debt and equity positions in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OXLC Management.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The Fund has entered into an agreement whereby it sold securities to be repurchased at an agreed-upon price and date. Under this agreement, the Fund accounts for this transaction as a collateralized financing transaction which is recorded at the contracted repurchase amount plus interest. The Fund’s securities sold under the agreement to repurchase are carried at cost. Refer to “Note 9. Borrowings Related to Securities Sold Under Agreement to Repurchase” for further details.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REPURCHASES</w:t>
      </w:r>
    </w:p>
    <w:p>
      <w:pPr>
        <w:spacing w:after="0" w:line="148" w:lineRule="exact"/>
        <w:rPr>
          <w:sz w:val="20"/>
          <w:szCs w:val="20"/>
          <w:color w:val="auto"/>
        </w:rPr>
      </w:pPr>
    </w:p>
    <w:p>
      <w:pPr>
        <w:ind w:left="460" w:right="579" w:firstLine="432"/>
        <w:spacing w:after="0" w:line="276" w:lineRule="auto"/>
        <w:rPr>
          <w:sz w:val="20"/>
          <w:szCs w:val="20"/>
          <w:color w:val="auto"/>
        </w:rPr>
      </w:pPr>
      <w:r>
        <w:rPr>
          <w:rFonts w:ascii="Arial" w:cs="Arial" w:eastAsia="Arial" w:hAnsi="Arial"/>
          <w:sz w:val="17"/>
          <w:szCs w:val="17"/>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for the six months ended September 30, 2019.</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460" w:right="659" w:firstLine="432"/>
        <w:spacing w:after="0" w:line="264" w:lineRule="auto"/>
        <w:rPr>
          <w:sz w:val="20"/>
          <w:szCs w:val="20"/>
          <w:color w:val="auto"/>
        </w:rPr>
      </w:pPr>
      <w:r>
        <w:rPr>
          <w:rFonts w:ascii="Arial" w:cs="Arial" w:eastAsia="Arial" w:hAnsi="Arial"/>
          <w:sz w:val="18"/>
          <w:szCs w:val="18"/>
          <w:color w:val="auto"/>
        </w:rPr>
        <w:t>The Fund carries its mandatorily redeemable preferred stock at accreted cost on the Statement of Assets and Liabilities, and not fair value. Refer to “Note 8. Mandatorily Redeemable Preferred Stock” for further details.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PREPAID EXPENSES AND OTHER ASSETS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Prepaid expenses and other assets generally consists primarily of insurance costs.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from securitization vehicles and investments</w:t>
      </w:r>
    </w:p>
    <w:p>
      <w:pPr>
        <w:spacing w:after="0" w:line="144" w:lineRule="exact"/>
        <w:rPr>
          <w:sz w:val="20"/>
          <w:szCs w:val="20"/>
          <w:color w:val="auto"/>
        </w:rPr>
      </w:pPr>
    </w:p>
    <w:p>
      <w:pPr>
        <w:ind w:left="460" w:right="639" w:firstLine="432"/>
        <w:spacing w:after="0" w:line="290" w:lineRule="auto"/>
        <w:rPr>
          <w:sz w:val="20"/>
          <w:szCs w:val="20"/>
          <w:color w:val="auto"/>
        </w:rPr>
      </w:pPr>
      <w:r>
        <w:rPr>
          <w:rFonts w:ascii="Arial" w:cs="Arial" w:eastAsia="Arial" w:hAnsi="Arial"/>
          <w:sz w:val="16"/>
          <w:szCs w:val="16"/>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based upon an effective yield to the expected redemption utilizing estimated cash flows,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9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158"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2019, the Fund had no non-accrual investments in its portfolio.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left="460" w:right="539" w:firstLine="432"/>
        <w:spacing w:after="0" w:line="297" w:lineRule="auto"/>
        <w:rPr>
          <w:sz w:val="20"/>
          <w:szCs w:val="20"/>
          <w:color w:val="auto"/>
        </w:rPr>
      </w:pPr>
      <w:r>
        <w:rPr>
          <w:rFonts w:ascii="Arial" w:cs="Arial" w:eastAsia="Arial" w:hAnsi="Arial"/>
          <w:sz w:val="16"/>
          <w:szCs w:val="16"/>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TAXES</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Fund intends to operate so as to continue to qualify to be taxed as a RIC under Subchapter M of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90"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11"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2020 tax returns. The Fund identifies its major tax jurisdictions as U.S Federal and Connecticut State. The Fund is not aware of any tax position for which it is reasonably possible that the total amounts of unrecognized tax benefits will change materially in the next six months.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Our distribution policy is based upon our estimate of our taxable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10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Amounts required to be distributed reflect estimates made by the Fund. Distributions paid by the Fund in accordance with RIC requirements are subject to re-characterization for tax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TRANSACTIONS</w:t>
      </w:r>
    </w:p>
    <w:p>
      <w:pPr>
        <w:spacing w:after="0" w:line="162"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Securities transactions are recorded on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which were optionally redeemed are first applied to the remaining cost basis until it is reduced to zero, after which distributions are recorded as realized gains.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 ON COMMON STOCK</w:t>
      </w:r>
    </w:p>
    <w:p>
      <w:pPr>
        <w:spacing w:after="0" w:line="148" w:lineRule="exact"/>
        <w:rPr>
          <w:sz w:val="20"/>
          <w:szCs w:val="20"/>
          <w:color w:val="auto"/>
        </w:rPr>
      </w:pPr>
    </w:p>
    <w:p>
      <w:pPr>
        <w:ind w:left="460" w:right="479" w:firstLine="432"/>
        <w:spacing w:after="0" w:line="297" w:lineRule="auto"/>
        <w:rPr>
          <w:sz w:val="20"/>
          <w:szCs w:val="20"/>
          <w:color w:val="auto"/>
        </w:rPr>
      </w:pPr>
      <w:r>
        <w:rPr>
          <w:rFonts w:ascii="Arial" w:cs="Arial" w:eastAsia="Arial" w:hAnsi="Arial"/>
          <w:sz w:val="16"/>
          <w:szCs w:val="16"/>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costs are periodically reviewed and expensed if the related registration statement is no longer active or if the offering is unsuccessful.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ISSUANCE COSTS ON MANDATORILY REDEEMABLE PREFERRED STOCK</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Deferred issuance costs on mandatorily redeemable preferred stock consist of fees and expenses incurred in connection with the closing of preferred stock offerings, and are capitalized at the time of payment. These costs are amortized using the straight line method over the term of the respective preferred stock series. This amortization expense is included in interest expense in the Fund’s financial statements. Upon early termination of preferred stock, the remaining balance of unamortized fees related to such debt is accelerated into realized loss on redemption of mandatorily redeemable preferred stock on the Fund’s Statement of Operations. Deferred issuance costs are presented on the Statement of Assets and Liabilities as a direct deduction from the related debt liability.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FAIR VALUE</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820-10 at September 30, 2019, were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gridSpan w:val="9"/>
          </w:tcPr>
          <w:p>
            <w:pPr>
              <w:ind w:left="60"/>
              <w:spacing w:after="0"/>
              <w:rPr>
                <w:sz w:val="20"/>
                <w:szCs w:val="20"/>
                <w:color w:val="auto"/>
              </w:rPr>
            </w:pPr>
            <w:r>
              <w:rPr>
                <w:rFonts w:ascii="Arial" w:cs="Arial" w:eastAsia="Arial" w:hAnsi="Arial"/>
                <w:sz w:val="16"/>
                <w:szCs w:val="16"/>
                <w:b w:val="1"/>
                <w:bCs w:val="1"/>
                <w:color w:val="auto"/>
                <w:w w:val="95"/>
              </w:rPr>
              <w:t>Fair Value Measurements at Reporting Date Using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7"/>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82"/>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w w:val="90"/>
              </w:rPr>
              <w:t>Quoted Prices</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0"/>
              </w:rPr>
              <w:t>Significant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 Active</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Significant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Markets for</w:t>
            </w:r>
          </w:p>
        </w:tc>
        <w:tc>
          <w:tcPr>
            <w:tcW w:w="14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Observable</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Unobservable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Identical Assets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Inputs</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Inputs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6"/>
                <w:szCs w:val="16"/>
                <w:b w:val="1"/>
                <w:bCs w:val="1"/>
                <w:color w:val="auto"/>
              </w:rPr>
              <w:t>Assets ($ in millions)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3)</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47"/>
        </w:trPr>
        <w:tc>
          <w:tcPr>
            <w:tcW w:w="3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 debt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CLO equity</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565.4</w:t>
            </w: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FAIR VALUE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460" w:right="539" w:firstLine="432"/>
        <w:spacing w:after="0" w:line="264"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September 30, 2019 and the level of each financial liability within the fair value hierarchy:</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gridSpan w:val="3"/>
          </w:tcPr>
          <w:p>
            <w:pPr>
              <w:spacing w:after="0"/>
              <w:rPr>
                <w:sz w:val="20"/>
                <w:szCs w:val="20"/>
                <w:color w:val="auto"/>
              </w:rPr>
            </w:pPr>
            <w:r>
              <w:rPr>
                <w:rFonts w:ascii="Arial" w:cs="Arial" w:eastAsia="Arial" w:hAnsi="Arial"/>
                <w:sz w:val="16"/>
                <w:szCs w:val="16"/>
                <w:b w:val="1"/>
                <w:bCs w:val="1"/>
                <w:color w:val="auto"/>
              </w:rPr>
              <w:t>($ in millions)</w:t>
            </w:r>
          </w:p>
        </w:tc>
        <w:tc>
          <w:tcPr>
            <w:tcW w:w="20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2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47"/>
        </w:trPr>
        <w:tc>
          <w:tcPr>
            <w:tcW w:w="2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Series 2023 Term Preferred Shares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gridSpan w:val="3"/>
          </w:tcPr>
          <w:p>
            <w:pPr>
              <w:spacing w:after="0"/>
              <w:rPr>
                <w:sz w:val="20"/>
                <w:szCs w:val="20"/>
                <w:color w:val="auto"/>
              </w:rPr>
            </w:pPr>
            <w:r>
              <w:rPr>
                <w:rFonts w:ascii="Arial" w:cs="Arial" w:eastAsia="Arial" w:hAnsi="Arial"/>
                <w:sz w:val="18"/>
                <w:szCs w:val="18"/>
                <w:color w:val="auto"/>
              </w:rPr>
              <w:t>Series 2024 Term Preferred Shares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Borrowings related to securities sold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under agreement to repurchase</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4"/>
        </w:trPr>
        <w:tc>
          <w:tcPr>
            <w:tcW w:w="29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117"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In accordance with ASC 820-10, the following table provides quantitative information about the Fund’s Level 3 fair value measurements as of September 30, 2019.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gridSpan w:val="8"/>
          </w:tcPr>
          <w:p>
            <w:pPr>
              <w:ind w:left="60"/>
              <w:spacing w:after="0"/>
              <w:rPr>
                <w:sz w:val="20"/>
                <w:szCs w:val="20"/>
                <w:color w:val="auto"/>
              </w:rPr>
            </w:pPr>
            <w:r>
              <w:rPr>
                <w:rFonts w:ascii="Arial" w:cs="Arial" w:eastAsia="Arial" w:hAnsi="Arial"/>
                <w:sz w:val="16"/>
                <w:szCs w:val="16"/>
                <w:b w:val="1"/>
                <w:bCs w:val="1"/>
                <w:color w:val="auto"/>
                <w:w w:val="99"/>
              </w:rPr>
              <w:t>Quantitative Information about Level 3 Fair Value Measurements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Impact 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4"/>
              </w:rPr>
              <w:t>Fair Value</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172"/>
              <w:spacing w:after="0"/>
              <w:rPr>
                <w:sz w:val="20"/>
                <w:szCs w:val="20"/>
                <w:color w:val="auto"/>
              </w:rPr>
            </w:pPr>
            <w:r>
              <w:rPr>
                <w:rFonts w:ascii="Arial" w:cs="Arial" w:eastAsia="Arial" w:hAnsi="Arial"/>
                <w:sz w:val="16"/>
                <w:szCs w:val="16"/>
                <w:b w:val="1"/>
                <w:bCs w:val="1"/>
                <w:color w:val="auto"/>
                <w:w w:val="85"/>
              </w:rPr>
              <w:t>as of</w:t>
            </w: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Valuation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Valuation from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Techniques/</w:t>
            </w: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Unobservable</w:t>
            </w: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Range/Weighted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an Increase in</w:t>
            </w:r>
          </w:p>
        </w:tc>
        <w:tc>
          <w:tcPr>
            <w:tcW w:w="0" w:type="dxa"/>
            <w:vAlign w:val="bottom"/>
          </w:tcPr>
          <w:p>
            <w:pPr>
              <w:spacing w:after="0"/>
              <w:rPr>
                <w:sz w:val="1"/>
                <w:szCs w:val="1"/>
                <w:color w:val="auto"/>
              </w:rPr>
            </w:pPr>
          </w:p>
        </w:tc>
      </w:tr>
      <w:tr>
        <w:trPr>
          <w:trHeight w:val="253"/>
        </w:trPr>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2019</w:t>
            </w:r>
          </w:p>
        </w:tc>
        <w:tc>
          <w:tcPr>
            <w:tcW w:w="12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Methodologies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Input</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Average</w:t>
            </w:r>
            <w:r>
              <w:rPr>
                <w:rFonts w:ascii="Arial" w:cs="Arial" w:eastAsia="Arial" w:hAnsi="Arial"/>
                <w:sz w:val="18"/>
                <w:szCs w:val="18"/>
                <w:b w:val="1"/>
                <w:bCs w:val="1"/>
                <w:color w:val="auto"/>
                <w:w w:val="84"/>
                <w:vertAlign w:val="superscript"/>
              </w:rPr>
              <w:t>(3)</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Input</w:t>
            </w:r>
            <w:r>
              <w:rPr>
                <w:rFonts w:ascii="Arial" w:cs="Arial" w:eastAsia="Arial" w:hAnsi="Arial"/>
                <w:sz w:val="18"/>
                <w:szCs w:val="18"/>
                <w:b w:val="1"/>
                <w:bCs w:val="1"/>
                <w:color w:val="auto"/>
                <w:w w:val="92"/>
                <w:vertAlign w:val="superscript"/>
              </w:rPr>
              <w:t>(4)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7"/>
              </w:rPr>
              <w:t>($ in millions)</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Market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quotes</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NBIP</w:t>
            </w:r>
            <w:r>
              <w:rPr>
                <w:rFonts w:ascii="Arial" w:cs="Arial" w:eastAsia="Arial" w:hAnsi="Arial"/>
                <w:sz w:val="20"/>
                <w:szCs w:val="20"/>
                <w:color w:val="auto"/>
                <w:w w:val="89"/>
                <w:vertAlign w:val="superscript"/>
              </w:rPr>
              <w:t>(1)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65.2%-90.6%/81.3%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Recent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Transaction</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Actual trade</w:t>
            </w:r>
            <w:r>
              <w:rPr>
                <w:rFonts w:ascii="Arial" w:cs="Arial" w:eastAsia="Arial" w:hAnsi="Arial"/>
                <w:sz w:val="20"/>
                <w:szCs w:val="20"/>
                <w:color w:val="auto"/>
                <w:w w:val="88"/>
                <w:vertAlign w:val="superscript"/>
              </w:rPr>
              <w:t>(7)</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73.2%</w:t>
            </w:r>
            <w:r>
              <w:rPr>
                <w:rFonts w:ascii="Arial" w:cs="Arial" w:eastAsia="Arial" w:hAnsi="Arial"/>
                <w:sz w:val="20"/>
                <w:szCs w:val="20"/>
                <w:color w:val="auto"/>
                <w:w w:val="86"/>
                <w:vertAlign w:val="superscript"/>
              </w:rPr>
              <w:t>(6)</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Market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00" w:type="dxa"/>
            <w:vAlign w:val="bottom"/>
            <w:gridSpan w:val="2"/>
          </w:tcPr>
          <w:p>
            <w:pPr>
              <w:spacing w:after="0"/>
              <w:rPr>
                <w:sz w:val="20"/>
                <w:szCs w:val="20"/>
                <w:color w:val="auto"/>
              </w:rPr>
            </w:pPr>
            <w:r>
              <w:rPr>
                <w:rFonts w:ascii="Arial" w:cs="Arial" w:eastAsia="Arial" w:hAnsi="Arial"/>
                <w:sz w:val="18"/>
                <w:szCs w:val="18"/>
                <w:color w:val="auto"/>
              </w:rPr>
              <w:t>CLO equity</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358.1</w:t>
            </w:r>
          </w:p>
        </w:tc>
        <w:tc>
          <w:tcPr>
            <w:tcW w:w="8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quotes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NBIP</w:t>
            </w:r>
            <w:r>
              <w:rPr>
                <w:rFonts w:ascii="Arial" w:cs="Arial" w:eastAsia="Arial" w:hAnsi="Arial"/>
                <w:sz w:val="20"/>
                <w:szCs w:val="20"/>
                <w:color w:val="auto"/>
                <w:w w:val="89"/>
                <w:vertAlign w:val="superscript"/>
              </w:rPr>
              <w:t>(1)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2.0%-81.0%/44.3%</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7"/>
              </w:rPr>
              <w:t>Recent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Transaction</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Actual trade</w:t>
            </w:r>
            <w:r>
              <w:rPr>
                <w:rFonts w:ascii="Arial" w:cs="Arial" w:eastAsia="Arial" w:hAnsi="Arial"/>
                <w:sz w:val="20"/>
                <w:szCs w:val="20"/>
                <w:color w:val="auto"/>
                <w:w w:val="88"/>
                <w:vertAlign w:val="superscript"/>
              </w:rPr>
              <w:t>(7)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48.0%-70.8%/59.4%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Yield</w:t>
            </w:r>
          </w:p>
        </w:tc>
        <w:tc>
          <w:tcPr>
            <w:tcW w:w="1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Discount</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Analysis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Margin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9.4%-19.2%/15.0%</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6"/>
              </w:rPr>
              <w:t>Liquidation</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Net Asset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Value</w:t>
            </w:r>
            <w:r>
              <w:rPr>
                <w:rFonts w:ascii="Arial" w:cs="Arial" w:eastAsia="Arial" w:hAnsi="Arial"/>
                <w:sz w:val="20"/>
                <w:szCs w:val="20"/>
                <w:color w:val="auto"/>
                <w:w w:val="86"/>
                <w:vertAlign w:val="superscript"/>
              </w:rPr>
              <w:t>(5)</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NBIP</w:t>
            </w:r>
            <w:r>
              <w:rPr>
                <w:rFonts w:ascii="Arial" w:cs="Arial" w:eastAsia="Arial" w:hAnsi="Arial"/>
                <w:sz w:val="20"/>
                <w:szCs w:val="20"/>
                <w:color w:val="auto"/>
                <w:w w:val="89"/>
                <w:vertAlign w:val="superscript"/>
              </w:rPr>
              <w:t>(1)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0.4%-6.0%/3.6%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equity – side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Discounted</w:t>
            </w:r>
          </w:p>
        </w:tc>
        <w:tc>
          <w:tcPr>
            <w:tcW w:w="11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Discount</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letters</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cash flow</w:t>
            </w:r>
            <w:r>
              <w:rPr>
                <w:rFonts w:ascii="Arial" w:cs="Arial" w:eastAsia="Arial" w:hAnsi="Arial"/>
                <w:sz w:val="20"/>
                <w:szCs w:val="20"/>
                <w:color w:val="auto"/>
                <w:w w:val="89"/>
                <w:vertAlign w:val="superscript"/>
              </w:rPr>
              <w:t>(2)</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rate</w:t>
            </w:r>
            <w:r>
              <w:rPr>
                <w:rFonts w:ascii="Arial" w:cs="Arial" w:eastAsia="Arial" w:hAnsi="Arial"/>
                <w:sz w:val="20"/>
                <w:szCs w:val="20"/>
                <w:color w:val="auto"/>
                <w:w w:val="84"/>
                <w:vertAlign w:val="superscript"/>
              </w:rPr>
              <w:t>(2)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15.0%-20.0%/17.0%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Fair Value for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Level 3 Investments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900" w:right="459" w:hanging="438"/>
        <w:spacing w:after="0" w:line="270" w:lineRule="auto"/>
        <w:tabs>
          <w:tab w:leader="none" w:pos="8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sectPr>
          <w:pgSz w:w="11900" w:h="16838" w:orient="portrait"/>
          <w:cols w:equalWidth="0" w:num="1">
            <w:col w:w="9019"/>
          </w:cols>
          <w:pgMar w:left="1440" w:top="337" w:right="1440" w:bottom="676"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676"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FAIR VALUE </w:t>
      </w:r>
      <w:r>
        <w:rPr>
          <w:rFonts w:ascii="Arial" w:cs="Arial" w:eastAsia="Arial" w:hAnsi="Arial"/>
          <w:sz w:val="18"/>
          <w:szCs w:val="18"/>
          <w:color w:val="auto"/>
        </w:rPr>
        <w:t>(cont.)</w:t>
      </w:r>
    </w:p>
    <w:p>
      <w:pPr>
        <w:spacing w:after="0" w:line="193" w:lineRule="exact"/>
        <w:rPr>
          <w:sz w:val="20"/>
          <w:szCs w:val="20"/>
          <w:color w:val="auto"/>
        </w:rPr>
      </w:pPr>
    </w:p>
    <w:p>
      <w:pPr>
        <w:ind w:left="900" w:right="639" w:hanging="438"/>
        <w:spacing w:after="0" w:line="265" w:lineRule="auto"/>
        <w:tabs>
          <w:tab w:leader="none" w:pos="8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Fund will calculate the fair value of CLO equity side letters based upon the net present value of expected contractual payment streams discounted using estimated market yields for the equity tranche of the respective CLO vehicle.</w:t>
      </w:r>
    </w:p>
    <w:p>
      <w:pPr>
        <w:spacing w:after="0" w:line="2" w:lineRule="exact"/>
        <w:rPr>
          <w:rFonts w:ascii="Arial" w:cs="Arial" w:eastAsia="Arial" w:hAnsi="Arial"/>
          <w:sz w:val="16"/>
          <w:szCs w:val="16"/>
          <w:color w:val="auto"/>
        </w:rPr>
      </w:pPr>
    </w:p>
    <w:p>
      <w:pPr>
        <w:ind w:left="900" w:hanging="438"/>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Weighted averages are calculated based on fair value of investments.</w:t>
      </w:r>
    </w:p>
    <w:p>
      <w:pPr>
        <w:spacing w:after="0" w:line="18" w:lineRule="exact"/>
        <w:rPr>
          <w:rFonts w:ascii="Arial" w:cs="Arial" w:eastAsia="Arial" w:hAnsi="Arial"/>
          <w:sz w:val="16"/>
          <w:szCs w:val="16"/>
          <w:color w:val="auto"/>
        </w:rPr>
      </w:pPr>
    </w:p>
    <w:p>
      <w:pPr>
        <w:ind w:left="900" w:right="639" w:hanging="438"/>
        <w:spacing w:after="0" w:line="281" w:lineRule="auto"/>
        <w:tabs>
          <w:tab w:leader="none" w:pos="89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2" w:lineRule="exact"/>
        <w:rPr>
          <w:rFonts w:ascii="Arial" w:cs="Arial" w:eastAsia="Arial" w:hAnsi="Arial"/>
          <w:sz w:val="15"/>
          <w:szCs w:val="15"/>
          <w:color w:val="auto"/>
        </w:rPr>
      </w:pPr>
    </w:p>
    <w:p>
      <w:pPr>
        <w:ind w:left="900" w:right="659" w:hanging="438"/>
        <w:spacing w:after="0" w:line="264" w:lineRule="auto"/>
        <w:tabs>
          <w:tab w:leader="none" w:pos="8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of those CLO equity positions which have been optionally redeemed are generally valued using a liquidation net asset value basis which represents the estimated expected residual value of the CLO as of the end of the period.</w:t>
      </w:r>
    </w:p>
    <w:p>
      <w:pPr>
        <w:ind w:left="900" w:hanging="438"/>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 single investment fair value position, and therefore the range/weighted average is not applicable.</w:t>
      </w:r>
    </w:p>
    <w:p>
      <w:pPr>
        <w:spacing w:after="0" w:line="30" w:lineRule="exact"/>
        <w:rPr>
          <w:rFonts w:ascii="Arial" w:cs="Arial" w:eastAsia="Arial" w:hAnsi="Arial"/>
          <w:sz w:val="15"/>
          <w:szCs w:val="15"/>
          <w:color w:val="auto"/>
        </w:rPr>
      </w:pPr>
    </w:p>
    <w:p>
      <w:pPr>
        <w:ind w:left="900" w:right="479" w:hanging="438"/>
        <w:spacing w:after="0" w:line="27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Prices provided by independent pricing services are evaluated in conjunction with actual trades and payoffs and, in certain cases, the value represented by actual trades or payoffs may be more representative of fair value as determined by the Board of Directors.</w:t>
      </w:r>
    </w:p>
    <w:p>
      <w:pPr>
        <w:spacing w:after="0" w:line="11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A reconciliation of the fair value of investments for the six months ended September 30, 2019, utilizing significant unobservable inputs,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rPr>
              <w:t>Collateralized</w:t>
            </w:r>
          </w:p>
        </w:tc>
        <w:tc>
          <w:tcPr>
            <w:tcW w:w="100" w:type="dxa"/>
            <w:vAlign w:val="bottom"/>
          </w:tcPr>
          <w:p>
            <w:pPr>
              <w:spacing w:after="0"/>
              <w:rPr>
                <w:sz w:val="17"/>
                <w:szCs w:val="17"/>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Collateralized</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Loan</w:t>
            </w:r>
          </w:p>
        </w:tc>
        <w:tc>
          <w:tcPr>
            <w:tcW w:w="13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Loan Obligation</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Obligation Debt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 in millions)</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Realized gains (losses) included in earnings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
        </w:trPr>
        <w:tc>
          <w:tcPr>
            <w:tcW w:w="4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depreciation included in earnings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Amortization of discounts and premiums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Repayments and sales</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41"/>
        </w:trPr>
        <w:tc>
          <w:tcPr>
            <w:tcW w:w="4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to CLO equity cost value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4380" w:type="dxa"/>
            <w:vAlign w:val="bottom"/>
            <w:gridSpan w:val="3"/>
          </w:tcPr>
          <w:p>
            <w:pPr>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380" w:type="dxa"/>
            <w:vAlign w:val="bottom"/>
            <w:gridSpan w:val="3"/>
          </w:tcPr>
          <w:p>
            <w:pPr>
              <w:spacing w:after="0"/>
              <w:rPr>
                <w:sz w:val="20"/>
                <w:szCs w:val="20"/>
                <w:color w:val="auto"/>
              </w:rPr>
            </w:pPr>
            <w:r>
              <w:rPr>
                <w:rFonts w:ascii="Arial" w:cs="Arial" w:eastAsia="Arial" w:hAnsi="Arial"/>
                <w:sz w:val="18"/>
                <w:szCs w:val="18"/>
                <w:color w:val="auto"/>
              </w:rPr>
              <w:t>Balance at September 30, 2019</w:t>
            </w:r>
            <w:r>
              <w:rPr>
                <w:rFonts w:ascii="Arial" w:cs="Arial" w:eastAsia="Arial" w:hAnsi="Arial"/>
                <w:sz w:val="20"/>
                <w:szCs w:val="20"/>
                <w:color w:val="auto"/>
                <w:vertAlign w:val="superscript"/>
              </w:rPr>
              <w:t>(2)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42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The amount of total gains for the period included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2"/>
              </w:rPr>
              <w:t>earnings attributable to the change in unrealized gains 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losses related to our Level 3 assets still held at the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reporting date and reported within the net change in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unrealized gains or losses on investments in our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Statement of Operations</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900" w:right="499" w:hanging="438"/>
        <w:spacing w:after="0" w:line="265"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Reduction to cost value on OXLC’s CLO equity investments represents the difference between distributions received, or entitled to be received, for the six months ended September 30, 2019, of approximately $68.4 million and the effective yield interest income of approximately $53.7 million. A reduction to cost value is not made for CLO warehouse investments.</w:t>
      </w:r>
    </w:p>
    <w:p>
      <w:pPr>
        <w:spacing w:after="0" w:line="1" w:lineRule="exact"/>
        <w:rPr>
          <w:rFonts w:ascii="Arial" w:cs="Arial" w:eastAsia="Arial" w:hAnsi="Arial"/>
          <w:sz w:val="16"/>
          <w:szCs w:val="16"/>
          <w:color w:val="auto"/>
        </w:rPr>
      </w:pPr>
    </w:p>
    <w:p>
      <w:pPr>
        <w:ind w:left="900" w:hanging="438"/>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13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There were no transfers in or out of Level 3 during the six months ended September 30, 2019.</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RELATED PARTY TRANSACTIONS</w:t>
      </w:r>
    </w:p>
    <w:p>
      <w:pPr>
        <w:spacing w:after="0" w:line="135" w:lineRule="exact"/>
        <w:rPr>
          <w:sz w:val="20"/>
          <w:szCs w:val="20"/>
          <w:color w:val="auto"/>
        </w:rPr>
      </w:pPr>
    </w:p>
    <w:p>
      <w:pPr>
        <w:ind w:left="460" w:right="479" w:firstLine="432"/>
        <w:spacing w:after="0" w:line="264" w:lineRule="auto"/>
        <w:rPr>
          <w:sz w:val="20"/>
          <w:szCs w:val="20"/>
          <w:color w:val="auto"/>
        </w:rPr>
      </w:pPr>
      <w:r>
        <w:rPr>
          <w:rFonts w:ascii="Arial" w:cs="Arial" w:eastAsia="Arial" w:hAnsi="Arial"/>
          <w:sz w:val="18"/>
          <w:szCs w:val="18"/>
          <w:color w:val="auto"/>
        </w:rPr>
        <w:t>Effective September 9, 2010, the Fund entered into the Investment Advisory Agreement with OXLC Management, a registered investment adviser under the Advisers Act. Oxford Funds is the managing member of OXLC Management and serves as the administrator of OXLC.</w:t>
      </w:r>
    </w:p>
    <w:p>
      <w:pPr>
        <w:spacing w:after="0" w:line="87" w:lineRule="exact"/>
        <w:rPr>
          <w:sz w:val="20"/>
          <w:szCs w:val="20"/>
          <w:color w:val="auto"/>
        </w:rPr>
      </w:pPr>
    </w:p>
    <w:p>
      <w:pPr>
        <w:jc w:val="both"/>
        <w:ind w:left="460" w:right="719" w:firstLine="432"/>
        <w:spacing w:after="0" w:line="264" w:lineRule="auto"/>
        <w:rPr>
          <w:sz w:val="20"/>
          <w:szCs w:val="20"/>
          <w:color w:val="auto"/>
        </w:rPr>
      </w:pPr>
      <w:r>
        <w:rPr>
          <w:rFonts w:ascii="Arial" w:cs="Arial" w:eastAsia="Arial" w:hAnsi="Arial"/>
          <w:sz w:val="18"/>
          <w:szCs w:val="18"/>
          <w:color w:val="auto"/>
        </w:rPr>
        <w:t>Effective September 9, 2010, the Fund entered into an agreement (“Administration Agreement”) with Oxford Funds to serve as its administrator. Under the Administration Agreement, Oxford Funds performs, or oversees the</w:t>
      </w:r>
    </w:p>
    <w:p>
      <w:pPr>
        <w:sectPr>
          <w:pgSz w:w="11900" w:h="16838" w:orient="portrait"/>
          <w:cols w:equalWidth="0" w:num="1">
            <w:col w:w="9019"/>
          </w:cols>
          <w:pgMar w:left="1440" w:top="337" w:right="1440" w:bottom="96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96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64" w:lineRule="auto"/>
        <w:rPr>
          <w:sz w:val="20"/>
          <w:szCs w:val="20"/>
          <w:color w:val="auto"/>
        </w:rPr>
      </w:pPr>
      <w:r>
        <w:rPr>
          <w:rFonts w:ascii="Arial" w:cs="Arial" w:eastAsia="Arial" w:hAnsi="Arial"/>
          <w:sz w:val="18"/>
          <w:szCs w:val="18"/>
          <w:color w:val="auto"/>
        </w:rPr>
        <w:t>performance of, the Fund’s required administrative services, which include, among other things, being responsible for the financial records which the Fund is required to maintain and for preparation of the reports to the Fund’s stockholders.</w:t>
      </w:r>
    </w:p>
    <w:p>
      <w:pPr>
        <w:spacing w:after="0" w:line="114" w:lineRule="exact"/>
        <w:rPr>
          <w:sz w:val="20"/>
          <w:szCs w:val="20"/>
          <w:color w:val="auto"/>
        </w:rPr>
      </w:pPr>
    </w:p>
    <w:p>
      <w:pPr>
        <w:ind w:left="460" w:right="459" w:firstLine="432"/>
        <w:spacing w:after="0" w:line="264" w:lineRule="auto"/>
        <w:rPr>
          <w:sz w:val="20"/>
          <w:szCs w:val="20"/>
          <w:color w:val="auto"/>
        </w:rPr>
      </w:pPr>
      <w:r>
        <w:rPr>
          <w:rFonts w:ascii="Arial" w:cs="Arial" w:eastAsia="Arial" w:hAnsi="Arial"/>
          <w:sz w:val="18"/>
          <w:szCs w:val="18"/>
          <w:color w:val="auto"/>
        </w:rPr>
        <w:t>Pursuant to the Investment Advisory Agreement, the Fund has agreed to pay OXLC Management a fee for advisory and management services consisting of two components — a base management fee (or “Investment Advisory Fee”) and an incentive fee.</w:t>
      </w:r>
    </w:p>
    <w:p>
      <w:pPr>
        <w:spacing w:after="0" w:line="11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 Investment Advisory Fee is calculated at an annual rate of 2.00% of the Fund’s gross assets. For services rendered under the Investment Advisory Agreement, the investment advisory fee is payable quarterly in arrears. The investment advisory fee is calculated based on the average value of the Fund’s gross assets, at the end of the two most recently completed calendar quarters, and appropriately adjusted for any share issuances or repurchases during the current calendar quarter. Investment advisory fees for any partial month or quarter will be appropriately pro-rated. For the six months ended September 30, 2019, the Fund recognized an investment advisory fee expense of approximately $6.3 million. At September 30, 2019, the Fund had an investment advisory fee payable of approximately $3.2 million.</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Investment Advisory Fee, expenses payable under the Administration Agreement to Oxford Funds, and any interest expense and dividends paid on any issued and outstanding preferred stock, but excluding the incentive fee). Pre-incentive fee net investment income includes accrued income that OXLC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our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OXLC’s pre-incentive fee net investment income used to calculate the incentive fee is also included in the amount of its gross assets used to calculate the 2.00% Investment Advisory Fee. The Fund pays OXLC Management an incentive fee with respect to the Fund’s pre-incentive fee net investment income in each calendar quarter as follows:</w:t>
      </w:r>
    </w:p>
    <w:p>
      <w:pPr>
        <w:spacing w:after="0" w:line="103" w:lineRule="exact"/>
        <w:rPr>
          <w:sz w:val="20"/>
          <w:szCs w:val="20"/>
          <w:color w:val="auto"/>
        </w:rPr>
      </w:pPr>
    </w:p>
    <w:p>
      <w:pPr>
        <w:ind w:left="1320" w:right="979" w:hanging="425"/>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Fund’s pre-incentive fee net investment income does not exceed the hurdle of 1.75%;</w:t>
      </w:r>
    </w:p>
    <w:p>
      <w:pPr>
        <w:spacing w:after="0" w:line="102" w:lineRule="exact"/>
        <w:rPr>
          <w:rFonts w:ascii="Arial" w:cs="Arial" w:eastAsia="Arial" w:hAnsi="Arial"/>
          <w:sz w:val="18"/>
          <w:szCs w:val="18"/>
          <w:color w:val="auto"/>
        </w:rPr>
      </w:pPr>
    </w:p>
    <w:p>
      <w:pPr>
        <w:ind w:left="1320" w:right="479" w:hanging="425"/>
        <w:spacing w:after="0" w:line="293" w:lineRule="auto"/>
        <w:tabs>
          <w:tab w:leader="none" w:pos="1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the investment adviser with 20% of the pre-incentive fee net investment income as if a hurdle did not apply if the net investment income exceeds 2.1875% in any calendar quarter; and</w:t>
      </w:r>
    </w:p>
    <w:p>
      <w:pPr>
        <w:spacing w:after="0" w:line="83" w:lineRule="exact"/>
        <w:rPr>
          <w:rFonts w:ascii="Arial" w:cs="Arial" w:eastAsia="Arial" w:hAnsi="Arial"/>
          <w:sz w:val="16"/>
          <w:szCs w:val="16"/>
          <w:color w:val="auto"/>
        </w:rPr>
      </w:pPr>
    </w:p>
    <w:p>
      <w:pPr>
        <w:ind w:left="1320" w:right="559" w:hanging="425"/>
        <w:spacing w:after="0" w:line="259"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of the amount of pre-incentive fee net investment income, if any, that exceeds 2.1875% in any calendar quarter (8.75% annualized) is payable to OXLC Management (once the hurdle is reached and the “catch-up” is achieved, 20% of all pre-incentive fee net investment income thereafter is allocated to OXLC Management).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312" w:lineRule="auto"/>
        <w:rPr>
          <w:sz w:val="20"/>
          <w:szCs w:val="20"/>
          <w:color w:val="auto"/>
        </w:rPr>
      </w:pPr>
      <w:r>
        <w:rPr>
          <w:rFonts w:ascii="Arial" w:cs="Arial" w:eastAsia="Arial" w:hAnsi="Arial"/>
          <w:sz w:val="16"/>
          <w:szCs w:val="16"/>
          <w:color w:val="auto"/>
        </w:rPr>
        <w:t>There is no offset in subsequent quarters for any quarter in which an incentive fee is not earned. For the six months ended September 30, 2019, the Fund recognized incentive fee expense of approximately $8.1 million. At September 30, 2019, the Fund had an incentive fee payable of approximately $4.2 million.</w:t>
      </w:r>
    </w:p>
    <w:p>
      <w:pPr>
        <w:spacing w:after="0" w:line="7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Oxford Funds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 The costs associated with the functions performed by OXLC’s chief compliance officer are paid indirectly by the Fund pursuant to the terms of an agreement between the Fund and Alaric Compliance Services, LLC.</w:t>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Until July 31, 2018, independent directors received an annual fee of $75,000, which was increased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$90,000 effective August 1, 2018. In addition, the independent directors receive $2,000 plus reimbursement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reasonable out-of-pocket expenses incurred in connection with attending each Board of Directors meeting,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$1,500 plus reimbursement of reasonable out-of-pocket expenses incurred in connection with attending each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Valuation Committee meeting and $1,000 plus reimbursement of reasonable out-of-pocket expenses incurred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connection with attending each Audit Committee meeting. The Chairman of the Audit Committee also receives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 additional annual fee of $10,000. No compensation is paid to directors who are interested persons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Fund as defined in the 1940 Act.</w:t>
      </w:r>
    </w:p>
    <w:p>
      <w:pPr>
        <w:spacing w:after="0" w:line="130" w:lineRule="exact"/>
        <w:rPr>
          <w:sz w:val="20"/>
          <w:szCs w:val="20"/>
          <w:color w:val="auto"/>
        </w:rPr>
      </w:pPr>
    </w:p>
    <w:p>
      <w:pPr>
        <w:ind w:left="460" w:right="699" w:firstLine="432"/>
        <w:spacing w:after="0" w:line="342" w:lineRule="auto"/>
        <w:rPr>
          <w:sz w:val="20"/>
          <w:szCs w:val="20"/>
          <w:color w:val="auto"/>
        </w:rPr>
      </w:pPr>
      <w:r>
        <w:rPr>
          <w:rFonts w:ascii="Arial" w:cs="Arial" w:eastAsia="Arial" w:hAnsi="Arial"/>
          <w:sz w:val="16"/>
          <w:szCs w:val="16"/>
          <w:color w:val="auto"/>
        </w:rPr>
        <w:t>Certain directors, officers and other related parties, including members of OXLC Management, owned, directly or indirectly, an aggregate 1.1% of the common stock of the Fund at September 30, 2019.</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Co-Investment Exemptive Relief</w:t>
      </w:r>
    </w:p>
    <w:p>
      <w:pPr>
        <w:spacing w:after="0" w:line="158"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On June 14, 2017, the Securities and Exchange Commission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99"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CONCENTRATION OF CREDIT RISK</w:t>
      </w:r>
    </w:p>
    <w:p>
      <w:pPr>
        <w:spacing w:after="0" w:line="162" w:lineRule="exact"/>
        <w:rPr>
          <w:sz w:val="20"/>
          <w:szCs w:val="20"/>
          <w:color w:val="auto"/>
        </w:rPr>
      </w:pPr>
    </w:p>
    <w:p>
      <w:pPr>
        <w:jc w:val="both"/>
        <w:ind w:left="460" w:right="579" w:firstLine="432"/>
        <w:spacing w:after="0" w:line="302" w:lineRule="auto"/>
        <w:rPr>
          <w:sz w:val="20"/>
          <w:szCs w:val="20"/>
          <w:color w:val="auto"/>
        </w:rPr>
      </w:pPr>
      <w:r>
        <w:rPr>
          <w:rFonts w:ascii="Arial" w:cs="Arial" w:eastAsia="Arial" w:hAnsi="Arial"/>
          <w:sz w:val="16"/>
          <w:szCs w:val="16"/>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DISTRIBUTIONS</w:t>
      </w:r>
    </w:p>
    <w:p>
      <w:pPr>
        <w:spacing w:after="0" w:line="13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For the six months ended September 30, 2019, the Fund declared and paid distributions on common stock of $0.81 per share, or $40,835,129. The Fund declared and paid distributions on common stock of $1.62 per share, or $57,014,731, for the year ended March 31, 2019. The tax character of distributions paid for the six months ended September 30, 2019 represented, on an estimated basis, $35,914,573 million from ordinary income and $4,920,556 million from tax return of capital. For the six months ended September 30, 2019, the amounts and sources of distributions reported are only estimates (based on an average of our three most recent years’ reported tax character) and are not being provided for U.S. tax reporting purposes. Because the Fund believes the historical tax characteristic of distributions is the most useful information which is readily available, the Fund has used the average of the three most recent years in providing the estimates herein. However, the timing and character of distributions for U.S. federal income tax purposes (which are determined in accordance with the U.S. federal income tax rules which may differ from GAAP) may be materially different than the historical information the Fund used in providing the estimates herein.</w:t>
      </w:r>
    </w:p>
    <w:p>
      <w:pPr>
        <w:spacing w:after="0" w:line="7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tax character of distributions paid for the year ended March 31, 2019 represented, on an estimated basis, $47,264,503 from ordinary income and $9,750,228 from tax return of capital. The ultimate tax character of distributions is unknown until our tax return is filed. For the six months ended September 30, 2019 and the year ended March 31, 2019 the Fund also declared and paid dividends on preferred stock of $5,692,945 and $11,385,890, respectively. The tax character of distributions paid on preferred stock represented ordinary income.</w:t>
      </w:r>
    </w:p>
    <w:p>
      <w:pPr>
        <w:spacing w:after="0" w:line="11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Pursuant to the Regulated Investment Company Modernization Act of 2010, the Fund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spacing w:after="0" w:line="83"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For the fiscal year ended March 31, 2019, the Fund had available $47,655,036 of long-term capital losses, which can be used to offset future capital gains. For the fiscal year ended March 31, 2019, the Fund utilized $3,491,702 of capital loss carryforward. These losses represent post-RIC modernization losses not subject to expiration. Under the current law, capital losses related to securities realized after October 31 and prior to the Fund’s fiscal year end may be deferred as occurring the first day of the following fiscal year. For the fiscal year ended March 31, 2019, the Fund had no losses to defer.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of March 31, 2019, the estimated components of accumulated earnings on a tax basis were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Distributable ordinary income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Distributable long-term capital gains (capital loss carry forward)</w:t>
            </w:r>
          </w:p>
        </w:tc>
        <w:tc>
          <w:tcPr>
            <w:tcW w:w="1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(47,655,036)</w:t>
            </w:r>
          </w:p>
        </w:tc>
      </w:tr>
      <w:tr>
        <w:trPr>
          <w:trHeight w:val="41"/>
        </w:trPr>
        <w:tc>
          <w:tcPr>
            <w:tcW w:w="5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depreciation on investments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(72,022,456)</w:t>
            </w: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Other timing differences</w:t>
            </w:r>
          </w:p>
        </w:tc>
        <w:tc>
          <w:tcPr>
            <w:tcW w:w="1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(6,750)</w:t>
            </w:r>
          </w:p>
        </w:tc>
      </w:tr>
    </w:tbl>
    <w:p>
      <w:pPr>
        <w:spacing w:after="0" w:line="20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tax basis components of accumulated earnings differ from the amounts reflected in the Statement of Assets and Liabilities due to temporary book/tax differences primarily arising from investments in CLO equity investments and permanent book/tax differences attributable to CLO equity investments. For the year ended March 31, 2019, the permanent differences between financial and tax reporting were due to basis adjustments on</w:t>
      </w:r>
    </w:p>
    <w:p>
      <w:pPr>
        <w:sectPr>
          <w:pgSz w:w="11900" w:h="16838" w:orient="portrait"/>
          <w:cols w:equalWidth="0" w:num="1">
            <w:col w:w="9019"/>
          </w:cols>
          <w:pgMar w:left="1440" w:top="337"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DISTRIBUTIONS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619"/>
        <w:spacing w:after="0" w:line="264" w:lineRule="auto"/>
        <w:rPr>
          <w:sz w:val="20"/>
          <w:szCs w:val="20"/>
          <w:color w:val="auto"/>
        </w:rPr>
      </w:pPr>
      <w:r>
        <w:rPr>
          <w:rFonts w:ascii="Arial" w:cs="Arial" w:eastAsia="Arial" w:hAnsi="Arial"/>
          <w:sz w:val="18"/>
          <w:szCs w:val="18"/>
          <w:color w:val="auto"/>
        </w:rPr>
        <w:t>the sale of CLO equity investments, resulting in an increase of distributions in excess of investment income of $16,933,113, and an increase in accumulated net realized loss on investments of $14,549,136. These amounts will be finalized before filing the federal tax return.</w:t>
      </w:r>
    </w:p>
    <w:p>
      <w:pPr>
        <w:spacing w:after="0" w:line="73" w:lineRule="exact"/>
        <w:rPr>
          <w:sz w:val="20"/>
          <w:szCs w:val="20"/>
          <w:color w:val="auto"/>
        </w:rPr>
      </w:pPr>
    </w:p>
    <w:p>
      <w:pPr>
        <w:jc w:val="both"/>
        <w:ind w:left="460" w:right="519" w:firstLine="432"/>
        <w:spacing w:after="0" w:line="264" w:lineRule="auto"/>
        <w:rPr>
          <w:sz w:val="20"/>
          <w:szCs w:val="20"/>
          <w:color w:val="auto"/>
        </w:rPr>
      </w:pPr>
      <w:r>
        <w:rPr>
          <w:rFonts w:ascii="Arial" w:cs="Arial" w:eastAsia="Arial" w:hAnsi="Arial"/>
          <w:sz w:val="18"/>
          <w:szCs w:val="18"/>
          <w:color w:val="auto"/>
        </w:rPr>
        <w:t>As of September 30, 2019, the aggregate gross unrealized appreciation for tax purposes was $17,415,208, and aggregate gross unrealized depreciation was $208,486,890. For tax purposes, the cost basis of the portfolio investments at September 30, 2019 was $781,632,130.</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MANDATORILY REDEEMABLE PREFERRED STOCK</w:t>
      </w:r>
    </w:p>
    <w:p>
      <w:pPr>
        <w:spacing w:after="0" w:line="162"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Fund has authorized 10 million shares of mandatorily redeemable preferred stock, at a par value of $0.01 per share, and had 6,345,416 shares issued and outstanding at September 30, 2019. Since 2012 and through June 2017, the Fund completed underwritten public offerings of its 7.50% Series 2023 Term Preferred Shares (the “Series 2023 Shares”); and 6.75% Series 2024 Term Preferred Shares (the “Series 2024 Shares”), collectively the “Term Preferred Shares” or “Term Shares”. The Fund is required to redeem all of the outstanding Term Preferred Shares on their respective redemption dates, at a redemption price equal to $25 per share plus an amount equal to accumulated but unpaid dividends, if any, to the date of the redemption. OXLC cannot effect any amendment, alteration, or repeal of the Fund’s obligation to redeem all of the Term Shares without the prior unanimous vote or consent of the holders of such Term Shares. At any time on or after the optional redemption date, at the Fund’s sole option, the Fund may redeem the Term Shares at a redemption price per share equal to the sum of the $25 liquidation preference per share plus an amount equal to accumulated but unpaid dividends, if any, on such Term Shares. The Fund, with the authorization by the Board of Directors, may repurchase any of the Term Preferred Shares from time to time in the open market and effectively extinguish the debt. As of September 30, 2019 there were no accumulated but unpaid dividends on our Term Preferred Shares.</w:t>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Fund’s Term Preferred Share activity for the six months ended September 30, 2019, was as follows:</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Series 2023</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Series 2024</w:t>
            </w:r>
          </w:p>
        </w:tc>
        <w:tc>
          <w:tcPr>
            <w:tcW w:w="11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Term</w:t>
            </w:r>
          </w:p>
        </w:tc>
        <w:tc>
          <w:tcPr>
            <w:tcW w:w="11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Preferred</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Preferred</w:t>
            </w:r>
          </w:p>
        </w:tc>
        <w:tc>
          <w:tcPr>
            <w:tcW w:w="116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47"/>
        </w:trPr>
        <w:tc>
          <w:tcPr>
            <w:tcW w:w="47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March 31, 2019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3,616,001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2,729,415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6,345,416</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Shares issued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4"/>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redeemed</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Shares outstanding at September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3,616,001</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2,729,415</w:t>
            </w: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6,345,416</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Fund’s Term Preferred Share balances as of September 30, 2019, were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Series 2023</w:t>
            </w:r>
          </w:p>
        </w:tc>
        <w:tc>
          <w:tcPr>
            <w:tcW w:w="14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Series 2024</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Term</w:t>
            </w:r>
          </w:p>
        </w:tc>
        <w:tc>
          <w:tcPr>
            <w:tcW w:w="14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Term</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14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6"/>
              </w:rPr>
              <w:t>Shares</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47"/>
        </w:trPr>
        <w:tc>
          <w:tcPr>
            <w:tcW w:w="45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90,400,025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68,235,375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$158,635,400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Deferred issuance cost</w:t>
            </w:r>
          </w:p>
        </w:tc>
        <w:tc>
          <w:tcPr>
            <w:tcW w:w="1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(1,310,879)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(1,585,820)</w:t>
            </w:r>
          </w:p>
        </w:tc>
        <w:tc>
          <w:tcPr>
            <w:tcW w:w="1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(2,896,699)</w:t>
            </w:r>
          </w:p>
        </w:tc>
      </w:tr>
      <w:tr>
        <w:trPr>
          <w:trHeight w:val="41"/>
        </w:trPr>
        <w:tc>
          <w:tcPr>
            <w:tcW w:w="4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(2,179,493)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(2,179,493)</w:t>
            </w:r>
          </w:p>
        </w:tc>
      </w:tr>
      <w:tr>
        <w:trPr>
          <w:trHeight w:val="284"/>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86,909,653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66,649,555</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$153,559,208</w:t>
            </w:r>
          </w:p>
        </w:tc>
        <w:tc>
          <w:tcPr>
            <w:tcW w:w="140" w:type="dxa"/>
            <w:vAlign w:val="bottom"/>
            <w:tcBorders>
              <w:bottom w:val="single" w:sz="8" w:color="CCEEFF"/>
            </w:tcBorders>
          </w:tcPr>
          <w:p>
            <w:pPr>
              <w:spacing w:after="0"/>
              <w:rPr>
                <w:sz w:val="24"/>
                <w:szCs w:val="24"/>
                <w:color w:val="auto"/>
              </w:rPr>
            </w:pPr>
          </w:p>
        </w:tc>
      </w:tr>
      <w:tr>
        <w:trPr>
          <w:trHeight w:val="244"/>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r>
              <w:rPr>
                <w:rFonts w:ascii="Arial" w:cs="Arial" w:eastAsia="Arial" w:hAnsi="Arial"/>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92,208,026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69,600,083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$161,808,109</w:t>
            </w:r>
          </w:p>
        </w:tc>
        <w:tc>
          <w:tcPr>
            <w:tcW w:w="140" w:type="dxa"/>
            <w:vAlign w:val="bottom"/>
            <w:shd w:val="clear" w:color="auto" w:fill="CCEEFF"/>
          </w:tcPr>
          <w:p>
            <w:pPr>
              <w:spacing w:after="0"/>
              <w:rPr>
                <w:sz w:val="21"/>
                <w:szCs w:val="21"/>
                <w:color w:val="auto"/>
              </w:rPr>
            </w:pPr>
          </w:p>
        </w:tc>
      </w:tr>
      <w:tr>
        <w:trPr>
          <w:trHeight w:val="291"/>
        </w:trPr>
        <w:tc>
          <w:tcPr>
            <w:tcW w:w="4580" w:type="dxa"/>
            <w:vAlign w:val="bottom"/>
          </w:tcPr>
          <w:p>
            <w:pPr>
              <w:spacing w:after="0"/>
              <w:rPr>
                <w:sz w:val="20"/>
                <w:szCs w:val="20"/>
                <w:color w:val="auto"/>
              </w:rPr>
            </w:pPr>
            <w:r>
              <w:rPr>
                <w:rFonts w:ascii="Arial" w:cs="Arial" w:eastAsia="Arial" w:hAnsi="Arial"/>
                <w:sz w:val="18"/>
                <w:szCs w:val="18"/>
                <w:color w:val="auto"/>
              </w:rPr>
              <w:t>Fair value price per share</w:t>
            </w:r>
            <w:r>
              <w:rPr>
                <w:rFonts w:ascii="Arial" w:cs="Arial" w:eastAsia="Arial" w:hAnsi="Arial"/>
                <w:sz w:val="20"/>
                <w:szCs w:val="2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900" w:right="539" w:hanging="438"/>
        <w:spacing w:after="0" w:line="29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September 30, 2019 closing market price per share of each respective series of Term Preferred Shares on the NASDAQ Global Select Market.</w:t>
      </w:r>
    </w:p>
    <w:p>
      <w:pPr>
        <w:sectPr>
          <w:pgSz w:w="11900" w:h="16838" w:orient="portrait"/>
          <w:cols w:equalWidth="0" w:num="1">
            <w:col w:w="9019"/>
          </w:cols>
          <w:pgMar w:left="1440" w:top="337"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MANDATORILY REDEEMABLE PREFERRED STOCK </w:t>
      </w:r>
      <w:r>
        <w:rPr>
          <w:rFonts w:ascii="Arial" w:cs="Arial" w:eastAsia="Arial" w:hAnsi="Arial"/>
          <w:sz w:val="18"/>
          <w:szCs w:val="18"/>
          <w:color w:val="auto"/>
        </w:rPr>
        <w:t>(cont.)</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terms of the Fund’s Term Preferred Share offerings are as set forth in the table below:</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Series 2023</w:t>
            </w:r>
          </w:p>
        </w:tc>
        <w:tc>
          <w:tcPr>
            <w:tcW w:w="116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Series 2024</w:t>
            </w:r>
          </w:p>
        </w:tc>
      </w:tr>
      <w:tr>
        <w:trPr>
          <w:trHeight w:val="203"/>
        </w:trPr>
        <w:tc>
          <w:tcPr>
            <w:tcW w:w="584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Preferred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Term Preferred</w:t>
            </w:r>
          </w:p>
        </w:tc>
      </w:tr>
      <w:tr>
        <w:trPr>
          <w:trHeight w:val="210"/>
        </w:trPr>
        <w:tc>
          <w:tcPr>
            <w:tcW w:w="58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47"/>
        </w:trPr>
        <w:tc>
          <w:tcPr>
            <w:tcW w:w="58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Term redemption date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30, 2023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June 30, 2024</w:t>
            </w:r>
          </w:p>
        </w:tc>
      </w:tr>
      <w:tr>
        <w:trPr>
          <w:trHeight w:val="41"/>
        </w:trPr>
        <w:tc>
          <w:tcPr>
            <w:tcW w:w="5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redemption price per share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Optional redemption date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30, 2016</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June 30, 2020</w:t>
            </w:r>
          </w:p>
        </w:tc>
      </w:tr>
      <w:tr>
        <w:trPr>
          <w:trHeight w:val="41"/>
        </w:trPr>
        <w:tc>
          <w:tcPr>
            <w:tcW w:w="5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r>
      <w:tr>
        <w:trPr>
          <w:trHeight w:val="41"/>
        </w:trPr>
        <w:tc>
          <w:tcPr>
            <w:tcW w:w="58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67"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Fund’s Term Preferred Shares had no accrued interest payable at September 30, 2019. Deferred issuance costs represent underwriting fees and other direct costs incurred that are related to the Fund’s Term Preferred Shares. As of September 30, 2019, OXLC had a deferred debt issuance cost balance of approximately $2.9 million related to the issuance of the Term Preferred Shares. Aggregate net discount on the Series 2023 Shares at the time of issuance totaled approximately $5.3 million. As of September 30, 2019, OXLC had an unamortized discount balance of approximately $2.2 million. These amounts are amortized and are included in interest expense in the Statement of Operations over the term of the respective shares. The realized gain on redemption of debt incurred in prior periods was reclassified from Interest expense in the Statement of Operations to conform with the current period presentation.</w:t>
      </w:r>
    </w:p>
    <w:p>
      <w:pPr>
        <w:spacing w:after="0" w:line="60"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table below summarizes the components of interest expense, effective interest rates and cash paid on the Term Preferred Shares for six months ended September 30, 2019: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Series 2023</w:t>
            </w: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Series 2024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Preferred</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Preferred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47"/>
        </w:trPr>
        <w:tc>
          <w:tcPr>
            <w:tcW w:w="46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6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r>
              <w:rPr>
                <w:rFonts w:ascii="Arial" w:cs="Arial" w:eastAsia="Arial" w:hAnsi="Arial"/>
                <w:sz w:val="20"/>
                <w:szCs w:val="20"/>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$ 3,390,001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$ 2,302,944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5,692,945</w:t>
            </w:r>
          </w:p>
        </w:tc>
        <w:tc>
          <w:tcPr>
            <w:tcW w:w="160" w:type="dxa"/>
            <w:vAlign w:val="bottom"/>
            <w:shd w:val="clear" w:color="auto" w:fill="CCEEFF"/>
          </w:tcPr>
          <w:p>
            <w:pPr>
              <w:spacing w:after="0"/>
              <w:rPr>
                <w:sz w:val="22"/>
                <w:szCs w:val="22"/>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Amortization of deferred issuance costs</w:t>
            </w:r>
          </w:p>
        </w:tc>
        <w:tc>
          <w:tcPr>
            <w:tcW w:w="880" w:type="dxa"/>
            <w:vAlign w:val="bottom"/>
          </w:tcPr>
          <w:p>
            <w:pPr>
              <w:jc w:val="right"/>
              <w:spacing w:after="0"/>
              <w:rPr>
                <w:sz w:val="20"/>
                <w:szCs w:val="20"/>
                <w:color w:val="auto"/>
              </w:rPr>
            </w:pPr>
            <w:r>
              <w:rPr>
                <w:rFonts w:ascii="Arial" w:cs="Arial" w:eastAsia="Arial" w:hAnsi="Arial"/>
                <w:sz w:val="18"/>
                <w:szCs w:val="18"/>
                <w:color w:val="auto"/>
              </w:rPr>
              <w:t>175,231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167,265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342,496</w:t>
            </w:r>
          </w:p>
        </w:tc>
        <w:tc>
          <w:tcPr>
            <w:tcW w:w="160" w:type="dxa"/>
            <w:vAlign w:val="bottom"/>
          </w:tcPr>
          <w:p>
            <w:pPr>
              <w:spacing w:after="0"/>
              <w:rPr>
                <w:sz w:val="21"/>
                <w:szCs w:val="21"/>
                <w:color w:val="auto"/>
              </w:rPr>
            </w:pPr>
          </w:p>
        </w:tc>
      </w:tr>
      <w:tr>
        <w:trPr>
          <w:trHeight w:val="41"/>
        </w:trPr>
        <w:tc>
          <w:tcPr>
            <w:tcW w:w="4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expense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285,570</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285,570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84"/>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$ 3,850,802</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$ 2,470,209</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6,321,011</w:t>
            </w:r>
          </w:p>
        </w:tc>
        <w:tc>
          <w:tcPr>
            <w:tcW w:w="160" w:type="dxa"/>
            <w:vAlign w:val="bottom"/>
            <w:tcBorders>
              <w:bottom w:val="single" w:sz="8" w:color="CCEEFF"/>
            </w:tcBorders>
          </w:tcPr>
          <w:p>
            <w:pPr>
              <w:spacing w:after="0"/>
              <w:rPr>
                <w:sz w:val="24"/>
                <w:szCs w:val="24"/>
                <w:color w:val="auto"/>
              </w:rPr>
            </w:pPr>
          </w:p>
        </w:tc>
      </w:tr>
      <w:tr>
        <w:trPr>
          <w:trHeight w:val="271"/>
        </w:trPr>
        <w:tc>
          <w:tcPr>
            <w:tcW w:w="46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84"/>
        </w:trPr>
        <w:tc>
          <w:tcPr>
            <w:tcW w:w="4660" w:type="dxa"/>
            <w:vAlign w:val="bottom"/>
          </w:tcPr>
          <w:p>
            <w:pPr>
              <w:spacing w:after="0"/>
              <w:rPr>
                <w:sz w:val="20"/>
                <w:szCs w:val="20"/>
                <w:color w:val="auto"/>
              </w:rPr>
            </w:pPr>
            <w:r>
              <w:rPr>
                <w:rFonts w:ascii="Arial" w:cs="Arial" w:eastAsia="Arial" w:hAnsi="Arial"/>
                <w:sz w:val="18"/>
                <w:szCs w:val="18"/>
                <w:color w:val="auto"/>
              </w:rPr>
              <w:t>Effective interest rate</w:t>
            </w:r>
            <w:r>
              <w:rPr>
                <w:rFonts w:ascii="Arial" w:cs="Arial" w:eastAsia="Arial" w:hAnsi="Arial"/>
                <w:sz w:val="20"/>
                <w:szCs w:val="20"/>
                <w:color w:val="auto"/>
                <w:vertAlign w:val="superscript"/>
              </w:rPr>
              <w:t>(2)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$ 3,390,001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$ 2,302,944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5,692,945</w:t>
            </w:r>
          </w:p>
        </w:tc>
        <w:tc>
          <w:tcPr>
            <w:tcW w:w="160" w:type="dxa"/>
            <w:vAlign w:val="bottom"/>
            <w:shd w:val="clear" w:color="auto" w:fill="CCEEFF"/>
          </w:tcPr>
          <w:p>
            <w:pPr>
              <w:spacing w:after="0"/>
              <w:rPr>
                <w:sz w:val="21"/>
                <w:szCs w:val="21"/>
                <w:color w:val="auto"/>
              </w:rPr>
            </w:pPr>
          </w:p>
        </w:tc>
      </w:tr>
      <w:tr>
        <w:trPr>
          <w:trHeight w:val="41"/>
        </w:trPr>
        <w:tc>
          <w:tcPr>
            <w:tcW w:w="4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900" w:right="519" w:hanging="438"/>
        <w:spacing w:after="0" w:line="26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Stated interest is composed of distributions declared and paid of approximately $5.7 million for the six months ended September 30, 2019.</w:t>
      </w:r>
    </w:p>
    <w:p>
      <w:pPr>
        <w:spacing w:after="0" w:line="1" w:lineRule="exact"/>
        <w:rPr>
          <w:rFonts w:ascii="Arial" w:cs="Arial" w:eastAsia="Arial" w:hAnsi="Arial"/>
          <w:sz w:val="16"/>
          <w:szCs w:val="16"/>
          <w:color w:val="auto"/>
        </w:rPr>
      </w:pPr>
    </w:p>
    <w:p>
      <w:pPr>
        <w:ind w:left="900" w:hanging="438"/>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weighted average effective rate for each respective series of Term Preferred Shares.</w:t>
      </w:r>
    </w:p>
    <w:p>
      <w:pPr>
        <w:spacing w:after="0" w:line="168" w:lineRule="exact"/>
        <w:rPr>
          <w:sz w:val="20"/>
          <w:szCs w:val="20"/>
          <w:color w:val="auto"/>
        </w:rPr>
      </w:pPr>
    </w:p>
    <w:p>
      <w:pPr>
        <w:ind w:left="460" w:right="1459"/>
        <w:spacing w:after="0" w:line="282" w:lineRule="auto"/>
        <w:rPr>
          <w:sz w:val="20"/>
          <w:szCs w:val="20"/>
          <w:color w:val="auto"/>
        </w:rPr>
      </w:pPr>
      <w:r>
        <w:rPr>
          <w:rFonts w:ascii="Arial" w:cs="Arial" w:eastAsia="Arial" w:hAnsi="Arial"/>
          <w:sz w:val="18"/>
          <w:szCs w:val="18"/>
          <w:b w:val="1"/>
          <w:bCs w:val="1"/>
          <w:color w:val="auto"/>
        </w:rPr>
        <w:t>NOTE 9. BORROWINGS RELATED TO SECURITIES SOLD UNDER AGREEMENT TO REPURCHASE</w:t>
      </w:r>
    </w:p>
    <w:p>
      <w:pPr>
        <w:spacing w:after="0" w:line="31"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January 2, 2018, the Fund entered into a Master Repurchase Agreement (“MRA”) with Nomura Securities International, Inc. (“Nomura”). Pursuant to the MRA and a transaction confirmation, The Fund entered into a repurchase transaction (the “Repo”) with Nomura pursuant to which the Fund sold CLO securities to Nomura with a market value of approximately $106.2 million, at January 2, 2018, for a purchase price of approximately $42.5 million. At the end of the Repo term, the Fund is obligated to repurchase those securities from Nomura, and Nomura is obligated to sell the securities to the Fund, for the original purchase price of $42.5 million plus accrued but unpaid funding costs. The Repo had a nine-month term, from trade date, that may be extended by mutual agreement. The Repo has a funding cost of 3-month LIBOR plus 3.15 percent per annum, which may be adjusted in the event of an extension of the Repo term. On October 11, 2018, the MRA was amended and restated to extend the Repo term. Under this agreement, the term of the Repo was extended until July 2, 2019. On May 1, 2019, the Fund amended the Repo with Nomura to (i) extend the maturity date of the Repo from July 2, 2019 to January 2, 2020, and (ii) reduce the funding cost of the Repo from</w:t>
      </w:r>
    </w:p>
    <w:p>
      <w:pPr>
        <w:sectPr>
          <w:pgSz w:w="11900" w:h="16838" w:orient="portrait"/>
          <w:cols w:equalWidth="0" w:num="1">
            <w:col w:w="9019"/>
          </w:cols>
          <w:pgMar w:left="1440" w:top="33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180" w:right="1459" w:hanging="719"/>
        <w:spacing w:after="0" w:line="282" w:lineRule="auto"/>
        <w:rPr>
          <w:sz w:val="20"/>
          <w:szCs w:val="20"/>
          <w:color w:val="auto"/>
        </w:rPr>
      </w:pPr>
      <w:r>
        <w:rPr>
          <w:rFonts w:ascii="Arial" w:cs="Arial" w:eastAsia="Arial" w:hAnsi="Arial"/>
          <w:sz w:val="18"/>
          <w:szCs w:val="18"/>
          <w:b w:val="1"/>
          <w:bCs w:val="1"/>
          <w:color w:val="auto"/>
        </w:rPr>
        <w:t xml:space="preserve">NOTE 9. BORROWINGS RELATED TO SECURITIES SOLD UNDER AGREEMENT TO REPURCHASE </w:t>
      </w:r>
      <w:r>
        <w:rPr>
          <w:rFonts w:ascii="Arial" w:cs="Arial" w:eastAsia="Arial" w:hAnsi="Arial"/>
          <w:sz w:val="18"/>
          <w:szCs w:val="18"/>
          <w:color w:val="auto"/>
        </w:rPr>
        <w:t>(cont.)</w:t>
      </w:r>
    </w:p>
    <w:p>
      <w:pPr>
        <w:spacing w:after="0" w:line="125"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color w:val="auto"/>
        </w:rPr>
        <w:t>3-month LIBOR plus 3.15% per annum to 3-month LIBOR plus 2.90% per annum effective as of July 2, 2019. In addition, the Repo was partially paid down on May 15, 2019 from $42,493,500 to $35,000,000. The partial pay down on May 15, 2019 occurred with the Fund purchasing the securities within the Repo from Nomura at a price of $42,493,500 and selling the same securities to Nomura at a price of $35,000,000, the net effect being a $7,493,500 pay down of the Repo. The Fund treats the transaction as a secured financing for financial reporting purposes in accordance with GAAP.</w:t>
      </w:r>
    </w:p>
    <w:p>
      <w:pPr>
        <w:spacing w:after="0" w:line="43"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As of September 30, 2019, and pursuant to the terms of the MRA with Nomura, the Fund had an interest payable of approximately $0.5 million. In connection with the Repo funding costs, the Fund recognized interest expense of approximately $1.0 million for the six months ended September 30, 2019.</w:t>
      </w:r>
    </w:p>
    <w:p>
      <w:pPr>
        <w:spacing w:after="0" w:line="17"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The following table presents information about certain assets and liabilities representing financial instruments as of September 30, 2019: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Gross and Net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amounts</w:t>
            </w:r>
          </w:p>
        </w:tc>
        <w:tc>
          <w:tcPr>
            <w:tcW w:w="160" w:type="dxa"/>
            <w:vAlign w:val="bottom"/>
          </w:tcPr>
          <w:p>
            <w:pPr>
              <w:spacing w:after="0"/>
              <w:rPr>
                <w:sz w:val="17"/>
                <w:szCs w:val="17"/>
                <w:color w:val="auto"/>
              </w:rPr>
            </w:pPr>
          </w:p>
        </w:tc>
        <w:tc>
          <w:tcPr>
            <w:tcW w:w="20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Amounts not offset in the</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7"/>
                <w:szCs w:val="17"/>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8"/>
              </w:rPr>
              <w:t>Statement of Assets and</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Statement</w:t>
            </w:r>
          </w:p>
        </w:tc>
        <w:tc>
          <w:tcPr>
            <w:tcW w:w="160" w:type="dxa"/>
            <w:vAlign w:val="bottom"/>
          </w:tcPr>
          <w:p>
            <w:pPr>
              <w:spacing w:after="0"/>
              <w:rPr>
                <w:sz w:val="18"/>
                <w:szCs w:val="18"/>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20" w:type="dxa"/>
            <w:vAlign w:val="bottom"/>
          </w:tcPr>
          <w:p>
            <w:pPr>
              <w:spacing w:after="0"/>
              <w:rPr>
                <w:sz w:val="4"/>
                <w:szCs w:val="4"/>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5"/>
              </w:rPr>
              <w:t>of Assets and</w:t>
            </w: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5"/>
              </w:rPr>
              <w:t>Financial</w:t>
            </w:r>
          </w:p>
        </w:tc>
        <w:tc>
          <w:tcPr>
            <w:tcW w:w="1040" w:type="dxa"/>
            <w:vAlign w:val="bottom"/>
          </w:tcPr>
          <w:p>
            <w:pPr>
              <w:ind w:left="180"/>
              <w:spacing w:after="0" w:line="182" w:lineRule="exact"/>
              <w:rPr>
                <w:sz w:val="20"/>
                <w:szCs w:val="20"/>
                <w:color w:val="auto"/>
              </w:rPr>
            </w:pPr>
            <w:r>
              <w:rPr>
                <w:rFonts w:ascii="Arial" w:cs="Arial" w:eastAsia="Arial" w:hAnsi="Arial"/>
                <w:sz w:val="16"/>
                <w:szCs w:val="16"/>
                <w:b w:val="1"/>
                <w:bCs w:val="1"/>
                <w:color w:val="auto"/>
              </w:rPr>
              <w:t>Securities</w:t>
            </w:r>
          </w:p>
        </w:tc>
        <w:tc>
          <w:tcPr>
            <w:tcW w:w="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Liabilities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instruments</w:t>
            </w: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collateral</w:t>
            </w: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47"/>
        </w:trPr>
        <w:tc>
          <w:tcPr>
            <w:tcW w:w="37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60" w:type="dxa"/>
            <w:vAlign w:val="bottom"/>
            <w:gridSpan w:val="4"/>
          </w:tcPr>
          <w:p>
            <w:pPr>
              <w:jc w:val="right"/>
              <w:ind w:right="180"/>
              <w:spacing w:after="0"/>
              <w:rPr>
                <w:sz w:val="20"/>
                <w:szCs w:val="20"/>
                <w:color w:val="auto"/>
              </w:rPr>
            </w:pPr>
            <w:r>
              <w:rPr>
                <w:rFonts w:ascii="Arial" w:cs="Arial" w:eastAsia="Arial" w:hAnsi="Arial"/>
                <w:sz w:val="18"/>
                <w:szCs w:val="18"/>
                <w:color w:val="auto"/>
                <w:w w:val="94"/>
              </w:rPr>
              <w:t>Securities sold under agreements to repurchase  $(35,000,000)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$ 35,000,000</w:t>
            </w:r>
          </w:p>
        </w:tc>
        <w:tc>
          <w:tcPr>
            <w:tcW w:w="8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$(35,000,000</w:t>
            </w: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$ 35,000,000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following table summarizes the Fund’s outstanding borrowings by remaining maturity as of March 31,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40" w:type="dxa"/>
            <w:vAlign w:val="bottom"/>
            <w:gridSpan w:val="11"/>
          </w:tcPr>
          <w:p>
            <w:pPr>
              <w:jc w:val="right"/>
              <w:ind w:right="30"/>
              <w:spacing w:after="0"/>
              <w:rPr>
                <w:sz w:val="20"/>
                <w:szCs w:val="20"/>
                <w:color w:val="auto"/>
              </w:rPr>
            </w:pPr>
            <w:r>
              <w:rPr>
                <w:rFonts w:ascii="Arial" w:cs="Arial" w:eastAsia="Arial" w:hAnsi="Arial"/>
                <w:sz w:val="16"/>
                <w:szCs w:val="16"/>
                <w:b w:val="1"/>
                <w:bCs w:val="1"/>
                <w:color w:val="auto"/>
                <w:w w:val="93"/>
              </w:rPr>
              <w:t>Remaining Contractual Maturity of the Agreements</w:t>
            </w:r>
          </w:p>
        </w:tc>
        <w:tc>
          <w:tcPr>
            <w:tcW w:w="940" w:type="dxa"/>
            <w:vAlign w:val="bottom"/>
          </w:tcPr>
          <w:p>
            <w:pPr>
              <w:spacing w:after="0"/>
              <w:rPr>
                <w:sz w:val="18"/>
                <w:szCs w:val="18"/>
                <w:color w:val="auto"/>
              </w:rPr>
            </w:pPr>
          </w:p>
        </w:tc>
      </w:tr>
      <w:tr>
        <w:trPr>
          <w:trHeight w:val="47"/>
        </w:trPr>
        <w:tc>
          <w:tcPr>
            <w:tcW w:w="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w w:val="90"/>
              </w:rPr>
              <w:t>Overnight and</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Greater Than</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Remaining Maturity</w:t>
            </w:r>
          </w:p>
        </w:tc>
        <w:tc>
          <w:tcPr>
            <w:tcW w:w="10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8"/>
              </w:rPr>
              <w:t>Continuous</w:t>
            </w:r>
          </w:p>
        </w:tc>
        <w:tc>
          <w:tcPr>
            <w:tcW w:w="10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Up to 30 days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90 days</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90 days</w:t>
            </w:r>
          </w:p>
        </w:tc>
        <w:tc>
          <w:tcPr>
            <w:tcW w:w="24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47"/>
        </w:trPr>
        <w:tc>
          <w:tcPr>
            <w:tcW w:w="20" w:type="dxa"/>
            <w:vAlign w:val="bottom"/>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95"/>
        </w:trPr>
        <w:tc>
          <w:tcPr>
            <w:tcW w:w="20" w:type="dxa"/>
            <w:vAlign w:val="bottom"/>
          </w:tcPr>
          <w:p>
            <w:pPr>
              <w:spacing w:after="0"/>
              <w:rPr>
                <w:sz w:val="16"/>
                <w:szCs w:val="16"/>
                <w:color w:val="auto"/>
              </w:rPr>
            </w:pPr>
          </w:p>
        </w:tc>
        <w:tc>
          <w:tcPr>
            <w:tcW w:w="2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Borrowings related to securities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sold under agreement to</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CLO equity</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35,000,000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35,000,000</w:t>
            </w:r>
          </w:p>
        </w:tc>
      </w:tr>
      <w:tr>
        <w:trPr>
          <w:trHeight w:val="182"/>
        </w:trPr>
        <w:tc>
          <w:tcPr>
            <w:tcW w:w="20" w:type="dxa"/>
            <w:vAlign w:val="bottom"/>
          </w:tcPr>
          <w:p>
            <w:pPr>
              <w:spacing w:after="0"/>
              <w:rPr>
                <w:sz w:val="15"/>
                <w:szCs w:val="15"/>
                <w:color w:val="auto"/>
              </w:rPr>
            </w:pPr>
          </w:p>
        </w:tc>
        <w:tc>
          <w:tcPr>
            <w:tcW w:w="2400" w:type="dxa"/>
            <w:vAlign w:val="bottom"/>
            <w:gridSpan w:val="2"/>
          </w:tcPr>
          <w:p>
            <w:pPr>
              <w:spacing w:after="0" w:line="182" w:lineRule="exact"/>
              <w:rPr>
                <w:sz w:val="20"/>
                <w:szCs w:val="20"/>
                <w:color w:val="auto"/>
              </w:rPr>
            </w:pPr>
            <w:r>
              <w:rPr>
                <w:rFonts w:ascii="Arial" w:cs="Arial" w:eastAsia="Arial" w:hAnsi="Arial"/>
                <w:sz w:val="18"/>
                <w:szCs w:val="18"/>
                <w:color w:val="auto"/>
              </w:rPr>
              <w:t>Total borrowings related to</w:t>
            </w:r>
          </w:p>
        </w:tc>
        <w:tc>
          <w:tcPr>
            <w:tcW w:w="4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securities sold under</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agreement to repurchase</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35,000,000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35,000,000</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presents the principal value, carrying value and fair value of the Fund’s securities sold under its outstanding borrowing agreement to repurchase as of September 30,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Principal</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Pledged</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 of Net Assets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Madison Park Fund XLI, Ltd. (fka: Atrium XII</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CLO) – CLO subordinated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34,762,500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$ 22,690,722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$ 19,814,625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Madison Park Funding XXIX, Ltd. – CLO</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subordinated notes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17,000,000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14,475,285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12,920,000</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Madison Park Funding XXX, Ltd. – CLO</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17,550,000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15,617,664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14,186,997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Midocean Credit CLO VI – CLO income notes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24,700,000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21,028,683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12,844,000</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41"/>
        </w:trPr>
        <w:tc>
          <w:tcPr>
            <w:tcW w:w="35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OZLM XIV, Ltd. – CLO subordinated notes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8,144,020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5,012,974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THL Credit Wind River 2017-1 CLO Ltd. –</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CLO subordinated notes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12,000,000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10,102,797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6,120,000</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116,012,500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$ 92,059,171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$ 70,898,596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337" w:right="1440"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PURCHASES, SALES AND REPAYMENTS OF SECURITIES</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As of September 30, 2019, purchases of securities totaled approximately $246.6 million including approximately $38.8 million of unsettled purchases. In addition, as of September 30, 2019, the Fund’s sales of securities totaled approximately $59.8 million. The Fund did not have any repayments, excluding short-term investments, during the six months ended September 30, 2019.</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48"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 As of September 30, 2019, the Fund did not have any commitments outstanding to purchase.</w:t>
      </w:r>
    </w:p>
    <w:p>
      <w:pPr>
        <w:spacing w:after="0" w:line="119"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7"/>
          <w:szCs w:val="17"/>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 of these legal proceedings, if any, cannot be predicted with certainty, the Fund does not expect that these proceedings will have a material effect upon its financial condition or results of operations.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INDEMNIFICATION</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FINANCIAL HIGHLIGHTS</w:t>
      </w:r>
    </w:p>
    <w:p>
      <w:pPr>
        <w:spacing w:after="0" w:line="16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Financial highlights for the six months ended September 30, 2019 and years ended March 31, 2019, 2018, 2017, 2016 and 2015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4"/>
                <w:szCs w:val="14"/>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left="100"/>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left="2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Per Share Data</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rPr>
              <w:t>Net asset value at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beginning of</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period/year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Net investment income</w:t>
            </w:r>
            <w:r>
              <w:rPr>
                <w:rFonts w:ascii="Arial" w:cs="Arial" w:eastAsia="Arial" w:hAnsi="Arial"/>
                <w:sz w:val="21"/>
                <w:szCs w:val="21"/>
                <w:color w:val="auto"/>
                <w:w w:val="96"/>
                <w:vertAlign w:val="superscript"/>
              </w:rPr>
              <w:t>(1)</w:t>
            </w:r>
          </w:p>
        </w:tc>
        <w:tc>
          <w:tcPr>
            <w:tcW w:w="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2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rPr>
              <w:t>Net realized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unrealized (losses)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gains</w:t>
            </w:r>
            <w:r>
              <w:rPr>
                <w:rFonts w:ascii="Arial" w:cs="Arial" w:eastAsia="Arial" w:hAnsi="Arial"/>
                <w:sz w:val="21"/>
                <w:szCs w:val="21"/>
                <w:color w:val="auto"/>
                <w:vertAlign w:val="superscript"/>
              </w:rPr>
              <w:t>(2)</w:t>
            </w:r>
          </w:p>
        </w:tc>
        <w:tc>
          <w:tcPr>
            <w:tcW w:w="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(2.14)</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(1.92)</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(6.28)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Total from investment</w:t>
            </w: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operations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tcPr>
          <w:p>
            <w:pPr>
              <w:spacing w:after="0" w:line="173" w:lineRule="exact"/>
              <w:rPr>
                <w:sz w:val="20"/>
                <w:szCs w:val="20"/>
                <w:color w:val="auto"/>
              </w:rPr>
            </w:pPr>
            <w:r>
              <w:rPr>
                <w:rFonts w:ascii="Arial" w:cs="Arial" w:eastAsia="Arial" w:hAnsi="Arial"/>
                <w:sz w:val="16"/>
                <w:szCs w:val="16"/>
                <w:color w:val="auto"/>
                <w:w w:val="97"/>
              </w:rPr>
              <w:t>Distributions per share of</w:t>
            </w: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net investment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(3)</w:t>
            </w:r>
          </w:p>
        </w:tc>
        <w:tc>
          <w:tcPr>
            <w:tcW w:w="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(0.71)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per share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from realized gain on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rPr>
              <w:t>Distributions of return of</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capital</w:t>
            </w:r>
            <w:r>
              <w:rPr>
                <w:rFonts w:ascii="Arial" w:cs="Arial" w:eastAsia="Arial" w:hAnsi="Arial"/>
                <w:sz w:val="21"/>
                <w:szCs w:val="21"/>
                <w:color w:val="auto"/>
                <w:vertAlign w:val="superscript"/>
              </w:rPr>
              <w:t>(3)</w:t>
            </w:r>
          </w:p>
        </w:tc>
        <w:tc>
          <w:tcPr>
            <w:tcW w:w="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(0.10)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(0.25)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per share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 on weighted</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average share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(0.09)</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6"/>
                <w:szCs w:val="16"/>
                <w:color w:val="auto"/>
              </w:rPr>
              <w:t>Total distributions</w:t>
            </w:r>
            <w:r>
              <w:rPr>
                <w:rFonts w:ascii="Arial" w:cs="Arial" w:eastAsia="Arial" w:hAnsi="Arial"/>
                <w:sz w:val="21"/>
                <w:szCs w:val="21"/>
                <w:color w:val="auto"/>
                <w:vertAlign w:val="superscript"/>
              </w:rPr>
              <w:t>(3)</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(0.82)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Effect of shares</w:t>
            </w: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issued/repurchased, net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underwriting</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80" w:type="dxa"/>
            <w:vAlign w:val="bottom"/>
            <w:gridSpan w:val="2"/>
          </w:tcPr>
          <w:p>
            <w:pPr>
              <w:spacing w:after="0"/>
              <w:rPr>
                <w:sz w:val="20"/>
                <w:szCs w:val="20"/>
                <w:color w:val="auto"/>
              </w:rPr>
            </w:pPr>
            <w:r>
              <w:rPr>
                <w:rFonts w:ascii="Arial" w:cs="Arial" w:eastAsia="Arial" w:hAnsi="Arial"/>
                <w:sz w:val="16"/>
                <w:szCs w:val="16"/>
                <w:color w:val="auto"/>
              </w:rPr>
              <w:t>Effect of offering costs</w:t>
            </w:r>
          </w:p>
        </w:tc>
        <w:tc>
          <w:tcPr>
            <w:tcW w:w="8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Effect of shares</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2"/>
              </w:rPr>
              <w:t>issued/repurchased,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tcPr>
          <w:p>
            <w:pPr>
              <w:spacing w:after="0" w:line="173" w:lineRule="exact"/>
              <w:rPr>
                <w:sz w:val="20"/>
                <w:szCs w:val="20"/>
                <w:color w:val="auto"/>
              </w:rPr>
            </w:pPr>
            <w:r>
              <w:rPr>
                <w:rFonts w:ascii="Arial" w:cs="Arial" w:eastAsia="Arial" w:hAnsi="Arial"/>
                <w:sz w:val="16"/>
                <w:szCs w:val="16"/>
                <w:color w:val="auto"/>
                <w:w w:val="98"/>
              </w:rPr>
              <w:t>Net asset value at end of</w:t>
            </w: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7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period/year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2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2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60" w:type="dxa"/>
            <w:vAlign w:val="bottom"/>
            <w:shd w:val="clear" w:color="auto" w:fill="CCEEFF"/>
          </w:tcPr>
          <w:p>
            <w:pPr>
              <w:spacing w:after="0" w:line="153" w:lineRule="exact"/>
              <w:rPr>
                <w:sz w:val="20"/>
                <w:szCs w:val="20"/>
                <w:color w:val="auto"/>
              </w:rPr>
            </w:pPr>
            <w:r>
              <w:rPr>
                <w:rFonts w:ascii="Arial" w:cs="Arial" w:eastAsia="Arial" w:hAnsi="Arial"/>
                <w:sz w:val="16"/>
                <w:szCs w:val="16"/>
                <w:color w:val="auto"/>
                <w:w w:val="94"/>
              </w:rPr>
              <w:t>Per share market value at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beginning of</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period/year</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w w:val="94"/>
              </w:rPr>
              <w:t>Per share market value at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end of period/year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Total return based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13.47%</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66.38%</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w w:val="97"/>
              </w:rPr>
              <w:t>Total return based on net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asset value</w:t>
            </w:r>
            <w:r>
              <w:rPr>
                <w:rFonts w:ascii="Arial" w:cs="Arial" w:eastAsia="Arial" w:hAnsi="Arial"/>
                <w:sz w:val="21"/>
                <w:szCs w:val="21"/>
                <w:color w:val="auto"/>
                <w:vertAlign w:val="superscript"/>
              </w:rPr>
              <w:t>(5)</w:t>
            </w:r>
          </w:p>
        </w:tc>
        <w:tc>
          <w:tcPr>
            <w:tcW w:w="8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(10.58)%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78.98%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(32.95)%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w w:val="93"/>
              </w:rPr>
              <w:t>Shares outstanding at end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period/year</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59,191,517</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42,547,801</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28,768,899</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22,751,432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18,751,696</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15,972,381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b w:val="1"/>
                <w:bCs w:val="1"/>
                <w:color w:val="auto"/>
              </w:rPr>
              <w:t>Ratios/Supplemental</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Net assets at end of</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period (000’s)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392,489</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353,832</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289,930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232,048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224,933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80" w:type="dxa"/>
            <w:vAlign w:val="bottom"/>
            <w:gridSpan w:val="2"/>
          </w:tcPr>
          <w:p>
            <w:pPr>
              <w:spacing w:after="0"/>
              <w:rPr>
                <w:sz w:val="20"/>
                <w:szCs w:val="20"/>
                <w:color w:val="auto"/>
              </w:rPr>
            </w:pPr>
            <w:r>
              <w:rPr>
                <w:rFonts w:ascii="Arial" w:cs="Arial" w:eastAsia="Arial" w:hAnsi="Arial"/>
                <w:sz w:val="16"/>
                <w:szCs w:val="16"/>
                <w:color w:val="auto"/>
                <w:w w:val="92"/>
              </w:rPr>
              <w:t>Average net assets (000’s)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361,195</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315,037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254,893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173,005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185,211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239,703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to average</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18.04%</w:t>
            </w:r>
            <w:r>
              <w:rPr>
                <w:rFonts w:ascii="Arial" w:cs="Arial" w:eastAsia="Arial" w:hAnsi="Arial"/>
                <w:sz w:val="21"/>
                <w:szCs w:val="21"/>
                <w:color w:val="auto"/>
                <w:vertAlign w:val="superscript"/>
              </w:rPr>
              <w:t>(7)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daily net assets</w:t>
            </w: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rPr>
              <w:t>Ratio of expenses to</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average daily net</w:t>
            </w:r>
          </w:p>
        </w:tc>
        <w:tc>
          <w:tcPr>
            <w:tcW w:w="80" w:type="dxa"/>
            <w:vAlign w:val="bottom"/>
          </w:tcPr>
          <w:p>
            <w:pPr>
              <w:spacing w:after="0"/>
              <w:rPr>
                <w:sz w:val="17"/>
                <w:szCs w:val="17"/>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12.87%</w:t>
            </w:r>
            <w:r>
              <w:rPr>
                <w:rFonts w:ascii="Arial" w:cs="Arial" w:eastAsia="Arial" w:hAnsi="Arial"/>
                <w:sz w:val="21"/>
                <w:szCs w:val="21"/>
                <w:color w:val="auto"/>
                <w:vertAlign w:val="superscript"/>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6"/>
                <w:szCs w:val="16"/>
                <w:color w:val="auto"/>
              </w:rPr>
              <w:t>assets</w:t>
            </w:r>
          </w:p>
        </w:tc>
        <w:tc>
          <w:tcPr>
            <w:tcW w:w="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15.71%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Portfolio turnover rate</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11.35%</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64.97%</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69.08%</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51"/>
        </w:trPr>
        <w:tc>
          <w:tcPr>
            <w:tcW w:w="178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0" w:gutter="0" w:footer="0" w:header="0"/>
        </w:sectPr>
      </w:pPr>
    </w:p>
    <w:bookmarkStart w:id="35" w:name="page36"/>
    <w:bookmarkEnd w:id="35"/>
    <w:p>
      <w:pPr>
        <w:ind w:left="900" w:hanging="43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net investment income per share for the period, based upon average shares outstanding.</w:t>
      </w:r>
    </w:p>
    <w:p>
      <w:pPr>
        <w:spacing w:after="0" w:line="22" w:lineRule="exact"/>
        <w:rPr>
          <w:rFonts w:ascii="Arial" w:cs="Arial" w:eastAsia="Arial" w:hAnsi="Arial"/>
          <w:sz w:val="16"/>
          <w:szCs w:val="16"/>
          <w:color w:val="auto"/>
        </w:rPr>
      </w:pPr>
    </w:p>
    <w:p>
      <w:pPr>
        <w:ind w:left="900" w:right="739" w:hanging="438"/>
        <w:spacing w:after="0" w:line="28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realized and unrealized capital gains and losses based upon average shares outstanding include adjustments to reconcile change in net asset value per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FINANCIAL HIGHLIGHTS </w:t>
      </w:r>
      <w:r>
        <w:rPr>
          <w:rFonts w:ascii="Arial" w:cs="Arial" w:eastAsia="Arial" w:hAnsi="Arial"/>
          <w:sz w:val="18"/>
          <w:szCs w:val="18"/>
          <w:color w:val="auto"/>
        </w:rPr>
        <w:t>(cont.)</w:t>
      </w:r>
    </w:p>
    <w:p>
      <w:pPr>
        <w:spacing w:after="0" w:line="193" w:lineRule="exact"/>
        <w:rPr>
          <w:sz w:val="20"/>
          <w:szCs w:val="20"/>
          <w:color w:val="auto"/>
        </w:rPr>
      </w:pPr>
    </w:p>
    <w:p>
      <w:pPr>
        <w:ind w:left="900" w:right="499" w:hanging="438"/>
        <w:spacing w:after="0" w:line="282"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6. Distributions”.</w:t>
      </w:r>
    </w:p>
    <w:p>
      <w:pPr>
        <w:spacing w:after="0" w:line="3" w:lineRule="exact"/>
        <w:rPr>
          <w:rFonts w:ascii="Arial" w:cs="Arial" w:eastAsia="Arial" w:hAnsi="Arial"/>
          <w:sz w:val="15"/>
          <w:szCs w:val="15"/>
          <w:color w:val="auto"/>
        </w:rPr>
      </w:pPr>
    </w:p>
    <w:p>
      <w:pPr>
        <w:ind w:left="900" w:right="559" w:hanging="438"/>
        <w:spacing w:after="0" w:line="301" w:lineRule="auto"/>
        <w:tabs>
          <w:tab w:leader="none" w:pos="8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3" w:lineRule="exact"/>
        <w:rPr>
          <w:rFonts w:ascii="Arial" w:cs="Arial" w:eastAsia="Arial" w:hAnsi="Arial"/>
          <w:sz w:val="14"/>
          <w:szCs w:val="14"/>
          <w:color w:val="auto"/>
        </w:rPr>
      </w:pPr>
    </w:p>
    <w:p>
      <w:pPr>
        <w:ind w:left="900" w:right="499" w:hanging="438"/>
        <w:spacing w:after="0" w:line="264" w:lineRule="auto"/>
        <w:tabs>
          <w:tab w:leader="none" w:pos="8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return based on net asset value (“NAV”) is the change in ending NAV per share plus distributions per share paid during the period assuming participation in the Fund’s distribution reinvestment plan divided by the beginning NAV per share.</w:t>
      </w:r>
    </w:p>
    <w:p>
      <w:pPr>
        <w:ind w:left="900" w:right="499" w:hanging="438"/>
        <w:spacing w:after="0" w:line="26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the year-to-date purchases or sales and repayments of investments divided by the monthly average of the fair value of total investments. Excluded from both numerator and denominator is the fair value of all investments whose maturity date was one year or less.</w:t>
      </w:r>
    </w:p>
    <w:p>
      <w:pPr>
        <w:ind w:left="880" w:hanging="418"/>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Annualized as of September 30, 2019.</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RISKS AND UNCERTAINTIES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U.S. capital markets have experienced periods of volatility and disruption. Disruptions in the capital markets tend to increase the spread between the yields realized on risk-free and higher risk securities, resulting in illiquidity in parts of the capital markets. The Fund believes these conditions may reoccur in the future. A prolonged period of market illiquidity may have an adverse effect on the Fund’s business, financial condition and results of operations. Adverse economic conditions could also limit the Fund’s access to the capital markets or result in a decision by lenders not to extend credit to the Fund. These events could limit the Fund’s investment purchases, limit the Fund’s ability to grow and negatively impact the Fund’s operating results.</w:t>
      </w:r>
    </w:p>
    <w:p>
      <w:pPr>
        <w:spacing w:after="0" w:line="100"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OXLC Management’s investment team also presently manages the portfolios of Oxford Square Capital Corp., a publicly-traded business development company that invests principally in the debt of U.S.-based companies and CLOs. Additionally, OXLC Management’s investment team manages the portfolio of Oxford Bridge, LLC, Oxford Bridge II, LLC, and Oxford Gate Master Fund, LLC, limited liability companies that invest principally in the equity of CLOs. In certain instances, the Fund may co-invest on a concurrent basis with affiliates of its investment adviser, subject to compliance with applicable regulations and regulatory guidance and our written allocation policies. On June 14, 2017, the SEC issued the Order permitting us and certain of our affiliates to complete negotiated co-investment transactions in portfolio companies, subject to certain conditions. Subject to satisfaction of certain conditions to the Order, we and certain of our affiliates are now permitted, together with any future business development companies, registered closed-end funds and certain private funds, each of whose investment adviser is our investment adviser or an investment adviser controlling, controlled by, or under common control with our investment adviser, to co-invest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Given the structure of the Fund’s Investment Advisory Agreement with OXLC Management, any general increase in interest rates will likely have the effect of making it easier for OXLC Management to meet the quarterly hurdle rate for payment of net investment income incentive fees under the Investment Advisory Agreement without any additional increase in relative performance on the part of the Fund’s investment adviser. In addition, in view of the catch-up provision applicable to income incentive fees under the Investment Advisory Agreement, OXLC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OXLC Management’s net investment income incentive fee resulting from such a general increase in interest rates.</w:t>
      </w:r>
    </w:p>
    <w:p>
      <w:pPr>
        <w:spacing w:after="0" w:line="99"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2019, the CLO vehicles in which the Fund was invested had average leverage of 10.5 times and ranged from approximately 5.4 times to 14.5 times levered. In particular, investors in CLO vehicles indirectly bear risks of the underlying debt investments held by such CLO vehicles.</w:t>
      </w:r>
    </w:p>
    <w:p>
      <w:pPr>
        <w:spacing w:after="0" w:line="111"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OXLC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9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 (iv) 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pacing w:after="0" w:line="115"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Section 941 of the Dodd-Frank Wall Street Reform and Consumer Protection Act added a provision to the Securities Exchange Act of 1934, as amended (the “1934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color w:val="auto"/>
        </w:rPr>
        <w:t>five percent of the credit risk in the CLO, which may be retained horizontally in the equity tranche of the CLO or vertically as a five percent interest in each tranche of the securities issued by the CLO.</w:t>
      </w:r>
    </w:p>
    <w:p>
      <w:pPr>
        <w:spacing w:after="0" w:line="89"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84"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Fund believes that the U.S. risk retention requirements imposed for CLO managers under Section 941 of the Dodd-Frank Wall Street Reform and Consumer Protection Act has created some uncertainty in the market in regard to future CLO issuance. Given that certain CLO managers may require capital provider partners to satisfy this requirement, the Fund believes that this may create opportunities and additional risks for the Fund in the future.</w:t>
      </w:r>
    </w:p>
    <w:p>
      <w:pPr>
        <w:spacing w:after="0" w:line="94"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February 9, 2018, a panel of the United States Court of Appeals for the District of Columbia Circuit ruled that the federal agencies exceeded their authority under the Dodd-Frank Wall Street Reform and Consumer Protection Act in adopting the final rules as applied to asset managers of open-market CLOs. On April 5, 2018, the United States District Court for the District of Columbia entered an order implementing the D.C. Circuit Ruling and thereby vacated the U.S. Risk Retention Rules insofar as they apply to CLO managers of “open market CLOs”.</w:t>
      </w:r>
    </w:p>
    <w:p>
      <w:pPr>
        <w:spacing w:after="0" w:line="11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Further, 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pacing w:after="0" w:line="92"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On July 27, 2017, the United Kingdom’s Financial Conduct Authority, which regulates LIBOR, announced that it intends to phase out LIBOR by the end of 2021. It is unclear if at that time whether or not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short-term repurchase agreements, backed by Treasury securities. On June 12, 2019, the Staff from the SEC’s Division of Corporate Finance, Division of Investment Management, Division of Trading and Markets, and Office of the Chief Accountant issued a statement about the potentially significant effects on financial markets and market participants when LIBOR is discontinued in 2021 and no longer available as a reference benchmark rate. The Staff encouraged all market participants to identify contracts that reference LIBOR and begin transitions to alternative rates. Recently, the CLOs we have invested in have included, or have been amended to include, language permitting the CLO investment manager, to implement a market replacement rate (like those proposed by the Alternative Reference Rates Committee of the Federal Reserve Board and the Federal Reserve Bank of New York) upon the occurrence of certain material disruption events. However, we cannot ensure that all CLOs in which we are invested will have such provisions, nor can we ensure the CLO investment managers will undertake the suggested amendments when able. We believe that because CLO managers and other CLO market participants have been preparing for an eventual transition away from LIBOR, we do not anticipate such a transition to have a material impact on the liquidity or value of any of our LIBOR-referenced CLO investments. However, because the future of LIBOR at this time is uncertain and the specific effects of a transition away from LIBOR cannot be determined with certainty as of the date of this report, a transition away from LIBOR could:</w:t>
      </w:r>
    </w:p>
    <w:p>
      <w:pPr>
        <w:spacing w:after="0" w:line="290" w:lineRule="exact"/>
        <w:rPr>
          <w:sz w:val="20"/>
          <w:szCs w:val="20"/>
          <w:color w:val="auto"/>
        </w:rPr>
      </w:pPr>
    </w:p>
    <w:p>
      <w:pPr>
        <w:ind w:left="1320" w:right="579" w:hanging="425"/>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impact the pricing, liquidity, value of, return on and trading for a broad array of financial products, including any LIBOR-linked CLO investments;</w:t>
      </w:r>
    </w:p>
    <w:p>
      <w:pPr>
        <w:spacing w:after="0" w:line="89" w:lineRule="exact"/>
        <w:rPr>
          <w:rFonts w:ascii="Arial" w:cs="Arial" w:eastAsia="Arial" w:hAnsi="Arial"/>
          <w:sz w:val="18"/>
          <w:szCs w:val="18"/>
          <w:color w:val="auto"/>
        </w:rPr>
      </w:pPr>
    </w:p>
    <w:p>
      <w:pPr>
        <w:ind w:left="1320" w:right="799" w:hanging="425"/>
        <w:spacing w:after="0" w:line="286" w:lineRule="auto"/>
        <w:tabs>
          <w:tab w:leader="none" w:pos="13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extensive changes to documentation that governs or references LIBOR or LIBOR-based products, including, for example, pursuant to time-consuming renegotiations of existing documentation to modify the terms of outstanding investments;</w:t>
      </w:r>
    </w:p>
    <w:p>
      <w:pPr>
        <w:sectPr>
          <w:pgSz w:w="11900" w:h="16838" w:orient="portrait"/>
          <w:cols w:equalWidth="0" w:num="1">
            <w:col w:w="9019"/>
          </w:cols>
          <w:pgMar w:left="1440" w:top="337"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1320" w:right="499" w:hanging="425"/>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inquiries or other actions from regulators in respect of our preparation and readiness for the replacement of LIBOR with one or more alternative reference rates;</w:t>
      </w:r>
    </w:p>
    <w:p>
      <w:pPr>
        <w:spacing w:after="0" w:line="102" w:lineRule="exact"/>
        <w:rPr>
          <w:rFonts w:ascii="Arial" w:cs="Arial" w:eastAsia="Arial" w:hAnsi="Arial"/>
          <w:sz w:val="18"/>
          <w:szCs w:val="18"/>
          <w:color w:val="auto"/>
        </w:rPr>
      </w:pPr>
    </w:p>
    <w:p>
      <w:pPr>
        <w:ind w:left="1320" w:right="719" w:hanging="425"/>
        <w:spacing w:after="0" w:line="276" w:lineRule="auto"/>
        <w:tabs>
          <w:tab w:leader="none" w:pos="13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result in disputes, litigation or other actions with CLO investment managers, regarding the interpretation and enforceability of provisions in our LIBOR-based CLO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105" w:lineRule="exact"/>
        <w:rPr>
          <w:rFonts w:ascii="Arial" w:cs="Arial" w:eastAsia="Arial" w:hAnsi="Arial"/>
          <w:sz w:val="17"/>
          <w:szCs w:val="17"/>
          <w:color w:val="auto"/>
        </w:rPr>
      </w:pPr>
    </w:p>
    <w:p>
      <w:pPr>
        <w:ind w:left="1320" w:right="799" w:hanging="425"/>
        <w:spacing w:after="0" w:line="259"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105" w:lineRule="exact"/>
        <w:rPr>
          <w:rFonts w:ascii="Arial" w:cs="Arial" w:eastAsia="Arial" w:hAnsi="Arial"/>
          <w:sz w:val="18"/>
          <w:szCs w:val="18"/>
          <w:color w:val="auto"/>
        </w:rPr>
      </w:pPr>
    </w:p>
    <w:p>
      <w:pPr>
        <w:ind w:left="1320" w:hanging="42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us to incur additional costs in relation to any of the above factors.</w:t>
      </w:r>
    </w:p>
    <w:p>
      <w:pPr>
        <w:spacing w:after="0" w:line="15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OXLC Management anticipates that the CLO vehicles in which the Fund invests may constitute “passive foreign investment companies” (“PFICs”). If the Fund acquires shares in a PFIC (including equity tranche investments in CLO vehicles that are PFICs), the Fund may be subject to U.S. federal income tax on a portion of any “excess distribution” or gain from the disposition of such shares even if such income is distributed as a taxable distribution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pacing w:after="0" w:line="99"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97"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Fund may be required to include in its income its proportionate share of the income of certain CLO investments to the extent that such CLOs are PFICs for which the Fund has made a qualifying electing fund (“QEF”) election or are CFCs. To qualify as a RIC, OXLC must, among other thing, derive in each taxable year at least 90% of its gross income from certain sources specified in the Code (the “90% Income Test”). The income inclusions from a QEF or a CFC will be “good income” for purposes of this 90% Income Test provided that they are derived in connection with OXLC’s business of investing in stocks and securities or the QEF or the CFC distributes such income to OXLC in the same taxable year to which the income is included in its income.</w:t>
      </w:r>
    </w:p>
    <w:p>
      <w:pPr>
        <w:spacing w:after="0" w:line="10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RISKS AND UNCERTAINTIES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76" w:lineRule="auto"/>
        <w:rPr>
          <w:sz w:val="20"/>
          <w:szCs w:val="20"/>
          <w:color w:val="auto"/>
        </w:rPr>
      </w:pPr>
      <w:r>
        <w:rPr>
          <w:rFonts w:ascii="Arial" w:cs="Arial" w:eastAsia="Arial" w:hAnsi="Arial"/>
          <w:sz w:val="17"/>
          <w:szCs w:val="17"/>
          <w:color w:val="auto"/>
        </w:rPr>
        <w:t>Most CLO vehicles in which OXLC invests will be treated as non-U.S. financial entities for this purpose, and therefore will be required to comply with these reporting requirements to avoid the 30% withholding tax.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105"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11"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Fund’s Term Shares pay dividends at a fixed dividend rate. Prices of fixed income investments vary inversely with changes in market yields. The market yields on securities comparable to the Term Shares may increase, which would likely result in a decline in the secondary market price of such shares prior to the term redemption date. The Fund may be unable to pay dividends on the Term Shares under some circumstances. The terms of any future indebtedness OXLC may incur could preclude the payment of dividends in respect of equity securities, including such shares, under certain conditions.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the Fund have an asset coverage of at least 200% as of the end of each fiscal quarter. If the asset coverage is not at least 200% as of such measurement dates, OXLC may not be able to incur additional debt or issue additional shares of Preferred Stock and could be forced to sell a portion of its investments to repurchase or redeem some shares of Preferred Stock when it is disadvantageous to do so, which could have a material adverse effect on the Fund’s operations. Further, OXLC may be restricted from making distributions to holders of the Fund’s common stock if the Fund does not have asset coverage of at least 200%.</w:t>
      </w:r>
    </w:p>
    <w:p>
      <w:pPr>
        <w:spacing w:after="0" w:line="107"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21"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RECENT ACCOUNTING PRONOUNCEMENTS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 xml:space="preserve">In June 2016, the FASB issued Accounting Standards Update (“ASU”) 2016-13, </w:t>
      </w:r>
      <w:r>
        <w:rPr>
          <w:rFonts w:ascii="Arial" w:cs="Arial" w:eastAsia="Arial" w:hAnsi="Arial"/>
          <w:sz w:val="17"/>
          <w:szCs w:val="17"/>
          <w:i w:val="1"/>
          <w:iCs w:val="1"/>
          <w:color w:val="auto"/>
        </w:rPr>
        <w:t xml:space="preserve">Financial Instruments-Credit Losses (Topic 326): Measurement of Credit Losses on Financial Instruments </w:t>
      </w:r>
      <w:r>
        <w:rPr>
          <w:rFonts w:ascii="Arial" w:cs="Arial" w:eastAsia="Arial" w:hAnsi="Arial"/>
          <w:sz w:val="17"/>
          <w:szCs w:val="17"/>
          <w:color w:val="auto"/>
        </w:rPr>
        <w:t>(“ASU 2016-13”),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amends the financial instruments impairment guidance so that an entity is required to measure expected credit losses for financial assets based on historical experience, current conditions and reasonable and supportable forecasts. As such, an entity will use forward-looking information to estimate credit losses. ASU 2016-13 also amends the guidance in FASB ASC Subtopic No. 325-40, Investments-Other, Beneficial Interests in Securitized Financial Assets, related to</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RECENT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the subsequent measurement of accretable yield recognized as interest income over the life of a beneficial interest in securitized financial assets under the effective yield method. ASU 2016-13 is effective for financial statements issued for fiscal years beginning after December 15, 2019, including interim periods within those fiscal years. Early adoption is permitted as of the fiscal years beginning after December 15, 2018, including interim periods within those fiscal years. We are currently evaluating the impact, of adopting this ASU on our financial statements.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ISSUANCES OF COMMON STOCK</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Fund sold a total of 16,141,877 shares of common stock pursuant to an “at-the-market” offering during the six months ended September 30, 2019. The total amount of capital raised under these issuances was approximately $163.6 million and net proceeds were approximately $161.3 million after deducting the sales agent’s commissions and offering expenses.</w:t>
      </w:r>
    </w:p>
    <w:p>
      <w:pPr>
        <w:spacing w:after="0" w:line="119"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The Fund sold a total of 13,496,082 shares of common stock pursuant to an “at-the-market” offering during the fiscal year ended March 31, 2019. The total amount of capital raised under these issuances was approximately $141.7 million and net proceeds were approximately $139.1 million after deducting the sales agent’s commissions and offering expenses.</w:t>
      </w:r>
    </w:p>
    <w:p>
      <w:pPr>
        <w:spacing w:after="0" w:line="106"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For the six months ended September 30, 2019, the Fund issued 501,839 shares of common stock in connection with the distribution reinvestment plan. For the year ended March 31, 2019, the Fund issued 282,820 shares of common stock in connection with the distribution reinvestment plan. For the year ended March 31, 2019, as part of our distribution reinvestment plan for our common stockholders, our distribution reinvestment administrator purchased 140,996 shares, of our common stock for approximately $1.4 million, in the open market to satisfy the reinvestment portion of our distributions.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SUBSEQUENT EVENTS</w:t>
      </w:r>
    </w:p>
    <w:p>
      <w:pPr>
        <w:spacing w:after="0" w:line="162"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On October 29, 2019, the Board of Directors declared monthly distributions of $0.135 per share on its common stock,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20" w:type="dxa"/>
            <w:vAlign w:val="bottom"/>
            <w:gridSpan w:val="2"/>
          </w:tcPr>
          <w:p>
            <w:pPr>
              <w:ind w:left="780"/>
              <w:spacing w:after="0"/>
              <w:rPr>
                <w:sz w:val="20"/>
                <w:szCs w:val="20"/>
                <w:color w:val="auto"/>
              </w:rPr>
            </w:pPr>
            <w:r>
              <w:rPr>
                <w:rFonts w:ascii="Arial" w:cs="Arial" w:eastAsia="Arial" w:hAnsi="Arial"/>
                <w:sz w:val="16"/>
                <w:szCs w:val="16"/>
                <w:b w:val="1"/>
                <w:bCs w:val="1"/>
                <w:color w:val="auto"/>
              </w:rPr>
              <w:t>Month Ending</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2"/>
              </w:rPr>
              <w:t>Payment Date</w:t>
            </w:r>
          </w:p>
        </w:tc>
      </w:tr>
      <w:tr>
        <w:trPr>
          <w:trHeight w:val="47"/>
        </w:trPr>
        <w:tc>
          <w:tcPr>
            <w:tcW w:w="2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24"/>
        </w:trPr>
        <w:tc>
          <w:tcPr>
            <w:tcW w:w="2620" w:type="dxa"/>
            <w:vAlign w:val="bottom"/>
          </w:tcPr>
          <w:p>
            <w:pPr>
              <w:jc w:val="center"/>
              <w:spacing w:after="0"/>
              <w:rPr>
                <w:sz w:val="20"/>
                <w:szCs w:val="20"/>
                <w:color w:val="auto"/>
              </w:rPr>
            </w:pPr>
            <w:r>
              <w:rPr>
                <w:rFonts w:ascii="Arial" w:cs="Arial" w:eastAsia="Arial" w:hAnsi="Arial"/>
                <w:sz w:val="18"/>
                <w:szCs w:val="18"/>
                <w:color w:val="auto"/>
                <w:w w:val="89"/>
              </w:rPr>
              <w:t>January 31, 2020</w:t>
            </w:r>
          </w:p>
        </w:tc>
        <w:tc>
          <w:tcPr>
            <w:tcW w:w="1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January 17, 2020</w:t>
            </w: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January 31, 2020</w:t>
            </w:r>
          </w:p>
        </w:tc>
      </w:tr>
      <w:tr>
        <w:trPr>
          <w:trHeight w:val="283"/>
        </w:trPr>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29, 2020</w:t>
            </w:r>
          </w:p>
        </w:tc>
        <w:tc>
          <w:tcPr>
            <w:tcW w:w="27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14, 2020</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84"/>
        </w:trPr>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2020</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17, 2020</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March 31, 2020</w:t>
            </w:r>
          </w:p>
        </w:tc>
      </w:tr>
    </w:tbl>
    <w:p>
      <w:pPr>
        <w:spacing w:after="0" w:line="215"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On October 29, 2019, the Board of Directors declared the required monthly dividends on its Series 2023 and New Series 2024 Term Preferred Shares (each, a “Share”),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Dividend</w:t>
            </w: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Amount</w:t>
            </w:r>
          </w:p>
        </w:tc>
        <w:tc>
          <w:tcPr>
            <w:tcW w:w="2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Record Dates</w:t>
            </w:r>
          </w:p>
        </w:tc>
        <w:tc>
          <w:tcPr>
            <w:tcW w:w="2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Payable Dates</w:t>
            </w: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Declared</w:t>
            </w:r>
          </w:p>
        </w:tc>
        <w:tc>
          <w:tcPr>
            <w:tcW w:w="2840" w:type="dxa"/>
            <w:vAlign w:val="bottom"/>
            <w:gridSpan w:val="2"/>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Series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0.15625</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December 18, January 17, February 14</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December 31, January 31, February 28</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6"/>
                <w:szCs w:val="16"/>
                <w:b w:val="1"/>
                <w:bCs w:val="1"/>
                <w:color w:val="auto"/>
              </w:rPr>
              <w:t>New Series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5"/>
              </w:rPr>
              <w:t>0.140625</w:t>
            </w: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December 18, January 17, February 14</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December 31, January 31, February 28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SUBSEQUENT EVENTS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76" w:lineRule="auto"/>
        <w:rPr>
          <w:sz w:val="20"/>
          <w:szCs w:val="20"/>
          <w:color w:val="auto"/>
        </w:rPr>
      </w:pPr>
      <w:r>
        <w:rPr>
          <w:rFonts w:ascii="Arial" w:cs="Arial" w:eastAsia="Arial" w:hAnsi="Arial"/>
          <w:sz w:val="17"/>
          <w:szCs w:val="17"/>
          <w:color w:val="auto"/>
        </w:rPr>
        <w:t>In accordance with their terms, each of the Series 2023 Shares and New Series 2024 Shares will pay a monthly dividend at a fixed rate of 7.50% and 6.75%, respectively, of the $25.00 per share liquidation preference, or $1.875 and $1.6875 per share per year, respectively. This fixed annual dividend rate is subject to adjustment under certain circumstances, but will not in any case be lower than 7.50% and 6.75% per year, respectively, for each of the Series 2023 Shares and New Series 2024 Shares.</w:t>
      </w:r>
    </w:p>
    <w:p>
      <w:pPr>
        <w:spacing w:after="0" w:line="105"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On October 18, 2019, the Fund entered into a $12.5 million repurchase transaction facility (the “Repo Facility”) with Nomura Securities International, Inc. (“Nomura”). Pursuant to the MRA and a transaction facility confirmation, the Fund may sell securities to Nomura from time to time with a corresponding repurchase obligation at an agreed-upon price 30 to 60 days after the sale date (“Reverse Repo”). The Repo Facility has a funding cost of 1-month LIBOR plus 2.05% per annum for each Reverse Repo transaction and is subject to a facility fee of 0.85% per annum on the full $12.5 million facility amount. The Repo Facility expires on October 18, 2020, subject to optional termination or extension that is mutually agreed. The Fund will account for these Reverse Repo transactions as secured financings for financial reporting purposes in accordance with GAAP.</w:t>
      </w:r>
    </w:p>
    <w:p>
      <w:pPr>
        <w:spacing w:after="0" w:line="9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Fund has evaluated subsequent events through the date of issuance and noted no other events that necessitate adjustments to or disclosure in the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DISTRIBUTION REINVESTMENT PLAN</w:t>
      </w:r>
    </w:p>
    <w:p>
      <w:pPr>
        <w:spacing w:after="0" w:line="162"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91"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02" w:lineRule="exact"/>
        <w:rPr>
          <w:sz w:val="20"/>
          <w:szCs w:val="20"/>
          <w:color w:val="auto"/>
        </w:rPr>
      </w:pPr>
    </w:p>
    <w:p>
      <w:pPr>
        <w:ind w:left="460" w:right="1079" w:firstLine="432"/>
        <w:spacing w:after="0" w:line="308" w:lineRule="auto"/>
        <w:rPr>
          <w:sz w:val="20"/>
          <w:szCs w:val="20"/>
          <w:color w:val="auto"/>
        </w:rPr>
      </w:pPr>
      <w:r>
        <w:rPr>
          <w:rFonts w:ascii="Arial" w:cs="Arial" w:eastAsia="Arial" w:hAnsi="Arial"/>
          <w:sz w:val="17"/>
          <w:szCs w:val="17"/>
          <w:color w:val="auto"/>
        </w:rPr>
        <w:t>Those stockholders whose shares are held by a broker or other financial intermediary may receive distributions in cash by notifying their broker or other financial intermediary of their election.</w:t>
      </w:r>
    </w:p>
    <w:p>
      <w:pPr>
        <w:spacing w:after="0" w:line="79"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0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10"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7"/>
          <w:szCs w:val="17"/>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05" w:lineRule="exact"/>
        <w:rPr>
          <w:sz w:val="20"/>
          <w:szCs w:val="20"/>
          <w:color w:val="auto"/>
        </w:rPr>
      </w:pPr>
    </w:p>
    <w:p>
      <w:pPr>
        <w:ind w:left="460" w:right="579" w:firstLine="432"/>
        <w:spacing w:after="0" w:line="276" w:lineRule="auto"/>
        <w:rPr>
          <w:sz w:val="20"/>
          <w:szCs w:val="20"/>
          <w:color w:val="auto"/>
        </w:rPr>
      </w:pPr>
      <w:r>
        <w:rPr>
          <w:rFonts w:ascii="Arial" w:cs="Arial" w:eastAsia="Arial" w:hAnsi="Arial"/>
          <w:sz w:val="17"/>
          <w:szCs w:val="17"/>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Arial" w:cs="Arial" w:eastAsia="Arial" w:hAnsi="Arial"/>
          <w:sz w:val="17"/>
          <w:szCs w:val="17"/>
          <w:i w:val="1"/>
          <w:iCs w:val="1"/>
          <w:color w:val="auto"/>
        </w:rPr>
        <w:t>www.computershare/investor</w:t>
      </w:r>
      <w:r>
        <w:rPr>
          <w:rFonts w:ascii="Arial" w:cs="Arial" w:eastAsia="Arial" w:hAnsi="Arial"/>
          <w:sz w:val="17"/>
          <w:szCs w:val="17"/>
          <w:color w:val="auto"/>
        </w:rPr>
        <w:t>, telephone number is 1-800-426-5523 and written correspondence can be mailed</w:t>
      </w:r>
      <w:r>
        <w:rPr>
          <w:rFonts w:ascii="Arial" w:cs="Arial" w:eastAsia="Arial" w:hAnsi="Arial"/>
          <w:sz w:val="17"/>
          <w:szCs w:val="17"/>
          <w:i w:val="1"/>
          <w:iCs w:val="1"/>
          <w:color w:val="auto"/>
        </w:rPr>
        <w:t xml:space="preserve"> </w:t>
      </w:r>
      <w:r>
        <w:rPr>
          <w:rFonts w:ascii="Arial" w:cs="Arial" w:eastAsia="Arial" w:hAnsi="Arial"/>
          <w:sz w:val="17"/>
          <w:szCs w:val="17"/>
          <w:color w:val="auto"/>
        </w:rPr>
        <w:t>to Computershare Trust Company, N.A., P.O. Box 30170, College Station, TX 77845.</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Our Board of Directors oversees our management. The Board of Directors currently consists of five members, three of whom are not “interested persons” of Oxford Lane Capital Corp. as defined in Section 2(a)</w:t>
      </w:r>
    </w:p>
    <w:p>
      <w:pPr>
        <w:ind w:left="460" w:right="499" w:firstLine="2"/>
        <w:spacing w:after="0" w:line="271" w:lineRule="auto"/>
        <w:tabs>
          <w:tab w:leader="none" w:pos="8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9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7"/>
          <w:szCs w:val="17"/>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Director</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 of</w:t>
            </w:r>
          </w:p>
        </w:tc>
      </w:tr>
      <w:tr>
        <w:trPr>
          <w:trHeight w:val="210"/>
        </w:trPr>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20" w:type="dxa"/>
            <w:vAlign w:val="bottom"/>
          </w:tcPr>
          <w:p>
            <w:pPr>
              <w:spacing w:after="0"/>
              <w:rPr>
                <w:sz w:val="18"/>
                <w:szCs w:val="18"/>
                <w:color w:val="auto"/>
              </w:rPr>
            </w:pPr>
          </w:p>
        </w:tc>
        <w:tc>
          <w:tcPr>
            <w:tcW w:w="3600" w:type="dxa"/>
            <w:vAlign w:val="bottom"/>
            <w:gridSpan w:val="2"/>
          </w:tcPr>
          <w:p>
            <w:pPr>
              <w:ind w:left="1460"/>
              <w:spacing w:after="0"/>
              <w:rPr>
                <w:sz w:val="20"/>
                <w:szCs w:val="20"/>
                <w:color w:val="auto"/>
              </w:rPr>
            </w:pPr>
            <w:r>
              <w:rPr>
                <w:rFonts w:ascii="Arial" w:cs="Arial" w:eastAsia="Arial" w:hAnsi="Arial"/>
                <w:sz w:val="16"/>
                <w:szCs w:val="16"/>
                <w:b w:val="1"/>
                <w:bCs w:val="1"/>
                <w:color w:val="auto"/>
              </w:rPr>
              <w:t>Position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Since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r>
      <w:tr>
        <w:trPr>
          <w:trHeight w:val="47"/>
        </w:trPr>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41"/>
        </w:trPr>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Saul B. Rosenthal</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President and Director</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99"/>
              </w:rPr>
              <w:t>Independent Directors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1"/>
        </w:trPr>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J. Ashenfelter</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3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of Directors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John Reardon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41"/>
        </w:trPr>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Shin</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41"/>
        </w:trPr>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address for each of our directors is c/o Oxford Lane Capital Corp., 8 Sound Shore Drive, Suite 255, Greenwich, CT 06830.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5680" w:type="dxa"/>
            <w:vAlign w:val="bottom"/>
          </w:tcPr>
          <w:p>
            <w:pPr>
              <w:ind w:left="256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r>
      <w:tr>
        <w:trPr>
          <w:trHeight w:val="24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Bruce L. Rubin</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Treasurer and Corporate Secretary</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Gerald Cummins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Chief Compliance Officer</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58"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Our directors have been divided into two groups — interested directors and independent directors. An interested director is an “interested person” as defined in Section 2(a)(19) of the 1940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Interested Directors</w:t>
      </w:r>
    </w:p>
    <w:p>
      <w:pPr>
        <w:spacing w:after="0" w:line="14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Oxford Funds, the administrator for Oxford Lane Capital.-</w:t>
      </w:r>
    </w:p>
    <w:p>
      <w:pPr>
        <w:spacing w:after="0" w:line="10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Jonathan H. Cohen </w:t>
      </w:r>
      <w:r>
        <w:rPr>
          <w:rFonts w:ascii="Arial" w:cs="Arial" w:eastAsia="Arial" w:hAnsi="Arial"/>
          <w:sz w:val="18"/>
          <w:szCs w:val="18"/>
          <w:color w:val="auto"/>
        </w:rPr>
        <w:t>has served as Chief Executive Officer of both Oxford Lane Capital Corp. and Oxford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Lane Management since 2010. Mr. Cohen has also served since 2003 as Chief Executive Officer of both Oxford Square Capital Corp. (NasdaqGS: OXSQ), a publicly traded business development company, and Oxford Square Management, LLC, Oxford Square Capital Corp.’s investment adviser, and as the managing member of Oxford Funds. Since 2015 and 2018, respectively, Mr. Cohen has also served as the Chief Executive Officer of each of</w:t>
      </w:r>
    </w:p>
    <w:p>
      <w:pPr>
        <w:sectPr>
          <w:pgSz w:w="11900" w:h="16838" w:orient="portrait"/>
          <w:cols w:equalWidth="0" w:num="1">
            <w:col w:w="9019"/>
          </w:cols>
          <w:pgMar w:left="1440" w:top="337"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5" w:name="page46"/>
    <w:bookmarkEnd w:id="45"/>
    <w:p>
      <w:pPr>
        <w:ind w:left="460" w:right="499"/>
        <w:spacing w:after="0" w:line="287" w:lineRule="auto"/>
        <w:rPr>
          <w:sz w:val="20"/>
          <w:szCs w:val="20"/>
          <w:color w:val="auto"/>
        </w:rPr>
      </w:pPr>
      <w:r>
        <w:rPr>
          <w:rFonts w:ascii="Arial" w:cs="Arial" w:eastAsia="Arial" w:hAnsi="Arial"/>
          <w:sz w:val="16"/>
          <w:szCs w:val="16"/>
          <w:color w:val="auto"/>
        </w:rPr>
        <w:t>Oxford Bridge Management, LLC, or “Oxford Bridge Management,” the investment adviser to Oxford Bridge, LLC and Oxford Bridge II, LLC (collectively, the “Oxford Bridge Funds”), and Oxford Gate Management, LLC, or “Oxford Gate Management,” the investment adviser to Oxford Gate Master Fund, LLC, Oxford Gate, LLC and Oxford Gate (Bermuda), LLC (collectively, the “Oxford Gate Funds”). The Oxford Bridge Funds and the Oxford Gate Funds are private investment funds. Mr. Cohen is also a member of the Board of Directors of Oxford Square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9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Saul B. Rosenthal </w:t>
      </w:r>
      <w:r>
        <w:rPr>
          <w:rFonts w:ascii="Arial" w:cs="Arial" w:eastAsia="Arial" w:hAnsi="Arial"/>
          <w:sz w:val="17"/>
          <w:szCs w:val="17"/>
          <w:color w:val="auto"/>
        </w:rPr>
        <w:t>has served as President of both Oxford Lane Capital Corp. and Oxford Lane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since 2010. Mr. Rosenthal has also served as President since 2004 of Oxford Square Capital Corp. (NasdaqGS: OXSQ), a publicly traded business development company. Mr. Rosenthal has also served as President of Oxford Bridge Management, the investment adviser to the Oxford Bridge Funds and Oxford Gate Management, the investment adviser to the Oxford Gate Funds, since 2015 and 2018, respectively.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Independent Directors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The following directors are not “interested persons” of Oxford Lane Capital, as defined in the 1940 Act.</w:t>
      </w:r>
    </w:p>
    <w:p>
      <w:pPr>
        <w:spacing w:after="0" w:line="181"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b w:val="1"/>
          <w:bCs w:val="1"/>
          <w:i w:val="1"/>
          <w:iCs w:val="1"/>
          <w:color w:val="auto"/>
        </w:rPr>
        <w:t xml:space="preserve">Mark J. Ashenfelter </w:t>
      </w:r>
      <w:r>
        <w:rPr>
          <w:rFonts w:ascii="Arial" w:cs="Arial" w:eastAsia="Arial" w:hAnsi="Arial"/>
          <w:sz w:val="18"/>
          <w:szCs w:val="18"/>
          <w:color w:val="auto"/>
        </w:rPr>
        <w:t>presently serves as a Senior Vice President and the General Counsel of Haebler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11"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b w:val="1"/>
          <w:bCs w:val="1"/>
          <w:i w:val="1"/>
          <w:iCs w:val="1"/>
          <w:color w:val="auto"/>
        </w:rPr>
        <w:t xml:space="preserve">John Reardon </w:t>
      </w:r>
      <w:r>
        <w:rPr>
          <w:rFonts w:ascii="Arial" w:cs="Arial" w:eastAsia="Arial" w:hAnsi="Arial"/>
          <w:sz w:val="16"/>
          <w:szCs w:val="16"/>
          <w:color w:val="auto"/>
        </w:rPr>
        <w:t>is the principal of Reardon Consulting, LLP, which specializes in providing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services to technology companies in the telecom, software, and cyber security industries. Mr. Reardon also serves as the Managing Director of Choctaw Telecom LLC. Previously, Mr. Reardon managed telecommunications companies in the mobile voice, data and engineering services markets as Chief Executive Officer and a member of the Board of Directors of Mobex Communications, Inc. from 2001 to 2005. From 1997</w:t>
      </w:r>
    </w:p>
    <w:p>
      <w:pPr>
        <w:spacing w:after="0" w:line="2"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 2001, he served as General Counsel and Secretary of the Board of Directors of Mobex Communications, Inc. Mr. Reardon began his career in telecom law at the boutique Washington, DC firm of Keller and Heckman, LLP. Mr. Reardon received a Bachelor of Arts degree, in Political Science, summa cum laude, from Boston University, and earned his J.D. from Columbia Law School. He is admitted to the New York State Bar and the Washington, DC Bar, and is the past president of the Columbia Law School Alumni Association of Washington, DC. Mr. Reardon’s extensive experience as a senior corporate executive provides our Board of Directors the perspective of a knowledgeable corporate leader.</w:t>
      </w:r>
    </w:p>
    <w:p>
      <w:pPr>
        <w:spacing w:after="0" w:line="11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b w:val="1"/>
          <w:bCs w:val="1"/>
          <w:i w:val="1"/>
          <w:iCs w:val="1"/>
          <w:color w:val="auto"/>
        </w:rPr>
        <w:t xml:space="preserve">David S. Shin </w:t>
      </w:r>
      <w:r>
        <w:rPr>
          <w:rFonts w:ascii="Arial" w:cs="Arial" w:eastAsia="Arial" w:hAnsi="Arial"/>
          <w:sz w:val="17"/>
          <w:szCs w:val="17"/>
          <w:color w:val="auto"/>
        </w:rPr>
        <w:t>presently serves as the Head of Business Development for the Infinity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division of Global Atlantic Financial Group. Prior to this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right="519"/>
        <w:spacing w:after="0" w:line="291" w:lineRule="auto"/>
        <w:rPr>
          <w:sz w:val="20"/>
          <w:szCs w:val="20"/>
          <w:color w:val="auto"/>
        </w:rPr>
      </w:pPr>
      <w:r>
        <w:rPr>
          <w:rFonts w:ascii="Arial" w:cs="Arial" w:eastAsia="Arial" w:hAnsi="Arial"/>
          <w:sz w:val="16"/>
          <w:szCs w:val="16"/>
          <w:color w:val="auto"/>
        </w:rPr>
        <w:t>Management Company, from 2002 to 2004. After receiving his J.D. in 1995, Mr. Shin was a member of the Healthcare Group of Dean Witter Reynolds from 1995 to 1996, and was subsequently a member of the Mergers</w:t>
      </w:r>
    </w:p>
    <w:p>
      <w:pPr>
        <w:ind w:left="460" w:right="559" w:firstLine="2"/>
        <w:spacing w:after="0" w:line="252"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i w:val="1"/>
          <w:iCs w:val="1"/>
          <w:color w:val="auto"/>
        </w:rPr>
        <w:t xml:space="preserve">Bruce L. Rubin </w:t>
      </w:r>
      <w:r>
        <w:rPr>
          <w:rFonts w:ascii="Arial" w:cs="Arial" w:eastAsia="Arial" w:hAnsi="Arial"/>
          <w:sz w:val="16"/>
          <w:szCs w:val="16"/>
          <w:color w:val="auto"/>
        </w:rPr>
        <w:t>has served as our Chief Financial Officer and Corporate Secretary since August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 our Treasurer and Controller since our initial public offering in 2011.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LLC, Oxford Funds, Oxford Bridge Management, LLC, and Oxford Gate Management, LLC.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07"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Gerald Cummins </w:t>
      </w:r>
      <w:r>
        <w:rPr>
          <w:rFonts w:ascii="Arial" w:cs="Arial" w:eastAsia="Arial" w:hAnsi="Arial"/>
          <w:sz w:val="16"/>
          <w:szCs w:val="16"/>
          <w:color w:val="auto"/>
        </w:rPr>
        <w:t>has served as our Chief Compliance Officer, as well as the Chief Compliance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Oxford Lane Management, Oxford Square Capital Corp., Oxford Square Management, LLC, since June 2015 pursuant to an agreement between us and Alaric Compliance Services, LLC (“Alaric”), a compliance consulting firm. Mr. Cummins also currently serves as the Chief Compliance Officer of Oxford Square Capital Corp., Oxford Square Management, Oxford Funds LLC, Oxford Bridge Management, LLC and Oxford Gate Management, LLC.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Directors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compensation of our directors for the six months ended September 30,</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Fees</w:t>
            </w: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All Other</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5"/>
              </w:rPr>
              <w:t>Earned</w:t>
            </w:r>
            <w:r>
              <w:rPr>
                <w:rFonts w:ascii="Arial" w:cs="Arial" w:eastAsia="Arial" w:hAnsi="Arial"/>
                <w:sz w:val="18"/>
                <w:szCs w:val="18"/>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61"/>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Saul B. Rosenthal</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1"/>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J. Ashenfelter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John Reardon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21"/>
                <w:szCs w:val="21"/>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54,000</w:t>
            </w:r>
          </w:p>
        </w:tc>
      </w:tr>
      <w:tr>
        <w:trPr>
          <w:trHeight w:val="41"/>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S. Shin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59,000</w:t>
            </w:r>
          </w:p>
        </w:tc>
      </w:tr>
      <w:tr>
        <w:trPr>
          <w:trHeight w:val="251"/>
        </w:trPr>
        <w:tc>
          <w:tcPr>
            <w:tcW w:w="430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2" w:lineRule="exact"/>
        <w:rPr>
          <w:sz w:val="20"/>
          <w:szCs w:val="20"/>
          <w:color w:val="auto"/>
        </w:rPr>
      </w:pPr>
    </w:p>
    <w:p>
      <w:pPr>
        <w:ind w:left="900" w:hanging="438"/>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a discussion of the independent directors’ compensation, see below.</w:t>
      </w:r>
    </w:p>
    <w:p>
      <w:pPr>
        <w:spacing w:after="0" w:line="22" w:lineRule="exact"/>
        <w:rPr>
          <w:rFonts w:ascii="Arial" w:cs="Arial" w:eastAsia="Arial" w:hAnsi="Arial"/>
          <w:sz w:val="16"/>
          <w:szCs w:val="16"/>
          <w:color w:val="auto"/>
        </w:rPr>
      </w:pPr>
    </w:p>
    <w:p>
      <w:pPr>
        <w:ind w:left="900" w:hanging="438"/>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do not maintain a stock option plan, non-equity incentive plan or pension plan for our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900"/>
        <w:spacing w:after="0"/>
        <w:rPr>
          <w:sz w:val="20"/>
          <w:szCs w:val="20"/>
          <w:color w:val="auto"/>
        </w:rPr>
      </w:pPr>
      <w:r>
        <w:rPr>
          <w:rFonts w:ascii="Arial" w:cs="Arial" w:eastAsia="Arial" w:hAnsi="Arial"/>
          <w:sz w:val="17"/>
          <w:szCs w:val="17"/>
          <w:color w:val="auto"/>
        </w:rPr>
        <w:t>Until July 31, 2018, independent directors received an annual fee of $75,000, which was increased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$90,000 effective August 1, 2018. In addition, the independent directors receive $2,000 plus reimbursement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reasonable out-of-pocket expenses incurred in connection with attending each Board of Directors meeting,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$1,500 plus reimbursement of reasonable out-of-pocket expenses incurred in connection with attending each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Valuation Committee meeting and $1,000 plus reimbursement of reasonable out-of-pocket expenses incurred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connection with attending each Audit Committee meeting. The Chairman of the Audit Committee also receives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additional annual fee of $10,000. No compensation is paid to directors who are interested persons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Fund as defined in the 1940 Act.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148"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We do not have a compensation committee because our executive officers do not receive any direct compensation from Oxford Lane Capital.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11" w:lineRule="exact"/>
        <w:rPr>
          <w:sz w:val="20"/>
          <w:szCs w:val="20"/>
          <w:color w:val="auto"/>
        </w:rPr>
      </w:pPr>
    </w:p>
    <w:p>
      <w:pPr>
        <w:ind w:left="460" w:right="659" w:firstLine="432"/>
        <w:spacing w:after="0" w:line="264" w:lineRule="auto"/>
        <w:rPr>
          <w:sz w:val="20"/>
          <w:szCs w:val="20"/>
          <w:color w:val="auto"/>
        </w:rPr>
      </w:pPr>
      <w:r>
        <w:rPr>
          <w:rFonts w:ascii="Arial" w:cs="Arial" w:eastAsia="Arial" w:hAnsi="Arial"/>
          <w:sz w:val="18"/>
          <w:szCs w:val="18"/>
          <w:color w:val="auto"/>
        </w:rPr>
        <w:t>The compensation of Mr. Rubin, our Chief Financial Officer, Treasurer and Corporate Secretary, is paid by our administrator, Oxford Funds, subject to reimbursement by us of an allocable portion of such compensation for services rendered by Mr. Rubin to Oxford Lane Capital.</w:t>
      </w:r>
    </w:p>
    <w:p>
      <w:pPr>
        <w:spacing w:after="0" w:line="11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Mr. Cummins, our Chief Compliance Officer, is a director of Alaric, and performs his functions under the terms of an agreement between us and Alaric.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1580"/>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62" w:lineRule="exact"/>
        <w:rPr>
          <w:sz w:val="20"/>
          <w:szCs w:val="20"/>
          <w:color w:val="auto"/>
        </w:rPr>
      </w:pPr>
    </w:p>
    <w:p>
      <w:pPr>
        <w:ind w:left="460" w:right="499" w:firstLine="432"/>
        <w:spacing w:after="0" w:line="297" w:lineRule="auto"/>
        <w:rPr>
          <w:sz w:val="20"/>
          <w:szCs w:val="20"/>
          <w:color w:val="auto"/>
        </w:rPr>
      </w:pPr>
      <w:r>
        <w:rPr>
          <w:rFonts w:ascii="Arial" w:cs="Arial" w:eastAsia="Arial" w:hAnsi="Arial"/>
          <w:sz w:val="16"/>
          <w:szCs w:val="16"/>
          <w:color w:val="auto"/>
        </w:rPr>
        <w:t>At an in-person meeting of our Board of Directors held on July 31, 2019, our Board of Directors unanimously voted to re-approve the Investment Advisory Agreement. In reaching a decision to approve the Investment Advisory Agreement, the Board of Directors reviewed a significant amount of information provided by Oxford Lane Management in response to questionnaires provided by counsel to the independent directors on behalf of the independent directors and considered and concluded, among other things:</w:t>
      </w:r>
    </w:p>
    <w:p>
      <w:pPr>
        <w:spacing w:after="0" w:line="77" w:lineRule="exact"/>
        <w:rPr>
          <w:sz w:val="20"/>
          <w:szCs w:val="20"/>
          <w:color w:val="auto"/>
        </w:rPr>
      </w:pPr>
    </w:p>
    <w:p>
      <w:pPr>
        <w:ind w:left="1320" w:right="479" w:hanging="425"/>
        <w:spacing w:after="0" w:line="255"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Oxford Lane Management, including with respect to the investment process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spacing w:after="0" w:line="125" w:lineRule="exact"/>
        <w:rPr>
          <w:rFonts w:ascii="Arial" w:cs="Arial" w:eastAsia="Arial" w:hAnsi="Arial"/>
          <w:sz w:val="18"/>
          <w:szCs w:val="18"/>
          <w:color w:val="auto"/>
        </w:rPr>
      </w:pPr>
    </w:p>
    <w:p>
      <w:pPr>
        <w:ind w:left="1320" w:right="459" w:hanging="425"/>
        <w:spacing w:after="0" w:line="264"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investment performance of OXLC and Oxford Lane Management including a comparison to the performance of OXLC’s peer group, and concluded that OXLC’s performance is reasonable in comparison to its peers;</w:t>
      </w:r>
    </w:p>
    <w:p>
      <w:pPr>
        <w:spacing w:after="0" w:line="113" w:lineRule="exact"/>
        <w:rPr>
          <w:rFonts w:ascii="Arial" w:cs="Arial" w:eastAsia="Arial" w:hAnsi="Arial"/>
          <w:sz w:val="18"/>
          <w:szCs w:val="18"/>
          <w:color w:val="auto"/>
        </w:rPr>
      </w:pPr>
    </w:p>
    <w:p>
      <w:pPr>
        <w:ind w:left="1320" w:right="519" w:hanging="425"/>
        <w:spacing w:after="0" w:line="286" w:lineRule="auto"/>
        <w:tabs>
          <w:tab w:leader="none" w:pos="1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Comparative data with respect to advisory fees or similar expenses paid by other closed-end management investment companies with similar investment objectives, and concluded that the total advisory fees paid by OXLC to Oxford Lane Management were not unreasonable;</w:t>
      </w:r>
    </w:p>
    <w:p>
      <w:pPr>
        <w:spacing w:after="0" w:line="84" w:lineRule="exact"/>
        <w:rPr>
          <w:rFonts w:ascii="Arial" w:cs="Arial" w:eastAsia="Arial" w:hAnsi="Arial"/>
          <w:sz w:val="17"/>
          <w:szCs w:val="17"/>
          <w:color w:val="auto"/>
        </w:rPr>
      </w:pPr>
    </w:p>
    <w:p>
      <w:pPr>
        <w:ind w:left="1320" w:right="859" w:hanging="425"/>
        <w:spacing w:after="0" w:line="264"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closed-end management investment companies with similar investment objectives, and concluded that our operating expenses were reasonable;</w:t>
      </w:r>
    </w:p>
    <w:p>
      <w:pPr>
        <w:spacing w:after="0" w:line="113" w:lineRule="exact"/>
        <w:rPr>
          <w:rFonts w:ascii="Arial" w:cs="Arial" w:eastAsia="Arial" w:hAnsi="Arial"/>
          <w:sz w:val="18"/>
          <w:szCs w:val="18"/>
          <w:color w:val="auto"/>
        </w:rPr>
      </w:pPr>
    </w:p>
    <w:p>
      <w:pPr>
        <w:ind w:left="1320" w:right="459" w:hanging="425"/>
        <w:spacing w:after="0" w:line="286" w:lineRule="auto"/>
        <w:tabs>
          <w:tab w:leader="none" w:pos="1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Oxford Lane Management or Oxford Funds from their relationships with OXLC and the profitability of those relationships, and concluded that Oxford Lane Management’s profitability was not excessive with respect to us;</w:t>
      </w:r>
    </w:p>
    <w:p>
      <w:pPr>
        <w:spacing w:after="0" w:line="97" w:lineRule="exact"/>
        <w:rPr>
          <w:rFonts w:ascii="Arial" w:cs="Arial" w:eastAsia="Arial" w:hAnsi="Arial"/>
          <w:sz w:val="17"/>
          <w:szCs w:val="17"/>
          <w:color w:val="auto"/>
        </w:rPr>
      </w:pPr>
    </w:p>
    <w:p>
      <w:pPr>
        <w:ind w:left="1320" w:right="479" w:hanging="425"/>
        <w:spacing w:after="0" w:line="264"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00" w:lineRule="exact"/>
        <w:rPr>
          <w:rFonts w:ascii="Arial" w:cs="Arial" w:eastAsia="Arial" w:hAnsi="Arial"/>
          <w:sz w:val="18"/>
          <w:szCs w:val="18"/>
          <w:color w:val="auto"/>
        </w:rPr>
      </w:pPr>
    </w:p>
    <w:p>
      <w:pPr>
        <w:ind w:left="1320" w:right="499" w:hanging="425"/>
        <w:spacing w:after="0" w:line="264"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Oxford Lane Management and its affiliates, and concluded that the organizational capability and financial condition of Oxford Lane Management were reasonable;</w:t>
      </w:r>
    </w:p>
    <w:p>
      <w:pPr>
        <w:spacing w:after="0" w:line="113" w:lineRule="exact"/>
        <w:rPr>
          <w:rFonts w:ascii="Arial" w:cs="Arial" w:eastAsia="Arial" w:hAnsi="Arial"/>
          <w:sz w:val="18"/>
          <w:szCs w:val="18"/>
          <w:color w:val="auto"/>
        </w:rPr>
      </w:pPr>
    </w:p>
    <w:p>
      <w:pPr>
        <w:ind w:left="1320" w:right="499" w:hanging="425"/>
        <w:spacing w:after="0" w:line="342" w:lineRule="auto"/>
        <w:tabs>
          <w:tab w:leader="none" w:pos="13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due diligence-related expenses, travel expenses, and expenses associated with investigating and monitoring investments, and concluded that such expenses were reasonable; and</w:t>
      </w:r>
    </w:p>
    <w:p>
      <w:pPr>
        <w:spacing w:after="0" w:line="56" w:lineRule="exact"/>
        <w:rPr>
          <w:rFonts w:ascii="Arial" w:cs="Arial" w:eastAsia="Arial" w:hAnsi="Arial"/>
          <w:sz w:val="16"/>
          <w:szCs w:val="16"/>
          <w:color w:val="auto"/>
        </w:rPr>
      </w:pPr>
    </w:p>
    <w:p>
      <w:pPr>
        <w:ind w:left="1320" w:right="639" w:hanging="425"/>
        <w:spacing w:after="0" w:line="286" w:lineRule="auto"/>
        <w:tabs>
          <w:tab w:leader="none" w:pos="1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84"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SUBMISSION OF MATTERS TO A VOTE OF STOCKHOLDERS</w:t>
      </w:r>
    </w:p>
    <w:p>
      <w:pPr>
        <w:spacing w:after="0" w:line="162" w:lineRule="exact"/>
        <w:rPr>
          <w:sz w:val="20"/>
          <w:szCs w:val="20"/>
          <w:color w:val="auto"/>
        </w:rPr>
      </w:pPr>
    </w:p>
    <w:p>
      <w:pPr>
        <w:jc w:val="both"/>
        <w:ind w:left="460" w:right="559" w:firstLine="432"/>
        <w:spacing w:after="0" w:line="312" w:lineRule="auto"/>
        <w:rPr>
          <w:sz w:val="20"/>
          <w:szCs w:val="20"/>
          <w:color w:val="auto"/>
        </w:rPr>
      </w:pPr>
      <w:r>
        <w:rPr>
          <w:rFonts w:ascii="Arial" w:cs="Arial" w:eastAsia="Arial" w:hAnsi="Arial"/>
          <w:sz w:val="16"/>
          <w:szCs w:val="16"/>
          <w:color w:val="auto"/>
        </w:rPr>
        <w:t>The Fund held its Annual Meeting of Stockholders (the ‘‘Meeting’’) on October 18, 2019 and submitted one matter to the vote of the stockholders. At the Meeting, stockholders elected two nominees for directors, to serve for a three-year term to expire at the 2022 Annual Meeting of Stockholders based on the following votes: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Votes for</w:t>
            </w: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Votes against</w:t>
            </w:r>
          </w:p>
        </w:tc>
        <w:tc>
          <w:tcPr>
            <w:tcW w:w="1280" w:type="dxa"/>
            <w:vAlign w:val="bottom"/>
          </w:tcPr>
          <w:p>
            <w:pPr>
              <w:jc w:val="right"/>
              <w:ind w:right="33"/>
              <w:spacing w:after="0"/>
              <w:rPr>
                <w:sz w:val="20"/>
                <w:szCs w:val="20"/>
                <w:color w:val="auto"/>
              </w:rPr>
            </w:pPr>
            <w:r>
              <w:rPr>
                <w:rFonts w:ascii="Arial" w:cs="Arial" w:eastAsia="Arial" w:hAnsi="Arial"/>
                <w:sz w:val="16"/>
                <w:szCs w:val="16"/>
                <w:b w:val="1"/>
                <w:bCs w:val="1"/>
                <w:color w:val="auto"/>
                <w:w w:val="98"/>
              </w:rPr>
              <w:t>Votes Withheld</w:t>
            </w:r>
          </w:p>
        </w:tc>
      </w:tr>
      <w:tr>
        <w:trPr>
          <w:trHeight w:val="47"/>
        </w:trPr>
        <w:tc>
          <w:tcPr>
            <w:tcW w:w="4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4"/>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43,978,575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3,439,692</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867,441</w:t>
            </w:r>
          </w:p>
        </w:tc>
      </w:tr>
      <w:tr>
        <w:trPr>
          <w:trHeight w:val="291"/>
        </w:trPr>
        <w:tc>
          <w:tcPr>
            <w:tcW w:w="4380" w:type="dxa"/>
            <w:vAlign w:val="bottom"/>
            <w:gridSpan w:val="2"/>
          </w:tcPr>
          <w:p>
            <w:pPr>
              <w:spacing w:after="0"/>
              <w:rPr>
                <w:sz w:val="20"/>
                <w:szCs w:val="20"/>
                <w:color w:val="auto"/>
              </w:rPr>
            </w:pPr>
            <w:r>
              <w:rPr>
                <w:rFonts w:ascii="Arial" w:cs="Arial" w:eastAsia="Arial" w:hAnsi="Arial"/>
                <w:sz w:val="18"/>
                <w:szCs w:val="18"/>
                <w:color w:val="auto"/>
              </w:rPr>
              <w:t>Mark J. Ashenfelter</w:t>
            </w:r>
            <w:r>
              <w:rPr>
                <w:rFonts w:ascii="Arial" w:cs="Arial" w:eastAsia="Arial" w:hAnsi="Arial"/>
                <w:sz w:val="20"/>
                <w:szCs w:val="20"/>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4,050,465</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1,417,843</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74,965</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900" w:hanging="438"/>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Mr. Cohen was elected by the holders of our common stock and preferred stock, voting together as a single class.</w:t>
      </w:r>
    </w:p>
    <w:p>
      <w:pPr>
        <w:spacing w:after="0" w:line="33" w:lineRule="exact"/>
        <w:rPr>
          <w:rFonts w:ascii="Arial" w:cs="Arial" w:eastAsia="Arial" w:hAnsi="Arial"/>
          <w:sz w:val="15"/>
          <w:szCs w:val="15"/>
          <w:color w:val="auto"/>
        </w:rPr>
      </w:pPr>
    </w:p>
    <w:p>
      <w:pPr>
        <w:ind w:left="900" w:hanging="438"/>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Ashenfelter was elected by the holders of our preferred stock, voting as a single class.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Portfolio Information</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 xml:space="preserve">The Fund files its complete schedule of portfolio holdings with the SEC for the first and third quarters of each fiscal year on Form N-Q, within sixty days after the end of the relevant period. Beginning in April 2020, the Fund will cease filing its complete schedule of portfolio holdings on Form N-Q, and will begin to file its complete schedule of portfolio holdings with the SEC on Form N-PORT. Form N-Q filings of the Fund are available on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This information is also available free of charge by contacting the Fund by mail at 8 Sound Shore Drive, Suite 255, Greenwich, CT 06830, by telephone at (203) 983-5275 or on its website at </w:t>
      </w:r>
      <w:r>
        <w:rPr>
          <w:rFonts w:ascii="Arial" w:cs="Arial" w:eastAsia="Arial" w:hAnsi="Arial"/>
          <w:sz w:val="17"/>
          <w:szCs w:val="17"/>
          <w:i w:val="1"/>
          <w:iCs w:val="1"/>
          <w:u w:val="single" w:color="auto"/>
          <w:color w:val="auto"/>
        </w:rPr>
        <w:t>http://www.oxfordlanecapital.com</w:t>
      </w:r>
      <w:r>
        <w:rPr>
          <w:rFonts w:ascii="Arial" w:cs="Arial" w:eastAsia="Arial" w:hAnsi="Arial"/>
          <w:sz w:val="17"/>
          <w:szCs w:val="17"/>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Proxy Information</w:t>
      </w:r>
    </w:p>
    <w:p>
      <w:pPr>
        <w:spacing w:after="0" w:line="14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A description of the policies and procedures that the Fund’s investment adviser uses to determine how to vote proxies relating to the Fund’s portfolio securities is available (i) without charge, upon request, by calling</w:t>
      </w:r>
    </w:p>
    <w:p>
      <w:pPr>
        <w:ind w:left="460" w:right="679" w:firstLine="2"/>
        <w:spacing w:after="0" w:line="281" w:lineRule="auto"/>
        <w:tabs>
          <w:tab w:leader="none" w:pos="8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983-5275; (ii) on the Fund’s website at </w:t>
      </w:r>
      <w:r>
        <w:rPr>
          <w:rFonts w:ascii="Arial" w:cs="Arial" w:eastAsia="Arial" w:hAnsi="Arial"/>
          <w:sz w:val="16"/>
          <w:szCs w:val="16"/>
          <w:i w:val="1"/>
          <w:iCs w:val="1"/>
          <w:color w:val="auto"/>
        </w:rPr>
        <w:t>http://www.oxfordlanecapital.com</w:t>
      </w:r>
      <w:r>
        <w:rPr>
          <w:rFonts w:ascii="Arial" w:cs="Arial" w:eastAsia="Arial" w:hAnsi="Arial"/>
          <w:sz w:val="16"/>
          <w:szCs w:val="16"/>
          <w:color w:val="auto"/>
        </w:rPr>
        <w:t>. Information about how the Fund’s investment adviser voted proxies with respect to the Fund’s portfolio securities during the most recent</w:t>
      </w:r>
    </w:p>
    <w:p>
      <w:pPr>
        <w:spacing w:after="0" w:line="1" w:lineRule="exact"/>
        <w:rPr>
          <w:rFonts w:ascii="Arial" w:cs="Arial" w:eastAsia="Arial" w:hAnsi="Arial"/>
          <w:sz w:val="16"/>
          <w:szCs w:val="16"/>
          <w:color w:val="auto"/>
        </w:rPr>
      </w:pPr>
    </w:p>
    <w:p>
      <w:pPr>
        <w:ind w:left="460" w:right="499"/>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Information</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For tax purposes, distributions to stockholders during the six months ended September 30, 2019 were approximately $40.8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Policy</w:t>
      </w:r>
    </w:p>
    <w:p>
      <w:pPr>
        <w:spacing w:after="0" w:line="162"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06"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14" w:lineRule="exact"/>
        <w:rPr>
          <w:sz w:val="20"/>
          <w:szCs w:val="20"/>
          <w:color w:val="auto"/>
        </w:rPr>
      </w:pPr>
    </w:p>
    <w:p>
      <w:pPr>
        <w:ind w:left="460" w:right="679" w:firstLine="432"/>
        <w:spacing w:after="0" w:line="264" w:lineRule="auto"/>
        <w:rPr>
          <w:sz w:val="20"/>
          <w:szCs w:val="20"/>
          <w:color w:val="auto"/>
        </w:rPr>
      </w:pPr>
      <w:r>
        <w:rPr>
          <w:rFonts w:ascii="Arial" w:cs="Arial" w:eastAsia="Arial" w:hAnsi="Arial"/>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114" w:lineRule="exact"/>
        <w:rPr>
          <w:sz w:val="20"/>
          <w:szCs w:val="20"/>
          <w:color w:val="auto"/>
        </w:rPr>
      </w:pPr>
    </w:p>
    <w:p>
      <w:pPr>
        <w:ind w:left="460" w:right="1139" w:firstLine="432"/>
        <w:spacing w:after="0" w:line="342" w:lineRule="auto"/>
        <w:rPr>
          <w:sz w:val="20"/>
          <w:szCs w:val="20"/>
          <w:color w:val="auto"/>
        </w:rPr>
      </w:pPr>
      <w:r>
        <w:rPr>
          <w:rFonts w:ascii="Arial" w:cs="Arial" w:eastAsia="Arial" w:hAnsi="Arial"/>
          <w:sz w:val="16"/>
          <w:szCs w:val="16"/>
          <w:color w:val="auto"/>
        </w:rPr>
        <w:t>This information is used only so that we can send you annual reports, proxy statements and other information required by law, and to send you information we believe may be of interest to you.</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do not share such information with any non-affiliated third party except as described below:</w:t>
      </w:r>
    </w:p>
    <w:p>
      <w:pPr>
        <w:spacing w:after="0" w:line="158" w:lineRule="exact"/>
        <w:rPr>
          <w:sz w:val="20"/>
          <w:szCs w:val="20"/>
          <w:color w:val="auto"/>
        </w:rPr>
      </w:pPr>
    </w:p>
    <w:p>
      <w:pPr>
        <w:ind w:left="1320" w:right="1399" w:hanging="425"/>
        <w:spacing w:after="0" w:line="342" w:lineRule="auto"/>
        <w:tabs>
          <w:tab w:leader="none" w:pos="13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 is our policy that only authorized employees of our investment adviser, Oxford Lane Management, LLC, who need to know your personal information will have access to it.</w:t>
      </w:r>
    </w:p>
    <w:p>
      <w:pPr>
        <w:spacing w:after="0" w:line="56" w:lineRule="exact"/>
        <w:rPr>
          <w:rFonts w:ascii="Arial" w:cs="Arial" w:eastAsia="Arial" w:hAnsi="Arial"/>
          <w:sz w:val="16"/>
          <w:szCs w:val="16"/>
          <w:color w:val="auto"/>
        </w:rPr>
      </w:pPr>
    </w:p>
    <w:p>
      <w:pPr>
        <w:jc w:val="both"/>
        <w:ind w:left="1320" w:right="579" w:hanging="425"/>
        <w:spacing w:after="0" w:line="312" w:lineRule="auto"/>
        <w:tabs>
          <w:tab w:leader="none" w:pos="13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65" w:lineRule="exact"/>
        <w:rPr>
          <w:rFonts w:ascii="Arial" w:cs="Arial" w:eastAsia="Arial" w:hAnsi="Arial"/>
          <w:sz w:val="16"/>
          <w:szCs w:val="16"/>
          <w:color w:val="auto"/>
        </w:rPr>
      </w:pPr>
    </w:p>
    <w:p>
      <w:pPr>
        <w:ind w:left="1320" w:right="619" w:hanging="425"/>
        <w:spacing w:after="0" w:line="264"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Directors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J. Ashenfelter, Chairman of the Board of Directors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John Reardon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David S. Shin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Interested Directors</w:t>
      </w:r>
      <w:r>
        <w:rPr>
          <w:rFonts w:ascii="Arial" w:cs="Arial" w:eastAsia="Arial" w:hAnsi="Arial"/>
          <w:sz w:val="20"/>
          <w:szCs w:val="20"/>
          <w:color w:val="auto"/>
          <w:vertAlign w:val="superscript"/>
        </w:rPr>
        <w:t>(1)</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Jonathan H. Cohen</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Saul B. Rosenthal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Jonathan H. Cohen,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Saul B. Rosenthal, President</w:t>
      </w:r>
    </w:p>
    <w:p>
      <w:pPr>
        <w:spacing w:after="0" w:line="9" w:lineRule="exact"/>
        <w:rPr>
          <w:sz w:val="20"/>
          <w:szCs w:val="20"/>
          <w:color w:val="auto"/>
        </w:rPr>
      </w:pPr>
    </w:p>
    <w:p>
      <w:pPr>
        <w:ind w:left="460" w:right="2699"/>
        <w:spacing w:after="0" w:line="261" w:lineRule="auto"/>
        <w:rPr>
          <w:sz w:val="20"/>
          <w:szCs w:val="20"/>
          <w:color w:val="auto"/>
        </w:rPr>
      </w:pPr>
      <w:r>
        <w:rPr>
          <w:rFonts w:ascii="Arial" w:cs="Arial" w:eastAsia="Arial" w:hAnsi="Arial"/>
          <w:sz w:val="18"/>
          <w:szCs w:val="18"/>
          <w:b w:val="1"/>
          <w:bCs w:val="1"/>
          <w:color w:val="auto"/>
        </w:rPr>
        <w:t>Bruce L. Rubin, Chief Financial Officer, Corporate Secretary and Treasurer Gerald Cummins, Chief Compliance Officer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ADVISER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Oxford Lane Management,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4" w:lineRule="exact"/>
        <w:rPr>
          <w:sz w:val="20"/>
          <w:szCs w:val="20"/>
          <w:color w:val="auto"/>
        </w:rPr>
      </w:pPr>
    </w:p>
    <w:p>
      <w:pPr>
        <w:ind w:left="880" w:hanging="418"/>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defined under the Investment Company Act of 1940, as amended.</w:t>
      </w:r>
    </w:p>
    <w:p>
      <w:pPr>
        <w:spacing w:after="0" w:line="189"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color w:val="auto"/>
        </w:rPr>
        <w:t>Oxford Lane Capital Corp.</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 Sound Shore Drive, Suite 255 | Greenwich, CT 06830 | </w:t>
      </w:r>
      <w:r>
        <w:rPr>
          <w:rFonts w:ascii="Arial" w:cs="Arial" w:eastAsia="Arial" w:hAnsi="Arial"/>
          <w:sz w:val="16"/>
          <w:szCs w:val="16"/>
          <w:i w:val="1"/>
          <w:iCs w:val="1"/>
          <w:color w:val="auto"/>
        </w:rPr>
        <w:t>oxfordlanecapital.com</w:t>
      </w:r>
      <w:r>
        <w:rPr>
          <w:rFonts w:ascii="Arial" w:cs="Arial" w:eastAsia="Arial" w:hAnsi="Arial"/>
          <w:sz w:val="16"/>
          <w:szCs w:val="16"/>
          <w:color w:val="auto"/>
        </w:rPr>
        <w:t xml:space="preserve"> | (203) 983-5275</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color w:val="auto"/>
        </w:rPr>
        <w:t>Item 2. Code of Ethics.</w:t>
      </w:r>
    </w:p>
    <w:p>
      <w:pPr>
        <w:spacing w:after="0" w:line="162"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 xml:space="preserve">The Registrant has adopted a code of business conduct and ethics which applies to, among others, its senior officers, including its Chief Executive Officer (its principal executive officer) and Chief Financial Officer (its principal financial officer), as well as every officer, director and employee of Oxford Lane Capital Corp. The Registrant did not grant any waivers, including implicit waivers, from any provisions of the code of business conduct and ethics during the period covered by this report. The Registrant’s code of business conduct and ethics can be accessed via its website at </w:t>
      </w:r>
      <w:r>
        <w:rPr>
          <w:rFonts w:ascii="Arial" w:cs="Arial" w:eastAsia="Arial" w:hAnsi="Arial"/>
          <w:sz w:val="17"/>
          <w:szCs w:val="17"/>
          <w:i w:val="1"/>
          <w:iCs w:val="1"/>
          <w:color w:val="auto"/>
        </w:rPr>
        <w:t>http://www.oxfordlanecapital.com.</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3. Audit Committee Financial Expert.</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information required by this item is not required in a semi-annual report on this form N-CSR.</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4. Principal Accountant Fees and Services.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information required by this item is not required in a semi-annual report on this form N-CSR.</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5. Audit Committee of Listed Registrant.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information required by this item is not required in a semi-annual report on this form N-CSR.</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Investments.</w:t>
      </w:r>
    </w:p>
    <w:p>
      <w:pPr>
        <w:spacing w:after="0" w:line="14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Please see the schedule of investments contained in the Report to Stockholders included under Item 1 of this Form N-CSR.</w:t>
      </w:r>
    </w:p>
    <w:p>
      <w:pPr>
        <w:spacing w:after="0" w:line="166" w:lineRule="exact"/>
        <w:rPr>
          <w:sz w:val="20"/>
          <w:szCs w:val="20"/>
          <w:color w:val="auto"/>
        </w:rPr>
      </w:pPr>
    </w:p>
    <w:p>
      <w:pPr>
        <w:ind w:left="460" w:right="879"/>
        <w:spacing w:after="0" w:line="282" w:lineRule="auto"/>
        <w:rPr>
          <w:sz w:val="20"/>
          <w:szCs w:val="20"/>
          <w:color w:val="auto"/>
        </w:rPr>
      </w:pPr>
      <w:r>
        <w:rPr>
          <w:rFonts w:ascii="Arial" w:cs="Arial" w:eastAsia="Arial" w:hAnsi="Arial"/>
          <w:sz w:val="18"/>
          <w:szCs w:val="18"/>
          <w:b w:val="1"/>
          <w:bCs w:val="1"/>
          <w:color w:val="auto"/>
        </w:rPr>
        <w:t>Item 7. Disclosure of Proxy Voting Policies and Procedures for Closed-End Management Investment Companies.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Portfolio Managers of Closed-End Investment Companies.</w:t>
      </w:r>
    </w:p>
    <w:p>
      <w:pPr>
        <w:spacing w:after="0" w:line="162" w:lineRule="exact"/>
        <w:rPr>
          <w:sz w:val="20"/>
          <w:szCs w:val="20"/>
          <w:color w:val="auto"/>
        </w:rPr>
      </w:pPr>
    </w:p>
    <w:p>
      <w:pPr>
        <w:ind w:left="1320" w:hanging="425"/>
        <w:spacing w:after="0"/>
        <w:tabs>
          <w:tab w:leader="none" w:pos="1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required by this item is not required in a semi-annual report on this form N-CSR</w:t>
      </w:r>
    </w:p>
    <w:p>
      <w:pPr>
        <w:spacing w:after="0" w:line="155" w:lineRule="exact"/>
        <w:rPr>
          <w:rFonts w:ascii="Arial" w:cs="Arial" w:eastAsia="Arial" w:hAnsi="Arial"/>
          <w:sz w:val="17"/>
          <w:szCs w:val="17"/>
          <w:color w:val="auto"/>
        </w:rPr>
      </w:pPr>
    </w:p>
    <w:p>
      <w:pPr>
        <w:ind w:left="1320" w:right="639" w:hanging="425"/>
        <w:spacing w:after="0" w:line="264" w:lineRule="auto"/>
        <w:tabs>
          <w:tab w:leader="none" w:pos="12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has been no change, as of the date of the fi ling of the semi-annual report on this Form N-CSR, to any of the portfolio managers identified in response to paragraph (a)(1) of this item in the Registrant’s most recent annual report on Form N-CSR.</w:t>
      </w:r>
    </w:p>
    <w:p>
      <w:pPr>
        <w:spacing w:after="0" w:line="177"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Item 9. Purchases of Equity Securities by Closed-End Management Investment Company and Affiliated Purchasers.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10. Submission of Matters to a Vote of Security Holders.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11. Controls and Procedures.</w:t>
      </w:r>
    </w:p>
    <w:p>
      <w:pPr>
        <w:spacing w:after="0" w:line="148" w:lineRule="exact"/>
        <w:rPr>
          <w:sz w:val="20"/>
          <w:szCs w:val="20"/>
          <w:color w:val="auto"/>
        </w:rPr>
      </w:pPr>
    </w:p>
    <w:p>
      <w:pPr>
        <w:ind w:left="1320" w:right="479" w:hanging="425"/>
        <w:spacing w:after="0" w:line="270" w:lineRule="auto"/>
        <w:tabs>
          <w:tab w:leader="none" w:pos="1313"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an evaluation of the Disclosure Controls and Procedures (as defined in Rule 30a-3(c) under the Investment Company Act of 1940, the “Disclosure Controls”) as of a date within 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ind w:left="1320" w:right="479" w:hanging="425"/>
        <w:spacing w:after="0" w:line="302" w:lineRule="auto"/>
        <w:tabs>
          <w:tab w:leader="none" w:pos="12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were no changes in the Registrant’s internal control over financial reporting (as defined in Rule 30a-3 (d) under the Investment Company Act of 1940) that occurred during the Registrant’s last fiscal quarter of the period covered by this report that have materially affected or are reasonably likely to materially affect the Registrant’s internal control over financial reporting.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Item 12. Disclosure of Securities Lending Activities for Closed-End Management Investment Companies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Exhibits.</w:t>
      </w:r>
    </w:p>
    <w:p>
      <w:pPr>
        <w:spacing w:after="0" w:line="16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 xml:space="preserve">Registrant has posted its current Code of Ethics on its website at </w:t>
      </w:r>
      <w:r>
        <w:rPr>
          <w:rFonts w:ascii="Arial" w:cs="Arial" w:eastAsia="Arial" w:hAnsi="Arial"/>
          <w:sz w:val="16"/>
          <w:szCs w:val="16"/>
          <w:i w:val="1"/>
          <w:iCs w:val="1"/>
          <w:color w:val="auto"/>
        </w:rPr>
        <w:t>www.oxfordlanecapital.com.</w:t>
      </w:r>
    </w:p>
    <w:p>
      <w:pPr>
        <w:spacing w:after="0" w:line="158" w:lineRule="exact"/>
        <w:rPr>
          <w:sz w:val="20"/>
          <w:szCs w:val="20"/>
          <w:color w:val="auto"/>
        </w:rPr>
      </w:pPr>
    </w:p>
    <w:p>
      <w:pPr>
        <w:ind w:left="1500" w:right="759" w:hanging="593"/>
        <w:spacing w:after="0" w:line="277" w:lineRule="auto"/>
        <w:tabs>
          <w:tab w:leader="none" w:pos="1480" w:val="left"/>
        </w:tabs>
        <w:rPr>
          <w:sz w:val="20"/>
          <w:szCs w:val="20"/>
          <w:color w:val="auto"/>
        </w:rPr>
      </w:pPr>
      <w:r>
        <w:rPr>
          <w:rFonts w:ascii="Arial" w:cs="Arial" w:eastAsia="Arial" w:hAnsi="Arial"/>
          <w:sz w:val="18"/>
          <w:szCs w:val="18"/>
          <w:color w:val="auto"/>
        </w:rPr>
        <w:t>(a)(2)</w:t>
        <w:tab/>
        <w:t>Certifications of principal executive officer and principal financial officer as required by Rule 30a-2(a) under the Investment Company Act of 1940.</w:t>
      </w:r>
    </w:p>
    <w:p>
      <w:pPr>
        <w:spacing w:after="0" w:line="8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Not applicable.</w:t>
      </w:r>
    </w:p>
    <w:p>
      <w:pPr>
        <w:spacing w:after="0" w:line="15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6"/>
          <w:szCs w:val="16"/>
          <w:color w:val="auto"/>
        </w:rPr>
        <w:t>Not applicable.</w:t>
      </w:r>
    </w:p>
    <w:p>
      <w:pPr>
        <w:spacing w:after="0" w:line="158" w:lineRule="exact"/>
        <w:rPr>
          <w:sz w:val="20"/>
          <w:szCs w:val="20"/>
          <w:color w:val="auto"/>
        </w:rPr>
      </w:pPr>
    </w:p>
    <w:p>
      <w:pPr>
        <w:ind w:left="1500" w:right="519" w:hanging="587"/>
        <w:spacing w:after="0" w:line="277" w:lineRule="auto"/>
        <w:tabs>
          <w:tab w:leader="none" w:pos="14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accounting officer as required by Rule 30a-2(b) under the Investment Company Act of 1940.</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OXFORD LANE CAPITAL CORP.</w:t>
      </w:r>
    </w:p>
    <w:p>
      <w:pPr>
        <w:spacing w:after="0" w:line="216"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H. Cohen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-130175</wp:posOffset>
            </wp:positionV>
            <wp:extent cx="23069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 November 1, 2019</w:t>
      </w:r>
    </w:p>
    <w:p>
      <w:pPr>
        <w:spacing w:after="0" w:line="211"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8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H. Cohen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-130175</wp:posOffset>
            </wp:positionV>
            <wp:extent cx="23069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 November 1, 2019</w:t>
      </w:r>
    </w:p>
    <w:p>
      <w:pPr>
        <w:spacing w:after="0" w:line="238"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L. Rubin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-130175</wp:posOffset>
            </wp:positionV>
            <wp:extent cx="23069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 November 1, 2019</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jc w:val="right"/>
        <w:ind w:right="459"/>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13(a)(2)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144" w:lineRule="exact"/>
        <w:rPr>
          <w:sz w:val="20"/>
          <w:szCs w:val="20"/>
          <w:color w:val="auto"/>
        </w:rPr>
      </w:pPr>
    </w:p>
    <w:p>
      <w:pPr>
        <w:ind w:left="1300" w:hanging="40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57" w:lineRule="exact"/>
        <w:rPr>
          <w:rFonts w:ascii="Arial" w:cs="Arial" w:eastAsia="Arial" w:hAnsi="Arial"/>
          <w:sz w:val="18"/>
          <w:szCs w:val="18"/>
          <w:color w:val="auto"/>
        </w:rPr>
      </w:pPr>
    </w:p>
    <w:p>
      <w:pPr>
        <w:ind w:left="1320" w:right="519" w:hanging="425"/>
        <w:spacing w:after="0" w:line="312" w:lineRule="auto"/>
        <w:tabs>
          <w:tab w:leader="none" w:pos="1293"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6"/>
          <w:szCs w:val="16"/>
          <w:color w:val="auto"/>
        </w:rPr>
      </w:pPr>
    </w:p>
    <w:p>
      <w:pPr>
        <w:ind w:left="1320" w:right="479" w:hanging="425"/>
        <w:spacing w:after="0" w:line="279" w:lineRule="auto"/>
        <w:tabs>
          <w:tab w:leader="none" w:pos="12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0" w:lineRule="exact"/>
        <w:rPr>
          <w:rFonts w:ascii="Arial" w:cs="Arial" w:eastAsia="Arial" w:hAnsi="Arial"/>
          <w:sz w:val="17"/>
          <w:szCs w:val="17"/>
          <w:color w:val="auto"/>
        </w:rPr>
      </w:pPr>
    </w:p>
    <w:p>
      <w:pPr>
        <w:ind w:left="1320" w:right="519" w:hanging="425"/>
        <w:spacing w:after="0" w:line="259"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9" w:lineRule="exact"/>
        <w:rPr>
          <w:rFonts w:ascii="Arial" w:cs="Arial" w:eastAsia="Arial" w:hAnsi="Arial"/>
          <w:sz w:val="18"/>
          <w:szCs w:val="18"/>
          <w:color w:val="auto"/>
        </w:rPr>
      </w:pPr>
    </w:p>
    <w:p>
      <w:pPr>
        <w:ind w:left="1760" w:right="519" w:hanging="433"/>
        <w:spacing w:after="0" w:line="302" w:lineRule="auto"/>
        <w:tabs>
          <w:tab w:leader="none" w:pos="1738"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6"/>
          <w:szCs w:val="16"/>
          <w:color w:val="auto"/>
        </w:rPr>
      </w:pPr>
    </w:p>
    <w:p>
      <w:pPr>
        <w:ind w:left="1760" w:right="619" w:hanging="433"/>
        <w:spacing w:after="0" w:line="302" w:lineRule="auto"/>
        <w:tabs>
          <w:tab w:leader="none" w:pos="17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6"/>
          <w:szCs w:val="16"/>
          <w:color w:val="auto"/>
        </w:rPr>
      </w:pPr>
    </w:p>
    <w:p>
      <w:pPr>
        <w:ind w:left="1760" w:right="459" w:hanging="433"/>
        <w:spacing w:after="0" w:line="259" w:lineRule="auto"/>
        <w:tabs>
          <w:tab w:leader="none" w:pos="17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9" w:lineRule="exact"/>
        <w:rPr>
          <w:rFonts w:ascii="Arial" w:cs="Arial" w:eastAsia="Arial" w:hAnsi="Arial"/>
          <w:sz w:val="18"/>
          <w:szCs w:val="18"/>
          <w:color w:val="auto"/>
        </w:rPr>
      </w:pPr>
    </w:p>
    <w:p>
      <w:pPr>
        <w:ind w:left="1760" w:right="579" w:hanging="433"/>
        <w:spacing w:after="0" w:line="259" w:lineRule="auto"/>
        <w:tabs>
          <w:tab w:leader="none" w:pos="17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1320" w:right="519" w:hanging="425"/>
        <w:spacing w:after="0" w:line="342" w:lineRule="auto"/>
        <w:tabs>
          <w:tab w:leader="none" w:pos="129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760" w:right="499" w:hanging="433"/>
        <w:spacing w:after="0" w:line="286" w:lineRule="auto"/>
        <w:tabs>
          <w:tab w:leader="none" w:pos="173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7"/>
          <w:szCs w:val="17"/>
          <w:color w:val="auto"/>
        </w:rPr>
      </w:pPr>
    </w:p>
    <w:p>
      <w:pPr>
        <w:ind w:left="1760" w:right="539" w:hanging="433"/>
        <w:spacing w:after="0" w:line="277" w:lineRule="auto"/>
        <w:tabs>
          <w:tab w:leader="none" w:pos="17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day of November, 2019</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40640</wp:posOffset>
            </wp:positionV>
            <wp:extent cx="25730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Jonathan H. Cohen</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289560</wp:posOffset>
            </wp:positionV>
            <wp:extent cx="51454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Exhibit 13(a)(2)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30a-2(a) Certification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144" w:lineRule="exact"/>
        <w:rPr>
          <w:sz w:val="20"/>
          <w:szCs w:val="20"/>
          <w:color w:val="auto"/>
        </w:rPr>
      </w:pPr>
    </w:p>
    <w:p>
      <w:pPr>
        <w:ind w:left="1300" w:hanging="40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57" w:lineRule="exact"/>
        <w:rPr>
          <w:rFonts w:ascii="Arial" w:cs="Arial" w:eastAsia="Arial" w:hAnsi="Arial"/>
          <w:sz w:val="18"/>
          <w:szCs w:val="18"/>
          <w:color w:val="auto"/>
        </w:rPr>
      </w:pPr>
    </w:p>
    <w:p>
      <w:pPr>
        <w:ind w:left="1320" w:right="519" w:hanging="425"/>
        <w:spacing w:after="0" w:line="312" w:lineRule="auto"/>
        <w:tabs>
          <w:tab w:leader="none" w:pos="12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6"/>
          <w:szCs w:val="16"/>
          <w:color w:val="auto"/>
        </w:rPr>
      </w:pPr>
    </w:p>
    <w:p>
      <w:pPr>
        <w:ind w:left="1320" w:right="479" w:hanging="425"/>
        <w:spacing w:after="0" w:line="279" w:lineRule="auto"/>
        <w:tabs>
          <w:tab w:leader="none" w:pos="129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0" w:lineRule="exact"/>
        <w:rPr>
          <w:rFonts w:ascii="Arial" w:cs="Arial" w:eastAsia="Arial" w:hAnsi="Arial"/>
          <w:sz w:val="17"/>
          <w:szCs w:val="17"/>
          <w:color w:val="auto"/>
        </w:rPr>
      </w:pPr>
    </w:p>
    <w:p>
      <w:pPr>
        <w:ind w:left="1320" w:right="519" w:hanging="425"/>
        <w:spacing w:after="0" w:line="259" w:lineRule="auto"/>
        <w:tabs>
          <w:tab w:leader="none" w:pos="12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9" w:lineRule="exact"/>
        <w:rPr>
          <w:rFonts w:ascii="Arial" w:cs="Arial" w:eastAsia="Arial" w:hAnsi="Arial"/>
          <w:sz w:val="18"/>
          <w:szCs w:val="18"/>
          <w:color w:val="auto"/>
        </w:rPr>
      </w:pPr>
    </w:p>
    <w:p>
      <w:pPr>
        <w:ind w:left="1760" w:right="519" w:hanging="433"/>
        <w:spacing w:after="0" w:line="302" w:lineRule="auto"/>
        <w:tabs>
          <w:tab w:leader="none" w:pos="17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6"/>
          <w:szCs w:val="16"/>
          <w:color w:val="auto"/>
        </w:rPr>
      </w:pPr>
    </w:p>
    <w:p>
      <w:pPr>
        <w:ind w:left="1760" w:right="619" w:hanging="433"/>
        <w:spacing w:after="0" w:line="302" w:lineRule="auto"/>
        <w:tabs>
          <w:tab w:leader="none" w:pos="1748"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6"/>
          <w:szCs w:val="16"/>
          <w:color w:val="auto"/>
        </w:rPr>
      </w:pPr>
    </w:p>
    <w:p>
      <w:pPr>
        <w:ind w:left="1760" w:right="459" w:hanging="433"/>
        <w:spacing w:after="0" w:line="259" w:lineRule="auto"/>
        <w:tabs>
          <w:tab w:leader="none" w:pos="17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9" w:lineRule="exact"/>
        <w:rPr>
          <w:rFonts w:ascii="Arial" w:cs="Arial" w:eastAsia="Arial" w:hAnsi="Arial"/>
          <w:sz w:val="18"/>
          <w:szCs w:val="18"/>
          <w:color w:val="auto"/>
        </w:rPr>
      </w:pPr>
    </w:p>
    <w:p>
      <w:pPr>
        <w:ind w:left="1760" w:right="579" w:hanging="433"/>
        <w:spacing w:after="0" w:line="259" w:lineRule="auto"/>
        <w:tabs>
          <w:tab w:leader="none" w:pos="17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1320" w:right="519" w:hanging="425"/>
        <w:spacing w:after="0" w:line="342" w:lineRule="auto"/>
        <w:tabs>
          <w:tab w:leader="none" w:pos="12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760" w:right="499" w:hanging="433"/>
        <w:spacing w:after="0" w:line="286" w:lineRule="auto"/>
        <w:tabs>
          <w:tab w:leader="none" w:pos="173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7"/>
          <w:szCs w:val="17"/>
          <w:color w:val="auto"/>
        </w:rPr>
      </w:pPr>
    </w:p>
    <w:p>
      <w:pPr>
        <w:ind w:left="1760" w:right="539" w:hanging="433"/>
        <w:spacing w:after="0" w:line="277" w:lineRule="auto"/>
        <w:tabs>
          <w:tab w:leader="none" w:pos="17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day of November, 2019</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40640</wp:posOffset>
            </wp:positionV>
            <wp:extent cx="25730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Bruce L. Rubin</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289560</wp:posOffset>
            </wp:positionV>
            <wp:extent cx="51454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jc w:val="right"/>
        <w:ind w:right="45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30a-2(b) Certification</w:t>
      </w:r>
    </w:p>
    <w:p>
      <w:pPr>
        <w:spacing w:after="0" w:line="14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connection with the Report on Form N-CSR for the period ended September 30, 2019 (the “Report”) of Oxford Lane Capital Corp. (the “Registrant”), as filed with the Securities and Exchange Commission on the date hereof, I, Jonathan H. Cohen, the Chief Executive Officer of the Registrant, hereby certify, to the best of my knowledge, that:</w:t>
      </w:r>
    </w:p>
    <w:p>
      <w:pPr>
        <w:spacing w:after="0" w:line="106" w:lineRule="exact"/>
        <w:rPr>
          <w:sz w:val="20"/>
          <w:szCs w:val="20"/>
          <w:color w:val="auto"/>
        </w:rPr>
      </w:pPr>
    </w:p>
    <w:p>
      <w:pPr>
        <w:ind w:left="1320" w:right="1179" w:hanging="425"/>
        <w:spacing w:after="0" w:line="277" w:lineRule="auto"/>
        <w:tabs>
          <w:tab w:leader="none" w:pos="12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320" w:right="1059" w:hanging="425"/>
        <w:spacing w:after="0" w:line="277" w:lineRule="auto"/>
        <w:tabs>
          <w:tab w:leader="none" w:pos="12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40640</wp:posOffset>
            </wp:positionV>
            <wp:extent cx="25730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Jonathan H. Cohen</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297815</wp:posOffset>
            </wp:positionV>
            <wp:extent cx="51454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13(b)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30a-2(b) Certification</w:t>
      </w:r>
    </w:p>
    <w:p>
      <w:pPr>
        <w:spacing w:after="0" w:line="14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connection with the Report on Form N-CSR for the period ended September 30, 2019 (the “Report”) of Oxford Lane Capital Corp. (the “Registrant”), as filed with the Securities and Exchange Commission on the date hereof, I, Bruce L. Rubin, the Chief Financial Officer of the Registrant, hereby certify, to the best of my knowledge, that:</w:t>
      </w:r>
    </w:p>
    <w:p>
      <w:pPr>
        <w:spacing w:after="0" w:line="106" w:lineRule="exact"/>
        <w:rPr>
          <w:sz w:val="20"/>
          <w:szCs w:val="20"/>
          <w:color w:val="auto"/>
        </w:rPr>
      </w:pPr>
    </w:p>
    <w:p>
      <w:pPr>
        <w:ind w:left="1320" w:right="1179" w:hanging="425"/>
        <w:spacing w:after="0" w:line="277" w:lineRule="auto"/>
        <w:tabs>
          <w:tab w:leader="none" w:pos="12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1320" w:right="1059" w:hanging="425"/>
        <w:spacing w:after="0" w:line="277" w:lineRule="auto"/>
        <w:tabs>
          <w:tab w:leader="none" w:pos="12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40640</wp:posOffset>
            </wp:positionV>
            <wp:extent cx="25730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Bruce L. Rubin</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297815</wp:posOffset>
            </wp:positionV>
            <wp:extent cx="51454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3"/>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9"/>
    </w:lvl>
  </w:abstractNum>
  <w:abstractNum w:abstractNumId="20">
    <w:nsid w:val="836C40E"/>
    <w:multiLevelType w:val="hybridMultilevel"/>
    <w:lvl w:ilvl="0">
      <w:lvlJc w:val="left"/>
      <w:lvlText w:val="\endash "/>
      <w:numFmt w:val="bullet"/>
      <w:start w:val="1"/>
    </w:lvl>
  </w:abstractNum>
  <w:abstractNum w:abstractNumId="21">
    <w:nsid w:val="2901D82"/>
    <w:multiLevelType w:val="hybridMultilevel"/>
    <w:lvl w:ilvl="0">
      <w:lvlJc w:val="left"/>
      <w:lvlText w:val="&amp;"/>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03"/>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2020-01-09T06:23:47Z</dcterms:created>
  <dcterms:modified xsi:type="dcterms:W3CDTF">2020-01-09T06:23:47Z</dcterms:modified>
</cp:coreProperties>
</file>