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N-Q</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QUARTERLY SCHEDULE OF PORTFOLIO HOLDINGS OF REGISTERED</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MANAGEMENT INVESTMENT COMPANY</w:t>
      </w:r>
    </w:p>
    <w:p>
      <w:pPr>
        <w:spacing w:after="0" w:line="194"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7820" w:type="dxa"/>
            <w:vAlign w:val="bottom"/>
            <w:gridSpan w:val="9"/>
          </w:tcPr>
          <w:p>
            <w:pPr>
              <w:spacing w:after="0"/>
              <w:rPr>
                <w:sz w:val="20"/>
                <w:szCs w:val="20"/>
                <w:color w:val="auto"/>
              </w:rPr>
            </w:pPr>
            <w:r>
              <w:rPr>
                <w:rFonts w:ascii="Arial" w:cs="Arial" w:eastAsia="Arial" w:hAnsi="Arial"/>
                <w:sz w:val="18"/>
                <w:szCs w:val="18"/>
                <w:color w:val="auto"/>
              </w:rPr>
              <w:t>Investment Company Act file number 811-22432</w:t>
            </w:r>
          </w:p>
        </w:tc>
        <w:tc>
          <w:tcPr>
            <w:tcW w:w="3600" w:type="dxa"/>
            <w:vAlign w:val="bottom"/>
          </w:tcPr>
          <w:p>
            <w:pPr>
              <w:spacing w:after="0"/>
              <w:rPr>
                <w:sz w:val="17"/>
                <w:szCs w:val="17"/>
                <w:color w:val="auto"/>
              </w:rPr>
            </w:pPr>
          </w:p>
        </w:tc>
      </w:tr>
      <w:tr>
        <w:trPr>
          <w:trHeight w:val="438"/>
        </w:trPr>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4020" w:type="dxa"/>
            <w:vAlign w:val="bottom"/>
            <w:gridSpan w:val="2"/>
          </w:tcPr>
          <w:p>
            <w:pPr>
              <w:jc w:val="center"/>
              <w:ind w:right="110"/>
              <w:spacing w:after="0"/>
              <w:rPr>
                <w:sz w:val="20"/>
                <w:szCs w:val="20"/>
                <w:color w:val="auto"/>
              </w:rPr>
            </w:pPr>
            <w:r>
              <w:rPr>
                <w:rFonts w:ascii="Arial" w:cs="Arial" w:eastAsia="Arial" w:hAnsi="Arial"/>
                <w:sz w:val="18"/>
                <w:szCs w:val="18"/>
                <w:color w:val="auto"/>
                <w:w w:val="92"/>
              </w:rPr>
              <w:t>Oxford Lane Capital Corp.</w:t>
            </w:r>
          </w:p>
        </w:tc>
        <w:tc>
          <w:tcPr>
            <w:tcW w:w="3600" w:type="dxa"/>
            <w:vAlign w:val="bottom"/>
          </w:tcPr>
          <w:p>
            <w:pPr>
              <w:spacing w:after="0"/>
              <w:rPr>
                <w:sz w:val="24"/>
                <w:szCs w:val="24"/>
                <w:color w:val="auto"/>
              </w:rPr>
            </w:pPr>
          </w:p>
        </w:tc>
      </w:tr>
      <w:tr>
        <w:trPr>
          <w:trHeight w:val="230"/>
        </w:trPr>
        <w:tc>
          <w:tcPr>
            <w:tcW w:w="1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20" w:type="dxa"/>
            <w:vAlign w:val="bottom"/>
            <w:gridSpan w:val="2"/>
          </w:tcPr>
          <w:p>
            <w:pPr>
              <w:jc w:val="center"/>
              <w:ind w:right="110"/>
              <w:spacing w:after="0"/>
              <w:rPr>
                <w:sz w:val="20"/>
                <w:szCs w:val="20"/>
                <w:color w:val="auto"/>
              </w:rPr>
            </w:pPr>
            <w:r>
              <w:rPr>
                <w:rFonts w:ascii="Arial" w:cs="Arial" w:eastAsia="Arial" w:hAnsi="Arial"/>
                <w:sz w:val="18"/>
                <w:szCs w:val="18"/>
                <w:color w:val="auto"/>
                <w:w w:val="90"/>
              </w:rPr>
              <w:t>(Exact name of registrant as specified in charter)</w:t>
            </w:r>
          </w:p>
        </w:tc>
        <w:tc>
          <w:tcPr>
            <w:tcW w:w="3600" w:type="dxa"/>
            <w:vAlign w:val="bottom"/>
          </w:tcPr>
          <w:p>
            <w:pPr>
              <w:spacing w:after="0"/>
              <w:rPr>
                <w:sz w:val="20"/>
                <w:szCs w:val="20"/>
                <w:color w:val="auto"/>
              </w:rPr>
            </w:pPr>
          </w:p>
        </w:tc>
      </w:tr>
      <w:tr>
        <w:trPr>
          <w:trHeight w:val="418"/>
        </w:trPr>
        <w:tc>
          <w:tcPr>
            <w:tcW w:w="7820" w:type="dxa"/>
            <w:vAlign w:val="bottom"/>
            <w:gridSpan w:val="9"/>
          </w:tcPr>
          <w:p>
            <w:pPr>
              <w:jc w:val="center"/>
              <w:ind w:right="2010"/>
              <w:spacing w:after="0"/>
              <w:rPr>
                <w:sz w:val="20"/>
                <w:szCs w:val="20"/>
                <w:color w:val="auto"/>
              </w:rPr>
            </w:pPr>
            <w:r>
              <w:rPr>
                <w:rFonts w:ascii="Arial" w:cs="Arial" w:eastAsia="Arial" w:hAnsi="Arial"/>
                <w:sz w:val="18"/>
                <w:szCs w:val="18"/>
                <w:color w:val="auto"/>
                <w:w w:val="90"/>
              </w:rPr>
              <w:t>8 Sound Shore Drive, Suite 255</w:t>
            </w:r>
          </w:p>
        </w:tc>
        <w:tc>
          <w:tcPr>
            <w:tcW w:w="3600" w:type="dxa"/>
            <w:vAlign w:val="bottom"/>
          </w:tcPr>
          <w:p>
            <w:pPr>
              <w:spacing w:after="0"/>
              <w:rPr>
                <w:sz w:val="24"/>
                <w:szCs w:val="24"/>
                <w:color w:val="auto"/>
              </w:rPr>
            </w:pPr>
          </w:p>
        </w:tc>
      </w:tr>
      <w:tr>
        <w:trPr>
          <w:trHeight w:val="230"/>
        </w:trPr>
        <w:tc>
          <w:tcPr>
            <w:tcW w:w="17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980" w:type="dxa"/>
            <w:vAlign w:val="bottom"/>
            <w:tcBorders>
              <w:bottom w:val="single" w:sz="8" w:color="auto"/>
            </w:tcBorders>
            <w:gridSpan w:val="7"/>
          </w:tcPr>
          <w:p>
            <w:pPr>
              <w:jc w:val="center"/>
              <w:ind w:right="3850"/>
              <w:spacing w:after="0"/>
              <w:rPr>
                <w:sz w:val="20"/>
                <w:szCs w:val="20"/>
                <w:color w:val="auto"/>
              </w:rPr>
            </w:pPr>
            <w:r>
              <w:rPr>
                <w:rFonts w:ascii="Arial" w:cs="Arial" w:eastAsia="Arial" w:hAnsi="Arial"/>
                <w:sz w:val="18"/>
                <w:szCs w:val="18"/>
                <w:color w:val="auto"/>
                <w:w w:val="93"/>
              </w:rPr>
              <w:t>Greenwich, CT</w:t>
            </w:r>
          </w:p>
        </w:tc>
        <w:tc>
          <w:tcPr>
            <w:tcW w:w="3600" w:type="dxa"/>
            <w:vAlign w:val="bottom"/>
            <w:tcBorders>
              <w:bottom w:val="single" w:sz="8" w:color="auto"/>
            </w:tcBorders>
          </w:tcPr>
          <w:p>
            <w:pPr>
              <w:jc w:val="right"/>
              <w:ind w:right="2530"/>
              <w:spacing w:after="0"/>
              <w:rPr>
                <w:sz w:val="20"/>
                <w:szCs w:val="20"/>
                <w:color w:val="auto"/>
              </w:rPr>
            </w:pPr>
            <w:r>
              <w:rPr>
                <w:rFonts w:ascii="Arial" w:cs="Arial" w:eastAsia="Arial" w:hAnsi="Arial"/>
                <w:sz w:val="18"/>
                <w:szCs w:val="18"/>
                <w:color w:val="auto"/>
              </w:rPr>
              <w:t>06830</w:t>
            </w:r>
          </w:p>
        </w:tc>
      </w:tr>
      <w:tr>
        <w:trPr>
          <w:trHeight w:val="224"/>
        </w:trPr>
        <w:tc>
          <w:tcPr>
            <w:tcW w:w="7820" w:type="dxa"/>
            <w:vAlign w:val="bottom"/>
            <w:gridSpan w:val="9"/>
          </w:tcPr>
          <w:p>
            <w:pPr>
              <w:jc w:val="center"/>
              <w:ind w:right="1990"/>
              <w:spacing w:after="0"/>
              <w:rPr>
                <w:sz w:val="20"/>
                <w:szCs w:val="20"/>
                <w:color w:val="auto"/>
              </w:rPr>
            </w:pPr>
            <w:r>
              <w:rPr>
                <w:rFonts w:ascii="Arial" w:cs="Arial" w:eastAsia="Arial" w:hAnsi="Arial"/>
                <w:sz w:val="18"/>
                <w:szCs w:val="18"/>
                <w:color w:val="auto"/>
                <w:w w:val="92"/>
              </w:rPr>
              <w:t>(Address of principal executive offices)</w:t>
            </w:r>
          </w:p>
        </w:tc>
        <w:tc>
          <w:tcPr>
            <w:tcW w:w="3600" w:type="dxa"/>
            <w:vAlign w:val="bottom"/>
          </w:tcPr>
          <w:p>
            <w:pPr>
              <w:jc w:val="center"/>
              <w:ind w:right="2010"/>
              <w:spacing w:after="0"/>
              <w:rPr>
                <w:sz w:val="20"/>
                <w:szCs w:val="20"/>
                <w:color w:val="auto"/>
              </w:rPr>
            </w:pPr>
            <w:r>
              <w:rPr>
                <w:rFonts w:ascii="Arial" w:cs="Arial" w:eastAsia="Arial" w:hAnsi="Arial"/>
                <w:sz w:val="18"/>
                <w:szCs w:val="18"/>
                <w:color w:val="auto"/>
                <w:w w:val="91"/>
              </w:rPr>
              <w:t>(Zip code)</w:t>
            </w:r>
          </w:p>
        </w:tc>
      </w:tr>
      <w:tr>
        <w:trPr>
          <w:trHeight w:val="404"/>
        </w:trPr>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900" w:type="dxa"/>
            <w:vAlign w:val="bottom"/>
          </w:tcPr>
          <w:p>
            <w:pPr>
              <w:jc w:val="center"/>
              <w:ind w:right="1230"/>
              <w:spacing w:after="0"/>
              <w:rPr>
                <w:sz w:val="20"/>
                <w:szCs w:val="20"/>
                <w:color w:val="auto"/>
              </w:rPr>
            </w:pPr>
            <w:r>
              <w:rPr>
                <w:rFonts w:ascii="Arial" w:cs="Arial" w:eastAsia="Arial" w:hAnsi="Arial"/>
                <w:sz w:val="18"/>
                <w:szCs w:val="18"/>
                <w:color w:val="auto"/>
                <w:w w:val="88"/>
              </w:rPr>
              <w:t>Jonathan H. Cohen</w:t>
            </w:r>
          </w:p>
        </w:tc>
        <w:tc>
          <w:tcPr>
            <w:tcW w:w="3600" w:type="dxa"/>
            <w:vAlign w:val="bottom"/>
          </w:tcPr>
          <w:p>
            <w:pPr>
              <w:spacing w:after="0"/>
              <w:rPr>
                <w:sz w:val="24"/>
                <w:szCs w:val="24"/>
                <w:color w:val="auto"/>
              </w:rPr>
            </w:pPr>
          </w:p>
        </w:tc>
      </w:tr>
      <w:tr>
        <w:trPr>
          <w:trHeight w:val="216"/>
        </w:trPr>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20" w:type="dxa"/>
            <w:vAlign w:val="bottom"/>
            <w:gridSpan w:val="2"/>
          </w:tcPr>
          <w:p>
            <w:pPr>
              <w:jc w:val="center"/>
              <w:ind w:right="90"/>
              <w:spacing w:after="0"/>
              <w:rPr>
                <w:sz w:val="20"/>
                <w:szCs w:val="20"/>
                <w:color w:val="auto"/>
              </w:rPr>
            </w:pPr>
            <w:r>
              <w:rPr>
                <w:rFonts w:ascii="Arial" w:cs="Arial" w:eastAsia="Arial" w:hAnsi="Arial"/>
                <w:sz w:val="18"/>
                <w:szCs w:val="18"/>
                <w:color w:val="auto"/>
                <w:w w:val="93"/>
              </w:rPr>
              <w:t>Chief Executive Officer</w:t>
            </w:r>
          </w:p>
        </w:tc>
        <w:tc>
          <w:tcPr>
            <w:tcW w:w="3600" w:type="dxa"/>
            <w:vAlign w:val="bottom"/>
          </w:tcPr>
          <w:p>
            <w:pPr>
              <w:spacing w:after="0"/>
              <w:rPr>
                <w:sz w:val="18"/>
                <w:szCs w:val="18"/>
                <w:color w:val="auto"/>
              </w:rPr>
            </w:pPr>
          </w:p>
        </w:tc>
      </w:tr>
      <w:tr>
        <w:trPr>
          <w:trHeight w:val="216"/>
        </w:trPr>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20" w:type="dxa"/>
            <w:vAlign w:val="bottom"/>
            <w:gridSpan w:val="2"/>
          </w:tcPr>
          <w:p>
            <w:pPr>
              <w:jc w:val="center"/>
              <w:ind w:right="110"/>
              <w:spacing w:after="0"/>
              <w:rPr>
                <w:sz w:val="20"/>
                <w:szCs w:val="20"/>
                <w:color w:val="auto"/>
              </w:rPr>
            </w:pPr>
            <w:r>
              <w:rPr>
                <w:rFonts w:ascii="Arial" w:cs="Arial" w:eastAsia="Arial" w:hAnsi="Arial"/>
                <w:sz w:val="18"/>
                <w:szCs w:val="18"/>
                <w:color w:val="auto"/>
                <w:w w:val="92"/>
              </w:rPr>
              <w:t>Oxford Lane Capital Corp.</w:t>
            </w:r>
          </w:p>
        </w:tc>
        <w:tc>
          <w:tcPr>
            <w:tcW w:w="3600" w:type="dxa"/>
            <w:vAlign w:val="bottom"/>
          </w:tcPr>
          <w:p>
            <w:pPr>
              <w:spacing w:after="0"/>
              <w:rPr>
                <w:sz w:val="18"/>
                <w:szCs w:val="18"/>
                <w:color w:val="auto"/>
              </w:rPr>
            </w:pPr>
          </w:p>
        </w:tc>
      </w:tr>
      <w:tr>
        <w:trPr>
          <w:trHeight w:val="216"/>
        </w:trPr>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20" w:type="dxa"/>
            <w:vAlign w:val="bottom"/>
            <w:gridSpan w:val="2"/>
          </w:tcPr>
          <w:p>
            <w:pPr>
              <w:jc w:val="center"/>
              <w:ind w:right="110"/>
              <w:spacing w:after="0"/>
              <w:rPr>
                <w:sz w:val="20"/>
                <w:szCs w:val="20"/>
                <w:color w:val="auto"/>
              </w:rPr>
            </w:pPr>
            <w:r>
              <w:rPr>
                <w:rFonts w:ascii="Arial" w:cs="Arial" w:eastAsia="Arial" w:hAnsi="Arial"/>
                <w:sz w:val="18"/>
                <w:szCs w:val="18"/>
                <w:color w:val="auto"/>
                <w:w w:val="90"/>
              </w:rPr>
              <w:t>8 Sound Shore Drive, Suite 255</w:t>
            </w:r>
          </w:p>
        </w:tc>
        <w:tc>
          <w:tcPr>
            <w:tcW w:w="3600" w:type="dxa"/>
            <w:vAlign w:val="bottom"/>
          </w:tcPr>
          <w:p>
            <w:pPr>
              <w:spacing w:after="0"/>
              <w:rPr>
                <w:sz w:val="18"/>
                <w:szCs w:val="18"/>
                <w:color w:val="auto"/>
              </w:rPr>
            </w:pPr>
          </w:p>
        </w:tc>
      </w:tr>
      <w:tr>
        <w:trPr>
          <w:trHeight w:val="230"/>
        </w:trPr>
        <w:tc>
          <w:tcPr>
            <w:tcW w:w="17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4020" w:type="dxa"/>
            <w:vAlign w:val="bottom"/>
            <w:tcBorders>
              <w:bottom w:val="single" w:sz="8" w:color="auto"/>
            </w:tcBorders>
            <w:gridSpan w:val="2"/>
          </w:tcPr>
          <w:p>
            <w:pPr>
              <w:jc w:val="center"/>
              <w:ind w:right="90"/>
              <w:spacing w:after="0"/>
              <w:rPr>
                <w:sz w:val="20"/>
                <w:szCs w:val="20"/>
                <w:color w:val="auto"/>
              </w:rPr>
            </w:pPr>
            <w:r>
              <w:rPr>
                <w:rFonts w:ascii="Arial" w:cs="Arial" w:eastAsia="Arial" w:hAnsi="Arial"/>
                <w:sz w:val="18"/>
                <w:szCs w:val="18"/>
                <w:color w:val="auto"/>
                <w:w w:val="91"/>
              </w:rPr>
              <w:t>Greenwich, CT 06830</w:t>
            </w:r>
          </w:p>
        </w:tc>
        <w:tc>
          <w:tcPr>
            <w:tcW w:w="3600" w:type="dxa"/>
            <w:vAlign w:val="bottom"/>
            <w:tcBorders>
              <w:bottom w:val="single" w:sz="8" w:color="auto"/>
            </w:tcBorders>
          </w:tcPr>
          <w:p>
            <w:pPr>
              <w:spacing w:after="0"/>
              <w:rPr>
                <w:sz w:val="20"/>
                <w:szCs w:val="20"/>
                <w:color w:val="auto"/>
              </w:rPr>
            </w:pPr>
          </w:p>
        </w:tc>
      </w:tr>
      <w:tr>
        <w:trPr>
          <w:trHeight w:val="224"/>
        </w:trPr>
        <w:tc>
          <w:tcPr>
            <w:tcW w:w="1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20" w:type="dxa"/>
            <w:vAlign w:val="bottom"/>
            <w:gridSpan w:val="2"/>
          </w:tcPr>
          <w:p>
            <w:pPr>
              <w:jc w:val="center"/>
              <w:ind w:right="90"/>
              <w:spacing w:after="0"/>
              <w:rPr>
                <w:sz w:val="20"/>
                <w:szCs w:val="20"/>
                <w:color w:val="auto"/>
              </w:rPr>
            </w:pPr>
            <w:r>
              <w:rPr>
                <w:rFonts w:ascii="Arial" w:cs="Arial" w:eastAsia="Arial" w:hAnsi="Arial"/>
                <w:sz w:val="18"/>
                <w:szCs w:val="18"/>
                <w:color w:val="auto"/>
                <w:w w:val="89"/>
              </w:rPr>
              <w:t>(Name and address of agent for service)</w:t>
            </w:r>
          </w:p>
        </w:tc>
        <w:tc>
          <w:tcPr>
            <w:tcW w:w="3600" w:type="dxa"/>
            <w:vAlign w:val="bottom"/>
          </w:tcPr>
          <w:p>
            <w:pPr>
              <w:spacing w:after="0"/>
              <w:rPr>
                <w:sz w:val="19"/>
                <w:szCs w:val="19"/>
                <w:color w:val="auto"/>
              </w:rPr>
            </w:pPr>
          </w:p>
        </w:tc>
      </w:tr>
      <w:tr>
        <w:trPr>
          <w:trHeight w:val="377"/>
        </w:trPr>
        <w:tc>
          <w:tcPr>
            <w:tcW w:w="7820" w:type="dxa"/>
            <w:vAlign w:val="bottom"/>
            <w:gridSpan w:val="9"/>
          </w:tcPr>
          <w:p>
            <w:pPr>
              <w:spacing w:after="0"/>
              <w:rPr>
                <w:sz w:val="20"/>
                <w:szCs w:val="20"/>
                <w:color w:val="auto"/>
              </w:rPr>
            </w:pPr>
            <w:r>
              <w:rPr>
                <w:rFonts w:ascii="Arial" w:cs="Arial" w:eastAsia="Arial" w:hAnsi="Arial"/>
                <w:sz w:val="18"/>
                <w:szCs w:val="18"/>
                <w:color w:val="auto"/>
              </w:rPr>
              <w:t>Registrant’s telephone number, including area code: (203) 983-5275</w:t>
            </w:r>
          </w:p>
        </w:tc>
        <w:tc>
          <w:tcPr>
            <w:tcW w:w="3600" w:type="dxa"/>
            <w:vAlign w:val="bottom"/>
          </w:tcPr>
          <w:p>
            <w:pPr>
              <w:spacing w:after="0"/>
              <w:rPr>
                <w:sz w:val="24"/>
                <w:szCs w:val="24"/>
                <w:color w:val="auto"/>
              </w:rPr>
            </w:pPr>
          </w:p>
        </w:tc>
      </w:tr>
      <w:tr>
        <w:trPr>
          <w:trHeight w:val="412"/>
        </w:trPr>
        <w:tc>
          <w:tcPr>
            <w:tcW w:w="3800" w:type="dxa"/>
            <w:vAlign w:val="bottom"/>
            <w:gridSpan w:val="7"/>
          </w:tcPr>
          <w:p>
            <w:pPr>
              <w:spacing w:after="0"/>
              <w:rPr>
                <w:sz w:val="20"/>
                <w:szCs w:val="20"/>
                <w:color w:val="auto"/>
              </w:rPr>
            </w:pPr>
            <w:r>
              <w:rPr>
                <w:rFonts w:ascii="Arial" w:cs="Arial" w:eastAsia="Arial" w:hAnsi="Arial"/>
                <w:sz w:val="18"/>
                <w:szCs w:val="18"/>
                <w:color w:val="auto"/>
              </w:rPr>
              <w:t>Date of fiscal year end: March 31</w:t>
            </w:r>
          </w:p>
        </w:tc>
        <w:tc>
          <w:tcPr>
            <w:tcW w:w="1120" w:type="dxa"/>
            <w:vAlign w:val="bottom"/>
            <w:tcBorders>
              <w:top w:val="single" w:sz="8" w:color="auto"/>
            </w:tcBorders>
          </w:tcPr>
          <w:p>
            <w:pPr>
              <w:spacing w:after="0"/>
              <w:rPr>
                <w:sz w:val="24"/>
                <w:szCs w:val="24"/>
                <w:color w:val="auto"/>
              </w:rPr>
            </w:pPr>
          </w:p>
        </w:tc>
        <w:tc>
          <w:tcPr>
            <w:tcW w:w="29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0"/>
        </w:trPr>
        <w:tc>
          <w:tcPr>
            <w:tcW w:w="17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4560" w:type="dxa"/>
            <w:vAlign w:val="bottom"/>
            <w:gridSpan w:val="4"/>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r>
      <w:tr>
        <w:trPr>
          <w:trHeight w:val="412"/>
        </w:trPr>
        <w:tc>
          <w:tcPr>
            <w:tcW w:w="7820" w:type="dxa"/>
            <w:vAlign w:val="bottom"/>
            <w:gridSpan w:val="9"/>
          </w:tcPr>
          <w:p>
            <w:pPr>
              <w:spacing w:after="0"/>
              <w:rPr>
                <w:sz w:val="20"/>
                <w:szCs w:val="20"/>
                <w:color w:val="auto"/>
              </w:rPr>
            </w:pPr>
            <w:r>
              <w:rPr>
                <w:rFonts w:ascii="Arial" w:cs="Arial" w:eastAsia="Arial" w:hAnsi="Arial"/>
                <w:sz w:val="18"/>
                <w:szCs w:val="18"/>
                <w:color w:val="auto"/>
              </w:rPr>
              <w:t>Date of reporting period: December 31, 2016</w:t>
            </w:r>
          </w:p>
        </w:tc>
        <w:tc>
          <w:tcPr>
            <w:tcW w:w="3600" w:type="dxa"/>
            <w:vAlign w:val="bottom"/>
          </w:tcPr>
          <w:p>
            <w:pPr>
              <w:spacing w:after="0"/>
              <w:rPr>
                <w:sz w:val="24"/>
                <w:szCs w:val="24"/>
                <w:color w:val="auto"/>
              </w:rPr>
            </w:pPr>
          </w:p>
        </w:tc>
      </w:tr>
      <w:tr>
        <w:trPr>
          <w:trHeight w:val="696"/>
        </w:trPr>
        <w:tc>
          <w:tcPr>
            <w:tcW w:w="17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top w:val="single" w:sz="8" w:color="auto"/>
              <w:bottom w:val="single" w:sz="8" w:color="auto"/>
            </w:tcBorders>
          </w:tcPr>
          <w:p>
            <w:pPr>
              <w:spacing w:after="0"/>
              <w:rPr>
                <w:sz w:val="24"/>
                <w:szCs w:val="24"/>
                <w:color w:val="auto"/>
              </w:rPr>
            </w:pPr>
          </w:p>
        </w:tc>
        <w:tc>
          <w:tcPr>
            <w:tcW w:w="360" w:type="dxa"/>
            <w:vAlign w:val="bottom"/>
            <w:tcBorders>
              <w:top w:val="single" w:sz="8" w:color="auto"/>
              <w:bottom w:val="single" w:sz="8" w:color="auto"/>
            </w:tcBorders>
          </w:tcPr>
          <w:p>
            <w:pPr>
              <w:spacing w:after="0"/>
              <w:rPr>
                <w:sz w:val="24"/>
                <w:szCs w:val="24"/>
                <w:color w:val="auto"/>
              </w:rPr>
            </w:pPr>
          </w:p>
        </w:tc>
        <w:tc>
          <w:tcPr>
            <w:tcW w:w="480" w:type="dxa"/>
            <w:vAlign w:val="bottom"/>
            <w:tcBorders>
              <w:top w:val="single" w:sz="8" w:color="auto"/>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61" w:right="2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color w:val="auto"/>
        </w:rPr>
        <w:t>OXFORD LANE CAPITAL CORP.</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OF INVESTMENTS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31, 2016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Schedule of Investments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20" w:type="dxa"/>
            <w:vAlign w:val="bottom"/>
            <w:gridSpan w:val="5"/>
            <w:vMerge w:val="restart"/>
          </w:tcPr>
          <w:p>
            <w:pPr>
              <w:spacing w:after="0"/>
              <w:rPr>
                <w:sz w:val="20"/>
                <w:szCs w:val="20"/>
                <w:color w:val="auto"/>
              </w:rPr>
            </w:pPr>
            <w:r>
              <w:rPr>
                <w:rFonts w:ascii="Arial" w:cs="Arial" w:eastAsia="Arial" w:hAnsi="Arial"/>
                <w:sz w:val="14"/>
                <w:szCs w:val="14"/>
                <w:b w:val="1"/>
                <w:bCs w:val="1"/>
                <w:color w:val="auto"/>
              </w:rPr>
              <w:t>COMPANY</w:t>
            </w:r>
            <w:r>
              <w:rPr>
                <w:rFonts w:ascii="Arial" w:cs="Arial" w:eastAsia="Arial" w:hAnsi="Arial"/>
                <w:sz w:val="23"/>
                <w:szCs w:val="23"/>
                <w:b w:val="1"/>
                <w:bCs w:val="1"/>
                <w:color w:val="auto"/>
                <w:vertAlign w:val="superscript"/>
              </w:rPr>
              <w:t>(1)</w:t>
            </w:r>
            <w:r>
              <w:rPr>
                <w:rFonts w:ascii="Arial" w:cs="Arial" w:eastAsia="Arial" w:hAnsi="Arial"/>
                <w:sz w:val="14"/>
                <w:szCs w:val="14"/>
                <w:b w:val="1"/>
                <w:bCs w:val="1"/>
                <w:color w:val="auto"/>
              </w:rPr>
              <w:t>/INVESTMENT</w:t>
            </w:r>
          </w:p>
        </w:tc>
        <w:tc>
          <w:tcPr>
            <w:tcW w:w="1320" w:type="dxa"/>
            <w:vAlign w:val="bottom"/>
            <w:gridSpan w:val="3"/>
            <w:vMerge w:val="restart"/>
          </w:tcPr>
          <w:p>
            <w:pPr>
              <w:ind w:left="240"/>
              <w:spacing w:after="0"/>
              <w:rPr>
                <w:sz w:val="20"/>
                <w:szCs w:val="20"/>
                <w:color w:val="auto"/>
              </w:rPr>
            </w:pPr>
            <w:r>
              <w:rPr>
                <w:rFonts w:ascii="Arial" w:cs="Arial" w:eastAsia="Arial" w:hAnsi="Arial"/>
                <w:sz w:val="14"/>
                <w:szCs w:val="14"/>
                <w:b w:val="1"/>
                <w:bCs w:val="1"/>
                <w:color w:val="auto"/>
              </w:rPr>
              <w:t>INDUSTRY</w:t>
            </w:r>
          </w:p>
        </w:tc>
        <w:tc>
          <w:tcPr>
            <w:tcW w:w="90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PRINCIPAL</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COST</w:t>
            </w:r>
          </w:p>
        </w:tc>
        <w:tc>
          <w:tcPr>
            <w:tcW w:w="80" w:type="dxa"/>
            <w:vAlign w:val="bottom"/>
          </w:tcPr>
          <w:p>
            <w:pPr>
              <w:spacing w:after="0"/>
              <w:rPr>
                <w:sz w:val="14"/>
                <w:szCs w:val="14"/>
                <w:color w:val="auto"/>
              </w:rPr>
            </w:pPr>
          </w:p>
        </w:tc>
        <w:tc>
          <w:tcPr>
            <w:tcW w:w="12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FAIR VALUE</w:t>
            </w:r>
            <w:r>
              <w:rPr>
                <w:rFonts w:ascii="Arial" w:cs="Arial" w:eastAsia="Arial" w:hAnsi="Arial"/>
                <w:sz w:val="23"/>
                <w:szCs w:val="23"/>
                <w:b w:val="1"/>
                <w:bCs w:val="1"/>
                <w:color w:val="auto"/>
                <w:vertAlign w:val="superscript"/>
              </w:rPr>
              <w:t>(2)</w:t>
            </w:r>
          </w:p>
        </w:tc>
        <w:tc>
          <w:tcPr>
            <w:tcW w:w="820" w:type="dxa"/>
            <w:vAlign w:val="bottom"/>
            <w:gridSpan w:val="2"/>
          </w:tcPr>
          <w:p>
            <w:pPr>
              <w:jc w:val="center"/>
              <w:ind w:right="88"/>
              <w:spacing w:after="0"/>
              <w:rPr>
                <w:sz w:val="20"/>
                <w:szCs w:val="20"/>
                <w:color w:val="auto"/>
              </w:rPr>
            </w:pPr>
            <w:r>
              <w:rPr>
                <w:rFonts w:ascii="Arial" w:cs="Arial" w:eastAsia="Arial" w:hAnsi="Arial"/>
                <w:sz w:val="14"/>
                <w:szCs w:val="14"/>
                <w:b w:val="1"/>
                <w:bCs w:val="1"/>
                <w:color w:val="auto"/>
                <w:w w:val="96"/>
              </w:rPr>
              <w:t>% of Net</w:t>
            </w:r>
          </w:p>
        </w:tc>
        <w:tc>
          <w:tcPr>
            <w:tcW w:w="0" w:type="dxa"/>
            <w:vAlign w:val="bottom"/>
          </w:tcPr>
          <w:p>
            <w:pPr>
              <w:spacing w:after="0"/>
              <w:rPr>
                <w:sz w:val="1"/>
                <w:szCs w:val="1"/>
                <w:color w:val="auto"/>
              </w:rPr>
            </w:pPr>
          </w:p>
        </w:tc>
      </w:tr>
      <w:tr>
        <w:trPr>
          <w:trHeight w:val="171"/>
        </w:trPr>
        <w:tc>
          <w:tcPr>
            <w:tcW w:w="6120" w:type="dxa"/>
            <w:vAlign w:val="bottom"/>
            <w:gridSpan w:val="5"/>
            <w:vMerge w:val="continue"/>
          </w:tcPr>
          <w:p>
            <w:pPr>
              <w:spacing w:after="0"/>
              <w:rPr>
                <w:sz w:val="14"/>
                <w:szCs w:val="14"/>
                <w:color w:val="auto"/>
              </w:rPr>
            </w:pPr>
          </w:p>
        </w:tc>
        <w:tc>
          <w:tcPr>
            <w:tcW w:w="1320" w:type="dxa"/>
            <w:vAlign w:val="bottom"/>
            <w:gridSpan w:val="3"/>
            <w:vMerge w:val="continue"/>
          </w:tcPr>
          <w:p>
            <w:pPr>
              <w:spacing w:after="0"/>
              <w:rPr>
                <w:sz w:val="14"/>
                <w:szCs w:val="14"/>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AMOUNT</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820" w:type="dxa"/>
            <w:vAlign w:val="bottom"/>
            <w:gridSpan w:val="2"/>
          </w:tcPr>
          <w:p>
            <w:pPr>
              <w:jc w:val="center"/>
              <w:ind w:right="88"/>
              <w:spacing w:after="0"/>
              <w:rPr>
                <w:sz w:val="20"/>
                <w:szCs w:val="20"/>
                <w:color w:val="auto"/>
              </w:rPr>
            </w:pPr>
            <w:r>
              <w:rPr>
                <w:rFonts w:ascii="Arial" w:cs="Arial" w:eastAsia="Arial" w:hAnsi="Arial"/>
                <w:sz w:val="14"/>
                <w:szCs w:val="14"/>
                <w:b w:val="1"/>
                <w:bCs w:val="1"/>
                <w:color w:val="auto"/>
                <w:w w:val="82"/>
              </w:rPr>
              <w:t>Assets</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10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Arial" w:cs="Arial" w:eastAsia="Arial" w:hAnsi="Arial"/>
                <w:sz w:val="14"/>
                <w:szCs w:val="14"/>
                <w:b w:val="1"/>
                <w:bCs w:val="1"/>
                <w:color w:val="auto"/>
                <w:w w:val="93"/>
              </w:rPr>
              <w:t>Collateralized Loan Obligation - Debt Investments</w:t>
            </w:r>
          </w:p>
        </w:tc>
        <w:tc>
          <w:tcPr>
            <w:tcW w:w="2960" w:type="dxa"/>
            <w:vAlign w:val="bottom"/>
            <w:tcBorders>
              <w:top w:val="single" w:sz="8" w:color="auto"/>
              <w:bottom w:val="single" w:sz="8" w:color="CCEEFF"/>
            </w:tcBorders>
            <w:gridSpan w:val="2"/>
            <w:shd w:val="clear" w:color="auto" w:fill="CCEEFF"/>
          </w:tcPr>
          <w:p>
            <w:pPr>
              <w:spacing w:after="0"/>
              <w:rPr>
                <w:sz w:val="11"/>
                <w:szCs w:val="11"/>
                <w:color w:val="auto"/>
              </w:rPr>
            </w:pPr>
          </w:p>
        </w:tc>
        <w:tc>
          <w:tcPr>
            <w:tcW w:w="40" w:type="dxa"/>
            <w:vAlign w:val="bottom"/>
            <w:tcBorders>
              <w:top w:val="single" w:sz="8" w:color="CCEEFF"/>
              <w:bottom w:val="single" w:sz="8" w:color="CCEEFF"/>
            </w:tcBorders>
            <w:shd w:val="clear" w:color="auto" w:fill="CCEEFF"/>
          </w:tcPr>
          <w:p>
            <w:pPr>
              <w:spacing w:after="0"/>
              <w:rPr>
                <w:sz w:val="11"/>
                <w:szCs w:val="11"/>
                <w:color w:val="auto"/>
              </w:rPr>
            </w:pPr>
          </w:p>
        </w:tc>
        <w:tc>
          <w:tcPr>
            <w:tcW w:w="1200" w:type="dxa"/>
            <w:vAlign w:val="bottom"/>
            <w:tcBorders>
              <w:top w:val="single" w:sz="8" w:color="auto"/>
              <w:bottom w:val="single" w:sz="8" w:color="CCEEFF"/>
            </w:tcBorders>
            <w:shd w:val="clear" w:color="auto" w:fill="CCEEFF"/>
          </w:tcPr>
          <w:p>
            <w:pPr>
              <w:spacing w:after="0"/>
              <w:rPr>
                <w:sz w:val="11"/>
                <w:szCs w:val="11"/>
                <w:color w:val="auto"/>
              </w:rPr>
            </w:pPr>
          </w:p>
        </w:tc>
        <w:tc>
          <w:tcPr>
            <w:tcW w:w="4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CCEEFF"/>
            </w:tcBorders>
            <w:shd w:val="clear" w:color="auto" w:fill="CCEEFF"/>
          </w:tcPr>
          <w:p>
            <w:pPr>
              <w:spacing w:after="0"/>
              <w:rPr>
                <w:sz w:val="11"/>
                <w:szCs w:val="11"/>
                <w:color w:val="auto"/>
              </w:rPr>
            </w:pPr>
          </w:p>
        </w:tc>
        <w:tc>
          <w:tcPr>
            <w:tcW w:w="860" w:type="dxa"/>
            <w:vAlign w:val="bottom"/>
            <w:tcBorders>
              <w:top w:val="single" w:sz="8" w:color="auto"/>
              <w:bottom w:val="single" w:sz="8" w:color="CCEEFF"/>
            </w:tcBorders>
            <w:shd w:val="clear" w:color="auto" w:fill="CCEEFF"/>
          </w:tcPr>
          <w:p>
            <w:pPr>
              <w:spacing w:after="0"/>
              <w:rPr>
                <w:sz w:val="11"/>
                <w:szCs w:val="11"/>
                <w:color w:val="auto"/>
              </w:rPr>
            </w:pPr>
          </w:p>
        </w:tc>
        <w:tc>
          <w:tcPr>
            <w:tcW w:w="40" w:type="dxa"/>
            <w:vAlign w:val="bottom"/>
            <w:tcBorders>
              <w:top w:val="single" w:sz="8" w:color="CCEEFF"/>
              <w:bottom w:val="single" w:sz="8" w:color="CCEEFF"/>
            </w:tcBorders>
            <w:shd w:val="clear" w:color="auto" w:fill="CCEEFF"/>
          </w:tcPr>
          <w:p>
            <w:pPr>
              <w:spacing w:after="0"/>
              <w:rPr>
                <w:sz w:val="11"/>
                <w:szCs w:val="11"/>
                <w:color w:val="auto"/>
              </w:rPr>
            </w:pPr>
          </w:p>
        </w:tc>
        <w:tc>
          <w:tcPr>
            <w:tcW w:w="40" w:type="dxa"/>
            <w:vAlign w:val="bottom"/>
            <w:tcBorders>
              <w:top w:val="single" w:sz="8" w:color="CCEEFF"/>
              <w:bottom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CCEEFF"/>
            </w:tcBorders>
            <w:shd w:val="clear" w:color="auto" w:fill="CCEEFF"/>
          </w:tcPr>
          <w:p>
            <w:pPr>
              <w:spacing w:after="0"/>
              <w:rPr>
                <w:sz w:val="11"/>
                <w:szCs w:val="11"/>
                <w:color w:val="auto"/>
              </w:rPr>
            </w:pPr>
          </w:p>
        </w:tc>
        <w:tc>
          <w:tcPr>
            <w:tcW w:w="720" w:type="dxa"/>
            <w:vAlign w:val="bottom"/>
            <w:tcBorders>
              <w:top w:val="single" w:sz="8" w:color="auto"/>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CCEEFF"/>
            </w:tcBorders>
            <w:shd w:val="clear" w:color="auto" w:fill="CCEEFF"/>
          </w:tcPr>
          <w:p>
            <w:pPr>
              <w:spacing w:after="0"/>
              <w:rPr>
                <w:sz w:val="11"/>
                <w:szCs w:val="11"/>
                <w:color w:val="auto"/>
              </w:rPr>
            </w:pPr>
          </w:p>
        </w:tc>
        <w:tc>
          <w:tcPr>
            <w:tcW w:w="1120" w:type="dxa"/>
            <w:vAlign w:val="bottom"/>
            <w:tcBorders>
              <w:top w:val="single" w:sz="8" w:color="auto"/>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680" w:type="dxa"/>
            <w:vAlign w:val="bottom"/>
            <w:tcBorders>
              <w:top w:val="single" w:sz="8" w:color="auto"/>
              <w:bottom w:val="single" w:sz="8" w:color="CCEEFF"/>
            </w:tcBorders>
            <w:shd w:val="clear" w:color="auto" w:fill="CCEEFF"/>
          </w:tcPr>
          <w:p>
            <w:pPr>
              <w:spacing w:after="0"/>
              <w:rPr>
                <w:sz w:val="11"/>
                <w:szCs w:val="11"/>
                <w:color w:val="auto"/>
              </w:rPr>
            </w:pP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00" w:type="dxa"/>
            <w:vAlign w:val="bottom"/>
            <w:gridSpan w:val="4"/>
          </w:tcPr>
          <w:p>
            <w:pPr>
              <w:spacing w:after="0" w:line="142" w:lineRule="exact"/>
              <w:rPr>
                <w:sz w:val="20"/>
                <w:szCs w:val="20"/>
                <w:color w:val="auto"/>
              </w:rPr>
            </w:pPr>
            <w:r>
              <w:rPr>
                <w:rFonts w:ascii="Arial" w:cs="Arial" w:eastAsia="Arial" w:hAnsi="Arial"/>
                <w:sz w:val="14"/>
                <w:szCs w:val="14"/>
                <w:b w:val="1"/>
                <w:bCs w:val="1"/>
                <w:color w:val="auto"/>
              </w:rPr>
              <w:t>Neuberger Berman CLO XIII, Ltd.</w:t>
            </w:r>
          </w:p>
        </w:tc>
        <w:tc>
          <w:tcPr>
            <w:tcW w:w="1320" w:type="dxa"/>
            <w:vAlign w:val="bottom"/>
            <w:gridSpan w:val="3"/>
          </w:tcPr>
          <w:p>
            <w:pPr>
              <w:spacing w:after="0" w:line="142" w:lineRule="exact"/>
              <w:rPr>
                <w:sz w:val="20"/>
                <w:szCs w:val="20"/>
                <w:color w:val="auto"/>
              </w:rPr>
            </w:pPr>
            <w:r>
              <w:rPr>
                <w:rFonts w:ascii="Arial" w:cs="Arial" w:eastAsia="Arial" w:hAnsi="Arial"/>
                <w:sz w:val="14"/>
                <w:szCs w:val="14"/>
                <w:color w:val="auto"/>
              </w:rPr>
              <w:t>structured finance</w:t>
            </w:r>
          </w:p>
        </w:tc>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100" w:type="dxa"/>
            <w:vAlign w:val="bottom"/>
            <w:gridSpan w:val="4"/>
            <w:shd w:val="clear" w:color="auto" w:fill="CCEEFF"/>
          </w:tcPr>
          <w:p>
            <w:pPr>
              <w:spacing w:after="0" w:line="189" w:lineRule="exact"/>
              <w:rPr>
                <w:sz w:val="20"/>
                <w:szCs w:val="20"/>
                <w:color w:val="auto"/>
              </w:rPr>
            </w:pPr>
            <w:r>
              <w:rPr>
                <w:rFonts w:ascii="Arial" w:cs="Arial" w:eastAsia="Arial" w:hAnsi="Arial"/>
                <w:sz w:val="13"/>
                <w:szCs w:val="13"/>
                <w:color w:val="auto"/>
              </w:rPr>
              <w:t>CLO secured notes - Class F</w:t>
            </w:r>
            <w:r>
              <w:rPr>
                <w:rFonts w:ascii="Arial" w:cs="Arial" w:eastAsia="Arial" w:hAnsi="Arial"/>
                <w:sz w:val="21"/>
                <w:szCs w:val="21"/>
                <w:color w:val="auto"/>
                <w:vertAlign w:val="superscript"/>
              </w:rPr>
              <w:t>(3)(4)(6)</w:t>
            </w:r>
            <w:r>
              <w:rPr>
                <w:rFonts w:ascii="Arial" w:cs="Arial" w:eastAsia="Arial" w:hAnsi="Arial"/>
                <w:sz w:val="13"/>
                <w:szCs w:val="13"/>
                <w:color w:val="auto"/>
              </w:rPr>
              <w:t>, (LIBOR + 6.50%, due January 23, 2024)</w:t>
            </w:r>
          </w:p>
        </w:tc>
        <w:tc>
          <w:tcPr>
            <w:tcW w:w="1320" w:type="dxa"/>
            <w:vAlign w:val="bottom"/>
            <w:gridSpan w:val="3"/>
            <w:shd w:val="clear" w:color="auto" w:fill="CCEEFF"/>
          </w:tcPr>
          <w:p>
            <w:pPr>
              <w:ind w:left="1240"/>
              <w:spacing w:after="0"/>
              <w:rPr>
                <w:sz w:val="20"/>
                <w:szCs w:val="20"/>
                <w:color w:val="auto"/>
              </w:rPr>
            </w:pPr>
            <w:r>
              <w:rPr>
                <w:rFonts w:ascii="Arial" w:cs="Arial" w:eastAsia="Arial" w:hAnsi="Arial"/>
                <w:sz w:val="14"/>
                <w:szCs w:val="14"/>
                <w:color w:val="auto"/>
                <w:w w:val="76"/>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4,500,000</w:t>
            </w:r>
          </w:p>
        </w:tc>
        <w:tc>
          <w:tcPr>
            <w:tcW w:w="40" w:type="dxa"/>
            <w:vAlign w:val="bottom"/>
            <w:shd w:val="clear" w:color="auto" w:fill="CCEEFF"/>
          </w:tcPr>
          <w:p>
            <w:pPr>
              <w:spacing w:after="0"/>
              <w:rPr>
                <w:sz w:val="16"/>
                <w:szCs w:val="16"/>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4,014,644</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4,230,000</w:t>
            </w:r>
          </w:p>
        </w:tc>
        <w:tc>
          <w:tcPr>
            <w:tcW w:w="6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100" w:type="dxa"/>
            <w:vAlign w:val="bottom"/>
            <w:gridSpan w:val="4"/>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OFSI Fund VII, Ltd.</w:t>
            </w:r>
          </w:p>
        </w:tc>
        <w:tc>
          <w:tcPr>
            <w:tcW w:w="13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structured finance</w:t>
            </w:r>
          </w:p>
        </w:tc>
        <w:tc>
          <w:tcPr>
            <w:tcW w:w="8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100" w:type="dxa"/>
            <w:vAlign w:val="bottom"/>
            <w:gridSpan w:val="4"/>
          </w:tcPr>
          <w:p>
            <w:pPr>
              <w:spacing w:after="0" w:line="189" w:lineRule="exact"/>
              <w:rPr>
                <w:sz w:val="20"/>
                <w:szCs w:val="20"/>
                <w:color w:val="auto"/>
              </w:rPr>
            </w:pPr>
            <w:r>
              <w:rPr>
                <w:rFonts w:ascii="Arial" w:cs="Arial" w:eastAsia="Arial" w:hAnsi="Arial"/>
                <w:sz w:val="13"/>
                <w:szCs w:val="13"/>
                <w:color w:val="auto"/>
              </w:rPr>
              <w:t>CLO secured notes - Class F</w:t>
            </w:r>
            <w:r>
              <w:rPr>
                <w:rFonts w:ascii="Arial" w:cs="Arial" w:eastAsia="Arial" w:hAnsi="Arial"/>
                <w:sz w:val="21"/>
                <w:szCs w:val="21"/>
                <w:color w:val="auto"/>
                <w:vertAlign w:val="superscript"/>
              </w:rPr>
              <w:t>(3)(4)(6)</w:t>
            </w:r>
            <w:r>
              <w:rPr>
                <w:rFonts w:ascii="Arial" w:cs="Arial" w:eastAsia="Arial" w:hAnsi="Arial"/>
                <w:sz w:val="13"/>
                <w:szCs w:val="13"/>
                <w:color w:val="auto"/>
              </w:rPr>
              <w:t>, (LIBOR + 5.65%, due October 18, 2026)</w:t>
            </w:r>
          </w:p>
        </w:tc>
        <w:tc>
          <w:tcPr>
            <w:tcW w:w="1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5,564,000</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4"/>
                <w:szCs w:val="14"/>
                <w:color w:val="auto"/>
              </w:rPr>
              <w:t>4,762,378</w:t>
            </w:r>
          </w:p>
        </w:tc>
        <w:tc>
          <w:tcPr>
            <w:tcW w:w="80" w:type="dxa"/>
            <w:vAlign w:val="bottom"/>
          </w:tcPr>
          <w:p>
            <w:pPr>
              <w:spacing w:after="0"/>
              <w:rPr>
                <w:sz w:val="16"/>
                <w:szCs w:val="16"/>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4"/>
                <w:szCs w:val="14"/>
                <w:color w:val="auto"/>
              </w:rPr>
              <w:t>4,417,816</w:t>
            </w: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8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10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Telos CLO 2013-3, Ltd.</w:t>
            </w:r>
          </w:p>
        </w:tc>
        <w:tc>
          <w:tcPr>
            <w:tcW w:w="1320" w:type="dxa"/>
            <w:vAlign w:val="bottom"/>
            <w:gridSpan w:val="3"/>
          </w:tcPr>
          <w:p>
            <w:pPr>
              <w:spacing w:after="0" w:line="149" w:lineRule="exact"/>
              <w:rPr>
                <w:sz w:val="20"/>
                <w:szCs w:val="20"/>
                <w:color w:val="auto"/>
              </w:rPr>
            </w:pPr>
            <w:r>
              <w:rPr>
                <w:rFonts w:ascii="Arial" w:cs="Arial" w:eastAsia="Arial" w:hAnsi="Arial"/>
                <w:sz w:val="14"/>
                <w:szCs w:val="14"/>
                <w:color w:val="auto"/>
              </w:rPr>
              <w:t>structured finance</w:t>
            </w:r>
          </w:p>
        </w:tc>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00" w:type="dxa"/>
            <w:vAlign w:val="bottom"/>
            <w:gridSpan w:val="4"/>
            <w:shd w:val="clear" w:color="auto" w:fill="CCEEFF"/>
          </w:tcPr>
          <w:p>
            <w:pPr>
              <w:spacing w:after="0" w:line="202" w:lineRule="exact"/>
              <w:rPr>
                <w:sz w:val="20"/>
                <w:szCs w:val="20"/>
                <w:color w:val="auto"/>
              </w:rPr>
            </w:pPr>
            <w:r>
              <w:rPr>
                <w:rFonts w:ascii="Arial" w:cs="Arial" w:eastAsia="Arial" w:hAnsi="Arial"/>
                <w:sz w:val="14"/>
                <w:szCs w:val="14"/>
                <w:color w:val="auto"/>
              </w:rPr>
              <w:t>CLO secured notes - Class F</w:t>
            </w:r>
            <w:r>
              <w:rPr>
                <w:rFonts w:ascii="Arial" w:cs="Arial" w:eastAsia="Arial" w:hAnsi="Arial"/>
                <w:sz w:val="23"/>
                <w:szCs w:val="23"/>
                <w:color w:val="auto"/>
                <w:vertAlign w:val="superscript"/>
              </w:rPr>
              <w:t>(3)(4)(6)</w:t>
            </w:r>
            <w:r>
              <w:rPr>
                <w:rFonts w:ascii="Arial" w:cs="Arial" w:eastAsia="Arial" w:hAnsi="Arial"/>
                <w:sz w:val="14"/>
                <w:szCs w:val="14"/>
                <w:color w:val="auto"/>
              </w:rPr>
              <w:t>, (LIBOR + 5.50%, due January 17, 2024)</w:t>
            </w:r>
          </w:p>
        </w:tc>
        <w:tc>
          <w:tcPr>
            <w:tcW w:w="1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3,000,000</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2,771,347</w:t>
            </w:r>
          </w:p>
        </w:tc>
        <w:tc>
          <w:tcPr>
            <w:tcW w:w="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2,700,000</w:t>
            </w: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00" w:type="dxa"/>
            <w:vAlign w:val="bottom"/>
            <w:tcBorders>
              <w:bottom w:val="single" w:sz="8" w:color="CCEEFF"/>
            </w:tcBorders>
            <w:gridSpan w:val="4"/>
          </w:tcPr>
          <w:p>
            <w:pPr>
              <w:spacing w:after="0" w:line="142" w:lineRule="exact"/>
              <w:rPr>
                <w:sz w:val="20"/>
                <w:szCs w:val="20"/>
                <w:color w:val="auto"/>
              </w:rPr>
            </w:pPr>
            <w:r>
              <w:rPr>
                <w:rFonts w:ascii="Arial" w:cs="Arial" w:eastAsia="Arial" w:hAnsi="Arial"/>
                <w:sz w:val="14"/>
                <w:szCs w:val="14"/>
                <w:b w:val="1"/>
                <w:bCs w:val="1"/>
                <w:color w:val="auto"/>
              </w:rPr>
              <w:t>Total Collateralized Loan Obligation - Debt Investments</w:t>
            </w:r>
          </w:p>
        </w:tc>
        <w:tc>
          <w:tcPr>
            <w:tcW w:w="120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86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9"/>
              </w:rPr>
              <w:t>11,548,369</w:t>
            </w:r>
          </w:p>
        </w:tc>
        <w:tc>
          <w:tcPr>
            <w:tcW w:w="8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1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11,347,816</w:t>
            </w:r>
          </w:p>
        </w:tc>
        <w:tc>
          <w:tcPr>
            <w:tcW w:w="80" w:type="dxa"/>
            <w:vAlign w:val="bottom"/>
            <w:tcBorders>
              <w:bottom w:val="single" w:sz="8" w:color="CCEEFF"/>
            </w:tcBorders>
          </w:tcPr>
          <w:p>
            <w:pPr>
              <w:spacing w:after="0"/>
              <w:rPr>
                <w:sz w:val="12"/>
                <w:szCs w:val="12"/>
                <w:color w:val="auto"/>
              </w:rPr>
            </w:pPr>
          </w:p>
        </w:tc>
        <w:tc>
          <w:tcPr>
            <w:tcW w:w="6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4.92</w:t>
            </w:r>
          </w:p>
        </w:tc>
        <w:tc>
          <w:tcPr>
            <w:tcW w:w="140" w:type="dxa"/>
            <w:vAlign w:val="bottom"/>
            <w:tcBorders>
              <w:bottom w:val="single" w:sz="8" w:color="CCEEFF"/>
            </w:tcBorders>
          </w:tcPr>
          <w:p>
            <w:pPr>
              <w:jc w:val="right"/>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8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3220" w:type="dxa"/>
            <w:vAlign w:val="bottom"/>
            <w:tcBorders>
              <w:bottom w:val="single" w:sz="8" w:color="auto"/>
            </w:tcBorders>
            <w:gridSpan w:val="2"/>
            <w:shd w:val="clear" w:color="auto" w:fill="CCEEFF"/>
          </w:tcPr>
          <w:p>
            <w:pPr>
              <w:spacing w:after="0" w:line="135" w:lineRule="exact"/>
              <w:rPr>
                <w:sz w:val="20"/>
                <w:szCs w:val="20"/>
                <w:color w:val="auto"/>
              </w:rPr>
            </w:pPr>
            <w:r>
              <w:rPr>
                <w:rFonts w:ascii="Arial" w:cs="Arial" w:eastAsia="Arial" w:hAnsi="Arial"/>
                <w:sz w:val="14"/>
                <w:szCs w:val="14"/>
                <w:b w:val="1"/>
                <w:bCs w:val="1"/>
                <w:color w:val="auto"/>
                <w:w w:val="93"/>
              </w:rPr>
              <w:t>Collateralized Loan Obligation - Equity Investments</w:t>
            </w:r>
          </w:p>
        </w:tc>
        <w:tc>
          <w:tcPr>
            <w:tcW w:w="2880" w:type="dxa"/>
            <w:vAlign w:val="bottom"/>
            <w:tcBorders>
              <w:bottom w:val="single" w:sz="8" w:color="CCEEFF"/>
            </w:tcBorders>
            <w:gridSpan w:val="2"/>
            <w:shd w:val="clear" w:color="auto" w:fill="CCEEFF"/>
          </w:tcPr>
          <w:p>
            <w:pPr>
              <w:spacing w:after="0"/>
              <w:rPr>
                <w:sz w:val="11"/>
                <w:szCs w:val="11"/>
                <w:color w:val="auto"/>
              </w:rPr>
            </w:pPr>
          </w:p>
        </w:tc>
        <w:tc>
          <w:tcPr>
            <w:tcW w:w="1200" w:type="dxa"/>
            <w:vAlign w:val="bottom"/>
            <w:tcBorders>
              <w:bottom w:val="single" w:sz="8" w:color="CCEEFF"/>
            </w:tcBorders>
            <w:shd w:val="clear" w:color="auto" w:fill="CCEEFF"/>
          </w:tcPr>
          <w:p>
            <w:pPr>
              <w:spacing w:after="0"/>
              <w:rPr>
                <w:sz w:val="11"/>
                <w:szCs w:val="11"/>
                <w:color w:val="auto"/>
              </w:rPr>
            </w:pPr>
          </w:p>
        </w:tc>
        <w:tc>
          <w:tcPr>
            <w:tcW w:w="4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860" w:type="dxa"/>
            <w:vAlign w:val="bottom"/>
            <w:tcBorders>
              <w:bottom w:val="single" w:sz="8" w:color="CCEEFF"/>
            </w:tcBorders>
            <w:shd w:val="clear" w:color="auto" w:fill="CCEEFF"/>
          </w:tcPr>
          <w:p>
            <w:pPr>
              <w:spacing w:after="0"/>
              <w:rPr>
                <w:sz w:val="11"/>
                <w:szCs w:val="11"/>
                <w:color w:val="auto"/>
              </w:rPr>
            </w:pPr>
          </w:p>
        </w:tc>
        <w:tc>
          <w:tcPr>
            <w:tcW w:w="40" w:type="dxa"/>
            <w:vAlign w:val="bottom"/>
            <w:tcBorders>
              <w:bottom w:val="single" w:sz="8" w:color="CCEEFF"/>
            </w:tcBorders>
            <w:shd w:val="clear" w:color="auto" w:fill="CCEEFF"/>
          </w:tcPr>
          <w:p>
            <w:pPr>
              <w:spacing w:after="0"/>
              <w:rPr>
                <w:sz w:val="11"/>
                <w:szCs w:val="11"/>
                <w:color w:val="auto"/>
              </w:rPr>
            </w:pPr>
          </w:p>
        </w:tc>
        <w:tc>
          <w:tcPr>
            <w:tcW w:w="4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spacing w:after="0"/>
              <w:rPr>
                <w:sz w:val="11"/>
                <w:szCs w:val="11"/>
                <w:color w:val="auto"/>
              </w:rPr>
            </w:pPr>
          </w:p>
        </w:tc>
        <w:tc>
          <w:tcPr>
            <w:tcW w:w="72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112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68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00" w:type="dxa"/>
            <w:vAlign w:val="bottom"/>
            <w:gridSpan w:val="4"/>
          </w:tcPr>
          <w:p>
            <w:pPr>
              <w:spacing w:after="0" w:line="142" w:lineRule="exact"/>
              <w:rPr>
                <w:sz w:val="20"/>
                <w:szCs w:val="20"/>
                <w:color w:val="auto"/>
              </w:rPr>
            </w:pPr>
            <w:r>
              <w:rPr>
                <w:rFonts w:ascii="Arial" w:cs="Arial" w:eastAsia="Arial" w:hAnsi="Arial"/>
                <w:sz w:val="14"/>
                <w:szCs w:val="14"/>
                <w:b w:val="1"/>
                <w:bCs w:val="1"/>
                <w:color w:val="auto"/>
              </w:rPr>
              <w:t>AIMCO CLO, Series 2014-A</w:t>
            </w:r>
          </w:p>
        </w:tc>
        <w:tc>
          <w:tcPr>
            <w:tcW w:w="1320" w:type="dxa"/>
            <w:vAlign w:val="bottom"/>
            <w:gridSpan w:val="3"/>
          </w:tcPr>
          <w:p>
            <w:pPr>
              <w:spacing w:after="0" w:line="142" w:lineRule="exact"/>
              <w:rPr>
                <w:sz w:val="20"/>
                <w:szCs w:val="20"/>
                <w:color w:val="auto"/>
              </w:rPr>
            </w:pPr>
            <w:r>
              <w:rPr>
                <w:rFonts w:ascii="Arial" w:cs="Arial" w:eastAsia="Arial" w:hAnsi="Arial"/>
                <w:sz w:val="14"/>
                <w:szCs w:val="14"/>
                <w:color w:val="auto"/>
              </w:rPr>
              <w:t>structured finance</w:t>
            </w:r>
          </w:p>
        </w:tc>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100" w:type="dxa"/>
            <w:vAlign w:val="bottom"/>
            <w:gridSpan w:val="4"/>
            <w:shd w:val="clear" w:color="auto" w:fill="CCEEFF"/>
          </w:tcPr>
          <w:p>
            <w:pPr>
              <w:spacing w:after="0" w:line="189" w:lineRule="exact"/>
              <w:rPr>
                <w:sz w:val="20"/>
                <w:szCs w:val="20"/>
                <w:color w:val="auto"/>
              </w:rPr>
            </w:pPr>
            <w:r>
              <w:rPr>
                <w:rFonts w:ascii="Arial" w:cs="Arial" w:eastAsia="Arial" w:hAnsi="Arial"/>
                <w:sz w:val="13"/>
                <w:szCs w:val="13"/>
                <w:color w:val="auto"/>
              </w:rPr>
              <w:t>CLO subordinated notes</w:t>
            </w:r>
            <w:r>
              <w:rPr>
                <w:rFonts w:ascii="Arial" w:cs="Arial" w:eastAsia="Arial" w:hAnsi="Arial"/>
                <w:sz w:val="21"/>
                <w:szCs w:val="21"/>
                <w:color w:val="auto"/>
                <w:vertAlign w:val="superscript"/>
              </w:rPr>
              <w:t>(5)(7)</w:t>
            </w:r>
            <w:r>
              <w:rPr>
                <w:rFonts w:ascii="Arial" w:cs="Arial" w:eastAsia="Arial" w:hAnsi="Arial"/>
                <w:sz w:val="13"/>
                <w:szCs w:val="13"/>
                <w:color w:val="auto"/>
              </w:rPr>
              <w:t>, (Estimated yield 8.04%, maturity July 20, 2026)</w:t>
            </w:r>
          </w:p>
        </w:tc>
        <w:tc>
          <w:tcPr>
            <w:tcW w:w="1320" w:type="dxa"/>
            <w:vAlign w:val="bottom"/>
            <w:gridSpan w:val="3"/>
            <w:shd w:val="clear" w:color="auto" w:fill="CCEEFF"/>
          </w:tcPr>
          <w:p>
            <w:pPr>
              <w:ind w:left="1240"/>
              <w:spacing w:after="0"/>
              <w:rPr>
                <w:sz w:val="20"/>
                <w:szCs w:val="20"/>
                <w:color w:val="auto"/>
              </w:rPr>
            </w:pPr>
            <w:r>
              <w:rPr>
                <w:rFonts w:ascii="Arial" w:cs="Arial" w:eastAsia="Arial" w:hAnsi="Arial"/>
                <w:sz w:val="14"/>
                <w:szCs w:val="14"/>
                <w:color w:val="auto"/>
                <w:w w:val="76"/>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26,000,000</w:t>
            </w:r>
          </w:p>
        </w:tc>
        <w:tc>
          <w:tcPr>
            <w:tcW w:w="40" w:type="dxa"/>
            <w:vAlign w:val="bottom"/>
            <w:shd w:val="clear" w:color="auto" w:fill="CCEEFF"/>
          </w:tcPr>
          <w:p>
            <w:pPr>
              <w:spacing w:after="0"/>
              <w:rPr>
                <w:sz w:val="16"/>
                <w:szCs w:val="16"/>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w w:val="99"/>
              </w:rPr>
              <w:t>16,157,423</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14,452,566</w:t>
            </w:r>
          </w:p>
        </w:tc>
        <w:tc>
          <w:tcPr>
            <w:tcW w:w="6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100" w:type="dxa"/>
            <w:vAlign w:val="bottom"/>
            <w:gridSpan w:val="4"/>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ALM X, Ltd.</w:t>
            </w:r>
          </w:p>
        </w:tc>
        <w:tc>
          <w:tcPr>
            <w:tcW w:w="13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structured finance</w:t>
            </w:r>
          </w:p>
        </w:tc>
        <w:tc>
          <w:tcPr>
            <w:tcW w:w="8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100" w:type="dxa"/>
            <w:vAlign w:val="bottom"/>
            <w:gridSpan w:val="4"/>
          </w:tcPr>
          <w:p>
            <w:pPr>
              <w:spacing w:after="0" w:line="189" w:lineRule="exact"/>
              <w:rPr>
                <w:sz w:val="20"/>
                <w:szCs w:val="20"/>
                <w:color w:val="auto"/>
              </w:rPr>
            </w:pPr>
            <w:r>
              <w:rPr>
                <w:rFonts w:ascii="Arial" w:cs="Arial" w:eastAsia="Arial" w:hAnsi="Arial"/>
                <w:sz w:val="13"/>
                <w:szCs w:val="13"/>
                <w:color w:val="auto"/>
              </w:rPr>
              <w:t xml:space="preserve">CLO preference shares </w:t>
            </w:r>
            <w:r>
              <w:rPr>
                <w:rFonts w:ascii="Arial" w:cs="Arial" w:eastAsia="Arial" w:hAnsi="Arial"/>
                <w:sz w:val="21"/>
                <w:szCs w:val="21"/>
                <w:color w:val="auto"/>
                <w:vertAlign w:val="superscript"/>
              </w:rPr>
              <w:t>(5)(7)</w:t>
            </w:r>
            <w:r>
              <w:rPr>
                <w:rFonts w:ascii="Arial" w:cs="Arial" w:eastAsia="Arial" w:hAnsi="Arial"/>
                <w:sz w:val="13"/>
                <w:szCs w:val="13"/>
                <w:color w:val="auto"/>
              </w:rPr>
              <w:t>, (Estimated yield 24.92%, maturity January 15, 2025)</w:t>
            </w:r>
          </w:p>
        </w:tc>
        <w:tc>
          <w:tcPr>
            <w:tcW w:w="1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3,800,000</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4"/>
                <w:szCs w:val="14"/>
                <w:color w:val="auto"/>
              </w:rPr>
              <w:t>2,502,576</w:t>
            </w:r>
          </w:p>
        </w:tc>
        <w:tc>
          <w:tcPr>
            <w:tcW w:w="80" w:type="dxa"/>
            <w:vAlign w:val="bottom"/>
          </w:tcPr>
          <w:p>
            <w:pPr>
              <w:spacing w:after="0"/>
              <w:rPr>
                <w:sz w:val="16"/>
                <w:szCs w:val="16"/>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4"/>
                <w:szCs w:val="14"/>
                <w:color w:val="auto"/>
              </w:rPr>
              <w:t>2,598,351</w:t>
            </w: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8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10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AMMC CLO XII, Ltd.</w:t>
            </w:r>
          </w:p>
        </w:tc>
        <w:tc>
          <w:tcPr>
            <w:tcW w:w="1320" w:type="dxa"/>
            <w:vAlign w:val="bottom"/>
            <w:gridSpan w:val="3"/>
          </w:tcPr>
          <w:p>
            <w:pPr>
              <w:spacing w:after="0" w:line="149" w:lineRule="exact"/>
              <w:rPr>
                <w:sz w:val="20"/>
                <w:szCs w:val="20"/>
                <w:color w:val="auto"/>
              </w:rPr>
            </w:pPr>
            <w:r>
              <w:rPr>
                <w:rFonts w:ascii="Arial" w:cs="Arial" w:eastAsia="Arial" w:hAnsi="Arial"/>
                <w:sz w:val="14"/>
                <w:szCs w:val="14"/>
                <w:color w:val="auto"/>
              </w:rPr>
              <w:t>structured finance</w:t>
            </w:r>
          </w:p>
        </w:tc>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100" w:type="dxa"/>
            <w:vAlign w:val="bottom"/>
            <w:gridSpan w:val="4"/>
            <w:shd w:val="clear" w:color="auto" w:fill="CCEEFF"/>
          </w:tcPr>
          <w:p>
            <w:pPr>
              <w:spacing w:after="0" w:line="189" w:lineRule="exact"/>
              <w:rPr>
                <w:sz w:val="20"/>
                <w:szCs w:val="20"/>
                <w:color w:val="auto"/>
              </w:rPr>
            </w:pPr>
            <w:r>
              <w:rPr>
                <w:rFonts w:ascii="Arial" w:cs="Arial" w:eastAsia="Arial" w:hAnsi="Arial"/>
                <w:sz w:val="13"/>
                <w:szCs w:val="13"/>
                <w:color w:val="auto"/>
              </w:rPr>
              <w:t>CLO subordinated notes</w:t>
            </w:r>
            <w:r>
              <w:rPr>
                <w:rFonts w:ascii="Arial" w:cs="Arial" w:eastAsia="Arial" w:hAnsi="Arial"/>
                <w:sz w:val="21"/>
                <w:szCs w:val="21"/>
                <w:color w:val="auto"/>
                <w:vertAlign w:val="superscript"/>
              </w:rPr>
              <w:t>(5)(7)</w:t>
            </w:r>
            <w:r>
              <w:rPr>
                <w:rFonts w:ascii="Arial" w:cs="Arial" w:eastAsia="Arial" w:hAnsi="Arial"/>
                <w:sz w:val="13"/>
                <w:szCs w:val="13"/>
                <w:color w:val="auto"/>
              </w:rPr>
              <w:t>, (Estimated yield 27.00%, maturity May 10, 2025)</w:t>
            </w:r>
          </w:p>
        </w:tc>
        <w:tc>
          <w:tcPr>
            <w:tcW w:w="12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7,178,571</w:t>
            </w: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3,739,479</w:t>
            </w:r>
          </w:p>
        </w:tc>
        <w:tc>
          <w:tcPr>
            <w:tcW w:w="8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3,302,143</w:t>
            </w:r>
          </w:p>
        </w:tc>
        <w:tc>
          <w:tcPr>
            <w:tcW w:w="6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100" w:type="dxa"/>
            <w:vAlign w:val="bottom"/>
            <w:gridSpan w:val="4"/>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Anchorage Capital CLO 5, Ltd.</w:t>
            </w:r>
          </w:p>
        </w:tc>
        <w:tc>
          <w:tcPr>
            <w:tcW w:w="13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structured finance</w:t>
            </w:r>
          </w:p>
        </w:tc>
        <w:tc>
          <w:tcPr>
            <w:tcW w:w="8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100" w:type="dxa"/>
            <w:vAlign w:val="bottom"/>
            <w:gridSpan w:val="4"/>
          </w:tcPr>
          <w:p>
            <w:pPr>
              <w:spacing w:after="0" w:line="189" w:lineRule="exact"/>
              <w:rPr>
                <w:sz w:val="20"/>
                <w:szCs w:val="20"/>
                <w:color w:val="auto"/>
              </w:rPr>
            </w:pPr>
            <w:r>
              <w:rPr>
                <w:rFonts w:ascii="Arial" w:cs="Arial" w:eastAsia="Arial" w:hAnsi="Arial"/>
                <w:sz w:val="13"/>
                <w:szCs w:val="13"/>
                <w:color w:val="auto"/>
              </w:rPr>
              <w:t>CLO subordinated notes</w:t>
            </w:r>
            <w:r>
              <w:rPr>
                <w:rFonts w:ascii="Arial" w:cs="Arial" w:eastAsia="Arial" w:hAnsi="Arial"/>
                <w:sz w:val="21"/>
                <w:szCs w:val="21"/>
                <w:color w:val="auto"/>
                <w:vertAlign w:val="superscript"/>
              </w:rPr>
              <w:t>(5)(7)</w:t>
            </w:r>
            <w:r>
              <w:rPr>
                <w:rFonts w:ascii="Arial" w:cs="Arial" w:eastAsia="Arial" w:hAnsi="Arial"/>
                <w:sz w:val="13"/>
                <w:szCs w:val="13"/>
                <w:color w:val="auto"/>
              </w:rPr>
              <w:t>, (Estimated yield 22.70%, maturity October 15, 2026)</w:t>
            </w:r>
          </w:p>
        </w:tc>
        <w:tc>
          <w:tcPr>
            <w:tcW w:w="1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2,000,000</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4"/>
                <w:szCs w:val="14"/>
                <w:color w:val="auto"/>
              </w:rPr>
              <w:t>1,153,578</w:t>
            </w:r>
          </w:p>
        </w:tc>
        <w:tc>
          <w:tcPr>
            <w:tcW w:w="80" w:type="dxa"/>
            <w:vAlign w:val="bottom"/>
          </w:tcPr>
          <w:p>
            <w:pPr>
              <w:spacing w:after="0"/>
              <w:rPr>
                <w:sz w:val="16"/>
                <w:szCs w:val="16"/>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4"/>
                <w:szCs w:val="14"/>
                <w:color w:val="auto"/>
              </w:rPr>
              <w:t>1,346,528</w:t>
            </w: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8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10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Ares XXV CLO Ltd.</w:t>
            </w:r>
          </w:p>
        </w:tc>
        <w:tc>
          <w:tcPr>
            <w:tcW w:w="1320" w:type="dxa"/>
            <w:vAlign w:val="bottom"/>
            <w:gridSpan w:val="3"/>
          </w:tcPr>
          <w:p>
            <w:pPr>
              <w:spacing w:after="0" w:line="149" w:lineRule="exact"/>
              <w:rPr>
                <w:sz w:val="20"/>
                <w:szCs w:val="20"/>
                <w:color w:val="auto"/>
              </w:rPr>
            </w:pPr>
            <w:r>
              <w:rPr>
                <w:rFonts w:ascii="Arial" w:cs="Arial" w:eastAsia="Arial" w:hAnsi="Arial"/>
                <w:sz w:val="14"/>
                <w:szCs w:val="14"/>
                <w:color w:val="auto"/>
              </w:rPr>
              <w:t>structured finance</w:t>
            </w:r>
          </w:p>
        </w:tc>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100" w:type="dxa"/>
            <w:vAlign w:val="bottom"/>
            <w:gridSpan w:val="4"/>
            <w:shd w:val="clear" w:color="auto" w:fill="CCEEFF"/>
          </w:tcPr>
          <w:p>
            <w:pPr>
              <w:spacing w:after="0" w:line="189" w:lineRule="exact"/>
              <w:rPr>
                <w:sz w:val="20"/>
                <w:szCs w:val="20"/>
                <w:color w:val="auto"/>
              </w:rPr>
            </w:pPr>
            <w:r>
              <w:rPr>
                <w:rFonts w:ascii="Arial" w:cs="Arial" w:eastAsia="Arial" w:hAnsi="Arial"/>
                <w:sz w:val="13"/>
                <w:szCs w:val="13"/>
                <w:color w:val="auto"/>
              </w:rPr>
              <w:t>CLO subordinated notes</w:t>
            </w:r>
            <w:r>
              <w:rPr>
                <w:rFonts w:ascii="Arial" w:cs="Arial" w:eastAsia="Arial" w:hAnsi="Arial"/>
                <w:sz w:val="21"/>
                <w:szCs w:val="21"/>
                <w:color w:val="auto"/>
                <w:vertAlign w:val="superscript"/>
              </w:rPr>
              <w:t>(5)(7)</w:t>
            </w:r>
            <w:r>
              <w:rPr>
                <w:rFonts w:ascii="Arial" w:cs="Arial" w:eastAsia="Arial" w:hAnsi="Arial"/>
                <w:sz w:val="13"/>
                <w:szCs w:val="13"/>
                <w:color w:val="auto"/>
              </w:rPr>
              <w:t>, (Estimated yield 15.40%, maturity January 17, 2024)</w:t>
            </w:r>
          </w:p>
        </w:tc>
        <w:tc>
          <w:tcPr>
            <w:tcW w:w="12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15,500,000</w:t>
            </w: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9,151,440</w:t>
            </w:r>
          </w:p>
        </w:tc>
        <w:tc>
          <w:tcPr>
            <w:tcW w:w="8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8,370,000</w:t>
            </w:r>
          </w:p>
        </w:tc>
        <w:tc>
          <w:tcPr>
            <w:tcW w:w="6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100" w:type="dxa"/>
            <w:vAlign w:val="bottom"/>
            <w:gridSpan w:val="4"/>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Ares XXVI CLO Ltd.</w:t>
            </w:r>
          </w:p>
        </w:tc>
        <w:tc>
          <w:tcPr>
            <w:tcW w:w="13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structured finance</w:t>
            </w:r>
          </w:p>
        </w:tc>
        <w:tc>
          <w:tcPr>
            <w:tcW w:w="8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100" w:type="dxa"/>
            <w:vAlign w:val="bottom"/>
            <w:gridSpan w:val="4"/>
          </w:tcPr>
          <w:p>
            <w:pPr>
              <w:spacing w:after="0" w:line="189" w:lineRule="exact"/>
              <w:rPr>
                <w:sz w:val="20"/>
                <w:szCs w:val="20"/>
                <w:color w:val="auto"/>
              </w:rPr>
            </w:pPr>
            <w:r>
              <w:rPr>
                <w:rFonts w:ascii="Arial" w:cs="Arial" w:eastAsia="Arial" w:hAnsi="Arial"/>
                <w:sz w:val="13"/>
                <w:szCs w:val="13"/>
                <w:color w:val="auto"/>
              </w:rPr>
              <w:t>CLO subordinated notes</w:t>
            </w:r>
            <w:r>
              <w:rPr>
                <w:rFonts w:ascii="Arial" w:cs="Arial" w:eastAsia="Arial" w:hAnsi="Arial"/>
                <w:sz w:val="21"/>
                <w:szCs w:val="21"/>
                <w:color w:val="auto"/>
                <w:vertAlign w:val="superscript"/>
              </w:rPr>
              <w:t>(5)(7)</w:t>
            </w:r>
            <w:r>
              <w:rPr>
                <w:rFonts w:ascii="Arial" w:cs="Arial" w:eastAsia="Arial" w:hAnsi="Arial"/>
                <w:sz w:val="13"/>
                <w:szCs w:val="13"/>
                <w:color w:val="auto"/>
              </w:rPr>
              <w:t>, (Estimated yield 21.21%, maturity April 15, 2025)</w:t>
            </w:r>
          </w:p>
        </w:tc>
        <w:tc>
          <w:tcPr>
            <w:tcW w:w="1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4"/>
                <w:szCs w:val="14"/>
                <w:color w:val="auto"/>
              </w:rPr>
              <w:t>15,115,000</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4"/>
                <w:szCs w:val="14"/>
                <w:color w:val="auto"/>
              </w:rPr>
              <w:t>6,781,807</w:t>
            </w:r>
          </w:p>
        </w:tc>
        <w:tc>
          <w:tcPr>
            <w:tcW w:w="80" w:type="dxa"/>
            <w:vAlign w:val="bottom"/>
          </w:tcPr>
          <w:p>
            <w:pPr>
              <w:spacing w:after="0"/>
              <w:rPr>
                <w:sz w:val="16"/>
                <w:szCs w:val="16"/>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4"/>
                <w:szCs w:val="14"/>
                <w:color w:val="auto"/>
              </w:rPr>
              <w:t>6,716,264</w:t>
            </w: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8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10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Ares XXIX CLO Ltd.</w:t>
            </w:r>
          </w:p>
        </w:tc>
        <w:tc>
          <w:tcPr>
            <w:tcW w:w="1320" w:type="dxa"/>
            <w:vAlign w:val="bottom"/>
            <w:gridSpan w:val="3"/>
          </w:tcPr>
          <w:p>
            <w:pPr>
              <w:spacing w:after="0" w:line="149" w:lineRule="exact"/>
              <w:rPr>
                <w:sz w:val="20"/>
                <w:szCs w:val="20"/>
                <w:color w:val="auto"/>
              </w:rPr>
            </w:pPr>
            <w:r>
              <w:rPr>
                <w:rFonts w:ascii="Arial" w:cs="Arial" w:eastAsia="Arial" w:hAnsi="Arial"/>
                <w:sz w:val="14"/>
                <w:szCs w:val="14"/>
                <w:color w:val="auto"/>
              </w:rPr>
              <w:t>structured finance</w:t>
            </w:r>
          </w:p>
        </w:tc>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100" w:type="dxa"/>
            <w:vAlign w:val="bottom"/>
            <w:gridSpan w:val="4"/>
            <w:shd w:val="clear" w:color="auto" w:fill="CCEEFF"/>
          </w:tcPr>
          <w:p>
            <w:pPr>
              <w:spacing w:after="0" w:line="189" w:lineRule="exact"/>
              <w:rPr>
                <w:sz w:val="20"/>
                <w:szCs w:val="20"/>
                <w:color w:val="auto"/>
              </w:rPr>
            </w:pPr>
            <w:r>
              <w:rPr>
                <w:rFonts w:ascii="Arial" w:cs="Arial" w:eastAsia="Arial" w:hAnsi="Arial"/>
                <w:sz w:val="13"/>
                <w:szCs w:val="13"/>
                <w:color w:val="auto"/>
              </w:rPr>
              <w:t>CLO subordinated notes</w:t>
            </w:r>
            <w:r>
              <w:rPr>
                <w:rFonts w:ascii="Arial" w:cs="Arial" w:eastAsia="Arial" w:hAnsi="Arial"/>
                <w:sz w:val="21"/>
                <w:szCs w:val="21"/>
                <w:color w:val="auto"/>
                <w:vertAlign w:val="superscript"/>
              </w:rPr>
              <w:t>(5)(7)</w:t>
            </w:r>
            <w:r>
              <w:rPr>
                <w:rFonts w:ascii="Arial" w:cs="Arial" w:eastAsia="Arial" w:hAnsi="Arial"/>
                <w:sz w:val="13"/>
                <w:szCs w:val="13"/>
                <w:color w:val="auto"/>
              </w:rPr>
              <w:t>, (Estimated yield 10.41%, maturity April 17, 2026)</w:t>
            </w:r>
          </w:p>
        </w:tc>
        <w:tc>
          <w:tcPr>
            <w:tcW w:w="12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12,750,000</w:t>
            </w: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8,649,535</w:t>
            </w:r>
          </w:p>
        </w:tc>
        <w:tc>
          <w:tcPr>
            <w:tcW w:w="8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7,355,511</w:t>
            </w:r>
          </w:p>
        </w:tc>
        <w:tc>
          <w:tcPr>
            <w:tcW w:w="6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100" w:type="dxa"/>
            <w:vAlign w:val="bottom"/>
            <w:gridSpan w:val="4"/>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Ares CLO Warehouse 2017-1 Ltd.</w:t>
            </w:r>
          </w:p>
        </w:tc>
        <w:tc>
          <w:tcPr>
            <w:tcW w:w="13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structured finance</w:t>
            </w:r>
          </w:p>
        </w:tc>
        <w:tc>
          <w:tcPr>
            <w:tcW w:w="8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100" w:type="dxa"/>
            <w:vAlign w:val="bottom"/>
            <w:gridSpan w:val="4"/>
          </w:tcPr>
          <w:p>
            <w:pPr>
              <w:spacing w:after="0" w:line="189" w:lineRule="exact"/>
              <w:rPr>
                <w:sz w:val="20"/>
                <w:szCs w:val="20"/>
                <w:color w:val="auto"/>
              </w:rPr>
            </w:pPr>
            <w:r>
              <w:rPr>
                <w:rFonts w:ascii="Arial" w:cs="Arial" w:eastAsia="Arial" w:hAnsi="Arial"/>
                <w:sz w:val="13"/>
                <w:szCs w:val="13"/>
                <w:color w:val="auto"/>
              </w:rPr>
              <w:t>CLO preference shares</w:t>
            </w:r>
            <w:r>
              <w:rPr>
                <w:rFonts w:ascii="Arial" w:cs="Arial" w:eastAsia="Arial" w:hAnsi="Arial"/>
                <w:sz w:val="21"/>
                <w:szCs w:val="21"/>
                <w:color w:val="auto"/>
                <w:vertAlign w:val="superscript"/>
              </w:rPr>
              <w:t>(5)(7)(9)(10)</w:t>
            </w:r>
            <w:r>
              <w:rPr>
                <w:rFonts w:ascii="Arial" w:cs="Arial" w:eastAsia="Arial" w:hAnsi="Arial"/>
                <w:sz w:val="13"/>
                <w:szCs w:val="13"/>
                <w:color w:val="auto"/>
              </w:rPr>
              <w:t>, (Estimated yield 14.27%, maturity December 22, 2017)</w:t>
            </w:r>
          </w:p>
        </w:tc>
        <w:tc>
          <w:tcPr>
            <w:tcW w:w="1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6,000,000</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4"/>
                <w:szCs w:val="14"/>
                <w:color w:val="auto"/>
              </w:rPr>
              <w:t>6,000,000</w:t>
            </w:r>
          </w:p>
        </w:tc>
        <w:tc>
          <w:tcPr>
            <w:tcW w:w="80" w:type="dxa"/>
            <w:vAlign w:val="bottom"/>
          </w:tcPr>
          <w:p>
            <w:pPr>
              <w:spacing w:after="0"/>
              <w:rPr>
                <w:sz w:val="16"/>
                <w:szCs w:val="16"/>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4"/>
                <w:szCs w:val="14"/>
                <w:color w:val="auto"/>
              </w:rPr>
              <w:t>6,000,000</w:t>
            </w: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8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10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Atrium XII CLO</w:t>
            </w:r>
          </w:p>
        </w:tc>
        <w:tc>
          <w:tcPr>
            <w:tcW w:w="1320" w:type="dxa"/>
            <w:vAlign w:val="bottom"/>
            <w:gridSpan w:val="3"/>
          </w:tcPr>
          <w:p>
            <w:pPr>
              <w:spacing w:after="0" w:line="149" w:lineRule="exact"/>
              <w:rPr>
                <w:sz w:val="20"/>
                <w:szCs w:val="20"/>
                <w:color w:val="auto"/>
              </w:rPr>
            </w:pPr>
            <w:r>
              <w:rPr>
                <w:rFonts w:ascii="Arial" w:cs="Arial" w:eastAsia="Arial" w:hAnsi="Arial"/>
                <w:sz w:val="14"/>
                <w:szCs w:val="14"/>
                <w:color w:val="auto"/>
              </w:rPr>
              <w:t>structured finance</w:t>
            </w:r>
          </w:p>
        </w:tc>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100" w:type="dxa"/>
            <w:vAlign w:val="bottom"/>
            <w:gridSpan w:val="4"/>
            <w:shd w:val="clear" w:color="auto" w:fill="CCEEFF"/>
          </w:tcPr>
          <w:p>
            <w:pPr>
              <w:spacing w:after="0" w:line="189" w:lineRule="exact"/>
              <w:rPr>
                <w:sz w:val="20"/>
                <w:szCs w:val="20"/>
                <w:color w:val="auto"/>
              </w:rPr>
            </w:pPr>
            <w:r>
              <w:rPr>
                <w:rFonts w:ascii="Arial" w:cs="Arial" w:eastAsia="Arial" w:hAnsi="Arial"/>
                <w:sz w:val="13"/>
                <w:szCs w:val="13"/>
                <w:color w:val="auto"/>
              </w:rPr>
              <w:t>CLO subordinated notes</w:t>
            </w:r>
            <w:r>
              <w:rPr>
                <w:rFonts w:ascii="Arial" w:cs="Arial" w:eastAsia="Arial" w:hAnsi="Arial"/>
                <w:sz w:val="21"/>
                <w:szCs w:val="21"/>
                <w:color w:val="auto"/>
                <w:vertAlign w:val="superscript"/>
              </w:rPr>
              <w:t>(5)(7)</w:t>
            </w:r>
            <w:r>
              <w:rPr>
                <w:rFonts w:ascii="Arial" w:cs="Arial" w:eastAsia="Arial" w:hAnsi="Arial"/>
                <w:sz w:val="13"/>
                <w:szCs w:val="13"/>
                <w:color w:val="auto"/>
              </w:rPr>
              <w:t>, (Estimated yield 20.10%, maturity October 22, 2026)</w:t>
            </w:r>
          </w:p>
        </w:tc>
        <w:tc>
          <w:tcPr>
            <w:tcW w:w="12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37,762,500</w:t>
            </w: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w w:val="99"/>
              </w:rPr>
              <w:t>30,309,417</w:t>
            </w:r>
          </w:p>
        </w:tc>
        <w:tc>
          <w:tcPr>
            <w:tcW w:w="8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38,140,125</w:t>
            </w:r>
          </w:p>
        </w:tc>
        <w:tc>
          <w:tcPr>
            <w:tcW w:w="6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100" w:type="dxa"/>
            <w:vAlign w:val="bottom"/>
            <w:gridSpan w:val="4"/>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Battalion CLO VII Ltd.</w:t>
            </w:r>
          </w:p>
        </w:tc>
        <w:tc>
          <w:tcPr>
            <w:tcW w:w="13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structured finance</w:t>
            </w:r>
          </w:p>
        </w:tc>
        <w:tc>
          <w:tcPr>
            <w:tcW w:w="8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100" w:type="dxa"/>
            <w:vAlign w:val="bottom"/>
            <w:gridSpan w:val="4"/>
          </w:tcPr>
          <w:p>
            <w:pPr>
              <w:spacing w:after="0" w:line="189" w:lineRule="exact"/>
              <w:rPr>
                <w:sz w:val="20"/>
                <w:szCs w:val="20"/>
                <w:color w:val="auto"/>
              </w:rPr>
            </w:pPr>
            <w:r>
              <w:rPr>
                <w:rFonts w:ascii="Arial" w:cs="Arial" w:eastAsia="Arial" w:hAnsi="Arial"/>
                <w:sz w:val="13"/>
                <w:szCs w:val="13"/>
                <w:color w:val="auto"/>
              </w:rPr>
              <w:t>CLO subordinated notes</w:t>
            </w:r>
            <w:r>
              <w:rPr>
                <w:rFonts w:ascii="Arial" w:cs="Arial" w:eastAsia="Arial" w:hAnsi="Arial"/>
                <w:sz w:val="21"/>
                <w:szCs w:val="21"/>
                <w:color w:val="auto"/>
                <w:vertAlign w:val="superscript"/>
              </w:rPr>
              <w:t>(5)(7)</w:t>
            </w:r>
            <w:r>
              <w:rPr>
                <w:rFonts w:ascii="Arial" w:cs="Arial" w:eastAsia="Arial" w:hAnsi="Arial"/>
                <w:sz w:val="13"/>
                <w:szCs w:val="13"/>
                <w:color w:val="auto"/>
              </w:rPr>
              <w:t>, (Estimated yield 12.97%, maturity October 17, 2026)</w:t>
            </w:r>
          </w:p>
        </w:tc>
        <w:tc>
          <w:tcPr>
            <w:tcW w:w="1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24,000,000</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4"/>
                <w:szCs w:val="14"/>
                <w:color w:val="auto"/>
                <w:w w:val="99"/>
              </w:rPr>
              <w:t>17,839,713</w:t>
            </w:r>
          </w:p>
        </w:tc>
        <w:tc>
          <w:tcPr>
            <w:tcW w:w="80" w:type="dxa"/>
            <w:vAlign w:val="bottom"/>
          </w:tcPr>
          <w:p>
            <w:pPr>
              <w:spacing w:after="0"/>
              <w:rPr>
                <w:sz w:val="16"/>
                <w:szCs w:val="16"/>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4"/>
                <w:szCs w:val="14"/>
                <w:color w:val="auto"/>
              </w:rPr>
              <w:t>12,960,000</w:t>
            </w: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8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10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Benefit Street Partners CLO V Ltd.</w:t>
            </w:r>
          </w:p>
        </w:tc>
        <w:tc>
          <w:tcPr>
            <w:tcW w:w="1320" w:type="dxa"/>
            <w:vAlign w:val="bottom"/>
            <w:gridSpan w:val="3"/>
          </w:tcPr>
          <w:p>
            <w:pPr>
              <w:spacing w:after="0" w:line="149" w:lineRule="exact"/>
              <w:rPr>
                <w:sz w:val="20"/>
                <w:szCs w:val="20"/>
                <w:color w:val="auto"/>
              </w:rPr>
            </w:pPr>
            <w:r>
              <w:rPr>
                <w:rFonts w:ascii="Arial" w:cs="Arial" w:eastAsia="Arial" w:hAnsi="Arial"/>
                <w:sz w:val="14"/>
                <w:szCs w:val="14"/>
                <w:color w:val="auto"/>
              </w:rPr>
              <w:t>structured finance</w:t>
            </w:r>
          </w:p>
        </w:tc>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100" w:type="dxa"/>
            <w:vAlign w:val="bottom"/>
            <w:gridSpan w:val="4"/>
            <w:shd w:val="clear" w:color="auto" w:fill="CCEEFF"/>
          </w:tcPr>
          <w:p>
            <w:pPr>
              <w:spacing w:after="0" w:line="189" w:lineRule="exact"/>
              <w:rPr>
                <w:sz w:val="20"/>
                <w:szCs w:val="20"/>
                <w:color w:val="auto"/>
              </w:rPr>
            </w:pPr>
            <w:r>
              <w:rPr>
                <w:rFonts w:ascii="Arial" w:cs="Arial" w:eastAsia="Arial" w:hAnsi="Arial"/>
                <w:sz w:val="13"/>
                <w:szCs w:val="13"/>
                <w:color w:val="auto"/>
              </w:rPr>
              <w:t>CLO preference shares</w:t>
            </w:r>
            <w:r>
              <w:rPr>
                <w:rFonts w:ascii="Arial" w:cs="Arial" w:eastAsia="Arial" w:hAnsi="Arial"/>
                <w:sz w:val="21"/>
                <w:szCs w:val="21"/>
                <w:color w:val="auto"/>
                <w:vertAlign w:val="superscript"/>
              </w:rPr>
              <w:t>(5)(7)</w:t>
            </w:r>
            <w:r>
              <w:rPr>
                <w:rFonts w:ascii="Arial" w:cs="Arial" w:eastAsia="Arial" w:hAnsi="Arial"/>
                <w:sz w:val="13"/>
                <w:szCs w:val="13"/>
                <w:color w:val="auto"/>
              </w:rPr>
              <w:t>, (Estimated yield 15.84%, maturity October 20, 2026)</w:t>
            </w:r>
          </w:p>
        </w:tc>
        <w:tc>
          <w:tcPr>
            <w:tcW w:w="12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5,000,000</w:t>
            </w: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3,251,435</w:t>
            </w:r>
          </w:p>
        </w:tc>
        <w:tc>
          <w:tcPr>
            <w:tcW w:w="8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3,350,000</w:t>
            </w:r>
          </w:p>
        </w:tc>
        <w:tc>
          <w:tcPr>
            <w:tcW w:w="6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100" w:type="dxa"/>
            <w:vAlign w:val="bottom"/>
            <w:gridSpan w:val="4"/>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B&amp;M CLO 2014-1 LTD</w:t>
            </w:r>
          </w:p>
        </w:tc>
        <w:tc>
          <w:tcPr>
            <w:tcW w:w="13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structured finance</w:t>
            </w:r>
          </w:p>
        </w:tc>
        <w:tc>
          <w:tcPr>
            <w:tcW w:w="8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313"/>
        </w:trPr>
        <w:tc>
          <w:tcPr>
            <w:tcW w:w="20" w:type="dxa"/>
            <w:vAlign w:val="bottom"/>
          </w:tcPr>
          <w:p>
            <w:pPr>
              <w:spacing w:after="0"/>
              <w:rPr>
                <w:sz w:val="24"/>
                <w:szCs w:val="24"/>
                <w:color w:val="auto"/>
              </w:rPr>
            </w:pPr>
          </w:p>
        </w:tc>
        <w:tc>
          <w:tcPr>
            <w:tcW w:w="6100" w:type="dxa"/>
            <w:vAlign w:val="bottom"/>
            <w:gridSpan w:val="4"/>
          </w:tcPr>
          <w:p>
            <w:pPr>
              <w:spacing w:after="0"/>
              <w:rPr>
                <w:sz w:val="20"/>
                <w:szCs w:val="20"/>
                <w:color w:val="auto"/>
              </w:rPr>
            </w:pPr>
            <w:r>
              <w:rPr>
                <w:rFonts w:ascii="Arial" w:cs="Arial" w:eastAsia="Arial" w:hAnsi="Arial"/>
                <w:sz w:val="14"/>
                <w:szCs w:val="14"/>
                <w:color w:val="auto"/>
              </w:rPr>
              <w:t>CLO subordinated notes</w:t>
            </w:r>
            <w:r>
              <w:rPr>
                <w:rFonts w:ascii="Arial" w:cs="Arial" w:eastAsia="Arial" w:hAnsi="Arial"/>
                <w:sz w:val="23"/>
                <w:szCs w:val="23"/>
                <w:color w:val="auto"/>
                <w:vertAlign w:val="superscript"/>
              </w:rPr>
              <w:t>(5)(7)</w:t>
            </w:r>
            <w:r>
              <w:rPr>
                <w:rFonts w:ascii="Arial" w:cs="Arial" w:eastAsia="Arial" w:hAnsi="Arial"/>
                <w:sz w:val="14"/>
                <w:szCs w:val="14"/>
                <w:color w:val="auto"/>
              </w:rPr>
              <w:t>, (Estimated yield 20.89%, maturity April 16, 2026)</w:t>
            </w:r>
          </w:p>
        </w:tc>
        <w:tc>
          <w:tcPr>
            <w:tcW w:w="1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2,000,000</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4"/>
                <w:szCs w:val="14"/>
                <w:color w:val="auto"/>
              </w:rPr>
              <w:t>1,064,006</w:t>
            </w:r>
          </w:p>
        </w:tc>
        <w:tc>
          <w:tcPr>
            <w:tcW w:w="80" w:type="dxa"/>
            <w:vAlign w:val="bottom"/>
          </w:tcPr>
          <w:p>
            <w:pPr>
              <w:spacing w:after="0"/>
              <w:rPr>
                <w:sz w:val="24"/>
                <w:szCs w:val="24"/>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4"/>
                <w:szCs w:val="14"/>
                <w:color w:val="auto"/>
              </w:rPr>
              <w:t>920,000</w:t>
            </w: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(Continued on next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581025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color w:val="auto"/>
        </w:rPr>
        <w:t>OXFORD LANE CAPITAL CORP.</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OF INVESTMENTS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31, 2016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COMPANY</w:t>
            </w:r>
            <w:r>
              <w:rPr>
                <w:rFonts w:ascii="Arial" w:cs="Arial" w:eastAsia="Arial" w:hAnsi="Arial"/>
                <w:sz w:val="23"/>
                <w:szCs w:val="23"/>
                <w:b w:val="1"/>
                <w:bCs w:val="1"/>
                <w:color w:val="auto"/>
                <w:vertAlign w:val="superscript"/>
              </w:rPr>
              <w:t>(1)</w:t>
            </w:r>
            <w:r>
              <w:rPr>
                <w:rFonts w:ascii="Arial" w:cs="Arial" w:eastAsia="Arial" w:hAnsi="Arial"/>
                <w:sz w:val="14"/>
                <w:szCs w:val="14"/>
                <w:b w:val="1"/>
                <w:bCs w:val="1"/>
                <w:color w:val="auto"/>
              </w:rPr>
              <w:t>/INVESTMENT</w:t>
            </w:r>
          </w:p>
        </w:tc>
        <w:tc>
          <w:tcPr>
            <w:tcW w:w="40" w:type="dxa"/>
            <w:vAlign w:val="bottom"/>
          </w:tcPr>
          <w:p>
            <w:pPr>
              <w:spacing w:after="0"/>
              <w:rPr>
                <w:sz w:val="14"/>
                <w:szCs w:val="14"/>
                <w:color w:val="auto"/>
              </w:rPr>
            </w:pPr>
          </w:p>
        </w:tc>
        <w:tc>
          <w:tcPr>
            <w:tcW w:w="1380" w:type="dxa"/>
            <w:vAlign w:val="bottom"/>
            <w:gridSpan w:val="3"/>
            <w:vMerge w:val="restart"/>
          </w:tcPr>
          <w:p>
            <w:pPr>
              <w:ind w:left="260"/>
              <w:spacing w:after="0"/>
              <w:rPr>
                <w:sz w:val="20"/>
                <w:szCs w:val="20"/>
                <w:color w:val="auto"/>
              </w:rPr>
            </w:pPr>
            <w:r>
              <w:rPr>
                <w:rFonts w:ascii="Arial" w:cs="Arial" w:eastAsia="Arial" w:hAnsi="Arial"/>
                <w:sz w:val="14"/>
                <w:szCs w:val="14"/>
                <w:b w:val="1"/>
                <w:bCs w:val="1"/>
                <w:color w:val="auto"/>
              </w:rPr>
              <w:t>INDUSTRY</w:t>
            </w:r>
          </w:p>
        </w:tc>
        <w:tc>
          <w:tcPr>
            <w:tcW w:w="900" w:type="dxa"/>
            <w:vAlign w:val="bottom"/>
          </w:tcPr>
          <w:p>
            <w:pPr>
              <w:jc w:val="right"/>
              <w:ind w:right="28"/>
              <w:spacing w:after="0"/>
              <w:rPr>
                <w:sz w:val="20"/>
                <w:szCs w:val="20"/>
                <w:color w:val="auto"/>
              </w:rPr>
            </w:pPr>
            <w:r>
              <w:rPr>
                <w:rFonts w:ascii="Arial" w:cs="Arial" w:eastAsia="Arial" w:hAnsi="Arial"/>
                <w:sz w:val="14"/>
                <w:szCs w:val="14"/>
                <w:b w:val="1"/>
                <w:bCs w:val="1"/>
                <w:color w:val="auto"/>
              </w:rPr>
              <w:t>PRINCIPAL</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COST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w w:val="97"/>
              </w:rPr>
              <w:t>FAIR VALUE</w:t>
            </w:r>
            <w:r>
              <w:rPr>
                <w:rFonts w:ascii="Arial" w:cs="Arial" w:eastAsia="Arial" w:hAnsi="Arial"/>
                <w:sz w:val="23"/>
                <w:szCs w:val="23"/>
                <w:b w:val="1"/>
                <w:bCs w:val="1"/>
                <w:color w:val="auto"/>
                <w:w w:val="97"/>
                <w:vertAlign w:val="superscript"/>
              </w:rPr>
              <w:t>(2)</w:t>
            </w:r>
          </w:p>
        </w:tc>
        <w:tc>
          <w:tcPr>
            <w:tcW w:w="7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6"/>
              </w:rPr>
              <w:t>% of Net</w:t>
            </w:r>
          </w:p>
        </w:tc>
        <w:tc>
          <w:tcPr>
            <w:tcW w:w="0" w:type="dxa"/>
            <w:vAlign w:val="bottom"/>
          </w:tcPr>
          <w:p>
            <w:pPr>
              <w:spacing w:after="0"/>
              <w:rPr>
                <w:sz w:val="1"/>
                <w:szCs w:val="1"/>
                <w:color w:val="auto"/>
              </w:rPr>
            </w:pPr>
          </w:p>
        </w:tc>
      </w:tr>
      <w:tr>
        <w:trPr>
          <w:trHeight w:val="171"/>
        </w:trPr>
        <w:tc>
          <w:tcPr>
            <w:tcW w:w="590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1380" w:type="dxa"/>
            <w:vAlign w:val="bottom"/>
            <w:gridSpan w:val="3"/>
            <w:vMerge w:val="continue"/>
          </w:tcPr>
          <w:p>
            <w:pPr>
              <w:spacing w:after="0"/>
              <w:rPr>
                <w:sz w:val="14"/>
                <w:szCs w:val="14"/>
                <w:color w:val="auto"/>
              </w:rPr>
            </w:pPr>
          </w:p>
        </w:tc>
        <w:tc>
          <w:tcPr>
            <w:tcW w:w="900" w:type="dxa"/>
            <w:vAlign w:val="bottom"/>
          </w:tcPr>
          <w:p>
            <w:pPr>
              <w:jc w:val="right"/>
              <w:ind w:right="88"/>
              <w:spacing w:after="0"/>
              <w:rPr>
                <w:sz w:val="20"/>
                <w:szCs w:val="20"/>
                <w:color w:val="auto"/>
              </w:rPr>
            </w:pPr>
            <w:r>
              <w:rPr>
                <w:rFonts w:ascii="Arial" w:cs="Arial" w:eastAsia="Arial" w:hAnsi="Arial"/>
                <w:sz w:val="14"/>
                <w:szCs w:val="14"/>
                <w:b w:val="1"/>
                <w:bCs w:val="1"/>
                <w:color w:val="auto"/>
              </w:rPr>
              <w:t>AMOUNT</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7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2"/>
              </w:rPr>
              <w:t>Assets</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04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Arial" w:cs="Arial" w:eastAsia="Arial" w:hAnsi="Arial"/>
                <w:sz w:val="14"/>
                <w:szCs w:val="14"/>
                <w:b w:val="1"/>
                <w:bCs w:val="1"/>
                <w:color w:val="auto"/>
                <w:w w:val="93"/>
              </w:rPr>
              <w:t>Collateralized Loan Obligation - Equity Investments - (continued)</w:t>
            </w:r>
          </w:p>
        </w:tc>
        <w:tc>
          <w:tcPr>
            <w:tcW w:w="1840" w:type="dxa"/>
            <w:vAlign w:val="bottom"/>
            <w:tcBorders>
              <w:top w:val="single" w:sz="8" w:color="auto"/>
              <w:bottom w:val="single" w:sz="8" w:color="CCEEFF"/>
            </w:tcBorders>
            <w:shd w:val="clear" w:color="auto" w:fill="CCEEFF"/>
          </w:tcPr>
          <w:p>
            <w:pPr>
              <w:spacing w:after="0"/>
              <w:rPr>
                <w:sz w:val="11"/>
                <w:szCs w:val="11"/>
                <w:color w:val="auto"/>
              </w:rPr>
            </w:pPr>
          </w:p>
        </w:tc>
        <w:tc>
          <w:tcPr>
            <w:tcW w:w="40" w:type="dxa"/>
            <w:vAlign w:val="bottom"/>
            <w:tcBorders>
              <w:top w:val="single" w:sz="8" w:color="CCEEFF"/>
              <w:bottom w:val="single" w:sz="8" w:color="CCEEFF"/>
            </w:tcBorders>
            <w:shd w:val="clear" w:color="auto" w:fill="CCEEFF"/>
          </w:tcPr>
          <w:p>
            <w:pPr>
              <w:spacing w:after="0"/>
              <w:rPr>
                <w:sz w:val="11"/>
                <w:szCs w:val="11"/>
                <w:color w:val="auto"/>
              </w:rPr>
            </w:pPr>
          </w:p>
        </w:tc>
        <w:tc>
          <w:tcPr>
            <w:tcW w:w="1260" w:type="dxa"/>
            <w:vAlign w:val="bottom"/>
            <w:tcBorders>
              <w:top w:val="single" w:sz="8" w:color="auto"/>
              <w:bottom w:val="single" w:sz="8" w:color="CCEEFF"/>
            </w:tcBorders>
            <w:shd w:val="clear" w:color="auto" w:fill="CCEEFF"/>
          </w:tcPr>
          <w:p>
            <w:pPr>
              <w:spacing w:after="0"/>
              <w:rPr>
                <w:sz w:val="11"/>
                <w:szCs w:val="11"/>
                <w:color w:val="auto"/>
              </w:rPr>
            </w:pPr>
          </w:p>
        </w:tc>
        <w:tc>
          <w:tcPr>
            <w:tcW w:w="4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CCEEFF"/>
            </w:tcBorders>
            <w:shd w:val="clear" w:color="auto" w:fill="CCEEFF"/>
          </w:tcPr>
          <w:p>
            <w:pPr>
              <w:spacing w:after="0"/>
              <w:rPr>
                <w:sz w:val="11"/>
                <w:szCs w:val="11"/>
                <w:color w:val="auto"/>
              </w:rPr>
            </w:pPr>
          </w:p>
        </w:tc>
        <w:tc>
          <w:tcPr>
            <w:tcW w:w="900" w:type="dxa"/>
            <w:vAlign w:val="bottom"/>
            <w:tcBorders>
              <w:top w:val="single" w:sz="8" w:color="auto"/>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160" w:type="dxa"/>
            <w:vAlign w:val="bottom"/>
            <w:tcBorders>
              <w:top w:val="single" w:sz="8" w:color="auto"/>
              <w:bottom w:val="single" w:sz="8" w:color="CCEEFF"/>
            </w:tcBorders>
            <w:shd w:val="clear" w:color="auto" w:fill="CCEEFF"/>
          </w:tcPr>
          <w:p>
            <w:pPr>
              <w:spacing w:after="0"/>
              <w:rPr>
                <w:sz w:val="11"/>
                <w:szCs w:val="11"/>
                <w:color w:val="auto"/>
              </w:rPr>
            </w:pPr>
          </w:p>
        </w:tc>
        <w:tc>
          <w:tcPr>
            <w:tcW w:w="740" w:type="dxa"/>
            <w:vAlign w:val="bottom"/>
            <w:tcBorders>
              <w:top w:val="single" w:sz="8" w:color="auto"/>
              <w:bottom w:val="single" w:sz="8" w:color="CCEEFF"/>
            </w:tcBorders>
            <w:shd w:val="clear" w:color="auto" w:fill="CCEEFF"/>
          </w:tcPr>
          <w:p>
            <w:pPr>
              <w:spacing w:after="0"/>
              <w:rPr>
                <w:sz w:val="11"/>
                <w:szCs w:val="11"/>
                <w:color w:val="auto"/>
              </w:rPr>
            </w:pPr>
          </w:p>
        </w:tc>
        <w:tc>
          <w:tcPr>
            <w:tcW w:w="40" w:type="dxa"/>
            <w:vAlign w:val="bottom"/>
            <w:tcBorders>
              <w:top w:val="single" w:sz="8" w:color="CCEEFF"/>
              <w:bottom w:val="single" w:sz="8" w:color="CCEEFF"/>
            </w:tcBorders>
            <w:shd w:val="clear" w:color="auto" w:fill="CCEEFF"/>
          </w:tcPr>
          <w:p>
            <w:pPr>
              <w:spacing w:after="0"/>
              <w:rPr>
                <w:sz w:val="11"/>
                <w:szCs w:val="11"/>
                <w:color w:val="auto"/>
              </w:rPr>
            </w:pPr>
          </w:p>
        </w:tc>
        <w:tc>
          <w:tcPr>
            <w:tcW w:w="4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CCEEFF"/>
            </w:tcBorders>
            <w:shd w:val="clear" w:color="auto" w:fill="CCEEFF"/>
          </w:tcPr>
          <w:p>
            <w:pPr>
              <w:spacing w:after="0"/>
              <w:rPr>
                <w:sz w:val="11"/>
                <w:szCs w:val="11"/>
                <w:color w:val="auto"/>
              </w:rPr>
            </w:pPr>
          </w:p>
        </w:tc>
        <w:tc>
          <w:tcPr>
            <w:tcW w:w="1140" w:type="dxa"/>
            <w:vAlign w:val="bottom"/>
            <w:tcBorders>
              <w:top w:val="single" w:sz="8" w:color="auto"/>
              <w:bottom w:val="single" w:sz="8" w:color="CCEEFF"/>
            </w:tcBorders>
            <w:shd w:val="clear" w:color="auto" w:fill="CCEEFF"/>
          </w:tcPr>
          <w:p>
            <w:pPr>
              <w:spacing w:after="0"/>
              <w:rPr>
                <w:sz w:val="11"/>
                <w:szCs w:val="11"/>
                <w:color w:val="auto"/>
              </w:rPr>
            </w:pP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700" w:type="dxa"/>
            <w:vAlign w:val="bottom"/>
            <w:tcBorders>
              <w:top w:val="single" w:sz="8" w:color="auto"/>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88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Carlyle Global Market Strategies CLO 2013-2, Ltd.</w:t>
            </w:r>
          </w:p>
        </w:tc>
        <w:tc>
          <w:tcPr>
            <w:tcW w:w="1420" w:type="dxa"/>
            <w:vAlign w:val="bottom"/>
            <w:gridSpan w:val="4"/>
          </w:tcPr>
          <w:p>
            <w:pPr>
              <w:ind w:left="40"/>
              <w:spacing w:after="0" w:line="142" w:lineRule="exact"/>
              <w:rPr>
                <w:sz w:val="20"/>
                <w:szCs w:val="20"/>
                <w:color w:val="auto"/>
              </w:rPr>
            </w:pPr>
            <w:r>
              <w:rPr>
                <w:rFonts w:ascii="Arial" w:cs="Arial" w:eastAsia="Arial" w:hAnsi="Arial"/>
                <w:sz w:val="14"/>
                <w:szCs w:val="14"/>
                <w:color w:val="auto"/>
              </w:rPr>
              <w:t>structured finance</w:t>
            </w: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gridSpan w:val="2"/>
            <w:shd w:val="clear" w:color="auto" w:fill="CCEEFF"/>
          </w:tcPr>
          <w:p>
            <w:pPr>
              <w:spacing w:after="0" w:line="216" w:lineRule="exact"/>
              <w:rPr>
                <w:sz w:val="20"/>
                <w:szCs w:val="20"/>
                <w:color w:val="auto"/>
              </w:rPr>
            </w:pPr>
            <w:r>
              <w:rPr>
                <w:rFonts w:ascii="Arial" w:cs="Arial" w:eastAsia="Arial" w:hAnsi="Arial"/>
                <w:sz w:val="14"/>
                <w:szCs w:val="14"/>
                <w:color w:val="auto"/>
              </w:rPr>
              <w:t>CLO subordinated notes</w:t>
            </w:r>
            <w:r>
              <w:rPr>
                <w:rFonts w:ascii="Arial" w:cs="Arial" w:eastAsia="Arial" w:hAnsi="Arial"/>
                <w:sz w:val="23"/>
                <w:szCs w:val="23"/>
                <w:color w:val="auto"/>
                <w:vertAlign w:val="superscript"/>
              </w:rPr>
              <w:t>(5)(7)</w:t>
            </w:r>
            <w:r>
              <w:rPr>
                <w:rFonts w:ascii="Arial" w:cs="Arial" w:eastAsia="Arial" w:hAnsi="Arial"/>
                <w:sz w:val="14"/>
                <w:szCs w:val="14"/>
                <w:color w:val="auto"/>
              </w:rPr>
              <w:t>, (Estimated yield 13.72%, maturity April 18, 2025)</w:t>
            </w:r>
          </w:p>
        </w:tc>
        <w:tc>
          <w:tcPr>
            <w:tcW w:w="1420" w:type="dxa"/>
            <w:vAlign w:val="bottom"/>
            <w:gridSpan w:val="4"/>
            <w:shd w:val="clear" w:color="auto" w:fill="CCEEFF"/>
          </w:tcPr>
          <w:p>
            <w:pPr>
              <w:ind w:left="1340"/>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9,250,000</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6,632,830</w:t>
            </w:r>
          </w:p>
        </w:tc>
        <w:tc>
          <w:tcPr>
            <w:tcW w:w="1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5,599,429</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04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8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Carlyle Global Market Strategies CLO 2014-4, Ltd.</w:t>
            </w:r>
          </w:p>
        </w:tc>
        <w:tc>
          <w:tcPr>
            <w:tcW w:w="1420" w:type="dxa"/>
            <w:vAlign w:val="bottom"/>
            <w:gridSpan w:val="4"/>
            <w:shd w:val="clear" w:color="auto" w:fill="CCEEFF"/>
          </w:tcPr>
          <w:p>
            <w:pPr>
              <w:ind w:left="40"/>
              <w:spacing w:after="0" w:line="149" w:lineRule="exact"/>
              <w:rPr>
                <w:sz w:val="20"/>
                <w:szCs w:val="20"/>
                <w:color w:val="auto"/>
              </w:rPr>
            </w:pPr>
            <w:r>
              <w:rPr>
                <w:rFonts w:ascii="Arial" w:cs="Arial" w:eastAsia="Arial" w:hAnsi="Arial"/>
                <w:sz w:val="14"/>
                <w:szCs w:val="14"/>
                <w:color w:val="auto"/>
              </w:rPr>
              <w:t>structured finance</w:t>
            </w:r>
          </w:p>
        </w:tc>
        <w:tc>
          <w:tcPr>
            <w:tcW w:w="9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880" w:type="dxa"/>
            <w:vAlign w:val="bottom"/>
            <w:gridSpan w:val="2"/>
          </w:tcPr>
          <w:p>
            <w:pPr>
              <w:spacing w:after="0" w:line="189" w:lineRule="exact"/>
              <w:rPr>
                <w:sz w:val="20"/>
                <w:szCs w:val="20"/>
                <w:color w:val="auto"/>
              </w:rPr>
            </w:pPr>
            <w:r>
              <w:rPr>
                <w:rFonts w:ascii="Arial" w:cs="Arial" w:eastAsia="Arial" w:hAnsi="Arial"/>
                <w:sz w:val="13"/>
                <w:szCs w:val="13"/>
                <w:color w:val="auto"/>
              </w:rPr>
              <w:t>CLO subordinated notes</w:t>
            </w:r>
            <w:r>
              <w:rPr>
                <w:rFonts w:ascii="Arial" w:cs="Arial" w:eastAsia="Arial" w:hAnsi="Arial"/>
                <w:sz w:val="21"/>
                <w:szCs w:val="21"/>
                <w:color w:val="auto"/>
                <w:vertAlign w:val="superscript"/>
              </w:rPr>
              <w:t>(5)(7)</w:t>
            </w:r>
            <w:r>
              <w:rPr>
                <w:rFonts w:ascii="Arial" w:cs="Arial" w:eastAsia="Arial" w:hAnsi="Arial"/>
                <w:sz w:val="13"/>
                <w:szCs w:val="13"/>
                <w:color w:val="auto"/>
              </w:rPr>
              <w:t>, (Estimated yield 20.08%, maturity October 15, 2026)</w:t>
            </w:r>
          </w:p>
        </w:tc>
        <w:tc>
          <w:tcPr>
            <w:tcW w:w="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12,892,000</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4"/>
                <w:szCs w:val="14"/>
                <w:color w:val="auto"/>
              </w:rPr>
              <w:t>8,527,563</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9,271,303</w:t>
            </w: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04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8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CENT CLO 16, L.P.</w:t>
            </w:r>
          </w:p>
        </w:tc>
        <w:tc>
          <w:tcPr>
            <w:tcW w:w="1420" w:type="dxa"/>
            <w:vAlign w:val="bottom"/>
            <w:gridSpan w:val="4"/>
          </w:tcPr>
          <w:p>
            <w:pPr>
              <w:ind w:left="40"/>
              <w:spacing w:after="0" w:line="149" w:lineRule="exact"/>
              <w:rPr>
                <w:sz w:val="20"/>
                <w:szCs w:val="20"/>
                <w:color w:val="auto"/>
              </w:rPr>
            </w:pPr>
            <w:r>
              <w:rPr>
                <w:rFonts w:ascii="Arial" w:cs="Arial" w:eastAsia="Arial" w:hAnsi="Arial"/>
                <w:sz w:val="14"/>
                <w:szCs w:val="14"/>
                <w:color w:val="auto"/>
              </w:rPr>
              <w:t>structured finance</w:t>
            </w: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880" w:type="dxa"/>
            <w:vAlign w:val="bottom"/>
            <w:gridSpan w:val="2"/>
            <w:shd w:val="clear" w:color="auto" w:fill="CCEEFF"/>
          </w:tcPr>
          <w:p>
            <w:pPr>
              <w:spacing w:after="0" w:line="189" w:lineRule="exact"/>
              <w:rPr>
                <w:sz w:val="20"/>
                <w:szCs w:val="20"/>
                <w:color w:val="auto"/>
              </w:rPr>
            </w:pPr>
            <w:r>
              <w:rPr>
                <w:rFonts w:ascii="Arial" w:cs="Arial" w:eastAsia="Arial" w:hAnsi="Arial"/>
                <w:sz w:val="13"/>
                <w:szCs w:val="13"/>
                <w:color w:val="auto"/>
              </w:rPr>
              <w:t>CLO subordinated notes</w:t>
            </w:r>
            <w:r>
              <w:rPr>
                <w:rFonts w:ascii="Arial" w:cs="Arial" w:eastAsia="Arial" w:hAnsi="Arial"/>
                <w:sz w:val="21"/>
                <w:szCs w:val="21"/>
                <w:color w:val="auto"/>
                <w:vertAlign w:val="superscript"/>
              </w:rPr>
              <w:t>(5)(7)</w:t>
            </w:r>
            <w:r>
              <w:rPr>
                <w:rFonts w:ascii="Arial" w:cs="Arial" w:eastAsia="Arial" w:hAnsi="Arial"/>
                <w:sz w:val="13"/>
                <w:szCs w:val="13"/>
                <w:color w:val="auto"/>
              </w:rPr>
              <w:t>, (Estimated yield 36.70%, maturity August 01, 2024)</w:t>
            </w:r>
          </w:p>
        </w:tc>
        <w:tc>
          <w:tcPr>
            <w:tcW w:w="4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10,500,000</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5,424,959</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6,405,000</w:t>
            </w: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04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8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CIFC Funding 2014-III, Ltd.</w:t>
            </w:r>
          </w:p>
        </w:tc>
        <w:tc>
          <w:tcPr>
            <w:tcW w:w="1420" w:type="dxa"/>
            <w:vAlign w:val="bottom"/>
            <w:gridSpan w:val="4"/>
            <w:shd w:val="clear" w:color="auto" w:fill="CCEEFF"/>
          </w:tcPr>
          <w:p>
            <w:pPr>
              <w:ind w:left="40"/>
              <w:spacing w:after="0" w:line="149" w:lineRule="exact"/>
              <w:rPr>
                <w:sz w:val="20"/>
                <w:szCs w:val="20"/>
                <w:color w:val="auto"/>
              </w:rPr>
            </w:pPr>
            <w:r>
              <w:rPr>
                <w:rFonts w:ascii="Arial" w:cs="Arial" w:eastAsia="Arial" w:hAnsi="Arial"/>
                <w:sz w:val="14"/>
                <w:szCs w:val="14"/>
                <w:color w:val="auto"/>
              </w:rPr>
              <w:t>structured finance</w:t>
            </w:r>
          </w:p>
        </w:tc>
        <w:tc>
          <w:tcPr>
            <w:tcW w:w="9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880" w:type="dxa"/>
            <w:vAlign w:val="bottom"/>
            <w:gridSpan w:val="2"/>
          </w:tcPr>
          <w:p>
            <w:pPr>
              <w:spacing w:after="0" w:line="189" w:lineRule="exact"/>
              <w:rPr>
                <w:sz w:val="20"/>
                <w:szCs w:val="20"/>
                <w:color w:val="auto"/>
              </w:rPr>
            </w:pPr>
            <w:r>
              <w:rPr>
                <w:rFonts w:ascii="Arial" w:cs="Arial" w:eastAsia="Arial" w:hAnsi="Arial"/>
                <w:sz w:val="13"/>
                <w:szCs w:val="13"/>
                <w:color w:val="auto"/>
              </w:rPr>
              <w:t>CLO income notes</w:t>
            </w:r>
            <w:r>
              <w:rPr>
                <w:rFonts w:ascii="Arial" w:cs="Arial" w:eastAsia="Arial" w:hAnsi="Arial"/>
                <w:sz w:val="21"/>
                <w:szCs w:val="21"/>
                <w:color w:val="auto"/>
                <w:vertAlign w:val="superscript"/>
              </w:rPr>
              <w:t>(5)(7)</w:t>
            </w:r>
            <w:r>
              <w:rPr>
                <w:rFonts w:ascii="Arial" w:cs="Arial" w:eastAsia="Arial" w:hAnsi="Arial"/>
                <w:sz w:val="13"/>
                <w:szCs w:val="13"/>
                <w:color w:val="auto"/>
              </w:rPr>
              <w:t>, (Estimated yield 21.08%, maturity July 22, 2026)</w:t>
            </w:r>
          </w:p>
        </w:tc>
        <w:tc>
          <w:tcPr>
            <w:tcW w:w="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10,000,000</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4"/>
                <w:szCs w:val="14"/>
                <w:color w:val="auto"/>
              </w:rPr>
              <w:t>6,120,898</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6,300,000</w:t>
            </w: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04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8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Dryden 42 Senior Loan Fund</w:t>
            </w:r>
          </w:p>
        </w:tc>
        <w:tc>
          <w:tcPr>
            <w:tcW w:w="1420" w:type="dxa"/>
            <w:vAlign w:val="bottom"/>
            <w:gridSpan w:val="4"/>
          </w:tcPr>
          <w:p>
            <w:pPr>
              <w:ind w:left="40"/>
              <w:spacing w:after="0" w:line="149" w:lineRule="exact"/>
              <w:rPr>
                <w:sz w:val="20"/>
                <w:szCs w:val="20"/>
                <w:color w:val="auto"/>
              </w:rPr>
            </w:pPr>
            <w:r>
              <w:rPr>
                <w:rFonts w:ascii="Arial" w:cs="Arial" w:eastAsia="Arial" w:hAnsi="Arial"/>
                <w:sz w:val="14"/>
                <w:szCs w:val="14"/>
                <w:color w:val="auto"/>
              </w:rPr>
              <w:t>structured finance</w:t>
            </w: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880" w:type="dxa"/>
            <w:vAlign w:val="bottom"/>
            <w:gridSpan w:val="2"/>
            <w:shd w:val="clear" w:color="auto" w:fill="CCEEFF"/>
          </w:tcPr>
          <w:p>
            <w:pPr>
              <w:spacing w:after="0" w:line="189" w:lineRule="exact"/>
              <w:rPr>
                <w:sz w:val="20"/>
                <w:szCs w:val="20"/>
                <w:color w:val="auto"/>
              </w:rPr>
            </w:pPr>
            <w:r>
              <w:rPr>
                <w:rFonts w:ascii="Arial" w:cs="Arial" w:eastAsia="Arial" w:hAnsi="Arial"/>
                <w:sz w:val="13"/>
                <w:szCs w:val="13"/>
                <w:color w:val="auto"/>
              </w:rPr>
              <w:t>CLO subordinated notes</w:t>
            </w:r>
            <w:r>
              <w:rPr>
                <w:rFonts w:ascii="Arial" w:cs="Arial" w:eastAsia="Arial" w:hAnsi="Arial"/>
                <w:sz w:val="21"/>
                <w:szCs w:val="21"/>
                <w:color w:val="auto"/>
                <w:vertAlign w:val="superscript"/>
              </w:rPr>
              <w:t>(5)(7)</w:t>
            </w:r>
            <w:r>
              <w:rPr>
                <w:rFonts w:ascii="Arial" w:cs="Arial" w:eastAsia="Arial" w:hAnsi="Arial"/>
                <w:sz w:val="13"/>
                <w:szCs w:val="13"/>
                <w:color w:val="auto"/>
              </w:rPr>
              <w:t>, (Estimated yield 17.31%, maturity July 15, 2027)</w:t>
            </w:r>
          </w:p>
        </w:tc>
        <w:tc>
          <w:tcPr>
            <w:tcW w:w="4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3,500,000</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3,071,201</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3,430,000</w:t>
            </w: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04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8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Hull Street CLO Ltd.</w:t>
            </w:r>
          </w:p>
        </w:tc>
        <w:tc>
          <w:tcPr>
            <w:tcW w:w="1420" w:type="dxa"/>
            <w:vAlign w:val="bottom"/>
            <w:gridSpan w:val="4"/>
            <w:shd w:val="clear" w:color="auto" w:fill="CCEEFF"/>
          </w:tcPr>
          <w:p>
            <w:pPr>
              <w:ind w:left="40"/>
              <w:spacing w:after="0" w:line="149" w:lineRule="exact"/>
              <w:rPr>
                <w:sz w:val="20"/>
                <w:szCs w:val="20"/>
                <w:color w:val="auto"/>
              </w:rPr>
            </w:pPr>
            <w:r>
              <w:rPr>
                <w:rFonts w:ascii="Arial" w:cs="Arial" w:eastAsia="Arial" w:hAnsi="Arial"/>
                <w:sz w:val="14"/>
                <w:szCs w:val="14"/>
                <w:color w:val="auto"/>
              </w:rPr>
              <w:t>structured finance</w:t>
            </w:r>
          </w:p>
        </w:tc>
        <w:tc>
          <w:tcPr>
            <w:tcW w:w="9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880" w:type="dxa"/>
            <w:vAlign w:val="bottom"/>
            <w:gridSpan w:val="2"/>
          </w:tcPr>
          <w:p>
            <w:pPr>
              <w:spacing w:after="0" w:line="189" w:lineRule="exact"/>
              <w:rPr>
                <w:sz w:val="20"/>
                <w:szCs w:val="20"/>
                <w:color w:val="auto"/>
              </w:rPr>
            </w:pPr>
            <w:r>
              <w:rPr>
                <w:rFonts w:ascii="Arial" w:cs="Arial" w:eastAsia="Arial" w:hAnsi="Arial"/>
                <w:sz w:val="13"/>
                <w:szCs w:val="13"/>
                <w:color w:val="auto"/>
              </w:rPr>
              <w:t>CLO subordinated notes</w:t>
            </w:r>
            <w:r>
              <w:rPr>
                <w:rFonts w:ascii="Arial" w:cs="Arial" w:eastAsia="Arial" w:hAnsi="Arial"/>
                <w:sz w:val="21"/>
                <w:szCs w:val="21"/>
                <w:color w:val="auto"/>
                <w:vertAlign w:val="superscript"/>
              </w:rPr>
              <w:t>(5)(7)</w:t>
            </w:r>
            <w:r>
              <w:rPr>
                <w:rFonts w:ascii="Arial" w:cs="Arial" w:eastAsia="Arial" w:hAnsi="Arial"/>
                <w:sz w:val="13"/>
                <w:szCs w:val="13"/>
                <w:color w:val="auto"/>
              </w:rPr>
              <w:t>, (Estimated yield 11.94%, maturity October 18, 2026)</w:t>
            </w:r>
          </w:p>
        </w:tc>
        <w:tc>
          <w:tcPr>
            <w:tcW w:w="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15,000,000</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4"/>
                <w:szCs w:val="14"/>
                <w:color w:val="auto"/>
              </w:rPr>
              <w:t>9,827,174</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7,200,000</w:t>
            </w: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04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8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Ivy Hill Middle Market Credit VII, Ltd.</w:t>
            </w:r>
          </w:p>
        </w:tc>
        <w:tc>
          <w:tcPr>
            <w:tcW w:w="1420" w:type="dxa"/>
            <w:vAlign w:val="bottom"/>
            <w:gridSpan w:val="4"/>
          </w:tcPr>
          <w:p>
            <w:pPr>
              <w:ind w:left="40"/>
              <w:spacing w:after="0" w:line="149" w:lineRule="exact"/>
              <w:rPr>
                <w:sz w:val="20"/>
                <w:szCs w:val="20"/>
                <w:color w:val="auto"/>
              </w:rPr>
            </w:pPr>
            <w:r>
              <w:rPr>
                <w:rFonts w:ascii="Arial" w:cs="Arial" w:eastAsia="Arial" w:hAnsi="Arial"/>
                <w:sz w:val="14"/>
                <w:szCs w:val="14"/>
                <w:color w:val="auto"/>
              </w:rPr>
              <w:t>structured finance</w:t>
            </w: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880" w:type="dxa"/>
            <w:vAlign w:val="bottom"/>
            <w:gridSpan w:val="2"/>
            <w:shd w:val="clear" w:color="auto" w:fill="CCEEFF"/>
          </w:tcPr>
          <w:p>
            <w:pPr>
              <w:spacing w:after="0" w:line="189" w:lineRule="exact"/>
              <w:rPr>
                <w:sz w:val="20"/>
                <w:szCs w:val="20"/>
                <w:color w:val="auto"/>
              </w:rPr>
            </w:pPr>
            <w:r>
              <w:rPr>
                <w:rFonts w:ascii="Arial" w:cs="Arial" w:eastAsia="Arial" w:hAnsi="Arial"/>
                <w:sz w:val="13"/>
                <w:szCs w:val="13"/>
                <w:color w:val="auto"/>
              </w:rPr>
              <w:t>CLO subordinated notes</w:t>
            </w:r>
            <w:r>
              <w:rPr>
                <w:rFonts w:ascii="Arial" w:cs="Arial" w:eastAsia="Arial" w:hAnsi="Arial"/>
                <w:sz w:val="21"/>
                <w:szCs w:val="21"/>
                <w:color w:val="auto"/>
                <w:vertAlign w:val="superscript"/>
              </w:rPr>
              <w:t>(5)(7)</w:t>
            </w:r>
            <w:r>
              <w:rPr>
                <w:rFonts w:ascii="Arial" w:cs="Arial" w:eastAsia="Arial" w:hAnsi="Arial"/>
                <w:sz w:val="13"/>
                <w:szCs w:val="13"/>
                <w:color w:val="auto"/>
              </w:rPr>
              <w:t>, (Estimated yield 13.69%, maturity October 20, 2025)</w:t>
            </w:r>
          </w:p>
        </w:tc>
        <w:tc>
          <w:tcPr>
            <w:tcW w:w="4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7,000,000</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5,567,057</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5,295,216</w:t>
            </w: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04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8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Jamestown CLO III, Ltd.</w:t>
            </w:r>
          </w:p>
        </w:tc>
        <w:tc>
          <w:tcPr>
            <w:tcW w:w="1420" w:type="dxa"/>
            <w:vAlign w:val="bottom"/>
            <w:gridSpan w:val="4"/>
            <w:shd w:val="clear" w:color="auto" w:fill="CCEEFF"/>
          </w:tcPr>
          <w:p>
            <w:pPr>
              <w:ind w:left="40"/>
              <w:spacing w:after="0" w:line="149" w:lineRule="exact"/>
              <w:rPr>
                <w:sz w:val="20"/>
                <w:szCs w:val="20"/>
                <w:color w:val="auto"/>
              </w:rPr>
            </w:pPr>
            <w:r>
              <w:rPr>
                <w:rFonts w:ascii="Arial" w:cs="Arial" w:eastAsia="Arial" w:hAnsi="Arial"/>
                <w:sz w:val="14"/>
                <w:szCs w:val="14"/>
                <w:color w:val="auto"/>
              </w:rPr>
              <w:t>structured finance</w:t>
            </w:r>
          </w:p>
        </w:tc>
        <w:tc>
          <w:tcPr>
            <w:tcW w:w="9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880" w:type="dxa"/>
            <w:vAlign w:val="bottom"/>
            <w:gridSpan w:val="2"/>
          </w:tcPr>
          <w:p>
            <w:pPr>
              <w:spacing w:after="0" w:line="189" w:lineRule="exact"/>
              <w:rPr>
                <w:sz w:val="20"/>
                <w:szCs w:val="20"/>
                <w:color w:val="auto"/>
              </w:rPr>
            </w:pPr>
            <w:r>
              <w:rPr>
                <w:rFonts w:ascii="Arial" w:cs="Arial" w:eastAsia="Arial" w:hAnsi="Arial"/>
                <w:sz w:val="13"/>
                <w:szCs w:val="13"/>
                <w:color w:val="auto"/>
              </w:rPr>
              <w:t>CLO subordinated notes</w:t>
            </w:r>
            <w:r>
              <w:rPr>
                <w:rFonts w:ascii="Arial" w:cs="Arial" w:eastAsia="Arial" w:hAnsi="Arial"/>
                <w:sz w:val="21"/>
                <w:szCs w:val="21"/>
                <w:color w:val="auto"/>
                <w:vertAlign w:val="superscript"/>
              </w:rPr>
              <w:t>(5)(7)</w:t>
            </w:r>
            <w:r>
              <w:rPr>
                <w:rFonts w:ascii="Arial" w:cs="Arial" w:eastAsia="Arial" w:hAnsi="Arial"/>
                <w:sz w:val="13"/>
                <w:szCs w:val="13"/>
                <w:color w:val="auto"/>
              </w:rPr>
              <w:t>, (Estimated yield 26.36%, maturity January 15, 2026)</w:t>
            </w:r>
          </w:p>
        </w:tc>
        <w:tc>
          <w:tcPr>
            <w:tcW w:w="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15,575,000</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4"/>
                <w:szCs w:val="14"/>
                <w:color w:val="auto"/>
              </w:rPr>
              <w:t>7,752,961</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9,189,250</w:t>
            </w: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04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8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Jamestown CLO IV, Ltd.</w:t>
            </w:r>
          </w:p>
        </w:tc>
        <w:tc>
          <w:tcPr>
            <w:tcW w:w="1420" w:type="dxa"/>
            <w:vAlign w:val="bottom"/>
            <w:gridSpan w:val="4"/>
          </w:tcPr>
          <w:p>
            <w:pPr>
              <w:ind w:left="40"/>
              <w:spacing w:after="0" w:line="149" w:lineRule="exact"/>
              <w:rPr>
                <w:sz w:val="20"/>
                <w:szCs w:val="20"/>
                <w:color w:val="auto"/>
              </w:rPr>
            </w:pPr>
            <w:r>
              <w:rPr>
                <w:rFonts w:ascii="Arial" w:cs="Arial" w:eastAsia="Arial" w:hAnsi="Arial"/>
                <w:sz w:val="14"/>
                <w:szCs w:val="14"/>
                <w:color w:val="auto"/>
              </w:rPr>
              <w:t>structured finance</w:t>
            </w: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880" w:type="dxa"/>
            <w:vAlign w:val="bottom"/>
            <w:gridSpan w:val="2"/>
            <w:shd w:val="clear" w:color="auto" w:fill="CCEEFF"/>
          </w:tcPr>
          <w:p>
            <w:pPr>
              <w:spacing w:after="0" w:line="189" w:lineRule="exact"/>
              <w:rPr>
                <w:sz w:val="20"/>
                <w:szCs w:val="20"/>
                <w:color w:val="auto"/>
              </w:rPr>
            </w:pPr>
            <w:r>
              <w:rPr>
                <w:rFonts w:ascii="Arial" w:cs="Arial" w:eastAsia="Arial" w:hAnsi="Arial"/>
                <w:sz w:val="13"/>
                <w:szCs w:val="13"/>
                <w:color w:val="auto"/>
              </w:rPr>
              <w:t>CLO subordinated notes</w:t>
            </w:r>
            <w:r>
              <w:rPr>
                <w:rFonts w:ascii="Arial" w:cs="Arial" w:eastAsia="Arial" w:hAnsi="Arial"/>
                <w:sz w:val="21"/>
                <w:szCs w:val="21"/>
                <w:color w:val="auto"/>
                <w:vertAlign w:val="superscript"/>
              </w:rPr>
              <w:t>(5)(7)</w:t>
            </w:r>
            <w:r>
              <w:rPr>
                <w:rFonts w:ascii="Arial" w:cs="Arial" w:eastAsia="Arial" w:hAnsi="Arial"/>
                <w:sz w:val="13"/>
                <w:szCs w:val="13"/>
                <w:color w:val="auto"/>
              </w:rPr>
              <w:t>, (Estimated yield 43.02%, maturity July 15, 2026)</w:t>
            </w:r>
          </w:p>
        </w:tc>
        <w:tc>
          <w:tcPr>
            <w:tcW w:w="4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5,000,000</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1,533,145</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2,350,000</w:t>
            </w: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04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8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JFIN CLO 2015-II Ltd.</w:t>
            </w:r>
          </w:p>
        </w:tc>
        <w:tc>
          <w:tcPr>
            <w:tcW w:w="1420" w:type="dxa"/>
            <w:vAlign w:val="bottom"/>
            <w:gridSpan w:val="4"/>
            <w:shd w:val="clear" w:color="auto" w:fill="CCEEFF"/>
          </w:tcPr>
          <w:p>
            <w:pPr>
              <w:ind w:left="40"/>
              <w:spacing w:after="0" w:line="149" w:lineRule="exact"/>
              <w:rPr>
                <w:sz w:val="20"/>
                <w:szCs w:val="20"/>
                <w:color w:val="auto"/>
              </w:rPr>
            </w:pPr>
            <w:r>
              <w:rPr>
                <w:rFonts w:ascii="Arial" w:cs="Arial" w:eastAsia="Arial" w:hAnsi="Arial"/>
                <w:sz w:val="14"/>
                <w:szCs w:val="14"/>
                <w:color w:val="auto"/>
              </w:rPr>
              <w:t>structured finance</w:t>
            </w:r>
          </w:p>
        </w:tc>
        <w:tc>
          <w:tcPr>
            <w:tcW w:w="9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880" w:type="dxa"/>
            <w:vAlign w:val="bottom"/>
            <w:gridSpan w:val="2"/>
          </w:tcPr>
          <w:p>
            <w:pPr>
              <w:spacing w:after="0" w:line="189" w:lineRule="exact"/>
              <w:rPr>
                <w:sz w:val="20"/>
                <w:szCs w:val="20"/>
                <w:color w:val="auto"/>
              </w:rPr>
            </w:pPr>
            <w:r>
              <w:rPr>
                <w:rFonts w:ascii="Arial" w:cs="Arial" w:eastAsia="Arial" w:hAnsi="Arial"/>
                <w:sz w:val="13"/>
                <w:szCs w:val="13"/>
                <w:color w:val="auto"/>
              </w:rPr>
              <w:t>CLO subordinated notes</w:t>
            </w:r>
            <w:r>
              <w:rPr>
                <w:rFonts w:ascii="Arial" w:cs="Arial" w:eastAsia="Arial" w:hAnsi="Arial"/>
                <w:sz w:val="21"/>
                <w:szCs w:val="21"/>
                <w:color w:val="auto"/>
                <w:vertAlign w:val="superscript"/>
              </w:rPr>
              <w:t>(5)(7)</w:t>
            </w:r>
            <w:r>
              <w:rPr>
                <w:rFonts w:ascii="Arial" w:cs="Arial" w:eastAsia="Arial" w:hAnsi="Arial"/>
                <w:sz w:val="13"/>
                <w:szCs w:val="13"/>
                <w:color w:val="auto"/>
              </w:rPr>
              <w:t>, (Estimated yield 19.09%, maturity October 17, 2026)</w:t>
            </w:r>
          </w:p>
        </w:tc>
        <w:tc>
          <w:tcPr>
            <w:tcW w:w="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3,750,000</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4"/>
                <w:szCs w:val="14"/>
                <w:color w:val="auto"/>
              </w:rPr>
              <w:t>2,925,856</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3,352,334</w:t>
            </w: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04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8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Midocean Credit CLO VI</w:t>
            </w:r>
          </w:p>
        </w:tc>
        <w:tc>
          <w:tcPr>
            <w:tcW w:w="1420" w:type="dxa"/>
            <w:vAlign w:val="bottom"/>
            <w:gridSpan w:val="4"/>
          </w:tcPr>
          <w:p>
            <w:pPr>
              <w:ind w:left="40"/>
              <w:spacing w:after="0" w:line="149" w:lineRule="exact"/>
              <w:rPr>
                <w:sz w:val="20"/>
                <w:szCs w:val="20"/>
                <w:color w:val="auto"/>
              </w:rPr>
            </w:pPr>
            <w:r>
              <w:rPr>
                <w:rFonts w:ascii="Arial" w:cs="Arial" w:eastAsia="Arial" w:hAnsi="Arial"/>
                <w:sz w:val="14"/>
                <w:szCs w:val="14"/>
                <w:color w:val="auto"/>
              </w:rPr>
              <w:t>structured finance</w:t>
            </w: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880" w:type="dxa"/>
            <w:vAlign w:val="bottom"/>
            <w:gridSpan w:val="2"/>
            <w:shd w:val="clear" w:color="auto" w:fill="CCEEFF"/>
          </w:tcPr>
          <w:p>
            <w:pPr>
              <w:spacing w:after="0" w:line="189" w:lineRule="exact"/>
              <w:rPr>
                <w:sz w:val="20"/>
                <w:szCs w:val="20"/>
                <w:color w:val="auto"/>
              </w:rPr>
            </w:pPr>
            <w:r>
              <w:rPr>
                <w:rFonts w:ascii="Arial" w:cs="Arial" w:eastAsia="Arial" w:hAnsi="Arial"/>
                <w:sz w:val="13"/>
                <w:szCs w:val="13"/>
                <w:color w:val="auto"/>
              </w:rPr>
              <w:t>CLO income notes</w:t>
            </w:r>
            <w:r>
              <w:rPr>
                <w:rFonts w:ascii="Arial" w:cs="Arial" w:eastAsia="Arial" w:hAnsi="Arial"/>
                <w:sz w:val="21"/>
                <w:szCs w:val="21"/>
                <w:color w:val="auto"/>
                <w:vertAlign w:val="superscript"/>
              </w:rPr>
              <w:t>(5)(7)(9)</w:t>
            </w:r>
            <w:r>
              <w:rPr>
                <w:rFonts w:ascii="Arial" w:cs="Arial" w:eastAsia="Arial" w:hAnsi="Arial"/>
                <w:sz w:val="13"/>
                <w:szCs w:val="13"/>
                <w:color w:val="auto"/>
              </w:rPr>
              <w:t>, (Estimated yield 18.49%, maturity January 20, 2029)</w:t>
            </w:r>
          </w:p>
        </w:tc>
        <w:tc>
          <w:tcPr>
            <w:tcW w:w="4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19,700,000</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16,753,439</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16,794,250</w:t>
            </w: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04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8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Mountain Hawk II CLO, Ltd.</w:t>
            </w:r>
          </w:p>
        </w:tc>
        <w:tc>
          <w:tcPr>
            <w:tcW w:w="1420" w:type="dxa"/>
            <w:vAlign w:val="bottom"/>
            <w:gridSpan w:val="4"/>
            <w:shd w:val="clear" w:color="auto" w:fill="CCEEFF"/>
          </w:tcPr>
          <w:p>
            <w:pPr>
              <w:ind w:left="40"/>
              <w:spacing w:after="0" w:line="149" w:lineRule="exact"/>
              <w:rPr>
                <w:sz w:val="20"/>
                <w:szCs w:val="20"/>
                <w:color w:val="auto"/>
              </w:rPr>
            </w:pPr>
            <w:r>
              <w:rPr>
                <w:rFonts w:ascii="Arial" w:cs="Arial" w:eastAsia="Arial" w:hAnsi="Arial"/>
                <w:sz w:val="14"/>
                <w:szCs w:val="14"/>
                <w:color w:val="auto"/>
              </w:rPr>
              <w:t>structured finance</w:t>
            </w:r>
          </w:p>
        </w:tc>
        <w:tc>
          <w:tcPr>
            <w:tcW w:w="9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880" w:type="dxa"/>
            <w:vAlign w:val="bottom"/>
            <w:gridSpan w:val="2"/>
          </w:tcPr>
          <w:p>
            <w:pPr>
              <w:spacing w:after="0" w:line="189" w:lineRule="exact"/>
              <w:rPr>
                <w:sz w:val="20"/>
                <w:szCs w:val="20"/>
                <w:color w:val="auto"/>
              </w:rPr>
            </w:pPr>
            <w:r>
              <w:rPr>
                <w:rFonts w:ascii="Arial" w:cs="Arial" w:eastAsia="Arial" w:hAnsi="Arial"/>
                <w:sz w:val="13"/>
                <w:szCs w:val="13"/>
                <w:color w:val="auto"/>
              </w:rPr>
              <w:t>CLO subordinated notes</w:t>
            </w:r>
            <w:r>
              <w:rPr>
                <w:rFonts w:ascii="Arial" w:cs="Arial" w:eastAsia="Arial" w:hAnsi="Arial"/>
                <w:sz w:val="21"/>
                <w:szCs w:val="21"/>
                <w:color w:val="auto"/>
                <w:vertAlign w:val="superscript"/>
              </w:rPr>
              <w:t>(5)(7)</w:t>
            </w:r>
            <w:r>
              <w:rPr>
                <w:rFonts w:ascii="Arial" w:cs="Arial" w:eastAsia="Arial" w:hAnsi="Arial"/>
                <w:sz w:val="13"/>
                <w:szCs w:val="13"/>
                <w:color w:val="auto"/>
              </w:rPr>
              <w:t>, (Estimated yield 0.95%, maturity July 20, 2024)</w:t>
            </w:r>
          </w:p>
        </w:tc>
        <w:tc>
          <w:tcPr>
            <w:tcW w:w="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10,000,000</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4"/>
                <w:szCs w:val="14"/>
                <w:color w:val="auto"/>
              </w:rPr>
              <w:t>6,168,238</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3,478,000</w:t>
            </w: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04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8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Mountain Hawk III CLO, Ltd.</w:t>
            </w:r>
          </w:p>
        </w:tc>
        <w:tc>
          <w:tcPr>
            <w:tcW w:w="1420" w:type="dxa"/>
            <w:vAlign w:val="bottom"/>
            <w:gridSpan w:val="4"/>
          </w:tcPr>
          <w:p>
            <w:pPr>
              <w:ind w:left="40"/>
              <w:spacing w:after="0" w:line="149" w:lineRule="exact"/>
              <w:rPr>
                <w:sz w:val="20"/>
                <w:szCs w:val="20"/>
                <w:color w:val="auto"/>
              </w:rPr>
            </w:pPr>
            <w:r>
              <w:rPr>
                <w:rFonts w:ascii="Arial" w:cs="Arial" w:eastAsia="Arial" w:hAnsi="Arial"/>
                <w:sz w:val="14"/>
                <w:szCs w:val="14"/>
                <w:color w:val="auto"/>
              </w:rPr>
              <w:t>structured finance</w:t>
            </w: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880" w:type="dxa"/>
            <w:vAlign w:val="bottom"/>
            <w:gridSpan w:val="2"/>
            <w:shd w:val="clear" w:color="auto" w:fill="CCEEFF"/>
          </w:tcPr>
          <w:p>
            <w:pPr>
              <w:spacing w:after="0" w:line="189" w:lineRule="exact"/>
              <w:rPr>
                <w:sz w:val="20"/>
                <w:szCs w:val="20"/>
                <w:color w:val="auto"/>
              </w:rPr>
            </w:pPr>
            <w:r>
              <w:rPr>
                <w:rFonts w:ascii="Arial" w:cs="Arial" w:eastAsia="Arial" w:hAnsi="Arial"/>
                <w:sz w:val="13"/>
                <w:szCs w:val="13"/>
                <w:color w:val="auto"/>
              </w:rPr>
              <w:t>CLO income notes</w:t>
            </w:r>
            <w:r>
              <w:rPr>
                <w:rFonts w:ascii="Arial" w:cs="Arial" w:eastAsia="Arial" w:hAnsi="Arial"/>
                <w:sz w:val="21"/>
                <w:szCs w:val="21"/>
                <w:color w:val="auto"/>
                <w:vertAlign w:val="superscript"/>
              </w:rPr>
              <w:t>(5)(7)</w:t>
            </w:r>
            <w:r>
              <w:rPr>
                <w:rFonts w:ascii="Arial" w:cs="Arial" w:eastAsia="Arial" w:hAnsi="Arial"/>
                <w:sz w:val="13"/>
                <w:szCs w:val="13"/>
                <w:color w:val="auto"/>
              </w:rPr>
              <w:t>, (Estimated yield 8.20%, maturity April 18, 2025)</w:t>
            </w:r>
          </w:p>
        </w:tc>
        <w:tc>
          <w:tcPr>
            <w:tcW w:w="4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17,200,000</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10,056,072</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6,657,469</w:t>
            </w: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880" w:type="dxa"/>
            <w:vAlign w:val="bottom"/>
            <w:gridSpan w:val="2"/>
          </w:tcPr>
          <w:p>
            <w:pPr>
              <w:spacing w:after="0" w:line="189" w:lineRule="exact"/>
              <w:rPr>
                <w:sz w:val="20"/>
                <w:szCs w:val="20"/>
                <w:color w:val="auto"/>
              </w:rPr>
            </w:pPr>
            <w:r>
              <w:rPr>
                <w:rFonts w:ascii="Arial" w:cs="Arial" w:eastAsia="Arial" w:hAnsi="Arial"/>
                <w:sz w:val="13"/>
                <w:szCs w:val="13"/>
                <w:color w:val="auto"/>
              </w:rPr>
              <w:t>CLO M notes</w:t>
            </w:r>
            <w:r>
              <w:rPr>
                <w:rFonts w:ascii="Arial" w:cs="Arial" w:eastAsia="Arial" w:hAnsi="Arial"/>
                <w:sz w:val="21"/>
                <w:szCs w:val="21"/>
                <w:color w:val="auto"/>
                <w:vertAlign w:val="superscript"/>
              </w:rPr>
              <w:t>(8)</w:t>
            </w:r>
            <w:r>
              <w:rPr>
                <w:rFonts w:ascii="Arial" w:cs="Arial" w:eastAsia="Arial" w:hAnsi="Arial"/>
                <w:sz w:val="13"/>
                <w:szCs w:val="13"/>
                <w:color w:val="auto"/>
              </w:rPr>
              <w:t>, (Maturity April 18, 2025)</w:t>
            </w:r>
          </w:p>
        </w:tc>
        <w:tc>
          <w:tcPr>
            <w:tcW w:w="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2,389,676</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4"/>
                <w:szCs w:val="14"/>
                <w:color w:val="auto"/>
              </w:rPr>
              <w:t>288,747</w:t>
            </w: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04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8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Neuberger Berman CLO XII, Ltd.</w:t>
            </w:r>
          </w:p>
        </w:tc>
        <w:tc>
          <w:tcPr>
            <w:tcW w:w="1420" w:type="dxa"/>
            <w:vAlign w:val="bottom"/>
            <w:gridSpan w:val="4"/>
          </w:tcPr>
          <w:p>
            <w:pPr>
              <w:ind w:left="40"/>
              <w:spacing w:after="0" w:line="149" w:lineRule="exact"/>
              <w:rPr>
                <w:sz w:val="20"/>
                <w:szCs w:val="20"/>
                <w:color w:val="auto"/>
              </w:rPr>
            </w:pPr>
            <w:r>
              <w:rPr>
                <w:rFonts w:ascii="Arial" w:cs="Arial" w:eastAsia="Arial" w:hAnsi="Arial"/>
                <w:sz w:val="14"/>
                <w:szCs w:val="14"/>
                <w:color w:val="auto"/>
              </w:rPr>
              <w:t>structured finance</w:t>
            </w: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880" w:type="dxa"/>
            <w:vAlign w:val="bottom"/>
            <w:gridSpan w:val="2"/>
            <w:shd w:val="clear" w:color="auto" w:fill="CCEEFF"/>
          </w:tcPr>
          <w:p>
            <w:pPr>
              <w:spacing w:after="0" w:line="189" w:lineRule="exact"/>
              <w:rPr>
                <w:sz w:val="20"/>
                <w:szCs w:val="20"/>
                <w:color w:val="auto"/>
              </w:rPr>
            </w:pPr>
            <w:r>
              <w:rPr>
                <w:rFonts w:ascii="Arial" w:cs="Arial" w:eastAsia="Arial" w:hAnsi="Arial"/>
                <w:sz w:val="13"/>
                <w:szCs w:val="13"/>
                <w:color w:val="auto"/>
              </w:rPr>
              <w:t>CLO subordinated notes</w:t>
            </w:r>
            <w:r>
              <w:rPr>
                <w:rFonts w:ascii="Arial" w:cs="Arial" w:eastAsia="Arial" w:hAnsi="Arial"/>
                <w:sz w:val="21"/>
                <w:szCs w:val="21"/>
                <w:color w:val="auto"/>
                <w:vertAlign w:val="superscript"/>
              </w:rPr>
              <w:t>(5)(7)</w:t>
            </w:r>
            <w:r>
              <w:rPr>
                <w:rFonts w:ascii="Arial" w:cs="Arial" w:eastAsia="Arial" w:hAnsi="Arial"/>
                <w:sz w:val="13"/>
                <w:szCs w:val="13"/>
                <w:color w:val="auto"/>
              </w:rPr>
              <w:t>, (Estimated yield 28.38%, maturity July 25, 2023)</w:t>
            </w:r>
          </w:p>
        </w:tc>
        <w:tc>
          <w:tcPr>
            <w:tcW w:w="4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22,200,000</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11,735,745</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12,210,000</w:t>
            </w: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04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8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Neuberger Berman CLO XIII, Ltd.</w:t>
            </w:r>
          </w:p>
        </w:tc>
        <w:tc>
          <w:tcPr>
            <w:tcW w:w="1420" w:type="dxa"/>
            <w:vAlign w:val="bottom"/>
            <w:gridSpan w:val="4"/>
            <w:shd w:val="clear" w:color="auto" w:fill="CCEEFF"/>
          </w:tcPr>
          <w:p>
            <w:pPr>
              <w:ind w:left="40"/>
              <w:spacing w:after="0" w:line="149" w:lineRule="exact"/>
              <w:rPr>
                <w:sz w:val="20"/>
                <w:szCs w:val="20"/>
                <w:color w:val="auto"/>
              </w:rPr>
            </w:pPr>
            <w:r>
              <w:rPr>
                <w:rFonts w:ascii="Arial" w:cs="Arial" w:eastAsia="Arial" w:hAnsi="Arial"/>
                <w:sz w:val="14"/>
                <w:szCs w:val="14"/>
                <w:color w:val="auto"/>
              </w:rPr>
              <w:t>structured finance</w:t>
            </w:r>
          </w:p>
        </w:tc>
        <w:tc>
          <w:tcPr>
            <w:tcW w:w="9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313"/>
        </w:trPr>
        <w:tc>
          <w:tcPr>
            <w:tcW w:w="20" w:type="dxa"/>
            <w:vAlign w:val="bottom"/>
          </w:tcPr>
          <w:p>
            <w:pPr>
              <w:spacing w:after="0"/>
              <w:rPr>
                <w:sz w:val="24"/>
                <w:szCs w:val="24"/>
                <w:color w:val="auto"/>
              </w:rPr>
            </w:pPr>
          </w:p>
        </w:tc>
        <w:tc>
          <w:tcPr>
            <w:tcW w:w="5880" w:type="dxa"/>
            <w:vAlign w:val="bottom"/>
            <w:gridSpan w:val="2"/>
          </w:tcPr>
          <w:p>
            <w:pPr>
              <w:spacing w:after="0"/>
              <w:rPr>
                <w:sz w:val="20"/>
                <w:szCs w:val="20"/>
                <w:color w:val="auto"/>
              </w:rPr>
            </w:pPr>
            <w:r>
              <w:rPr>
                <w:rFonts w:ascii="Arial" w:cs="Arial" w:eastAsia="Arial" w:hAnsi="Arial"/>
                <w:sz w:val="14"/>
                <w:szCs w:val="14"/>
                <w:color w:val="auto"/>
              </w:rPr>
              <w:t>CLO subordinated notes</w:t>
            </w:r>
            <w:r>
              <w:rPr>
                <w:rFonts w:ascii="Arial" w:cs="Arial" w:eastAsia="Arial" w:hAnsi="Arial"/>
                <w:sz w:val="23"/>
                <w:szCs w:val="23"/>
                <w:color w:val="auto"/>
                <w:vertAlign w:val="superscript"/>
              </w:rPr>
              <w:t>(5)(7)</w:t>
            </w:r>
            <w:r>
              <w:rPr>
                <w:rFonts w:ascii="Arial" w:cs="Arial" w:eastAsia="Arial" w:hAnsi="Arial"/>
                <w:sz w:val="14"/>
                <w:szCs w:val="14"/>
                <w:color w:val="auto"/>
              </w:rPr>
              <w:t>, (Estimated yield 22.21%, maturity January 23, 2024)</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6,255,000</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4"/>
                <w:szCs w:val="14"/>
                <w:color w:val="auto"/>
              </w:rPr>
              <w:t>2,473,472</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2,126,700</w:t>
            </w: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(Continued on next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color w:val="auto"/>
        </w:rPr>
        <w:t>OXFORD LANE CAPITAL CORP.</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OF INVESTMENTS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31, 2016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COMPANY</w:t>
            </w:r>
          </w:p>
        </w:tc>
        <w:tc>
          <w:tcPr>
            <w:tcW w:w="140" w:type="dxa"/>
            <w:vAlign w:val="bottom"/>
          </w:tcPr>
          <w:p>
            <w:pPr>
              <w:jc w:val="right"/>
              <w:spacing w:after="0"/>
              <w:rPr>
                <w:sz w:val="20"/>
                <w:szCs w:val="20"/>
                <w:color w:val="auto"/>
              </w:rPr>
            </w:pPr>
            <w:r>
              <w:rPr>
                <w:rFonts w:ascii="Arial" w:cs="Arial" w:eastAsia="Arial" w:hAnsi="Arial"/>
                <w:sz w:val="12"/>
                <w:szCs w:val="12"/>
                <w:b w:val="1"/>
                <w:bCs w:val="1"/>
                <w:color w:val="auto"/>
                <w:w w:val="81"/>
              </w:rPr>
              <w:t>(1)</w:t>
            </w:r>
          </w:p>
        </w:tc>
        <w:tc>
          <w:tcPr>
            <w:tcW w:w="57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/INVESTMENT</w:t>
            </w:r>
          </w:p>
        </w:tc>
        <w:tc>
          <w:tcPr>
            <w:tcW w:w="1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40" w:type="dxa"/>
            <w:vAlign w:val="bottom"/>
            <w:gridSpan w:val="3"/>
          </w:tcPr>
          <w:p>
            <w:pPr>
              <w:spacing w:after="0"/>
              <w:rPr>
                <w:sz w:val="20"/>
                <w:szCs w:val="20"/>
                <w:color w:val="auto"/>
              </w:rPr>
            </w:pPr>
            <w:r>
              <w:rPr>
                <w:rFonts w:ascii="Arial" w:cs="Arial" w:eastAsia="Arial" w:hAnsi="Arial"/>
                <w:sz w:val="14"/>
                <w:szCs w:val="14"/>
                <w:b w:val="1"/>
                <w:bCs w:val="1"/>
                <w:color w:val="auto"/>
              </w:rPr>
              <w:t>PRINCIPAL</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rPr>
              <w:t>COST</w:t>
            </w: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2"/>
                <w:szCs w:val="12"/>
                <w:b w:val="1"/>
                <w:bCs w:val="1"/>
                <w:color w:val="auto"/>
              </w:rPr>
              <w:t>(2)</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gridSpan w:val="2"/>
          </w:tcPr>
          <w:p>
            <w:pPr>
              <w:jc w:val="center"/>
              <w:ind w:right="88"/>
              <w:spacing w:after="0"/>
              <w:rPr>
                <w:sz w:val="20"/>
                <w:szCs w:val="20"/>
                <w:color w:val="auto"/>
              </w:rPr>
            </w:pPr>
            <w:r>
              <w:rPr>
                <w:rFonts w:ascii="Arial" w:cs="Arial" w:eastAsia="Arial" w:hAnsi="Arial"/>
                <w:sz w:val="14"/>
                <w:szCs w:val="14"/>
                <w:b w:val="1"/>
                <w:bCs w:val="1"/>
                <w:color w:val="auto"/>
                <w:w w:val="99"/>
              </w:rPr>
              <w:t>% of Net</w:t>
            </w:r>
          </w:p>
        </w:tc>
        <w:tc>
          <w:tcPr>
            <w:tcW w:w="0" w:type="dxa"/>
            <w:vAlign w:val="bottom"/>
          </w:tcPr>
          <w:p>
            <w:pPr>
              <w:spacing w:after="0"/>
              <w:rPr>
                <w:sz w:val="1"/>
                <w:szCs w:val="1"/>
                <w:color w:val="auto"/>
              </w:rPr>
            </w:pPr>
          </w:p>
        </w:tc>
      </w:tr>
      <w:tr>
        <w:trPr>
          <w:trHeight w:val="81"/>
        </w:trPr>
        <w:tc>
          <w:tcPr>
            <w:tcW w:w="74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5700" w:type="dxa"/>
            <w:vAlign w:val="bottom"/>
            <w:gridSpan w:val="3"/>
            <w:vMerge w:val="continue"/>
          </w:tcPr>
          <w:p>
            <w:pPr>
              <w:spacing w:after="0"/>
              <w:rPr>
                <w:sz w:val="7"/>
                <w:szCs w:val="7"/>
                <w:color w:val="auto"/>
              </w:rPr>
            </w:pPr>
          </w:p>
        </w:tc>
        <w:tc>
          <w:tcPr>
            <w:tcW w:w="1260" w:type="dxa"/>
            <w:vAlign w:val="bottom"/>
            <w:gridSpan w:val="3"/>
          </w:tcPr>
          <w:p>
            <w:pPr>
              <w:ind w:left="200"/>
              <w:spacing w:after="0" w:line="81" w:lineRule="exact"/>
              <w:rPr>
                <w:sz w:val="20"/>
                <w:szCs w:val="20"/>
                <w:color w:val="auto"/>
              </w:rPr>
            </w:pPr>
            <w:r>
              <w:rPr>
                <w:rFonts w:ascii="Arial" w:cs="Arial" w:eastAsia="Arial" w:hAnsi="Arial"/>
                <w:sz w:val="9"/>
                <w:szCs w:val="9"/>
                <w:b w:val="1"/>
                <w:bCs w:val="1"/>
                <w:color w:val="auto"/>
              </w:rPr>
              <w:t>INDUSTRY</w:t>
            </w:r>
          </w:p>
        </w:tc>
        <w:tc>
          <w:tcPr>
            <w:tcW w:w="780" w:type="dxa"/>
            <w:vAlign w:val="bottom"/>
            <w:gridSpan w:val="2"/>
          </w:tcPr>
          <w:p>
            <w:pPr>
              <w:spacing w:after="0" w:line="81" w:lineRule="exact"/>
              <w:rPr>
                <w:sz w:val="20"/>
                <w:szCs w:val="20"/>
                <w:color w:val="auto"/>
              </w:rPr>
            </w:pPr>
            <w:r>
              <w:rPr>
                <w:rFonts w:ascii="Arial" w:cs="Arial" w:eastAsia="Arial" w:hAnsi="Arial"/>
                <w:sz w:val="9"/>
                <w:szCs w:val="9"/>
                <w:b w:val="1"/>
                <w:bCs w:val="1"/>
                <w:color w:val="auto"/>
              </w:rPr>
              <w:t>AMOUNT</w:t>
            </w: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140" w:type="dxa"/>
            <w:vAlign w:val="bottom"/>
            <w:gridSpan w:val="4"/>
          </w:tcPr>
          <w:p>
            <w:pPr>
              <w:ind w:left="20"/>
              <w:spacing w:after="0" w:line="81" w:lineRule="exact"/>
              <w:rPr>
                <w:sz w:val="20"/>
                <w:szCs w:val="20"/>
                <w:color w:val="auto"/>
              </w:rPr>
            </w:pPr>
            <w:r>
              <w:rPr>
                <w:rFonts w:ascii="Arial" w:cs="Arial" w:eastAsia="Arial" w:hAnsi="Arial"/>
                <w:sz w:val="9"/>
                <w:szCs w:val="9"/>
                <w:b w:val="1"/>
                <w:bCs w:val="1"/>
                <w:color w:val="auto"/>
              </w:rPr>
              <w:t>FAIR VALUE</w:t>
            </w:r>
          </w:p>
        </w:tc>
        <w:tc>
          <w:tcPr>
            <w:tcW w:w="720" w:type="dxa"/>
            <w:vAlign w:val="bottom"/>
            <w:gridSpan w:val="2"/>
          </w:tcPr>
          <w:p>
            <w:pPr>
              <w:jc w:val="center"/>
              <w:ind w:right="108"/>
              <w:spacing w:after="0" w:line="81" w:lineRule="exact"/>
              <w:rPr>
                <w:sz w:val="20"/>
                <w:szCs w:val="20"/>
                <w:color w:val="auto"/>
              </w:rPr>
            </w:pPr>
            <w:r>
              <w:rPr>
                <w:rFonts w:ascii="Arial" w:cs="Arial" w:eastAsia="Arial" w:hAnsi="Arial"/>
                <w:sz w:val="9"/>
                <w:szCs w:val="9"/>
                <w:b w:val="1"/>
                <w:bCs w:val="1"/>
                <w:color w:val="auto"/>
              </w:rPr>
              <w:t>Assets</w:t>
            </w:r>
          </w:p>
        </w:tc>
        <w:tc>
          <w:tcPr>
            <w:tcW w:w="0" w:type="dxa"/>
            <w:vAlign w:val="bottom"/>
          </w:tcPr>
          <w:p>
            <w:pPr>
              <w:spacing w:after="0"/>
              <w:rPr>
                <w:sz w:val="1"/>
                <w:szCs w:val="1"/>
                <w:color w:val="auto"/>
              </w:rPr>
            </w:pPr>
          </w:p>
        </w:tc>
      </w:tr>
      <w:tr>
        <w:trPr>
          <w:trHeight w:val="129"/>
        </w:trPr>
        <w:tc>
          <w:tcPr>
            <w:tcW w:w="100" w:type="dxa"/>
            <w:vAlign w:val="bottom"/>
            <w:tcBorders>
              <w:top w:val="single" w:sz="8" w:color="auto"/>
              <w:bottom w:val="single" w:sz="8" w:color="CCEEFF"/>
            </w:tcBorders>
            <w:shd w:val="clear" w:color="auto" w:fill="CCEEFF"/>
          </w:tcPr>
          <w:p>
            <w:pPr>
              <w:spacing w:after="0"/>
              <w:rPr>
                <w:sz w:val="11"/>
                <w:szCs w:val="11"/>
                <w:color w:val="auto"/>
              </w:rPr>
            </w:pPr>
          </w:p>
        </w:tc>
        <w:tc>
          <w:tcPr>
            <w:tcW w:w="4060" w:type="dxa"/>
            <w:vAlign w:val="bottom"/>
            <w:tcBorders>
              <w:top w:val="single" w:sz="8" w:color="auto"/>
              <w:bottom w:val="single" w:sz="8" w:color="auto"/>
            </w:tcBorders>
            <w:gridSpan w:val="3"/>
            <w:shd w:val="clear" w:color="auto" w:fill="CCEEFF"/>
          </w:tcPr>
          <w:p>
            <w:pPr>
              <w:spacing w:after="0" w:line="129" w:lineRule="exact"/>
              <w:rPr>
                <w:sz w:val="20"/>
                <w:szCs w:val="20"/>
                <w:color w:val="auto"/>
              </w:rPr>
            </w:pPr>
            <w:r>
              <w:rPr>
                <w:rFonts w:ascii="Arial" w:cs="Arial" w:eastAsia="Arial" w:hAnsi="Arial"/>
                <w:sz w:val="14"/>
                <w:szCs w:val="14"/>
                <w:b w:val="1"/>
                <w:bCs w:val="1"/>
                <w:color w:val="auto"/>
                <w:w w:val="93"/>
              </w:rPr>
              <w:t>Collateralized Loan Obligation - Equity Investments - (continued)</w:t>
            </w:r>
          </w:p>
        </w:tc>
        <w:tc>
          <w:tcPr>
            <w:tcW w:w="2380" w:type="dxa"/>
            <w:vAlign w:val="bottom"/>
            <w:tcBorders>
              <w:top w:val="single" w:sz="8" w:color="auto"/>
              <w:bottom w:val="single" w:sz="8" w:color="CCEEFF"/>
            </w:tcBorders>
            <w:shd w:val="clear" w:color="auto" w:fill="CCEEFF"/>
          </w:tcPr>
          <w:p>
            <w:pPr>
              <w:spacing w:after="0"/>
              <w:rPr>
                <w:sz w:val="11"/>
                <w:szCs w:val="11"/>
                <w:color w:val="auto"/>
              </w:rPr>
            </w:pPr>
          </w:p>
        </w:tc>
        <w:tc>
          <w:tcPr>
            <w:tcW w:w="40" w:type="dxa"/>
            <w:vAlign w:val="bottom"/>
            <w:tcBorders>
              <w:top w:val="single" w:sz="8" w:color="CCEEFF"/>
              <w:bottom w:val="single" w:sz="8" w:color="CCEEFF"/>
            </w:tcBorders>
            <w:shd w:val="clear" w:color="auto" w:fill="CCEEFF"/>
          </w:tcPr>
          <w:p>
            <w:pPr>
              <w:spacing w:after="0"/>
              <w:rPr>
                <w:sz w:val="11"/>
                <w:szCs w:val="11"/>
                <w:color w:val="auto"/>
              </w:rPr>
            </w:pPr>
          </w:p>
        </w:tc>
        <w:tc>
          <w:tcPr>
            <w:tcW w:w="1160" w:type="dxa"/>
            <w:vAlign w:val="bottom"/>
            <w:tcBorders>
              <w:top w:val="single" w:sz="8" w:color="auto"/>
              <w:bottom w:val="single" w:sz="8" w:color="CCEEFF"/>
            </w:tcBorders>
            <w:shd w:val="clear" w:color="auto" w:fill="CCEEFF"/>
          </w:tcPr>
          <w:p>
            <w:pPr>
              <w:spacing w:after="0"/>
              <w:rPr>
                <w:sz w:val="11"/>
                <w:szCs w:val="11"/>
                <w:color w:val="auto"/>
              </w:rPr>
            </w:pPr>
          </w:p>
        </w:tc>
        <w:tc>
          <w:tcPr>
            <w:tcW w:w="40" w:type="dxa"/>
            <w:vAlign w:val="bottom"/>
            <w:tcBorders>
              <w:top w:val="single" w:sz="8" w:color="CCEEFF"/>
              <w:bottom w:val="single" w:sz="8" w:color="CCEEFF"/>
            </w:tcBorders>
            <w:shd w:val="clear" w:color="auto" w:fill="CCEEFF"/>
          </w:tcPr>
          <w:p>
            <w:pPr>
              <w:spacing w:after="0"/>
              <w:rPr>
                <w:sz w:val="11"/>
                <w:szCs w:val="11"/>
                <w:color w:val="auto"/>
              </w:rPr>
            </w:pPr>
          </w:p>
        </w:tc>
        <w:tc>
          <w:tcPr>
            <w:tcW w:w="60" w:type="dxa"/>
            <w:vAlign w:val="bottom"/>
            <w:tcBorders>
              <w:top w:val="single" w:sz="8" w:color="auto"/>
              <w:bottom w:val="single" w:sz="8" w:color="CCEEFF"/>
            </w:tcBorders>
            <w:shd w:val="clear" w:color="auto" w:fill="CCEEFF"/>
          </w:tcPr>
          <w:p>
            <w:pPr>
              <w:spacing w:after="0"/>
              <w:rPr>
                <w:sz w:val="11"/>
                <w:szCs w:val="11"/>
                <w:color w:val="auto"/>
              </w:rPr>
            </w:pPr>
          </w:p>
        </w:tc>
        <w:tc>
          <w:tcPr>
            <w:tcW w:w="740" w:type="dxa"/>
            <w:vAlign w:val="bottom"/>
            <w:tcBorders>
              <w:top w:val="single" w:sz="8" w:color="auto"/>
              <w:bottom w:val="single" w:sz="8" w:color="CCEEFF"/>
            </w:tcBorders>
            <w:shd w:val="clear" w:color="auto" w:fill="CCEEFF"/>
          </w:tcPr>
          <w:p>
            <w:pPr>
              <w:spacing w:after="0"/>
              <w:rPr>
                <w:sz w:val="11"/>
                <w:szCs w:val="11"/>
                <w:color w:val="auto"/>
              </w:rPr>
            </w:pPr>
          </w:p>
        </w:tc>
        <w:tc>
          <w:tcPr>
            <w:tcW w:w="40" w:type="dxa"/>
            <w:vAlign w:val="bottom"/>
            <w:tcBorders>
              <w:top w:val="single" w:sz="8" w:color="CCEEFF"/>
              <w:bottom w:val="single" w:sz="8" w:color="CCEEFF"/>
            </w:tcBorders>
            <w:shd w:val="clear" w:color="auto" w:fill="CCEEFF"/>
          </w:tcPr>
          <w:p>
            <w:pPr>
              <w:spacing w:after="0"/>
              <w:rPr>
                <w:sz w:val="11"/>
                <w:szCs w:val="11"/>
                <w:color w:val="auto"/>
              </w:rPr>
            </w:pPr>
          </w:p>
        </w:tc>
        <w:tc>
          <w:tcPr>
            <w:tcW w:w="4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CCEEFF"/>
            </w:tcBorders>
            <w:shd w:val="clear" w:color="auto" w:fill="CCEEFF"/>
          </w:tcPr>
          <w:p>
            <w:pPr>
              <w:spacing w:after="0"/>
              <w:rPr>
                <w:sz w:val="11"/>
                <w:szCs w:val="11"/>
                <w:color w:val="auto"/>
              </w:rPr>
            </w:pPr>
          </w:p>
        </w:tc>
        <w:tc>
          <w:tcPr>
            <w:tcW w:w="720" w:type="dxa"/>
            <w:vAlign w:val="bottom"/>
            <w:tcBorders>
              <w:top w:val="single" w:sz="8" w:color="auto"/>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180" w:type="dxa"/>
            <w:vAlign w:val="bottom"/>
            <w:tcBorders>
              <w:top w:val="single" w:sz="8" w:color="auto"/>
              <w:bottom w:val="single" w:sz="8" w:color="CCEEFF"/>
            </w:tcBorders>
            <w:shd w:val="clear" w:color="auto" w:fill="CCEEFF"/>
          </w:tcPr>
          <w:p>
            <w:pPr>
              <w:spacing w:after="0"/>
              <w:rPr>
                <w:sz w:val="11"/>
                <w:szCs w:val="11"/>
                <w:color w:val="auto"/>
              </w:rPr>
            </w:pPr>
          </w:p>
        </w:tc>
        <w:tc>
          <w:tcPr>
            <w:tcW w:w="860" w:type="dxa"/>
            <w:vAlign w:val="bottom"/>
            <w:tcBorders>
              <w:top w:val="single" w:sz="8" w:color="auto"/>
              <w:bottom w:val="single" w:sz="8" w:color="CCEEFF"/>
            </w:tcBorders>
            <w:shd w:val="clear" w:color="auto" w:fill="CCEEFF"/>
          </w:tcPr>
          <w:p>
            <w:pPr>
              <w:spacing w:after="0"/>
              <w:rPr>
                <w:sz w:val="11"/>
                <w:szCs w:val="11"/>
                <w:color w:val="auto"/>
              </w:rPr>
            </w:pP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560" w:type="dxa"/>
            <w:vAlign w:val="bottom"/>
            <w:tcBorders>
              <w:top w:val="single" w:sz="8" w:color="auto"/>
              <w:bottom w:val="single" w:sz="8" w:color="CCEEFF"/>
            </w:tcBorders>
            <w:shd w:val="clear" w:color="auto" w:fill="CCEEFF"/>
          </w:tcPr>
          <w:p>
            <w:pPr>
              <w:spacing w:after="0"/>
              <w:rPr>
                <w:sz w:val="11"/>
                <w:szCs w:val="11"/>
                <w:color w:val="auto"/>
              </w:rPr>
            </w:pPr>
          </w:p>
        </w:tc>
        <w:tc>
          <w:tcPr>
            <w:tcW w:w="160" w:type="dxa"/>
            <w:vAlign w:val="bottom"/>
            <w:tcBorders>
              <w:top w:val="single" w:sz="8" w:color="CCEEFF"/>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100" w:type="dxa"/>
            <w:vAlign w:val="bottom"/>
          </w:tcPr>
          <w:p>
            <w:pPr>
              <w:spacing w:after="0"/>
              <w:rPr>
                <w:sz w:val="12"/>
                <w:szCs w:val="12"/>
                <w:color w:val="auto"/>
              </w:rPr>
            </w:pPr>
          </w:p>
        </w:tc>
        <w:tc>
          <w:tcPr>
            <w:tcW w:w="6480" w:type="dxa"/>
            <w:vAlign w:val="bottom"/>
            <w:gridSpan w:val="5"/>
          </w:tcPr>
          <w:p>
            <w:pPr>
              <w:spacing w:after="0" w:line="142" w:lineRule="exact"/>
              <w:rPr>
                <w:sz w:val="20"/>
                <w:szCs w:val="20"/>
                <w:color w:val="auto"/>
              </w:rPr>
            </w:pPr>
            <w:r>
              <w:rPr>
                <w:rFonts w:ascii="Arial" w:cs="Arial" w:eastAsia="Arial" w:hAnsi="Arial"/>
                <w:sz w:val="14"/>
                <w:szCs w:val="14"/>
                <w:b w:val="1"/>
                <w:bCs w:val="1"/>
                <w:color w:val="auto"/>
              </w:rPr>
              <w:t>OFSI Fund VII, Ltd.</w:t>
            </w:r>
          </w:p>
        </w:tc>
        <w:tc>
          <w:tcPr>
            <w:tcW w:w="1260" w:type="dxa"/>
            <w:vAlign w:val="bottom"/>
            <w:gridSpan w:val="3"/>
          </w:tcPr>
          <w:p>
            <w:pPr>
              <w:ind w:left="100"/>
              <w:spacing w:after="0" w:line="142" w:lineRule="exact"/>
              <w:rPr>
                <w:sz w:val="20"/>
                <w:szCs w:val="20"/>
                <w:color w:val="auto"/>
              </w:rPr>
            </w:pPr>
            <w:r>
              <w:rPr>
                <w:rFonts w:ascii="Arial" w:cs="Arial" w:eastAsia="Arial" w:hAnsi="Arial"/>
                <w:sz w:val="14"/>
                <w:szCs w:val="14"/>
                <w:color w:val="auto"/>
              </w:rPr>
              <w:t>structured finance</w:t>
            </w: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100" w:type="dxa"/>
            <w:vAlign w:val="bottom"/>
            <w:shd w:val="clear" w:color="auto" w:fill="CCEEFF"/>
          </w:tcPr>
          <w:p>
            <w:pPr>
              <w:spacing w:after="0"/>
              <w:rPr>
                <w:sz w:val="16"/>
                <w:szCs w:val="16"/>
                <w:color w:val="auto"/>
              </w:rPr>
            </w:pPr>
          </w:p>
        </w:tc>
        <w:tc>
          <w:tcPr>
            <w:tcW w:w="6480" w:type="dxa"/>
            <w:vAlign w:val="bottom"/>
            <w:gridSpan w:val="5"/>
            <w:shd w:val="clear" w:color="auto" w:fill="CCEEFF"/>
          </w:tcPr>
          <w:p>
            <w:pPr>
              <w:spacing w:after="0" w:line="189" w:lineRule="exact"/>
              <w:rPr>
                <w:sz w:val="20"/>
                <w:szCs w:val="20"/>
                <w:color w:val="auto"/>
              </w:rPr>
            </w:pPr>
            <w:r>
              <w:rPr>
                <w:rFonts w:ascii="Arial" w:cs="Arial" w:eastAsia="Arial" w:hAnsi="Arial"/>
                <w:sz w:val="13"/>
                <w:szCs w:val="13"/>
                <w:color w:val="auto"/>
              </w:rPr>
              <w:t>CLO subordinated notes</w:t>
            </w:r>
            <w:r>
              <w:rPr>
                <w:rFonts w:ascii="Arial" w:cs="Arial" w:eastAsia="Arial" w:hAnsi="Arial"/>
                <w:sz w:val="21"/>
                <w:szCs w:val="21"/>
                <w:color w:val="auto"/>
                <w:vertAlign w:val="superscript"/>
              </w:rPr>
              <w:t>(5)(7)</w:t>
            </w:r>
            <w:r>
              <w:rPr>
                <w:rFonts w:ascii="Arial" w:cs="Arial" w:eastAsia="Arial" w:hAnsi="Arial"/>
                <w:sz w:val="13"/>
                <w:szCs w:val="13"/>
                <w:color w:val="auto"/>
              </w:rPr>
              <w:t>, (Estimated yield 14.21%, maturity October 18, 2026)</w:t>
            </w:r>
          </w:p>
        </w:tc>
        <w:tc>
          <w:tcPr>
            <w:tcW w:w="1260" w:type="dxa"/>
            <w:vAlign w:val="bottom"/>
            <w:gridSpan w:val="3"/>
            <w:shd w:val="clear" w:color="auto" w:fill="CCEEFF"/>
          </w:tcPr>
          <w:p>
            <w:pPr>
              <w:ind w:left="1200"/>
              <w:spacing w:after="0"/>
              <w:rPr>
                <w:sz w:val="20"/>
                <w:szCs w:val="20"/>
                <w:color w:val="auto"/>
              </w:rPr>
            </w:pPr>
            <w:r>
              <w:rPr>
                <w:rFonts w:ascii="Arial" w:cs="Arial" w:eastAsia="Arial" w:hAnsi="Arial"/>
                <w:sz w:val="10"/>
                <w:szCs w:val="10"/>
                <w:color w:val="auto"/>
                <w:w w:val="71"/>
              </w:rPr>
              <w:t>$</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28,840,000</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w w:val="99"/>
              </w:rPr>
              <w:t>21,753,263</w:t>
            </w:r>
          </w:p>
        </w:tc>
        <w:tc>
          <w:tcPr>
            <w:tcW w:w="18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18,457,600</w:t>
            </w: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100" w:type="dxa"/>
            <w:vAlign w:val="bottom"/>
          </w:tcPr>
          <w:p>
            <w:pPr>
              <w:spacing w:after="0"/>
              <w:rPr>
                <w:sz w:val="12"/>
                <w:szCs w:val="12"/>
                <w:color w:val="auto"/>
              </w:rPr>
            </w:pPr>
          </w:p>
        </w:tc>
        <w:tc>
          <w:tcPr>
            <w:tcW w:w="4060" w:type="dxa"/>
            <w:vAlign w:val="bottom"/>
            <w:gridSpan w:val="3"/>
          </w:tcPr>
          <w:p>
            <w:pPr>
              <w:spacing w:after="0"/>
              <w:rPr>
                <w:sz w:val="12"/>
                <w:szCs w:val="12"/>
                <w:color w:val="auto"/>
              </w:rPr>
            </w:pPr>
          </w:p>
        </w:tc>
        <w:tc>
          <w:tcPr>
            <w:tcW w:w="2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0" w:type="dxa"/>
            <w:vAlign w:val="bottom"/>
            <w:shd w:val="clear" w:color="auto" w:fill="CCEEFF"/>
          </w:tcPr>
          <w:p>
            <w:pPr>
              <w:spacing w:after="0"/>
              <w:rPr>
                <w:sz w:val="12"/>
                <w:szCs w:val="12"/>
                <w:color w:val="auto"/>
              </w:rPr>
            </w:pPr>
          </w:p>
        </w:tc>
        <w:tc>
          <w:tcPr>
            <w:tcW w:w="6480" w:type="dxa"/>
            <w:vAlign w:val="bottom"/>
            <w:gridSpan w:val="5"/>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OZLM XIV, Ltd.</w:t>
            </w:r>
          </w:p>
        </w:tc>
        <w:tc>
          <w:tcPr>
            <w:tcW w:w="12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structured finance</w:t>
            </w:r>
          </w:p>
        </w:tc>
        <w:tc>
          <w:tcPr>
            <w:tcW w:w="7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100" w:type="dxa"/>
            <w:vAlign w:val="bottom"/>
          </w:tcPr>
          <w:p>
            <w:pPr>
              <w:spacing w:after="0"/>
              <w:rPr>
                <w:sz w:val="16"/>
                <w:szCs w:val="16"/>
                <w:color w:val="auto"/>
              </w:rPr>
            </w:pPr>
          </w:p>
        </w:tc>
        <w:tc>
          <w:tcPr>
            <w:tcW w:w="6480" w:type="dxa"/>
            <w:vAlign w:val="bottom"/>
            <w:gridSpan w:val="5"/>
          </w:tcPr>
          <w:p>
            <w:pPr>
              <w:spacing w:after="0" w:line="189" w:lineRule="exact"/>
              <w:rPr>
                <w:sz w:val="20"/>
                <w:szCs w:val="20"/>
                <w:color w:val="auto"/>
              </w:rPr>
            </w:pPr>
            <w:r>
              <w:rPr>
                <w:rFonts w:ascii="Arial" w:cs="Arial" w:eastAsia="Arial" w:hAnsi="Arial"/>
                <w:sz w:val="13"/>
                <w:szCs w:val="13"/>
                <w:color w:val="auto"/>
              </w:rPr>
              <w:t>CLO subordinated notes</w:t>
            </w:r>
            <w:r>
              <w:rPr>
                <w:rFonts w:ascii="Arial" w:cs="Arial" w:eastAsia="Arial" w:hAnsi="Arial"/>
                <w:sz w:val="21"/>
                <w:szCs w:val="21"/>
                <w:color w:val="auto"/>
                <w:vertAlign w:val="superscript"/>
              </w:rPr>
              <w:t>(5)(7)</w:t>
            </w:r>
            <w:r>
              <w:rPr>
                <w:rFonts w:ascii="Arial" w:cs="Arial" w:eastAsia="Arial" w:hAnsi="Arial"/>
                <w:sz w:val="13"/>
                <w:szCs w:val="13"/>
                <w:color w:val="auto"/>
              </w:rPr>
              <w:t>, (Estimated yield 18.76%, maturity January 15, 2029)</w:t>
            </w:r>
          </w:p>
        </w:tc>
        <w:tc>
          <w:tcPr>
            <w:tcW w:w="1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4"/>
                <w:szCs w:val="14"/>
                <w:color w:val="auto"/>
              </w:rPr>
              <w:t>17,000,000</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4"/>
                <w:szCs w:val="14"/>
                <w:color w:val="auto"/>
                <w:w w:val="99"/>
              </w:rPr>
              <w:t>13,098,823</w:t>
            </w:r>
          </w:p>
        </w:tc>
        <w:tc>
          <w:tcPr>
            <w:tcW w:w="180" w:type="dxa"/>
            <w:vAlign w:val="bottom"/>
          </w:tcPr>
          <w:p>
            <w:pPr>
              <w:spacing w:after="0"/>
              <w:rPr>
                <w:sz w:val="16"/>
                <w:szCs w:val="16"/>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4"/>
                <w:szCs w:val="14"/>
                <w:color w:val="auto"/>
              </w:rPr>
              <w:t>15,075,040</w:t>
            </w: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100" w:type="dxa"/>
            <w:vAlign w:val="bottom"/>
            <w:shd w:val="clear" w:color="auto" w:fill="CCEEFF"/>
          </w:tcPr>
          <w:p>
            <w:pPr>
              <w:spacing w:after="0"/>
              <w:rPr>
                <w:sz w:val="12"/>
                <w:szCs w:val="12"/>
                <w:color w:val="auto"/>
              </w:rPr>
            </w:pPr>
          </w:p>
        </w:tc>
        <w:tc>
          <w:tcPr>
            <w:tcW w:w="4060" w:type="dxa"/>
            <w:vAlign w:val="bottom"/>
            <w:gridSpan w:val="3"/>
            <w:shd w:val="clear" w:color="auto" w:fill="CCEEFF"/>
          </w:tcPr>
          <w:p>
            <w:pPr>
              <w:spacing w:after="0"/>
              <w:rPr>
                <w:sz w:val="12"/>
                <w:szCs w:val="12"/>
                <w:color w:val="auto"/>
              </w:rPr>
            </w:pPr>
          </w:p>
        </w:tc>
        <w:tc>
          <w:tcPr>
            <w:tcW w:w="23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0" w:type="dxa"/>
            <w:vAlign w:val="bottom"/>
          </w:tcPr>
          <w:p>
            <w:pPr>
              <w:spacing w:after="0"/>
              <w:rPr>
                <w:sz w:val="12"/>
                <w:szCs w:val="12"/>
                <w:color w:val="auto"/>
              </w:rPr>
            </w:pPr>
          </w:p>
        </w:tc>
        <w:tc>
          <w:tcPr>
            <w:tcW w:w="6480" w:type="dxa"/>
            <w:vAlign w:val="bottom"/>
            <w:gridSpan w:val="5"/>
          </w:tcPr>
          <w:p>
            <w:pPr>
              <w:spacing w:after="0" w:line="149" w:lineRule="exact"/>
              <w:rPr>
                <w:sz w:val="20"/>
                <w:szCs w:val="20"/>
                <w:color w:val="auto"/>
              </w:rPr>
            </w:pPr>
            <w:r>
              <w:rPr>
                <w:rFonts w:ascii="Arial" w:cs="Arial" w:eastAsia="Arial" w:hAnsi="Arial"/>
                <w:sz w:val="14"/>
                <w:szCs w:val="14"/>
                <w:b w:val="1"/>
                <w:bCs w:val="1"/>
                <w:color w:val="auto"/>
              </w:rPr>
              <w:t>Parallel 2015-1 Ltd.</w:t>
            </w:r>
          </w:p>
        </w:tc>
        <w:tc>
          <w:tcPr>
            <w:tcW w:w="126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structured finance</w:t>
            </w: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100" w:type="dxa"/>
            <w:vAlign w:val="bottom"/>
            <w:shd w:val="clear" w:color="auto" w:fill="CCEEFF"/>
          </w:tcPr>
          <w:p>
            <w:pPr>
              <w:spacing w:after="0"/>
              <w:rPr>
                <w:sz w:val="16"/>
                <w:szCs w:val="16"/>
                <w:color w:val="auto"/>
              </w:rPr>
            </w:pPr>
          </w:p>
        </w:tc>
        <w:tc>
          <w:tcPr>
            <w:tcW w:w="6480" w:type="dxa"/>
            <w:vAlign w:val="bottom"/>
            <w:gridSpan w:val="5"/>
            <w:shd w:val="clear" w:color="auto" w:fill="CCEEFF"/>
          </w:tcPr>
          <w:p>
            <w:pPr>
              <w:spacing w:after="0" w:line="189" w:lineRule="exact"/>
              <w:rPr>
                <w:sz w:val="20"/>
                <w:szCs w:val="20"/>
                <w:color w:val="auto"/>
              </w:rPr>
            </w:pPr>
            <w:r>
              <w:rPr>
                <w:rFonts w:ascii="Arial" w:cs="Arial" w:eastAsia="Arial" w:hAnsi="Arial"/>
                <w:sz w:val="13"/>
                <w:szCs w:val="13"/>
                <w:color w:val="auto"/>
              </w:rPr>
              <w:t>CLO subordinated notes</w:t>
            </w:r>
            <w:r>
              <w:rPr>
                <w:rFonts w:ascii="Arial" w:cs="Arial" w:eastAsia="Arial" w:hAnsi="Arial"/>
                <w:sz w:val="21"/>
                <w:szCs w:val="21"/>
                <w:color w:val="auto"/>
                <w:vertAlign w:val="superscript"/>
              </w:rPr>
              <w:t>(5)(7)</w:t>
            </w:r>
            <w:r>
              <w:rPr>
                <w:rFonts w:ascii="Arial" w:cs="Arial" w:eastAsia="Arial" w:hAnsi="Arial"/>
                <w:sz w:val="13"/>
                <w:szCs w:val="13"/>
                <w:color w:val="auto"/>
              </w:rPr>
              <w:t>, (Estimated yield 15.81%, maturity July 20, 2027)</w:t>
            </w:r>
          </w:p>
        </w:tc>
        <w:tc>
          <w:tcPr>
            <w:tcW w:w="11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10,250,000</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7,392,211</w:t>
            </w:r>
          </w:p>
        </w:tc>
        <w:tc>
          <w:tcPr>
            <w:tcW w:w="18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6,765,000</w:t>
            </w: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100" w:type="dxa"/>
            <w:vAlign w:val="bottom"/>
          </w:tcPr>
          <w:p>
            <w:pPr>
              <w:spacing w:after="0"/>
              <w:rPr>
                <w:sz w:val="12"/>
                <w:szCs w:val="12"/>
                <w:color w:val="auto"/>
              </w:rPr>
            </w:pPr>
          </w:p>
        </w:tc>
        <w:tc>
          <w:tcPr>
            <w:tcW w:w="4060" w:type="dxa"/>
            <w:vAlign w:val="bottom"/>
            <w:gridSpan w:val="3"/>
          </w:tcPr>
          <w:p>
            <w:pPr>
              <w:spacing w:after="0"/>
              <w:rPr>
                <w:sz w:val="12"/>
                <w:szCs w:val="12"/>
                <w:color w:val="auto"/>
              </w:rPr>
            </w:pPr>
          </w:p>
        </w:tc>
        <w:tc>
          <w:tcPr>
            <w:tcW w:w="2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0" w:type="dxa"/>
            <w:vAlign w:val="bottom"/>
            <w:shd w:val="clear" w:color="auto" w:fill="CCEEFF"/>
          </w:tcPr>
          <w:p>
            <w:pPr>
              <w:spacing w:after="0"/>
              <w:rPr>
                <w:sz w:val="12"/>
                <w:szCs w:val="12"/>
                <w:color w:val="auto"/>
              </w:rPr>
            </w:pPr>
          </w:p>
        </w:tc>
        <w:tc>
          <w:tcPr>
            <w:tcW w:w="6480" w:type="dxa"/>
            <w:vAlign w:val="bottom"/>
            <w:gridSpan w:val="5"/>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Regatta III Funding Ltd.</w:t>
            </w:r>
          </w:p>
        </w:tc>
        <w:tc>
          <w:tcPr>
            <w:tcW w:w="12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structured finance</w:t>
            </w:r>
          </w:p>
        </w:tc>
        <w:tc>
          <w:tcPr>
            <w:tcW w:w="7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100" w:type="dxa"/>
            <w:vAlign w:val="bottom"/>
          </w:tcPr>
          <w:p>
            <w:pPr>
              <w:spacing w:after="0"/>
              <w:rPr>
                <w:sz w:val="16"/>
                <w:szCs w:val="16"/>
                <w:color w:val="auto"/>
              </w:rPr>
            </w:pPr>
          </w:p>
        </w:tc>
        <w:tc>
          <w:tcPr>
            <w:tcW w:w="6480" w:type="dxa"/>
            <w:vAlign w:val="bottom"/>
            <w:gridSpan w:val="5"/>
          </w:tcPr>
          <w:p>
            <w:pPr>
              <w:spacing w:after="0" w:line="189" w:lineRule="exact"/>
              <w:rPr>
                <w:sz w:val="20"/>
                <w:szCs w:val="20"/>
                <w:color w:val="auto"/>
              </w:rPr>
            </w:pPr>
            <w:r>
              <w:rPr>
                <w:rFonts w:ascii="Arial" w:cs="Arial" w:eastAsia="Arial" w:hAnsi="Arial"/>
                <w:sz w:val="13"/>
                <w:szCs w:val="13"/>
                <w:color w:val="auto"/>
              </w:rPr>
              <w:t>CLO subordinated notes</w:t>
            </w:r>
            <w:r>
              <w:rPr>
                <w:rFonts w:ascii="Arial" w:cs="Arial" w:eastAsia="Arial" w:hAnsi="Arial"/>
                <w:sz w:val="21"/>
                <w:szCs w:val="21"/>
                <w:color w:val="auto"/>
                <w:vertAlign w:val="superscript"/>
              </w:rPr>
              <w:t>(5)(7)</w:t>
            </w:r>
            <w:r>
              <w:rPr>
                <w:rFonts w:ascii="Arial" w:cs="Arial" w:eastAsia="Arial" w:hAnsi="Arial"/>
                <w:sz w:val="13"/>
                <w:szCs w:val="13"/>
                <w:color w:val="auto"/>
              </w:rPr>
              <w:t>, (Estimated yield 33.25%, maturity April 15, 2026)</w:t>
            </w:r>
          </w:p>
        </w:tc>
        <w:tc>
          <w:tcPr>
            <w:tcW w:w="1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4"/>
                <w:szCs w:val="14"/>
                <w:color w:val="auto"/>
              </w:rPr>
              <w:t>2,750,000</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4"/>
                <w:szCs w:val="14"/>
                <w:color w:val="auto"/>
              </w:rPr>
              <w:t>1,018,271</w:t>
            </w:r>
          </w:p>
        </w:tc>
        <w:tc>
          <w:tcPr>
            <w:tcW w:w="180" w:type="dxa"/>
            <w:vAlign w:val="bottom"/>
          </w:tcPr>
          <w:p>
            <w:pPr>
              <w:spacing w:after="0"/>
              <w:rPr>
                <w:sz w:val="16"/>
                <w:szCs w:val="16"/>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4"/>
                <w:szCs w:val="14"/>
                <w:color w:val="auto"/>
              </w:rPr>
              <w:t>1,151,635</w:t>
            </w: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100" w:type="dxa"/>
            <w:vAlign w:val="bottom"/>
            <w:shd w:val="clear" w:color="auto" w:fill="CCEEFF"/>
          </w:tcPr>
          <w:p>
            <w:pPr>
              <w:spacing w:after="0"/>
              <w:rPr>
                <w:sz w:val="12"/>
                <w:szCs w:val="12"/>
                <w:color w:val="auto"/>
              </w:rPr>
            </w:pPr>
          </w:p>
        </w:tc>
        <w:tc>
          <w:tcPr>
            <w:tcW w:w="4060" w:type="dxa"/>
            <w:vAlign w:val="bottom"/>
            <w:gridSpan w:val="3"/>
            <w:shd w:val="clear" w:color="auto" w:fill="CCEEFF"/>
          </w:tcPr>
          <w:p>
            <w:pPr>
              <w:spacing w:after="0"/>
              <w:rPr>
                <w:sz w:val="12"/>
                <w:szCs w:val="12"/>
                <w:color w:val="auto"/>
              </w:rPr>
            </w:pPr>
          </w:p>
        </w:tc>
        <w:tc>
          <w:tcPr>
            <w:tcW w:w="23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0" w:type="dxa"/>
            <w:vAlign w:val="bottom"/>
          </w:tcPr>
          <w:p>
            <w:pPr>
              <w:spacing w:after="0"/>
              <w:rPr>
                <w:sz w:val="12"/>
                <w:szCs w:val="12"/>
                <w:color w:val="auto"/>
              </w:rPr>
            </w:pPr>
          </w:p>
        </w:tc>
        <w:tc>
          <w:tcPr>
            <w:tcW w:w="6480" w:type="dxa"/>
            <w:vAlign w:val="bottom"/>
            <w:gridSpan w:val="5"/>
          </w:tcPr>
          <w:p>
            <w:pPr>
              <w:spacing w:after="0" w:line="149" w:lineRule="exact"/>
              <w:rPr>
                <w:sz w:val="20"/>
                <w:szCs w:val="20"/>
                <w:color w:val="auto"/>
              </w:rPr>
            </w:pPr>
            <w:r>
              <w:rPr>
                <w:rFonts w:ascii="Arial" w:cs="Arial" w:eastAsia="Arial" w:hAnsi="Arial"/>
                <w:sz w:val="14"/>
                <w:szCs w:val="14"/>
                <w:b w:val="1"/>
                <w:bCs w:val="1"/>
                <w:color w:val="auto"/>
              </w:rPr>
              <w:t>Shackleton II CLO, Ltd.</w:t>
            </w:r>
          </w:p>
        </w:tc>
        <w:tc>
          <w:tcPr>
            <w:tcW w:w="126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structured finance</w:t>
            </w: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100" w:type="dxa"/>
            <w:vAlign w:val="bottom"/>
            <w:shd w:val="clear" w:color="auto" w:fill="CCEEFF"/>
          </w:tcPr>
          <w:p>
            <w:pPr>
              <w:spacing w:after="0"/>
              <w:rPr>
                <w:sz w:val="16"/>
                <w:szCs w:val="16"/>
                <w:color w:val="auto"/>
              </w:rPr>
            </w:pPr>
          </w:p>
        </w:tc>
        <w:tc>
          <w:tcPr>
            <w:tcW w:w="6480" w:type="dxa"/>
            <w:vAlign w:val="bottom"/>
            <w:gridSpan w:val="5"/>
            <w:shd w:val="clear" w:color="auto" w:fill="CCEEFF"/>
          </w:tcPr>
          <w:p>
            <w:pPr>
              <w:spacing w:after="0" w:line="189" w:lineRule="exact"/>
              <w:rPr>
                <w:sz w:val="20"/>
                <w:szCs w:val="20"/>
                <w:color w:val="auto"/>
              </w:rPr>
            </w:pPr>
            <w:r>
              <w:rPr>
                <w:rFonts w:ascii="Arial" w:cs="Arial" w:eastAsia="Arial" w:hAnsi="Arial"/>
                <w:sz w:val="13"/>
                <w:szCs w:val="13"/>
                <w:color w:val="auto"/>
              </w:rPr>
              <w:t>CLO income notes</w:t>
            </w:r>
            <w:r>
              <w:rPr>
                <w:rFonts w:ascii="Arial" w:cs="Arial" w:eastAsia="Arial" w:hAnsi="Arial"/>
                <w:sz w:val="21"/>
                <w:szCs w:val="21"/>
                <w:color w:val="auto"/>
                <w:vertAlign w:val="superscript"/>
              </w:rPr>
              <w:t>(5)(7)</w:t>
            </w:r>
            <w:r>
              <w:rPr>
                <w:rFonts w:ascii="Arial" w:cs="Arial" w:eastAsia="Arial" w:hAnsi="Arial"/>
                <w:sz w:val="13"/>
                <w:szCs w:val="13"/>
                <w:color w:val="auto"/>
              </w:rPr>
              <w:t>, (Estimated yield 20.26%, maturity October 20, 2023)</w:t>
            </w:r>
          </w:p>
        </w:tc>
        <w:tc>
          <w:tcPr>
            <w:tcW w:w="11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25,000,000</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w w:val="99"/>
              </w:rPr>
              <w:t>16,120,279</w:t>
            </w:r>
          </w:p>
        </w:tc>
        <w:tc>
          <w:tcPr>
            <w:tcW w:w="18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15,000,000</w:t>
            </w: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100" w:type="dxa"/>
            <w:vAlign w:val="bottom"/>
          </w:tcPr>
          <w:p>
            <w:pPr>
              <w:spacing w:after="0"/>
              <w:rPr>
                <w:sz w:val="12"/>
                <w:szCs w:val="12"/>
                <w:color w:val="auto"/>
              </w:rPr>
            </w:pPr>
          </w:p>
        </w:tc>
        <w:tc>
          <w:tcPr>
            <w:tcW w:w="4060" w:type="dxa"/>
            <w:vAlign w:val="bottom"/>
            <w:gridSpan w:val="3"/>
          </w:tcPr>
          <w:p>
            <w:pPr>
              <w:spacing w:after="0"/>
              <w:rPr>
                <w:sz w:val="12"/>
                <w:szCs w:val="12"/>
                <w:color w:val="auto"/>
              </w:rPr>
            </w:pPr>
          </w:p>
        </w:tc>
        <w:tc>
          <w:tcPr>
            <w:tcW w:w="2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0" w:type="dxa"/>
            <w:vAlign w:val="bottom"/>
            <w:shd w:val="clear" w:color="auto" w:fill="CCEEFF"/>
          </w:tcPr>
          <w:p>
            <w:pPr>
              <w:spacing w:after="0"/>
              <w:rPr>
                <w:sz w:val="12"/>
                <w:szCs w:val="12"/>
                <w:color w:val="auto"/>
              </w:rPr>
            </w:pPr>
          </w:p>
        </w:tc>
        <w:tc>
          <w:tcPr>
            <w:tcW w:w="6480" w:type="dxa"/>
            <w:vAlign w:val="bottom"/>
            <w:gridSpan w:val="5"/>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Shackleton 2015-VII CLO, Ltd.</w:t>
            </w:r>
          </w:p>
        </w:tc>
        <w:tc>
          <w:tcPr>
            <w:tcW w:w="12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structured finance</w:t>
            </w:r>
          </w:p>
        </w:tc>
        <w:tc>
          <w:tcPr>
            <w:tcW w:w="7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100" w:type="dxa"/>
            <w:vAlign w:val="bottom"/>
          </w:tcPr>
          <w:p>
            <w:pPr>
              <w:spacing w:after="0"/>
              <w:rPr>
                <w:sz w:val="16"/>
                <w:szCs w:val="16"/>
                <w:color w:val="auto"/>
              </w:rPr>
            </w:pPr>
          </w:p>
        </w:tc>
        <w:tc>
          <w:tcPr>
            <w:tcW w:w="6480" w:type="dxa"/>
            <w:vAlign w:val="bottom"/>
            <w:gridSpan w:val="5"/>
          </w:tcPr>
          <w:p>
            <w:pPr>
              <w:spacing w:after="0" w:line="189" w:lineRule="exact"/>
              <w:rPr>
                <w:sz w:val="20"/>
                <w:szCs w:val="20"/>
                <w:color w:val="auto"/>
              </w:rPr>
            </w:pPr>
            <w:r>
              <w:rPr>
                <w:rFonts w:ascii="Arial" w:cs="Arial" w:eastAsia="Arial" w:hAnsi="Arial"/>
                <w:sz w:val="13"/>
                <w:szCs w:val="13"/>
                <w:color w:val="auto"/>
              </w:rPr>
              <w:t>CLO subordinated notes</w:t>
            </w:r>
            <w:r>
              <w:rPr>
                <w:rFonts w:ascii="Arial" w:cs="Arial" w:eastAsia="Arial" w:hAnsi="Arial"/>
                <w:sz w:val="21"/>
                <w:szCs w:val="21"/>
                <w:color w:val="auto"/>
                <w:vertAlign w:val="superscript"/>
              </w:rPr>
              <w:t>(5)(7)</w:t>
            </w:r>
            <w:r>
              <w:rPr>
                <w:rFonts w:ascii="Arial" w:cs="Arial" w:eastAsia="Arial" w:hAnsi="Arial"/>
                <w:sz w:val="13"/>
                <w:szCs w:val="13"/>
                <w:color w:val="auto"/>
              </w:rPr>
              <w:t>, (Estimated yield 18.58%, maturity April 15, 2027)</w:t>
            </w:r>
          </w:p>
        </w:tc>
        <w:tc>
          <w:tcPr>
            <w:tcW w:w="1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4"/>
                <w:szCs w:val="14"/>
                <w:color w:val="auto"/>
              </w:rPr>
              <w:t>8,000,000</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4"/>
                <w:szCs w:val="14"/>
                <w:color w:val="auto"/>
              </w:rPr>
              <w:t>6,488,673</w:t>
            </w:r>
          </w:p>
        </w:tc>
        <w:tc>
          <w:tcPr>
            <w:tcW w:w="180" w:type="dxa"/>
            <w:vAlign w:val="bottom"/>
          </w:tcPr>
          <w:p>
            <w:pPr>
              <w:spacing w:after="0"/>
              <w:rPr>
                <w:sz w:val="16"/>
                <w:szCs w:val="16"/>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4"/>
                <w:szCs w:val="14"/>
                <w:color w:val="auto"/>
              </w:rPr>
              <w:t>6,743,783</w:t>
            </w: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100" w:type="dxa"/>
            <w:vAlign w:val="bottom"/>
            <w:shd w:val="clear" w:color="auto" w:fill="CCEEFF"/>
          </w:tcPr>
          <w:p>
            <w:pPr>
              <w:spacing w:after="0"/>
              <w:rPr>
                <w:sz w:val="12"/>
                <w:szCs w:val="12"/>
                <w:color w:val="auto"/>
              </w:rPr>
            </w:pPr>
          </w:p>
        </w:tc>
        <w:tc>
          <w:tcPr>
            <w:tcW w:w="4060" w:type="dxa"/>
            <w:vAlign w:val="bottom"/>
            <w:gridSpan w:val="3"/>
            <w:shd w:val="clear" w:color="auto" w:fill="CCEEFF"/>
          </w:tcPr>
          <w:p>
            <w:pPr>
              <w:spacing w:after="0"/>
              <w:rPr>
                <w:sz w:val="12"/>
                <w:szCs w:val="12"/>
                <w:color w:val="auto"/>
              </w:rPr>
            </w:pPr>
          </w:p>
        </w:tc>
        <w:tc>
          <w:tcPr>
            <w:tcW w:w="23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0" w:type="dxa"/>
            <w:vAlign w:val="bottom"/>
          </w:tcPr>
          <w:p>
            <w:pPr>
              <w:spacing w:after="0"/>
              <w:rPr>
                <w:sz w:val="12"/>
                <w:szCs w:val="12"/>
                <w:color w:val="auto"/>
              </w:rPr>
            </w:pPr>
          </w:p>
        </w:tc>
        <w:tc>
          <w:tcPr>
            <w:tcW w:w="6480" w:type="dxa"/>
            <w:vAlign w:val="bottom"/>
            <w:gridSpan w:val="5"/>
          </w:tcPr>
          <w:p>
            <w:pPr>
              <w:spacing w:after="0" w:line="149" w:lineRule="exact"/>
              <w:rPr>
                <w:sz w:val="20"/>
                <w:szCs w:val="20"/>
                <w:color w:val="auto"/>
              </w:rPr>
            </w:pPr>
            <w:r>
              <w:rPr>
                <w:rFonts w:ascii="Arial" w:cs="Arial" w:eastAsia="Arial" w:hAnsi="Arial"/>
                <w:sz w:val="14"/>
                <w:szCs w:val="14"/>
                <w:b w:val="1"/>
                <w:bCs w:val="1"/>
                <w:color w:val="auto"/>
              </w:rPr>
              <w:t>Sound Point CLO VIII, Ltd.</w:t>
            </w:r>
          </w:p>
        </w:tc>
        <w:tc>
          <w:tcPr>
            <w:tcW w:w="126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structured finance</w:t>
            </w: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100" w:type="dxa"/>
            <w:vAlign w:val="bottom"/>
            <w:shd w:val="clear" w:color="auto" w:fill="CCEEFF"/>
          </w:tcPr>
          <w:p>
            <w:pPr>
              <w:spacing w:after="0"/>
              <w:rPr>
                <w:sz w:val="16"/>
                <w:szCs w:val="16"/>
                <w:color w:val="auto"/>
              </w:rPr>
            </w:pPr>
          </w:p>
        </w:tc>
        <w:tc>
          <w:tcPr>
            <w:tcW w:w="6480" w:type="dxa"/>
            <w:vAlign w:val="bottom"/>
            <w:gridSpan w:val="5"/>
            <w:shd w:val="clear" w:color="auto" w:fill="CCEEFF"/>
          </w:tcPr>
          <w:p>
            <w:pPr>
              <w:spacing w:after="0" w:line="189" w:lineRule="exact"/>
              <w:rPr>
                <w:sz w:val="20"/>
                <w:szCs w:val="20"/>
                <w:color w:val="auto"/>
              </w:rPr>
            </w:pPr>
            <w:r>
              <w:rPr>
                <w:rFonts w:ascii="Arial" w:cs="Arial" w:eastAsia="Arial" w:hAnsi="Arial"/>
                <w:sz w:val="13"/>
                <w:szCs w:val="13"/>
                <w:color w:val="auto"/>
              </w:rPr>
              <w:t>CLO subordinated fee notes</w:t>
            </w:r>
            <w:r>
              <w:rPr>
                <w:rFonts w:ascii="Arial" w:cs="Arial" w:eastAsia="Arial" w:hAnsi="Arial"/>
                <w:sz w:val="21"/>
                <w:szCs w:val="21"/>
                <w:color w:val="auto"/>
                <w:vertAlign w:val="superscript"/>
              </w:rPr>
              <w:t>(8)</w:t>
            </w:r>
            <w:r>
              <w:rPr>
                <w:rFonts w:ascii="Arial" w:cs="Arial" w:eastAsia="Arial" w:hAnsi="Arial"/>
                <w:sz w:val="13"/>
                <w:szCs w:val="13"/>
                <w:color w:val="auto"/>
              </w:rPr>
              <w:t>, (Maturity April 15, 2027)</w:t>
            </w:r>
          </w:p>
        </w:tc>
        <w:tc>
          <w:tcPr>
            <w:tcW w:w="11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224,719</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202,247</w:t>
            </w:r>
          </w:p>
        </w:tc>
        <w:tc>
          <w:tcPr>
            <w:tcW w:w="18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138,649</w:t>
            </w: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100" w:type="dxa"/>
            <w:vAlign w:val="bottom"/>
          </w:tcPr>
          <w:p>
            <w:pPr>
              <w:spacing w:after="0"/>
              <w:rPr>
                <w:sz w:val="12"/>
                <w:szCs w:val="12"/>
                <w:color w:val="auto"/>
              </w:rPr>
            </w:pPr>
          </w:p>
        </w:tc>
        <w:tc>
          <w:tcPr>
            <w:tcW w:w="4060" w:type="dxa"/>
            <w:vAlign w:val="bottom"/>
            <w:gridSpan w:val="3"/>
          </w:tcPr>
          <w:p>
            <w:pPr>
              <w:spacing w:after="0"/>
              <w:rPr>
                <w:sz w:val="12"/>
                <w:szCs w:val="12"/>
                <w:color w:val="auto"/>
              </w:rPr>
            </w:pPr>
          </w:p>
        </w:tc>
        <w:tc>
          <w:tcPr>
            <w:tcW w:w="2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0" w:type="dxa"/>
            <w:vAlign w:val="bottom"/>
            <w:shd w:val="clear" w:color="auto" w:fill="CCEEFF"/>
          </w:tcPr>
          <w:p>
            <w:pPr>
              <w:spacing w:after="0"/>
              <w:rPr>
                <w:sz w:val="12"/>
                <w:szCs w:val="12"/>
                <w:color w:val="auto"/>
              </w:rPr>
            </w:pPr>
          </w:p>
        </w:tc>
        <w:tc>
          <w:tcPr>
            <w:tcW w:w="6480" w:type="dxa"/>
            <w:vAlign w:val="bottom"/>
            <w:gridSpan w:val="5"/>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Telos CLO 2013-3, Ltd.</w:t>
            </w:r>
          </w:p>
        </w:tc>
        <w:tc>
          <w:tcPr>
            <w:tcW w:w="12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structured finance</w:t>
            </w:r>
          </w:p>
        </w:tc>
        <w:tc>
          <w:tcPr>
            <w:tcW w:w="7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100" w:type="dxa"/>
            <w:vAlign w:val="bottom"/>
          </w:tcPr>
          <w:p>
            <w:pPr>
              <w:spacing w:after="0"/>
              <w:rPr>
                <w:sz w:val="16"/>
                <w:szCs w:val="16"/>
                <w:color w:val="auto"/>
              </w:rPr>
            </w:pPr>
          </w:p>
        </w:tc>
        <w:tc>
          <w:tcPr>
            <w:tcW w:w="6480" w:type="dxa"/>
            <w:vAlign w:val="bottom"/>
            <w:gridSpan w:val="5"/>
          </w:tcPr>
          <w:p>
            <w:pPr>
              <w:spacing w:after="0" w:line="189" w:lineRule="exact"/>
              <w:rPr>
                <w:sz w:val="20"/>
                <w:szCs w:val="20"/>
                <w:color w:val="auto"/>
              </w:rPr>
            </w:pPr>
            <w:r>
              <w:rPr>
                <w:rFonts w:ascii="Arial" w:cs="Arial" w:eastAsia="Arial" w:hAnsi="Arial"/>
                <w:sz w:val="13"/>
                <w:szCs w:val="13"/>
                <w:color w:val="auto"/>
              </w:rPr>
              <w:t>CLO subordinated notes</w:t>
            </w:r>
            <w:r>
              <w:rPr>
                <w:rFonts w:ascii="Arial" w:cs="Arial" w:eastAsia="Arial" w:hAnsi="Arial"/>
                <w:sz w:val="21"/>
                <w:szCs w:val="21"/>
                <w:color w:val="auto"/>
                <w:vertAlign w:val="superscript"/>
              </w:rPr>
              <w:t>(5)(7)</w:t>
            </w:r>
            <w:r>
              <w:rPr>
                <w:rFonts w:ascii="Arial" w:cs="Arial" w:eastAsia="Arial" w:hAnsi="Arial"/>
                <w:sz w:val="13"/>
                <w:szCs w:val="13"/>
                <w:color w:val="auto"/>
              </w:rPr>
              <w:t>, (Estimated yield 26.15%, maturity January 17, 2024)</w:t>
            </w:r>
          </w:p>
        </w:tc>
        <w:tc>
          <w:tcPr>
            <w:tcW w:w="1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4"/>
                <w:szCs w:val="14"/>
                <w:color w:val="auto"/>
              </w:rPr>
              <w:t>10,333,334</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4"/>
                <w:szCs w:val="14"/>
                <w:color w:val="auto"/>
              </w:rPr>
              <w:t>6,598,602</w:t>
            </w:r>
          </w:p>
        </w:tc>
        <w:tc>
          <w:tcPr>
            <w:tcW w:w="180" w:type="dxa"/>
            <w:vAlign w:val="bottom"/>
          </w:tcPr>
          <w:p>
            <w:pPr>
              <w:spacing w:after="0"/>
              <w:rPr>
                <w:sz w:val="16"/>
                <w:szCs w:val="16"/>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4"/>
                <w:szCs w:val="14"/>
                <w:color w:val="auto"/>
              </w:rPr>
              <w:t>5,528,334</w:t>
            </w: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100" w:type="dxa"/>
            <w:vAlign w:val="bottom"/>
            <w:shd w:val="clear" w:color="auto" w:fill="CCEEFF"/>
          </w:tcPr>
          <w:p>
            <w:pPr>
              <w:spacing w:after="0"/>
              <w:rPr>
                <w:sz w:val="12"/>
                <w:szCs w:val="12"/>
                <w:color w:val="auto"/>
              </w:rPr>
            </w:pPr>
          </w:p>
        </w:tc>
        <w:tc>
          <w:tcPr>
            <w:tcW w:w="4060" w:type="dxa"/>
            <w:vAlign w:val="bottom"/>
            <w:gridSpan w:val="3"/>
            <w:shd w:val="clear" w:color="auto" w:fill="CCEEFF"/>
          </w:tcPr>
          <w:p>
            <w:pPr>
              <w:spacing w:after="0"/>
              <w:rPr>
                <w:sz w:val="12"/>
                <w:szCs w:val="12"/>
                <w:color w:val="auto"/>
              </w:rPr>
            </w:pPr>
          </w:p>
        </w:tc>
        <w:tc>
          <w:tcPr>
            <w:tcW w:w="23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0" w:type="dxa"/>
            <w:vAlign w:val="bottom"/>
          </w:tcPr>
          <w:p>
            <w:pPr>
              <w:spacing w:after="0"/>
              <w:rPr>
                <w:sz w:val="12"/>
                <w:szCs w:val="12"/>
                <w:color w:val="auto"/>
              </w:rPr>
            </w:pPr>
          </w:p>
        </w:tc>
        <w:tc>
          <w:tcPr>
            <w:tcW w:w="6480" w:type="dxa"/>
            <w:vAlign w:val="bottom"/>
            <w:gridSpan w:val="5"/>
          </w:tcPr>
          <w:p>
            <w:pPr>
              <w:spacing w:after="0" w:line="149" w:lineRule="exact"/>
              <w:rPr>
                <w:sz w:val="20"/>
                <w:szCs w:val="20"/>
                <w:color w:val="auto"/>
              </w:rPr>
            </w:pPr>
            <w:r>
              <w:rPr>
                <w:rFonts w:ascii="Arial" w:cs="Arial" w:eastAsia="Arial" w:hAnsi="Arial"/>
                <w:sz w:val="14"/>
                <w:szCs w:val="14"/>
                <w:b w:val="1"/>
                <w:bCs w:val="1"/>
                <w:color w:val="auto"/>
              </w:rPr>
              <w:t>Telos CLO 2013-4, Ltd.</w:t>
            </w:r>
          </w:p>
        </w:tc>
        <w:tc>
          <w:tcPr>
            <w:tcW w:w="126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structured finance</w:t>
            </w: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100" w:type="dxa"/>
            <w:vAlign w:val="bottom"/>
            <w:shd w:val="clear" w:color="auto" w:fill="CCEEFF"/>
          </w:tcPr>
          <w:p>
            <w:pPr>
              <w:spacing w:after="0"/>
              <w:rPr>
                <w:sz w:val="16"/>
                <w:szCs w:val="16"/>
                <w:color w:val="auto"/>
              </w:rPr>
            </w:pPr>
          </w:p>
        </w:tc>
        <w:tc>
          <w:tcPr>
            <w:tcW w:w="6480" w:type="dxa"/>
            <w:vAlign w:val="bottom"/>
            <w:gridSpan w:val="5"/>
            <w:shd w:val="clear" w:color="auto" w:fill="CCEEFF"/>
          </w:tcPr>
          <w:p>
            <w:pPr>
              <w:spacing w:after="0" w:line="189" w:lineRule="exact"/>
              <w:rPr>
                <w:sz w:val="20"/>
                <w:szCs w:val="20"/>
                <w:color w:val="auto"/>
              </w:rPr>
            </w:pPr>
            <w:r>
              <w:rPr>
                <w:rFonts w:ascii="Arial" w:cs="Arial" w:eastAsia="Arial" w:hAnsi="Arial"/>
                <w:sz w:val="13"/>
                <w:szCs w:val="13"/>
                <w:color w:val="auto"/>
              </w:rPr>
              <w:t>CLO subordinated notes</w:t>
            </w:r>
            <w:r>
              <w:rPr>
                <w:rFonts w:ascii="Arial" w:cs="Arial" w:eastAsia="Arial" w:hAnsi="Arial"/>
                <w:sz w:val="21"/>
                <w:szCs w:val="21"/>
                <w:color w:val="auto"/>
                <w:vertAlign w:val="superscript"/>
              </w:rPr>
              <w:t>(5)(7)</w:t>
            </w:r>
            <w:r>
              <w:rPr>
                <w:rFonts w:ascii="Arial" w:cs="Arial" w:eastAsia="Arial" w:hAnsi="Arial"/>
                <w:sz w:val="13"/>
                <w:szCs w:val="13"/>
                <w:color w:val="auto"/>
              </w:rPr>
              <w:t>, (Estimated yield 33.81%, maturity July 17, 2024)</w:t>
            </w:r>
          </w:p>
        </w:tc>
        <w:tc>
          <w:tcPr>
            <w:tcW w:w="11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11,350,000</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6,715,362</w:t>
            </w:r>
          </w:p>
        </w:tc>
        <w:tc>
          <w:tcPr>
            <w:tcW w:w="18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6,881,917</w:t>
            </w: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100" w:type="dxa"/>
            <w:vAlign w:val="bottom"/>
          </w:tcPr>
          <w:p>
            <w:pPr>
              <w:spacing w:after="0"/>
              <w:rPr>
                <w:sz w:val="12"/>
                <w:szCs w:val="12"/>
                <w:color w:val="auto"/>
              </w:rPr>
            </w:pPr>
          </w:p>
        </w:tc>
        <w:tc>
          <w:tcPr>
            <w:tcW w:w="4060" w:type="dxa"/>
            <w:vAlign w:val="bottom"/>
            <w:gridSpan w:val="3"/>
          </w:tcPr>
          <w:p>
            <w:pPr>
              <w:spacing w:after="0"/>
              <w:rPr>
                <w:sz w:val="12"/>
                <w:szCs w:val="12"/>
                <w:color w:val="auto"/>
              </w:rPr>
            </w:pPr>
          </w:p>
        </w:tc>
        <w:tc>
          <w:tcPr>
            <w:tcW w:w="2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0" w:type="dxa"/>
            <w:vAlign w:val="bottom"/>
            <w:shd w:val="clear" w:color="auto" w:fill="CCEEFF"/>
          </w:tcPr>
          <w:p>
            <w:pPr>
              <w:spacing w:after="0"/>
              <w:rPr>
                <w:sz w:val="12"/>
                <w:szCs w:val="12"/>
                <w:color w:val="auto"/>
              </w:rPr>
            </w:pPr>
          </w:p>
        </w:tc>
        <w:tc>
          <w:tcPr>
            <w:tcW w:w="6480" w:type="dxa"/>
            <w:vAlign w:val="bottom"/>
            <w:gridSpan w:val="5"/>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THL Credit Wind River 2014-3 CLO Ltd.</w:t>
            </w:r>
          </w:p>
        </w:tc>
        <w:tc>
          <w:tcPr>
            <w:tcW w:w="12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structured finance</w:t>
            </w:r>
          </w:p>
        </w:tc>
        <w:tc>
          <w:tcPr>
            <w:tcW w:w="7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100" w:type="dxa"/>
            <w:vAlign w:val="bottom"/>
          </w:tcPr>
          <w:p>
            <w:pPr>
              <w:spacing w:after="0"/>
              <w:rPr>
                <w:sz w:val="16"/>
                <w:szCs w:val="16"/>
                <w:color w:val="auto"/>
              </w:rPr>
            </w:pPr>
          </w:p>
        </w:tc>
        <w:tc>
          <w:tcPr>
            <w:tcW w:w="6480" w:type="dxa"/>
            <w:vAlign w:val="bottom"/>
            <w:gridSpan w:val="5"/>
          </w:tcPr>
          <w:p>
            <w:pPr>
              <w:spacing w:after="0" w:line="189" w:lineRule="exact"/>
              <w:rPr>
                <w:sz w:val="20"/>
                <w:szCs w:val="20"/>
                <w:color w:val="auto"/>
              </w:rPr>
            </w:pPr>
            <w:r>
              <w:rPr>
                <w:rFonts w:ascii="Arial" w:cs="Arial" w:eastAsia="Arial" w:hAnsi="Arial"/>
                <w:sz w:val="13"/>
                <w:szCs w:val="13"/>
                <w:color w:val="auto"/>
              </w:rPr>
              <w:t>CLO subordinated notes</w:t>
            </w:r>
            <w:r>
              <w:rPr>
                <w:rFonts w:ascii="Arial" w:cs="Arial" w:eastAsia="Arial" w:hAnsi="Arial"/>
                <w:sz w:val="21"/>
                <w:szCs w:val="21"/>
                <w:color w:val="auto"/>
                <w:vertAlign w:val="superscript"/>
              </w:rPr>
              <w:t>(5)(7)</w:t>
            </w:r>
            <w:r>
              <w:rPr>
                <w:rFonts w:ascii="Arial" w:cs="Arial" w:eastAsia="Arial" w:hAnsi="Arial"/>
                <w:sz w:val="13"/>
                <w:szCs w:val="13"/>
                <w:color w:val="auto"/>
              </w:rPr>
              <w:t>, (Estimated yield 18.67%, maturity January 22, 2027)</w:t>
            </w:r>
          </w:p>
        </w:tc>
        <w:tc>
          <w:tcPr>
            <w:tcW w:w="1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4"/>
                <w:szCs w:val="14"/>
                <w:color w:val="auto"/>
              </w:rPr>
              <w:t>18,530,000</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4"/>
                <w:szCs w:val="14"/>
                <w:color w:val="auto"/>
                <w:w w:val="99"/>
              </w:rPr>
              <w:t>14,890,958</w:t>
            </w:r>
          </w:p>
        </w:tc>
        <w:tc>
          <w:tcPr>
            <w:tcW w:w="180" w:type="dxa"/>
            <w:vAlign w:val="bottom"/>
          </w:tcPr>
          <w:p>
            <w:pPr>
              <w:spacing w:after="0"/>
              <w:rPr>
                <w:sz w:val="16"/>
                <w:szCs w:val="16"/>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4"/>
                <w:szCs w:val="14"/>
                <w:color w:val="auto"/>
              </w:rPr>
              <w:t>15,750,500</w:t>
            </w: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100" w:type="dxa"/>
            <w:vAlign w:val="bottom"/>
            <w:shd w:val="clear" w:color="auto" w:fill="CCEEFF"/>
          </w:tcPr>
          <w:p>
            <w:pPr>
              <w:spacing w:after="0"/>
              <w:rPr>
                <w:sz w:val="12"/>
                <w:szCs w:val="12"/>
                <w:color w:val="auto"/>
              </w:rPr>
            </w:pPr>
          </w:p>
        </w:tc>
        <w:tc>
          <w:tcPr>
            <w:tcW w:w="4060" w:type="dxa"/>
            <w:vAlign w:val="bottom"/>
            <w:gridSpan w:val="3"/>
            <w:shd w:val="clear" w:color="auto" w:fill="CCEEFF"/>
          </w:tcPr>
          <w:p>
            <w:pPr>
              <w:spacing w:after="0"/>
              <w:rPr>
                <w:sz w:val="12"/>
                <w:szCs w:val="12"/>
                <w:color w:val="auto"/>
              </w:rPr>
            </w:pPr>
          </w:p>
        </w:tc>
        <w:tc>
          <w:tcPr>
            <w:tcW w:w="23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0" w:type="dxa"/>
            <w:vAlign w:val="bottom"/>
          </w:tcPr>
          <w:p>
            <w:pPr>
              <w:spacing w:after="0"/>
              <w:rPr>
                <w:sz w:val="12"/>
                <w:szCs w:val="12"/>
                <w:color w:val="auto"/>
              </w:rPr>
            </w:pPr>
          </w:p>
        </w:tc>
        <w:tc>
          <w:tcPr>
            <w:tcW w:w="6480" w:type="dxa"/>
            <w:vAlign w:val="bottom"/>
            <w:gridSpan w:val="5"/>
          </w:tcPr>
          <w:p>
            <w:pPr>
              <w:spacing w:after="0" w:line="149" w:lineRule="exact"/>
              <w:rPr>
                <w:sz w:val="20"/>
                <w:szCs w:val="20"/>
                <w:color w:val="auto"/>
              </w:rPr>
            </w:pPr>
            <w:r>
              <w:rPr>
                <w:rFonts w:ascii="Arial" w:cs="Arial" w:eastAsia="Arial" w:hAnsi="Arial"/>
                <w:sz w:val="14"/>
                <w:szCs w:val="14"/>
                <w:b w:val="1"/>
                <w:bCs w:val="1"/>
                <w:color w:val="auto"/>
              </w:rPr>
              <w:t>THL Credit Wind River 2016-3 CLO Ltd.</w:t>
            </w:r>
          </w:p>
        </w:tc>
        <w:tc>
          <w:tcPr>
            <w:tcW w:w="126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structured finance</w:t>
            </w: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00" w:type="dxa"/>
            <w:vAlign w:val="bottom"/>
            <w:shd w:val="clear" w:color="auto" w:fill="CCEEFF"/>
          </w:tcPr>
          <w:p>
            <w:pPr>
              <w:spacing w:after="0"/>
              <w:rPr>
                <w:sz w:val="18"/>
                <w:szCs w:val="18"/>
                <w:color w:val="auto"/>
              </w:rPr>
            </w:pPr>
          </w:p>
        </w:tc>
        <w:tc>
          <w:tcPr>
            <w:tcW w:w="6480" w:type="dxa"/>
            <w:vAlign w:val="bottom"/>
            <w:gridSpan w:val="5"/>
            <w:shd w:val="clear" w:color="auto" w:fill="CCEEFF"/>
          </w:tcPr>
          <w:p>
            <w:pPr>
              <w:spacing w:after="0" w:line="216" w:lineRule="exact"/>
              <w:rPr>
                <w:sz w:val="20"/>
                <w:szCs w:val="20"/>
                <w:color w:val="auto"/>
              </w:rPr>
            </w:pPr>
            <w:r>
              <w:rPr>
                <w:rFonts w:ascii="Arial" w:cs="Arial" w:eastAsia="Arial" w:hAnsi="Arial"/>
                <w:sz w:val="14"/>
                <w:szCs w:val="14"/>
                <w:color w:val="auto"/>
              </w:rPr>
              <w:t>CLO subordinated notes</w:t>
            </w:r>
            <w:r>
              <w:rPr>
                <w:rFonts w:ascii="Arial" w:cs="Arial" w:eastAsia="Arial" w:hAnsi="Arial"/>
                <w:sz w:val="23"/>
                <w:szCs w:val="23"/>
                <w:color w:val="auto"/>
                <w:vertAlign w:val="superscript"/>
              </w:rPr>
              <w:t>(5)(7)(9)(10)</w:t>
            </w:r>
            <w:r>
              <w:rPr>
                <w:rFonts w:ascii="Arial" w:cs="Arial" w:eastAsia="Arial" w:hAnsi="Arial"/>
                <w:sz w:val="14"/>
                <w:szCs w:val="14"/>
                <w:color w:val="auto"/>
              </w:rPr>
              <w:t>, (Estimated yield 12.70%, maturity September 10, 2018)</w:t>
            </w:r>
          </w:p>
        </w:tc>
        <w:tc>
          <w:tcPr>
            <w:tcW w:w="1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10,000,000</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w w:val="99"/>
              </w:rPr>
              <w:t>10,000,000</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10,000,000</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100" w:type="dxa"/>
            <w:vAlign w:val="bottom"/>
          </w:tcPr>
          <w:p>
            <w:pPr>
              <w:spacing w:after="0"/>
              <w:rPr>
                <w:sz w:val="12"/>
                <w:szCs w:val="12"/>
                <w:color w:val="auto"/>
              </w:rPr>
            </w:pPr>
          </w:p>
        </w:tc>
        <w:tc>
          <w:tcPr>
            <w:tcW w:w="4060" w:type="dxa"/>
            <w:vAlign w:val="bottom"/>
            <w:gridSpan w:val="3"/>
          </w:tcPr>
          <w:p>
            <w:pPr>
              <w:spacing w:after="0"/>
              <w:rPr>
                <w:sz w:val="12"/>
                <w:szCs w:val="12"/>
                <w:color w:val="auto"/>
              </w:rPr>
            </w:pPr>
          </w:p>
        </w:tc>
        <w:tc>
          <w:tcPr>
            <w:tcW w:w="2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0" w:type="dxa"/>
            <w:vAlign w:val="bottom"/>
            <w:shd w:val="clear" w:color="auto" w:fill="CCEEFF"/>
          </w:tcPr>
          <w:p>
            <w:pPr>
              <w:spacing w:after="0"/>
              <w:rPr>
                <w:sz w:val="12"/>
                <w:szCs w:val="12"/>
                <w:color w:val="auto"/>
              </w:rPr>
            </w:pPr>
          </w:p>
        </w:tc>
        <w:tc>
          <w:tcPr>
            <w:tcW w:w="6480" w:type="dxa"/>
            <w:vAlign w:val="bottom"/>
            <w:gridSpan w:val="5"/>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Venture XVII CLO, Ltd.</w:t>
            </w:r>
          </w:p>
        </w:tc>
        <w:tc>
          <w:tcPr>
            <w:tcW w:w="12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structured finance</w:t>
            </w:r>
          </w:p>
        </w:tc>
        <w:tc>
          <w:tcPr>
            <w:tcW w:w="7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100" w:type="dxa"/>
            <w:vAlign w:val="bottom"/>
          </w:tcPr>
          <w:p>
            <w:pPr>
              <w:spacing w:after="0"/>
              <w:rPr>
                <w:sz w:val="16"/>
                <w:szCs w:val="16"/>
                <w:color w:val="auto"/>
              </w:rPr>
            </w:pPr>
          </w:p>
        </w:tc>
        <w:tc>
          <w:tcPr>
            <w:tcW w:w="6480" w:type="dxa"/>
            <w:vAlign w:val="bottom"/>
            <w:gridSpan w:val="5"/>
          </w:tcPr>
          <w:p>
            <w:pPr>
              <w:spacing w:after="0" w:line="189" w:lineRule="exact"/>
              <w:rPr>
                <w:sz w:val="20"/>
                <w:szCs w:val="20"/>
                <w:color w:val="auto"/>
              </w:rPr>
            </w:pPr>
            <w:r>
              <w:rPr>
                <w:rFonts w:ascii="Arial" w:cs="Arial" w:eastAsia="Arial" w:hAnsi="Arial"/>
                <w:sz w:val="13"/>
                <w:szCs w:val="13"/>
                <w:color w:val="auto"/>
              </w:rPr>
              <w:t>CLO subordinated notes</w:t>
            </w:r>
            <w:r>
              <w:rPr>
                <w:rFonts w:ascii="Arial" w:cs="Arial" w:eastAsia="Arial" w:hAnsi="Arial"/>
                <w:sz w:val="21"/>
                <w:szCs w:val="21"/>
                <w:color w:val="auto"/>
                <w:vertAlign w:val="superscript"/>
              </w:rPr>
              <w:t>(5)(7)</w:t>
            </w:r>
            <w:r>
              <w:rPr>
                <w:rFonts w:ascii="Arial" w:cs="Arial" w:eastAsia="Arial" w:hAnsi="Arial"/>
                <w:sz w:val="13"/>
                <w:szCs w:val="13"/>
                <w:color w:val="auto"/>
              </w:rPr>
              <w:t>, (Estimated yield 20.60%, maturity July 15, 2026)</w:t>
            </w:r>
          </w:p>
        </w:tc>
        <w:tc>
          <w:tcPr>
            <w:tcW w:w="1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4"/>
                <w:szCs w:val="14"/>
                <w:color w:val="auto"/>
              </w:rPr>
              <w:t>13,000,000</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4"/>
                <w:szCs w:val="14"/>
                <w:color w:val="auto"/>
              </w:rPr>
              <w:t>8,669,255</w:t>
            </w:r>
          </w:p>
        </w:tc>
        <w:tc>
          <w:tcPr>
            <w:tcW w:w="180" w:type="dxa"/>
            <w:vAlign w:val="bottom"/>
          </w:tcPr>
          <w:p>
            <w:pPr>
              <w:spacing w:after="0"/>
              <w:rPr>
                <w:sz w:val="16"/>
                <w:szCs w:val="16"/>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4"/>
                <w:szCs w:val="14"/>
                <w:color w:val="auto"/>
              </w:rPr>
              <w:t>8,316,277</w:t>
            </w: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100" w:type="dxa"/>
            <w:vAlign w:val="bottom"/>
            <w:shd w:val="clear" w:color="auto" w:fill="CCEEFF"/>
          </w:tcPr>
          <w:p>
            <w:pPr>
              <w:spacing w:after="0"/>
              <w:rPr>
                <w:sz w:val="12"/>
                <w:szCs w:val="12"/>
                <w:color w:val="auto"/>
              </w:rPr>
            </w:pPr>
          </w:p>
        </w:tc>
        <w:tc>
          <w:tcPr>
            <w:tcW w:w="4060" w:type="dxa"/>
            <w:vAlign w:val="bottom"/>
            <w:gridSpan w:val="3"/>
            <w:shd w:val="clear" w:color="auto" w:fill="CCEEFF"/>
          </w:tcPr>
          <w:p>
            <w:pPr>
              <w:spacing w:after="0"/>
              <w:rPr>
                <w:sz w:val="12"/>
                <w:szCs w:val="12"/>
                <w:color w:val="auto"/>
              </w:rPr>
            </w:pPr>
          </w:p>
        </w:tc>
        <w:tc>
          <w:tcPr>
            <w:tcW w:w="23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0" w:type="dxa"/>
            <w:vAlign w:val="bottom"/>
          </w:tcPr>
          <w:p>
            <w:pPr>
              <w:spacing w:after="0"/>
              <w:rPr>
                <w:sz w:val="12"/>
                <w:szCs w:val="12"/>
                <w:color w:val="auto"/>
              </w:rPr>
            </w:pPr>
          </w:p>
        </w:tc>
        <w:tc>
          <w:tcPr>
            <w:tcW w:w="6480" w:type="dxa"/>
            <w:vAlign w:val="bottom"/>
            <w:gridSpan w:val="5"/>
          </w:tcPr>
          <w:p>
            <w:pPr>
              <w:spacing w:after="0" w:line="149" w:lineRule="exact"/>
              <w:rPr>
                <w:sz w:val="20"/>
                <w:szCs w:val="20"/>
                <w:color w:val="auto"/>
              </w:rPr>
            </w:pPr>
            <w:r>
              <w:rPr>
                <w:rFonts w:ascii="Arial" w:cs="Arial" w:eastAsia="Arial" w:hAnsi="Arial"/>
                <w:sz w:val="14"/>
                <w:szCs w:val="14"/>
                <w:b w:val="1"/>
                <w:bCs w:val="1"/>
                <w:color w:val="auto"/>
              </w:rPr>
              <w:t>Venture XVIII CLO, Ltd.</w:t>
            </w:r>
          </w:p>
        </w:tc>
        <w:tc>
          <w:tcPr>
            <w:tcW w:w="126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structured finance</w:t>
            </w: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100" w:type="dxa"/>
            <w:vAlign w:val="bottom"/>
            <w:shd w:val="clear" w:color="auto" w:fill="CCEEFF"/>
          </w:tcPr>
          <w:p>
            <w:pPr>
              <w:spacing w:after="0"/>
              <w:rPr>
                <w:sz w:val="16"/>
                <w:szCs w:val="16"/>
                <w:color w:val="auto"/>
              </w:rPr>
            </w:pPr>
          </w:p>
        </w:tc>
        <w:tc>
          <w:tcPr>
            <w:tcW w:w="6480" w:type="dxa"/>
            <w:vAlign w:val="bottom"/>
            <w:gridSpan w:val="5"/>
            <w:shd w:val="clear" w:color="auto" w:fill="CCEEFF"/>
          </w:tcPr>
          <w:p>
            <w:pPr>
              <w:spacing w:after="0" w:line="189" w:lineRule="exact"/>
              <w:rPr>
                <w:sz w:val="20"/>
                <w:szCs w:val="20"/>
                <w:color w:val="auto"/>
              </w:rPr>
            </w:pPr>
            <w:r>
              <w:rPr>
                <w:rFonts w:ascii="Arial" w:cs="Arial" w:eastAsia="Arial" w:hAnsi="Arial"/>
                <w:sz w:val="13"/>
                <w:szCs w:val="13"/>
                <w:color w:val="auto"/>
              </w:rPr>
              <w:t>CLO subordinated fee notes</w:t>
            </w:r>
            <w:r>
              <w:rPr>
                <w:rFonts w:ascii="Arial" w:cs="Arial" w:eastAsia="Arial" w:hAnsi="Arial"/>
                <w:sz w:val="21"/>
                <w:szCs w:val="21"/>
                <w:color w:val="auto"/>
                <w:vertAlign w:val="superscript"/>
              </w:rPr>
              <w:t>(8)</w:t>
            </w:r>
            <w:r>
              <w:rPr>
                <w:rFonts w:ascii="Arial" w:cs="Arial" w:eastAsia="Arial" w:hAnsi="Arial"/>
                <w:sz w:val="13"/>
                <w:szCs w:val="13"/>
                <w:color w:val="auto"/>
              </w:rPr>
              <w:t>, (Maturity October 15, 2026)</w:t>
            </w:r>
          </w:p>
        </w:tc>
        <w:tc>
          <w:tcPr>
            <w:tcW w:w="11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357,055</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193,443</w:t>
            </w: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100" w:type="dxa"/>
            <w:vAlign w:val="bottom"/>
          </w:tcPr>
          <w:p>
            <w:pPr>
              <w:spacing w:after="0"/>
              <w:rPr>
                <w:sz w:val="12"/>
                <w:szCs w:val="12"/>
                <w:color w:val="auto"/>
              </w:rPr>
            </w:pPr>
          </w:p>
        </w:tc>
        <w:tc>
          <w:tcPr>
            <w:tcW w:w="4060" w:type="dxa"/>
            <w:vAlign w:val="bottom"/>
            <w:gridSpan w:val="3"/>
          </w:tcPr>
          <w:p>
            <w:pPr>
              <w:spacing w:after="0"/>
              <w:rPr>
                <w:sz w:val="12"/>
                <w:szCs w:val="12"/>
                <w:color w:val="auto"/>
              </w:rPr>
            </w:pPr>
          </w:p>
        </w:tc>
        <w:tc>
          <w:tcPr>
            <w:tcW w:w="2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0" w:type="dxa"/>
            <w:vAlign w:val="bottom"/>
            <w:shd w:val="clear" w:color="auto" w:fill="CCEEFF"/>
          </w:tcPr>
          <w:p>
            <w:pPr>
              <w:spacing w:after="0"/>
              <w:rPr>
                <w:sz w:val="12"/>
                <w:szCs w:val="12"/>
                <w:color w:val="auto"/>
              </w:rPr>
            </w:pPr>
          </w:p>
        </w:tc>
        <w:tc>
          <w:tcPr>
            <w:tcW w:w="6480" w:type="dxa"/>
            <w:vAlign w:val="bottom"/>
            <w:gridSpan w:val="5"/>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Venture XXV CLO, Ltd.</w:t>
            </w:r>
          </w:p>
        </w:tc>
        <w:tc>
          <w:tcPr>
            <w:tcW w:w="12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structured finance</w:t>
            </w:r>
          </w:p>
        </w:tc>
        <w:tc>
          <w:tcPr>
            <w:tcW w:w="7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100" w:type="dxa"/>
            <w:vAlign w:val="bottom"/>
          </w:tcPr>
          <w:p>
            <w:pPr>
              <w:spacing w:after="0"/>
              <w:rPr>
                <w:sz w:val="16"/>
                <w:szCs w:val="16"/>
                <w:color w:val="auto"/>
              </w:rPr>
            </w:pPr>
          </w:p>
        </w:tc>
        <w:tc>
          <w:tcPr>
            <w:tcW w:w="6480" w:type="dxa"/>
            <w:vAlign w:val="bottom"/>
            <w:gridSpan w:val="5"/>
          </w:tcPr>
          <w:p>
            <w:pPr>
              <w:spacing w:after="0" w:line="189" w:lineRule="exact"/>
              <w:rPr>
                <w:sz w:val="20"/>
                <w:szCs w:val="20"/>
                <w:color w:val="auto"/>
              </w:rPr>
            </w:pPr>
            <w:r>
              <w:rPr>
                <w:rFonts w:ascii="Arial" w:cs="Arial" w:eastAsia="Arial" w:hAnsi="Arial"/>
                <w:sz w:val="13"/>
                <w:szCs w:val="13"/>
                <w:color w:val="auto"/>
              </w:rPr>
              <w:t>CLO subordinated notes</w:t>
            </w:r>
            <w:r>
              <w:rPr>
                <w:rFonts w:ascii="Arial" w:cs="Arial" w:eastAsia="Arial" w:hAnsi="Arial"/>
                <w:sz w:val="21"/>
                <w:szCs w:val="21"/>
                <w:color w:val="auto"/>
                <w:vertAlign w:val="superscript"/>
              </w:rPr>
              <w:t>(5)(7)(9)</w:t>
            </w:r>
            <w:r>
              <w:rPr>
                <w:rFonts w:ascii="Arial" w:cs="Arial" w:eastAsia="Arial" w:hAnsi="Arial"/>
                <w:sz w:val="13"/>
                <w:szCs w:val="13"/>
                <w:color w:val="auto"/>
              </w:rPr>
              <w:t>, (Estimated yield 15.39%, maturity April 20, 2029)</w:t>
            </w:r>
          </w:p>
        </w:tc>
        <w:tc>
          <w:tcPr>
            <w:tcW w:w="1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4"/>
                <w:szCs w:val="14"/>
                <w:color w:val="auto"/>
              </w:rPr>
              <w:t>4,000,000</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4"/>
                <w:szCs w:val="14"/>
                <w:color w:val="auto"/>
              </w:rPr>
              <w:t>3,707,355</w:t>
            </w:r>
          </w:p>
        </w:tc>
        <w:tc>
          <w:tcPr>
            <w:tcW w:w="180" w:type="dxa"/>
            <w:vAlign w:val="bottom"/>
          </w:tcPr>
          <w:p>
            <w:pPr>
              <w:spacing w:after="0"/>
              <w:rPr>
                <w:sz w:val="16"/>
                <w:szCs w:val="16"/>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4"/>
                <w:szCs w:val="14"/>
                <w:color w:val="auto"/>
              </w:rPr>
              <w:t>3,394,480</w:t>
            </w: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100" w:type="dxa"/>
            <w:vAlign w:val="bottom"/>
            <w:shd w:val="clear" w:color="auto" w:fill="CCEEFF"/>
          </w:tcPr>
          <w:p>
            <w:pPr>
              <w:spacing w:after="0"/>
              <w:rPr>
                <w:sz w:val="12"/>
                <w:szCs w:val="12"/>
                <w:color w:val="auto"/>
              </w:rPr>
            </w:pPr>
          </w:p>
        </w:tc>
        <w:tc>
          <w:tcPr>
            <w:tcW w:w="4060" w:type="dxa"/>
            <w:vAlign w:val="bottom"/>
            <w:gridSpan w:val="3"/>
            <w:shd w:val="clear" w:color="auto" w:fill="CCEEFF"/>
          </w:tcPr>
          <w:p>
            <w:pPr>
              <w:spacing w:after="0"/>
              <w:rPr>
                <w:sz w:val="12"/>
                <w:szCs w:val="12"/>
                <w:color w:val="auto"/>
              </w:rPr>
            </w:pPr>
          </w:p>
        </w:tc>
        <w:tc>
          <w:tcPr>
            <w:tcW w:w="23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0" w:type="dxa"/>
            <w:vAlign w:val="bottom"/>
          </w:tcPr>
          <w:p>
            <w:pPr>
              <w:spacing w:after="0"/>
              <w:rPr>
                <w:sz w:val="12"/>
                <w:szCs w:val="12"/>
                <w:color w:val="auto"/>
              </w:rPr>
            </w:pPr>
          </w:p>
        </w:tc>
        <w:tc>
          <w:tcPr>
            <w:tcW w:w="6480" w:type="dxa"/>
            <w:vAlign w:val="bottom"/>
            <w:gridSpan w:val="5"/>
          </w:tcPr>
          <w:p>
            <w:pPr>
              <w:spacing w:after="0" w:line="149" w:lineRule="exact"/>
              <w:rPr>
                <w:sz w:val="20"/>
                <w:szCs w:val="20"/>
                <w:color w:val="auto"/>
              </w:rPr>
            </w:pPr>
            <w:r>
              <w:rPr>
                <w:rFonts w:ascii="Arial" w:cs="Arial" w:eastAsia="Arial" w:hAnsi="Arial"/>
                <w:sz w:val="14"/>
                <w:szCs w:val="14"/>
                <w:b w:val="1"/>
                <w:bCs w:val="1"/>
                <w:color w:val="auto"/>
              </w:rPr>
              <w:t>Wellfleet 2016-2 CLO, Ltd.</w:t>
            </w:r>
          </w:p>
        </w:tc>
        <w:tc>
          <w:tcPr>
            <w:tcW w:w="126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structured finance</w:t>
            </w: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100" w:type="dxa"/>
            <w:vAlign w:val="bottom"/>
            <w:shd w:val="clear" w:color="auto" w:fill="CCEEFF"/>
          </w:tcPr>
          <w:p>
            <w:pPr>
              <w:spacing w:after="0"/>
              <w:rPr>
                <w:sz w:val="16"/>
                <w:szCs w:val="16"/>
                <w:color w:val="auto"/>
              </w:rPr>
            </w:pPr>
          </w:p>
        </w:tc>
        <w:tc>
          <w:tcPr>
            <w:tcW w:w="6480" w:type="dxa"/>
            <w:vAlign w:val="bottom"/>
            <w:gridSpan w:val="5"/>
            <w:shd w:val="clear" w:color="auto" w:fill="CCEEFF"/>
          </w:tcPr>
          <w:p>
            <w:pPr>
              <w:spacing w:after="0" w:line="189" w:lineRule="exact"/>
              <w:rPr>
                <w:sz w:val="20"/>
                <w:szCs w:val="20"/>
                <w:color w:val="auto"/>
              </w:rPr>
            </w:pPr>
            <w:r>
              <w:rPr>
                <w:rFonts w:ascii="Arial" w:cs="Arial" w:eastAsia="Arial" w:hAnsi="Arial"/>
                <w:sz w:val="13"/>
                <w:szCs w:val="13"/>
                <w:color w:val="auto"/>
              </w:rPr>
              <w:t>CLO subordinated notes</w:t>
            </w:r>
            <w:r>
              <w:rPr>
                <w:rFonts w:ascii="Arial" w:cs="Arial" w:eastAsia="Arial" w:hAnsi="Arial"/>
                <w:sz w:val="21"/>
                <w:szCs w:val="21"/>
                <w:color w:val="auto"/>
                <w:vertAlign w:val="superscript"/>
              </w:rPr>
              <w:t>(5)(7)(9)</w:t>
            </w:r>
            <w:r>
              <w:rPr>
                <w:rFonts w:ascii="Arial" w:cs="Arial" w:eastAsia="Arial" w:hAnsi="Arial"/>
                <w:sz w:val="13"/>
                <w:szCs w:val="13"/>
                <w:color w:val="auto"/>
              </w:rPr>
              <w:t>, (Estimated yield 17.90%, maturity October 20, 2028)</w:t>
            </w:r>
          </w:p>
        </w:tc>
        <w:tc>
          <w:tcPr>
            <w:tcW w:w="11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10,000,000</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8,577,336</w:t>
            </w:r>
          </w:p>
        </w:tc>
        <w:tc>
          <w:tcPr>
            <w:tcW w:w="18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8,200,000</w:t>
            </w: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100" w:type="dxa"/>
            <w:vAlign w:val="bottom"/>
          </w:tcPr>
          <w:p>
            <w:pPr>
              <w:spacing w:after="0"/>
              <w:rPr>
                <w:sz w:val="12"/>
                <w:szCs w:val="12"/>
                <w:color w:val="auto"/>
              </w:rPr>
            </w:pPr>
          </w:p>
        </w:tc>
        <w:tc>
          <w:tcPr>
            <w:tcW w:w="4060" w:type="dxa"/>
            <w:vAlign w:val="bottom"/>
            <w:gridSpan w:val="3"/>
          </w:tcPr>
          <w:p>
            <w:pPr>
              <w:spacing w:after="0"/>
              <w:rPr>
                <w:sz w:val="12"/>
                <w:szCs w:val="12"/>
                <w:color w:val="auto"/>
              </w:rPr>
            </w:pPr>
          </w:p>
        </w:tc>
        <w:tc>
          <w:tcPr>
            <w:tcW w:w="2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0" w:type="dxa"/>
            <w:vAlign w:val="bottom"/>
            <w:shd w:val="clear" w:color="auto" w:fill="CCEEFF"/>
          </w:tcPr>
          <w:p>
            <w:pPr>
              <w:spacing w:after="0"/>
              <w:rPr>
                <w:sz w:val="12"/>
                <w:szCs w:val="12"/>
                <w:color w:val="auto"/>
              </w:rPr>
            </w:pPr>
          </w:p>
        </w:tc>
        <w:tc>
          <w:tcPr>
            <w:tcW w:w="6480" w:type="dxa"/>
            <w:vAlign w:val="bottom"/>
            <w:gridSpan w:val="5"/>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Other CLO equity related investments</w:t>
            </w:r>
          </w:p>
        </w:tc>
        <w:tc>
          <w:tcPr>
            <w:tcW w:w="12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structured finance</w:t>
            </w:r>
          </w:p>
        </w:tc>
        <w:tc>
          <w:tcPr>
            <w:tcW w:w="7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100" w:type="dxa"/>
            <w:vAlign w:val="bottom"/>
          </w:tcPr>
          <w:p>
            <w:pPr>
              <w:spacing w:after="0"/>
              <w:rPr>
                <w:sz w:val="17"/>
                <w:szCs w:val="17"/>
                <w:color w:val="auto"/>
              </w:rPr>
            </w:pPr>
          </w:p>
        </w:tc>
        <w:tc>
          <w:tcPr>
            <w:tcW w:w="780" w:type="dxa"/>
            <w:vAlign w:val="bottom"/>
            <w:gridSpan w:val="2"/>
          </w:tcPr>
          <w:p>
            <w:pPr>
              <w:spacing w:after="0" w:line="202" w:lineRule="exact"/>
              <w:rPr>
                <w:sz w:val="20"/>
                <w:szCs w:val="20"/>
                <w:color w:val="auto"/>
              </w:rPr>
            </w:pPr>
            <w:r>
              <w:rPr>
                <w:rFonts w:ascii="Arial" w:cs="Arial" w:eastAsia="Arial" w:hAnsi="Arial"/>
                <w:sz w:val="14"/>
                <w:szCs w:val="14"/>
                <w:color w:val="auto"/>
                <w:w w:val="91"/>
              </w:rPr>
              <w:t>CLO other</w:t>
            </w:r>
            <w:r>
              <w:rPr>
                <w:rFonts w:ascii="Arial" w:cs="Arial" w:eastAsia="Arial" w:hAnsi="Arial"/>
                <w:sz w:val="23"/>
                <w:szCs w:val="23"/>
                <w:color w:val="auto"/>
                <w:w w:val="91"/>
                <w:vertAlign w:val="superscript"/>
              </w:rPr>
              <w:t>(8)</w:t>
            </w:r>
          </w:p>
        </w:tc>
        <w:tc>
          <w:tcPr>
            <w:tcW w:w="328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4"/>
                <w:szCs w:val="14"/>
                <w:color w:val="auto"/>
              </w:rPr>
              <w:t>2,419,142</w:t>
            </w: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100" w:type="dxa"/>
            <w:vAlign w:val="bottom"/>
            <w:tcBorders>
              <w:top w:val="single" w:sz="8" w:color="CCEEFF"/>
            </w:tcBorders>
            <w:shd w:val="clear" w:color="auto" w:fill="CCEEFF"/>
          </w:tcPr>
          <w:p>
            <w:pPr>
              <w:spacing w:after="0"/>
              <w:rPr>
                <w:sz w:val="12"/>
                <w:szCs w:val="12"/>
                <w:color w:val="auto"/>
              </w:rPr>
            </w:pPr>
          </w:p>
        </w:tc>
        <w:tc>
          <w:tcPr>
            <w:tcW w:w="6480" w:type="dxa"/>
            <w:vAlign w:val="bottom"/>
            <w:tcBorders>
              <w:top w:val="single" w:sz="8" w:color="CCEEFF"/>
            </w:tcBorders>
            <w:gridSpan w:val="5"/>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Total Collateralized Loan Obligation - Equity Investments</w:t>
            </w:r>
          </w:p>
        </w:tc>
        <w:tc>
          <w:tcPr>
            <w:tcW w:w="116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74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9"/>
              </w:rPr>
              <w:t>336,403,654</w:t>
            </w:r>
          </w:p>
        </w:tc>
        <w:tc>
          <w:tcPr>
            <w:tcW w:w="8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329,474,986</w:t>
            </w: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auto"/>
              <w:bottom w:val="single" w:sz="8" w:color="auto"/>
            </w:tcBorders>
            <w:shd w:val="clear" w:color="auto" w:fill="CCEEFF"/>
          </w:tcPr>
          <w:p>
            <w:pPr>
              <w:ind w:left="160"/>
              <w:spacing w:after="0" w:line="142" w:lineRule="exact"/>
              <w:rPr>
                <w:sz w:val="20"/>
                <w:szCs w:val="20"/>
                <w:color w:val="auto"/>
              </w:rPr>
            </w:pPr>
            <w:r>
              <w:rPr>
                <w:rFonts w:ascii="Arial" w:cs="Arial" w:eastAsia="Arial" w:hAnsi="Arial"/>
                <w:sz w:val="14"/>
                <w:szCs w:val="14"/>
                <w:color w:val="auto"/>
                <w:w w:val="88"/>
              </w:rPr>
              <w:t>142.91</w:t>
            </w:r>
          </w:p>
        </w:tc>
        <w:tc>
          <w:tcPr>
            <w:tcW w:w="160" w:type="dxa"/>
            <w:vAlign w:val="bottom"/>
            <w:tcBorders>
              <w:top w:val="single" w:sz="8" w:color="CCEEFF"/>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42"/>
        </w:trPr>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100" w:type="dxa"/>
            <w:vAlign w:val="bottom"/>
            <w:shd w:val="clear" w:color="auto" w:fill="CCEEFF"/>
          </w:tcPr>
          <w:p>
            <w:pPr>
              <w:spacing w:after="0"/>
              <w:rPr>
                <w:sz w:val="15"/>
                <w:szCs w:val="15"/>
                <w:color w:val="auto"/>
              </w:rPr>
            </w:pPr>
          </w:p>
        </w:tc>
        <w:tc>
          <w:tcPr>
            <w:tcW w:w="6480" w:type="dxa"/>
            <w:vAlign w:val="bottom"/>
            <w:gridSpan w:val="5"/>
            <w:shd w:val="clear" w:color="auto" w:fill="CCEEFF"/>
          </w:tcPr>
          <w:p>
            <w:pPr>
              <w:spacing w:after="0"/>
              <w:rPr>
                <w:sz w:val="20"/>
                <w:szCs w:val="20"/>
                <w:color w:val="auto"/>
              </w:rPr>
            </w:pPr>
            <w:r>
              <w:rPr>
                <w:rFonts w:ascii="Arial" w:cs="Arial" w:eastAsia="Arial" w:hAnsi="Arial"/>
                <w:sz w:val="14"/>
                <w:szCs w:val="14"/>
                <w:b w:val="1"/>
                <w:bCs w:val="1"/>
                <w:color w:val="auto"/>
              </w:rPr>
              <w:t>Total Investments</w:t>
            </w:r>
          </w:p>
        </w:tc>
        <w:tc>
          <w:tcPr>
            <w:tcW w:w="11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b w:val="1"/>
                <w:bCs w:val="1"/>
                <w:color w:val="auto"/>
                <w:w w:val="89"/>
              </w:rPr>
              <w:t>347,952,023</w:t>
            </w:r>
          </w:p>
        </w:tc>
        <w:tc>
          <w:tcPr>
            <w:tcW w:w="1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b w:val="1"/>
                <w:bCs w:val="1"/>
                <w:color w:val="auto"/>
              </w:rPr>
              <w:t>340,822,802</w:t>
            </w:r>
          </w:p>
        </w:tc>
        <w:tc>
          <w:tcPr>
            <w:tcW w:w="80" w:type="dxa"/>
            <w:vAlign w:val="bottom"/>
            <w:shd w:val="clear" w:color="auto" w:fill="CCEEFF"/>
          </w:tcPr>
          <w:p>
            <w:pPr>
              <w:spacing w:after="0"/>
              <w:rPr>
                <w:sz w:val="15"/>
                <w:szCs w:val="15"/>
                <w:color w:val="auto"/>
              </w:rPr>
            </w:pPr>
          </w:p>
        </w:tc>
        <w:tc>
          <w:tcPr>
            <w:tcW w:w="720" w:type="dxa"/>
            <w:vAlign w:val="bottom"/>
            <w:gridSpan w:val="2"/>
            <w:shd w:val="clear" w:color="auto" w:fill="CCEEFF"/>
          </w:tcPr>
          <w:p>
            <w:pPr>
              <w:ind w:left="160"/>
              <w:spacing w:after="0" w:line="176" w:lineRule="exact"/>
              <w:rPr>
                <w:sz w:val="20"/>
                <w:szCs w:val="20"/>
                <w:color w:val="auto"/>
              </w:rPr>
            </w:pPr>
            <w:r>
              <w:rPr>
                <w:rFonts w:ascii="Arial" w:cs="Arial" w:eastAsia="Arial" w:hAnsi="Arial"/>
                <w:sz w:val="12"/>
                <w:szCs w:val="12"/>
                <w:b w:val="1"/>
                <w:bCs w:val="1"/>
                <w:color w:val="auto"/>
              </w:rPr>
              <w:t>147.83</w:t>
            </w:r>
            <w:r>
              <w:rPr>
                <w:rFonts w:ascii="Arial" w:cs="Arial" w:eastAsia="Arial" w:hAnsi="Arial"/>
                <w:sz w:val="20"/>
                <w:szCs w:val="20"/>
                <w:b w:val="1"/>
                <w:bCs w:val="1"/>
                <w:color w:val="auto"/>
                <w:vertAlign w:val="superscript"/>
              </w:rPr>
              <w:t>%</w:t>
            </w:r>
          </w:p>
        </w:tc>
        <w:tc>
          <w:tcPr>
            <w:tcW w:w="0" w:type="dxa"/>
            <w:vAlign w:val="bottom"/>
          </w:tcPr>
          <w:p>
            <w:pPr>
              <w:spacing w:after="0"/>
              <w:rPr>
                <w:sz w:val="1"/>
                <w:szCs w:val="1"/>
                <w:color w:val="auto"/>
              </w:rPr>
            </w:pPr>
          </w:p>
        </w:tc>
      </w:tr>
      <w:tr>
        <w:trPr>
          <w:trHeight w:val="20"/>
        </w:trPr>
        <w:tc>
          <w:tcPr>
            <w:tcW w:w="100" w:type="dxa"/>
            <w:vAlign w:val="bottom"/>
            <w:tcBorders>
              <w:top w:val="single" w:sz="8" w:color="CCEEFF"/>
            </w:tcBorders>
          </w:tcPr>
          <w:p>
            <w:pPr>
              <w:spacing w:after="0" w:line="20" w:lineRule="exact"/>
              <w:rPr>
                <w:sz w:val="1"/>
                <w:szCs w:val="1"/>
                <w:color w:val="auto"/>
              </w:rPr>
            </w:pPr>
          </w:p>
        </w:tc>
        <w:tc>
          <w:tcPr>
            <w:tcW w:w="4060" w:type="dxa"/>
            <w:vAlign w:val="bottom"/>
            <w:tcBorders>
              <w:top w:val="single" w:sz="8" w:color="CCEEFF"/>
            </w:tcBorders>
            <w:gridSpan w:val="3"/>
          </w:tcPr>
          <w:p>
            <w:pPr>
              <w:spacing w:after="0" w:line="20" w:lineRule="exact"/>
              <w:rPr>
                <w:sz w:val="1"/>
                <w:szCs w:val="1"/>
                <w:color w:val="auto"/>
              </w:rPr>
            </w:pPr>
          </w:p>
        </w:tc>
        <w:tc>
          <w:tcPr>
            <w:tcW w:w="23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8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100" w:type="dxa"/>
            <w:vAlign w:val="bottom"/>
            <w:shd w:val="clear" w:color="auto" w:fill="CCEEFF"/>
          </w:tcPr>
          <w:p>
            <w:pPr>
              <w:spacing w:after="0"/>
              <w:rPr>
                <w:sz w:val="14"/>
                <w:szCs w:val="14"/>
                <w:color w:val="auto"/>
              </w:rPr>
            </w:pPr>
          </w:p>
        </w:tc>
        <w:tc>
          <w:tcPr>
            <w:tcW w:w="6480" w:type="dxa"/>
            <w:vAlign w:val="bottom"/>
            <w:gridSpan w:val="5"/>
            <w:shd w:val="clear" w:color="auto" w:fill="CCEEFF"/>
          </w:tcPr>
          <w:p>
            <w:pPr>
              <w:spacing w:after="0"/>
              <w:rPr>
                <w:sz w:val="20"/>
                <w:szCs w:val="20"/>
                <w:color w:val="auto"/>
              </w:rPr>
            </w:pPr>
            <w:r>
              <w:rPr>
                <w:rFonts w:ascii="Arial" w:cs="Arial" w:eastAsia="Arial" w:hAnsi="Arial"/>
                <w:sz w:val="14"/>
                <w:szCs w:val="14"/>
                <w:b w:val="1"/>
                <w:bCs w:val="1"/>
                <w:color w:val="auto"/>
              </w:rPr>
              <w:t>LIABILITIES IN EXCESS OF OTHER ASSETS</w:t>
            </w:r>
          </w:p>
        </w:tc>
        <w:tc>
          <w:tcPr>
            <w:tcW w:w="11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6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(110,267,758)</w:t>
            </w:r>
          </w:p>
        </w:tc>
        <w:tc>
          <w:tcPr>
            <w:tcW w:w="5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6480" w:type="dxa"/>
            <w:vAlign w:val="bottom"/>
            <w:gridSpan w:val="5"/>
          </w:tcPr>
          <w:p>
            <w:pPr>
              <w:spacing w:after="0"/>
              <w:rPr>
                <w:sz w:val="20"/>
                <w:szCs w:val="20"/>
                <w:color w:val="auto"/>
              </w:rPr>
            </w:pPr>
            <w:r>
              <w:rPr>
                <w:rFonts w:ascii="Arial" w:cs="Arial" w:eastAsia="Arial" w:hAnsi="Arial"/>
                <w:sz w:val="14"/>
                <w:szCs w:val="14"/>
                <w:b w:val="1"/>
                <w:bCs w:val="1"/>
                <w:color w:val="auto"/>
                <w:w w:val="93"/>
              </w:rPr>
              <w:t>NET ASSETS (equivalent to $10.74 per share based on 21,469,520 shares of common stock outstanding)</w:t>
            </w:r>
          </w:p>
        </w:tc>
        <w:tc>
          <w:tcPr>
            <w:tcW w:w="1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b w:val="1"/>
                <w:bCs w:val="1"/>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230,555,044</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(Continued on next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color w:val="auto"/>
        </w:rPr>
        <w:t>OXFORD LANE CAPITAL CORP.</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OF INVESTMENTS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31, 2016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57975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97550" cy="8890"/>
                    </a:xfrm>
                    <a:prstGeom prst="rect">
                      <a:avLst/>
                    </a:prstGeom>
                    <a:noFill/>
                  </pic:spPr>
                </pic:pic>
              </a:graphicData>
            </a:graphic>
          </wp:anchor>
        </w:drawing>
      </w:r>
    </w:p>
    <w:p>
      <w:pPr>
        <w:spacing w:after="0" w:line="218" w:lineRule="exact"/>
        <w:rPr>
          <w:sz w:val="20"/>
          <w:szCs w:val="20"/>
          <w:color w:val="auto"/>
        </w:rPr>
      </w:pPr>
    </w:p>
    <w:p>
      <w:pPr>
        <w:jc w:val="both"/>
        <w:ind w:left="340" w:hanging="332"/>
        <w:spacing w:after="0" w:line="288" w:lineRule="auto"/>
        <w:tabs>
          <w:tab w:leader="none" w:pos="340" w:val="left"/>
        </w:tabs>
        <w:numPr>
          <w:ilvl w:val="0"/>
          <w:numId w:val="1"/>
        </w:numPr>
        <w:rPr>
          <w:rFonts w:ascii="Arial" w:cs="Arial" w:eastAsia="Arial" w:hAnsi="Arial"/>
          <w:sz w:val="16"/>
          <w:szCs w:val="16"/>
          <w:color w:val="auto"/>
        </w:rPr>
      </w:pPr>
      <w:r>
        <w:rPr>
          <w:rFonts w:ascii="Arial" w:cs="Arial" w:eastAsia="Arial" w:hAnsi="Arial"/>
          <w:sz w:val="16"/>
          <w:szCs w:val="16"/>
          <w:color w:val="auto"/>
        </w:rPr>
        <w:t>Oxford Lane Capital Corp. (“OXLC”, “we”, or the “Fund”) does not "control" and is not an “affiliate” of any of our portfolio companies, each as defined in the Investment Company Act of 1940 (the “1940 Act”). In general, under the 1940 Act, we would be presumed to “control” a portfolio company if we owned 25% or more of its voting securities and would be an “affiliate” of a portfolio company if we owned 5% or more of its voting securities.</w:t>
      </w: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Fair value is determined in good faith by the Board of Directors of the Fund.</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Notes bear interest at variable rates.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Cost value reflects accretion of original issue discount or market discount.</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Cost value reflects accretion of effective yield less any cash distributions received or entitled to be received from CLO equity investments.</w:t>
      </w:r>
    </w:p>
    <w:p>
      <w:pPr>
        <w:spacing w:after="0" w:line="9" w:lineRule="exact"/>
        <w:rPr>
          <w:rFonts w:ascii="Arial" w:cs="Arial" w:eastAsia="Arial" w:hAnsi="Arial"/>
          <w:sz w:val="18"/>
          <w:szCs w:val="18"/>
          <w:color w:val="auto"/>
        </w:rPr>
      </w:pPr>
    </w:p>
    <w:p>
      <w:pPr>
        <w:ind w:left="340" w:right="20" w:hanging="332"/>
        <w:spacing w:after="0" w:line="250"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CLO secured notes generally bear interest at a rate determined by reference to three-month LIBOR which resets quarterly. For each CLO debt investment, the rate provided is as of December 31, 2016.</w:t>
      </w:r>
    </w:p>
    <w:p>
      <w:pPr>
        <w:jc w:val="both"/>
        <w:ind w:left="340" w:hanging="332"/>
        <w:spacing w:after="0" w:line="250"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CLO subordinated notes and income notes are considered equity positions in the CLO funds. Equity investments are entitled to recurring distributions which are generally equal to the remaining cash flow of the payments made by the underlying fund's securities less contractual payments to debt holders and fund expenses. The estimated yield indicated is based upon a current projection of the amount and timing of these recurring distributions and the estimated amount of repayment of principal upon termination. Such projections are periodically reviewed and adjusted, and the estimated yield may not ultimately be realized.</w:t>
      </w:r>
    </w:p>
    <w:p>
      <w:pPr>
        <w:spacing w:after="0" w:line="2" w:lineRule="exact"/>
        <w:rPr>
          <w:rFonts w:ascii="Arial" w:cs="Arial" w:eastAsia="Arial" w:hAnsi="Arial"/>
          <w:sz w:val="18"/>
          <w:szCs w:val="18"/>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Fair value represents discounted cash flows associated with fees earned from CLO equity investments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Investment has not made inaugural distribution for relevant period end. See “Note 3. Investment Income.”</w:t>
      </w:r>
    </w:p>
    <w:p>
      <w:pPr>
        <w:spacing w:after="0" w:line="9" w:lineRule="exact"/>
        <w:rPr>
          <w:rFonts w:ascii="Arial" w:cs="Arial" w:eastAsia="Arial" w:hAnsi="Arial"/>
          <w:sz w:val="18"/>
          <w:szCs w:val="18"/>
          <w:color w:val="auto"/>
        </w:rPr>
      </w:pPr>
    </w:p>
    <w:p>
      <w:pPr>
        <w:ind w:left="340" w:hanging="332"/>
        <w:spacing w:after="0" w:line="261"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subordinated shares represent an investment in a warehouse facility, which is a financing structure intended to aggregate loans that may be used to form the basis of a CLO vehicle.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color w:val="auto"/>
        </w:rPr>
        <w:t>OXFORD LANE CAPITAL CORP.</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31, 2016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INVESTMENT VALUATION</w:t>
      </w:r>
    </w:p>
    <w:p>
      <w:pPr>
        <w:spacing w:after="0" w:line="229" w:lineRule="exact"/>
        <w:rPr>
          <w:sz w:val="20"/>
          <w:szCs w:val="20"/>
          <w:color w:val="auto"/>
        </w:rPr>
      </w:pPr>
    </w:p>
    <w:p>
      <w:pPr>
        <w:jc w:val="both"/>
        <w:ind w:firstLine="270"/>
        <w:spacing w:after="0" w:line="257" w:lineRule="auto"/>
        <w:rPr>
          <w:sz w:val="20"/>
          <w:szCs w:val="20"/>
          <w:color w:val="auto"/>
        </w:rPr>
      </w:pPr>
      <w:r>
        <w:rPr>
          <w:rFonts w:ascii="Arial" w:cs="Arial" w:eastAsia="Arial" w:hAnsi="Arial"/>
          <w:sz w:val="18"/>
          <w:szCs w:val="18"/>
          <w:color w:val="auto"/>
        </w:rPr>
        <w:t xml:space="preserve">OXLC determines fair value of its investment portfolio in accordance with the provisions of ASC 820, </w:t>
      </w:r>
      <w:r>
        <w:rPr>
          <w:rFonts w:ascii="Arial" w:cs="Arial" w:eastAsia="Arial" w:hAnsi="Arial"/>
          <w:sz w:val="18"/>
          <w:szCs w:val="18"/>
          <w:i w:val="1"/>
          <w:iCs w:val="1"/>
          <w:color w:val="auto"/>
        </w:rPr>
        <w:t>Fair Value Measurement and Disclosure</w:t>
      </w:r>
      <w:r>
        <w:rPr>
          <w:rFonts w:ascii="Arial" w:cs="Arial" w:eastAsia="Arial" w:hAnsi="Arial"/>
          <w:sz w:val="18"/>
          <w:szCs w:val="18"/>
          <w:color w:val="auto"/>
        </w:rPr>
        <w:t>. A significant estimate made in the preparation of OXLC’s financial statements is the valuation of investments and the related amounts of unrealized appreciation and depreciation of investments recorded. OXLC believes that there is no single definitive method for determining fair value in good faith. As a result, determining fair value requires that judgment be applied to the specific facts and circumstances of each portfolio investment while employing a consistently applied valuation process for the types of investments OXLC makes.</w:t>
      </w:r>
    </w:p>
    <w:p>
      <w:pPr>
        <w:spacing w:after="0" w:line="188" w:lineRule="exact"/>
        <w:rPr>
          <w:sz w:val="20"/>
          <w:szCs w:val="20"/>
          <w:color w:val="auto"/>
        </w:rPr>
      </w:pPr>
    </w:p>
    <w:p>
      <w:pPr>
        <w:ind w:firstLine="270"/>
        <w:spacing w:after="0" w:line="253" w:lineRule="auto"/>
        <w:rPr>
          <w:sz w:val="20"/>
          <w:szCs w:val="20"/>
          <w:color w:val="auto"/>
        </w:rPr>
      </w:pPr>
      <w:r>
        <w:rPr>
          <w:rFonts w:ascii="Arial" w:cs="Arial" w:eastAsia="Arial" w:hAnsi="Arial"/>
          <w:sz w:val="18"/>
          <w:szCs w:val="18"/>
          <w:color w:val="auto"/>
        </w:rPr>
        <w:t>ASC 820-10 clarified the definition of fair value and requires companies to expand their disclosure about the use of fair value to measure assets and liabilities in interim and annual periods subsequent to initial recognition. ASC 820-10 defines fair value as the price that would be received to sell an asset or paid to transfer a liability in an orderly transaction between market participants at the measurement date. ASC 820-10 also establishes a three-tier fair value hierarchy, which prioritizes the inputs used in measuring fair value. These tiers include: Level 1, defined as observable inputs such as quoted prices in active markets; Level 2, which includes inputs such as quoted prices for similar securities in active markets and quoted prices for identical securities in markets that are not active; and Level 3, defined as unobservable inputs for which little or no market data exists, therefore requiring an entity to develop its own assumptions. OXLC considers the attributes of current market conditions on an on-going basis and has determined that due to the general illiquidity of the market for its investment portfolio, whereby little or no market data exists, all of OXLC’s investments are valued based upon “Level 3” inputs as of December 31, 2016.</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Collateralized Loan Obligations — Debt and Equity</w:t>
      </w:r>
    </w:p>
    <w:p>
      <w:pPr>
        <w:spacing w:after="0" w:line="229" w:lineRule="exact"/>
        <w:rPr>
          <w:sz w:val="20"/>
          <w:szCs w:val="20"/>
          <w:color w:val="auto"/>
        </w:rPr>
      </w:pPr>
    </w:p>
    <w:p>
      <w:pPr>
        <w:ind w:right="40" w:firstLine="270"/>
        <w:spacing w:after="0" w:line="269" w:lineRule="auto"/>
        <w:rPr>
          <w:sz w:val="20"/>
          <w:szCs w:val="20"/>
          <w:color w:val="auto"/>
        </w:rPr>
      </w:pPr>
      <w:r>
        <w:rPr>
          <w:rFonts w:ascii="Arial" w:cs="Arial" w:eastAsia="Arial" w:hAnsi="Arial"/>
          <w:sz w:val="17"/>
          <w:szCs w:val="17"/>
          <w:color w:val="auto"/>
        </w:rPr>
        <w:t>OXLC has acquired debt and equity positions in collateralized loan obligation (“CLO”) investment vehicles and has purchased CLO warehouse facilities. These investments are special purpose financing vehicles. In valuing such investments, OXLC considers the indicative prices provided by a recognized industry pricing service as a primary source, and the implied yield of such prices, supplemented by actual trades executed in the market at or around period-end, as well as the indicative prices provided by the broker who arranges transactions in such investment vehicles. OXLC also considers those instances in which the record date for an equity distribution payment falls on the last day of the period, and the likelihood that a prospective purchaser would require a downward adjustment to the indicative price representing substantially all of the pending distribution. Additional factors include any available information on other relevant transactions, including firm bids and offers in the market and information resulting from bids-wanted-in-competition. In addition, OXLC considers the operating metrics of the specific investment vehicle, including compliance with collateralization tests, defaulted and restructured securities, and payment defaults, if any. OXLC Management, LLC (“OXLC Management”) or the Fund’s board of directors (the “Board of Directors”) may request an additional analysis by a third-party firm to assist in the valuation process of CLO investment vehicles. All information is presented to the Board of Directors for its determination of fair value of these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554355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color w:val="auto"/>
        </w:rPr>
        <w:t>OXFORD LANE CAPITAL CORP.</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31, 2016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FAIR VALUE</w:t>
      </w:r>
    </w:p>
    <w:p>
      <w:pPr>
        <w:spacing w:after="0" w:line="229" w:lineRule="exact"/>
        <w:rPr>
          <w:sz w:val="20"/>
          <w:szCs w:val="20"/>
          <w:color w:val="auto"/>
        </w:rPr>
      </w:pPr>
    </w:p>
    <w:p>
      <w:pPr>
        <w:jc w:val="both"/>
        <w:ind w:firstLine="270"/>
        <w:spacing w:after="0" w:line="277" w:lineRule="auto"/>
        <w:rPr>
          <w:sz w:val="20"/>
          <w:szCs w:val="20"/>
          <w:color w:val="auto"/>
        </w:rPr>
      </w:pPr>
      <w:r>
        <w:rPr>
          <w:rFonts w:ascii="Arial" w:cs="Arial" w:eastAsia="Arial" w:hAnsi="Arial"/>
          <w:sz w:val="18"/>
          <w:szCs w:val="18"/>
          <w:color w:val="auto"/>
        </w:rPr>
        <w:t>The Fund’s assets measured at fair value on a recurring basis subject to the disclosure requirements of ASC 820-10 at December 31, 2016 were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700" w:type="dxa"/>
            <w:vAlign w:val="bottom"/>
            <w:gridSpan w:val="9"/>
          </w:tcPr>
          <w:p>
            <w:pPr>
              <w:jc w:val="center"/>
              <w:ind w:right="420"/>
              <w:spacing w:after="0"/>
              <w:rPr>
                <w:sz w:val="20"/>
                <w:szCs w:val="20"/>
                <w:color w:val="auto"/>
              </w:rPr>
            </w:pPr>
            <w:r>
              <w:rPr>
                <w:rFonts w:ascii="Arial" w:cs="Arial" w:eastAsia="Arial" w:hAnsi="Arial"/>
                <w:sz w:val="18"/>
                <w:szCs w:val="18"/>
                <w:b w:val="1"/>
                <w:bCs w:val="1"/>
                <w:color w:val="auto"/>
                <w:w w:val="90"/>
              </w:rPr>
              <w:t>Fair Value Measurements at Reporting Date Using</w:t>
            </w: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5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center"/>
              <w:ind w:right="10"/>
              <w:spacing w:after="0" w:line="191" w:lineRule="exact"/>
              <w:rPr>
                <w:sz w:val="20"/>
                <w:szCs w:val="20"/>
                <w:color w:val="auto"/>
              </w:rPr>
            </w:pPr>
            <w:r>
              <w:rPr>
                <w:rFonts w:ascii="Arial" w:cs="Arial" w:eastAsia="Arial" w:hAnsi="Arial"/>
                <w:sz w:val="18"/>
                <w:szCs w:val="18"/>
                <w:b w:val="1"/>
                <w:bCs w:val="1"/>
                <w:color w:val="auto"/>
                <w:w w:val="88"/>
              </w:rPr>
              <w:t>Quoted Prices</w:t>
            </w:r>
          </w:p>
        </w:tc>
        <w:tc>
          <w:tcPr>
            <w:tcW w:w="34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center"/>
              <w:ind w:right="10"/>
              <w:spacing w:after="0"/>
              <w:rPr>
                <w:sz w:val="20"/>
                <w:szCs w:val="20"/>
                <w:color w:val="auto"/>
              </w:rPr>
            </w:pPr>
            <w:r>
              <w:rPr>
                <w:rFonts w:ascii="Arial" w:cs="Arial" w:eastAsia="Arial" w:hAnsi="Arial"/>
                <w:sz w:val="18"/>
                <w:szCs w:val="18"/>
                <w:b w:val="1"/>
                <w:bCs w:val="1"/>
                <w:color w:val="auto"/>
                <w:w w:val="99"/>
              </w:rPr>
              <w:t>in</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Significant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2"/>
          </w:tcPr>
          <w:p>
            <w:pPr>
              <w:jc w:val="center"/>
              <w:spacing w:after="0"/>
              <w:rPr>
                <w:sz w:val="20"/>
                <w:szCs w:val="20"/>
                <w:color w:val="auto"/>
              </w:rPr>
            </w:pPr>
            <w:r>
              <w:rPr>
                <w:rFonts w:ascii="Arial" w:cs="Arial" w:eastAsia="Arial" w:hAnsi="Arial"/>
                <w:sz w:val="18"/>
                <w:szCs w:val="18"/>
                <w:b w:val="1"/>
                <w:bCs w:val="1"/>
                <w:color w:val="auto"/>
                <w:w w:val="92"/>
              </w:rPr>
              <w:t>Active Markets</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5"/>
              </w:rPr>
              <w:t>Other</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1"/>
              </w:rPr>
              <w:t>Significant</w:t>
            </w: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center"/>
              <w:ind w:right="10"/>
              <w:spacing w:after="0"/>
              <w:rPr>
                <w:sz w:val="20"/>
                <w:szCs w:val="20"/>
                <w:color w:val="auto"/>
              </w:rPr>
            </w:pPr>
            <w:r>
              <w:rPr>
                <w:rFonts w:ascii="Arial" w:cs="Arial" w:eastAsia="Arial" w:hAnsi="Arial"/>
                <w:sz w:val="18"/>
                <w:szCs w:val="18"/>
                <w:b w:val="1"/>
                <w:bCs w:val="1"/>
                <w:color w:val="auto"/>
                <w:w w:val="99"/>
              </w:rPr>
              <w:t>for</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Observable</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9"/>
              </w:rPr>
              <w:t>Unobservable</w:t>
            </w: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2"/>
          </w:tcPr>
          <w:p>
            <w:pPr>
              <w:jc w:val="center"/>
              <w:spacing w:after="0"/>
              <w:rPr>
                <w:sz w:val="20"/>
                <w:szCs w:val="20"/>
                <w:color w:val="auto"/>
              </w:rPr>
            </w:pPr>
            <w:r>
              <w:rPr>
                <w:rFonts w:ascii="Arial" w:cs="Arial" w:eastAsia="Arial" w:hAnsi="Arial"/>
                <w:sz w:val="18"/>
                <w:szCs w:val="18"/>
                <w:b w:val="1"/>
                <w:bCs w:val="1"/>
                <w:color w:val="auto"/>
                <w:w w:val="87"/>
              </w:rPr>
              <w:t>Identical Assets</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Inputs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2"/>
              </w:rPr>
              <w:t>Inputs</w:t>
            </w: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260" w:type="dxa"/>
            <w:vAlign w:val="bottom"/>
            <w:gridSpan w:val="3"/>
          </w:tcPr>
          <w:p>
            <w:pPr>
              <w:spacing w:after="0"/>
              <w:rPr>
                <w:sz w:val="20"/>
                <w:szCs w:val="20"/>
                <w:color w:val="auto"/>
              </w:rPr>
            </w:pPr>
            <w:r>
              <w:rPr>
                <w:rFonts w:ascii="Arial" w:cs="Arial" w:eastAsia="Arial" w:hAnsi="Arial"/>
                <w:sz w:val="18"/>
                <w:szCs w:val="18"/>
                <w:b w:val="1"/>
                <w:bCs w:val="1"/>
                <w:color w:val="auto"/>
              </w:rPr>
              <w:t>Assets ($ in millions)</w:t>
            </w:r>
          </w:p>
        </w:tc>
        <w:tc>
          <w:tcPr>
            <w:tcW w:w="100" w:type="dxa"/>
            <w:vAlign w:val="bottom"/>
          </w:tcPr>
          <w:p>
            <w:pPr>
              <w:spacing w:after="0"/>
              <w:rPr>
                <w:sz w:val="20"/>
                <w:szCs w:val="20"/>
                <w:color w:val="auto"/>
              </w:rPr>
            </w:pPr>
          </w:p>
        </w:tc>
        <w:tc>
          <w:tcPr>
            <w:tcW w:w="1180" w:type="dxa"/>
            <w:vAlign w:val="bottom"/>
          </w:tcPr>
          <w:p>
            <w:pPr>
              <w:jc w:val="center"/>
              <w:ind w:right="10"/>
              <w:spacing w:after="0"/>
              <w:rPr>
                <w:sz w:val="20"/>
                <w:szCs w:val="20"/>
                <w:color w:val="auto"/>
              </w:rPr>
            </w:pPr>
            <w:r>
              <w:rPr>
                <w:rFonts w:ascii="Arial" w:cs="Arial" w:eastAsia="Arial" w:hAnsi="Arial"/>
                <w:sz w:val="18"/>
                <w:szCs w:val="18"/>
                <w:b w:val="1"/>
                <w:bCs w:val="1"/>
                <w:color w:val="auto"/>
                <w:w w:val="93"/>
              </w:rPr>
              <w:t>(Level 1)</w:t>
            </w: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3"/>
              </w:rPr>
              <w:t>(Level 2)</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3"/>
              </w:rPr>
              <w:t>(Level 3)</w:t>
            </w:r>
          </w:p>
        </w:tc>
        <w:tc>
          <w:tcPr>
            <w:tcW w:w="260" w:type="dxa"/>
            <w:vAlign w:val="bottom"/>
          </w:tcPr>
          <w:p>
            <w:pPr>
              <w:spacing w:after="0"/>
              <w:rPr>
                <w:sz w:val="20"/>
                <w:szCs w:val="20"/>
                <w:color w:val="auto"/>
              </w:rPr>
            </w:pPr>
          </w:p>
        </w:tc>
        <w:tc>
          <w:tcPr>
            <w:tcW w:w="1100" w:type="dxa"/>
            <w:vAlign w:val="bottom"/>
            <w:gridSpan w:val="2"/>
          </w:tcPr>
          <w:p>
            <w:pPr>
              <w:ind w:left="18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0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CLO debt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11.3</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CLO equity</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329.5</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329.5</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5240" w:type="dxa"/>
            <w:vAlign w:val="bottom"/>
            <w:gridSpan w:val="2"/>
          </w:tcPr>
          <w:p>
            <w:pPr>
              <w:spacing w:after="0"/>
              <w:rPr>
                <w:sz w:val="20"/>
                <w:szCs w:val="20"/>
                <w:color w:val="auto"/>
              </w:rPr>
            </w:pPr>
            <w:r>
              <w:rPr>
                <w:rFonts w:ascii="Arial" w:cs="Arial" w:eastAsia="Arial" w:hAnsi="Arial"/>
                <w:sz w:val="18"/>
                <w:szCs w:val="18"/>
                <w:color w:val="auto"/>
              </w:rPr>
              <w:t>Total</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320"/>
              <w:spacing w:after="0"/>
              <w:rPr>
                <w:sz w:val="20"/>
                <w:szCs w:val="20"/>
                <w:color w:val="auto"/>
              </w:rPr>
            </w:pPr>
            <w:r>
              <w:rPr>
                <w:rFonts w:ascii="Arial" w:cs="Arial" w:eastAsia="Arial" w:hAnsi="Arial"/>
                <w:sz w:val="18"/>
                <w:szCs w:val="18"/>
                <w:color w:val="auto"/>
              </w:rPr>
              <w:t>340.8</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340.8</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Instruments Disclosed, But Not Carried, At Fair Value</w:t>
      </w:r>
    </w:p>
    <w:p>
      <w:pPr>
        <w:spacing w:after="0" w:line="23" w:lineRule="exact"/>
        <w:rPr>
          <w:sz w:val="20"/>
          <w:szCs w:val="20"/>
          <w:color w:val="auto"/>
        </w:rPr>
      </w:pPr>
    </w:p>
    <w:p>
      <w:pPr>
        <w:ind w:left="280"/>
        <w:spacing w:after="0"/>
        <w:rPr>
          <w:sz w:val="20"/>
          <w:szCs w:val="20"/>
          <w:color w:val="auto"/>
        </w:rPr>
      </w:pPr>
      <w:r>
        <w:rPr>
          <w:rFonts w:ascii="Arial" w:cs="Arial" w:eastAsia="Arial" w:hAnsi="Arial"/>
          <w:sz w:val="16"/>
          <w:szCs w:val="16"/>
          <w:color w:val="auto"/>
        </w:rPr>
        <w:t>The following table presents the carrying value and fair value of the Fund’s financial liabilities disclosed, but not carried, at fair value as of December 31,</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80" w:type="dxa"/>
            <w:vAlign w:val="bottom"/>
            <w:gridSpan w:val="6"/>
          </w:tcPr>
          <w:p>
            <w:pPr>
              <w:spacing w:after="0"/>
              <w:rPr>
                <w:sz w:val="20"/>
                <w:szCs w:val="20"/>
                <w:color w:val="auto"/>
              </w:rPr>
            </w:pPr>
            <w:r>
              <w:rPr>
                <w:rFonts w:ascii="Arial" w:cs="Arial" w:eastAsia="Arial" w:hAnsi="Arial"/>
                <w:sz w:val="18"/>
                <w:szCs w:val="18"/>
                <w:color w:val="auto"/>
                <w:w w:val="95"/>
              </w:rPr>
              <w:t>2016 and the level of each financial liability within the fair value hierarchy:</w:t>
            </w:r>
          </w:p>
        </w:tc>
        <w:tc>
          <w:tcPr>
            <w:tcW w:w="9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00"/>
        </w:trPr>
        <w:tc>
          <w:tcPr>
            <w:tcW w:w="3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gridSpan w:val="2"/>
          </w:tcPr>
          <w:p>
            <w:pPr>
              <w:jc w:val="center"/>
              <w:ind w:right="540"/>
              <w:spacing w:after="0"/>
              <w:rPr>
                <w:sz w:val="20"/>
                <w:szCs w:val="20"/>
                <w:color w:val="auto"/>
              </w:rPr>
            </w:pPr>
            <w:r>
              <w:rPr>
                <w:rFonts w:ascii="Arial" w:cs="Arial" w:eastAsia="Arial" w:hAnsi="Arial"/>
                <w:sz w:val="18"/>
                <w:szCs w:val="18"/>
                <w:b w:val="1"/>
                <w:bCs w:val="1"/>
                <w:color w:val="auto"/>
                <w:w w:val="97"/>
              </w:rPr>
              <w:t>Carrying</w:t>
            </w:r>
          </w:p>
        </w:tc>
        <w:tc>
          <w:tcPr>
            <w:tcW w:w="300" w:type="dxa"/>
            <w:vAlign w:val="bottom"/>
          </w:tcPr>
          <w:p>
            <w:pPr>
              <w:spacing w:after="0"/>
              <w:rPr>
                <w:sz w:val="24"/>
                <w:szCs w:val="24"/>
                <w:color w:val="auto"/>
              </w:rPr>
            </w:pPr>
          </w:p>
        </w:tc>
        <w:tc>
          <w:tcPr>
            <w:tcW w:w="1320" w:type="dxa"/>
            <w:vAlign w:val="bottom"/>
            <w:gridSpan w:val="2"/>
          </w:tcPr>
          <w:p>
            <w:pPr>
              <w:jc w:val="center"/>
              <w:ind w:right="640"/>
              <w:spacing w:after="0"/>
              <w:rPr>
                <w:sz w:val="20"/>
                <w:szCs w:val="20"/>
                <w:color w:val="auto"/>
              </w:rPr>
            </w:pPr>
            <w:r>
              <w:rPr>
                <w:rFonts w:ascii="Arial" w:cs="Arial" w:eastAsia="Arial" w:hAnsi="Arial"/>
                <w:sz w:val="18"/>
                <w:szCs w:val="18"/>
                <w:b w:val="1"/>
                <w:bCs w:val="1"/>
                <w:color w:val="auto"/>
                <w:w w:val="96"/>
              </w:rPr>
              <w:t>Fair</w:t>
            </w: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4"/>
        </w:trPr>
        <w:tc>
          <w:tcPr>
            <w:tcW w:w="3660" w:type="dxa"/>
            <w:vAlign w:val="bottom"/>
            <w:gridSpan w:val="2"/>
          </w:tcPr>
          <w:p>
            <w:pPr>
              <w:spacing w:after="0"/>
              <w:rPr>
                <w:sz w:val="20"/>
                <w:szCs w:val="20"/>
                <w:color w:val="auto"/>
              </w:rPr>
            </w:pPr>
            <w:r>
              <w:rPr>
                <w:rFonts w:ascii="Arial" w:cs="Arial" w:eastAsia="Arial" w:hAnsi="Arial"/>
                <w:sz w:val="18"/>
                <w:szCs w:val="18"/>
                <w:b w:val="1"/>
                <w:bCs w:val="1"/>
                <w:color w:val="auto"/>
              </w:rPr>
              <w:t>($ in millions)</w:t>
            </w:r>
          </w:p>
        </w:tc>
        <w:tc>
          <w:tcPr>
            <w:tcW w:w="200" w:type="dxa"/>
            <w:vAlign w:val="bottom"/>
          </w:tcPr>
          <w:p>
            <w:pPr>
              <w:spacing w:after="0"/>
              <w:rPr>
                <w:sz w:val="20"/>
                <w:szCs w:val="20"/>
                <w:color w:val="auto"/>
              </w:rPr>
            </w:pPr>
          </w:p>
        </w:tc>
        <w:tc>
          <w:tcPr>
            <w:tcW w:w="1420" w:type="dxa"/>
            <w:vAlign w:val="bottom"/>
            <w:gridSpan w:val="2"/>
          </w:tcPr>
          <w:p>
            <w:pPr>
              <w:jc w:val="center"/>
              <w:ind w:right="540"/>
              <w:spacing w:after="0"/>
              <w:rPr>
                <w:sz w:val="20"/>
                <w:szCs w:val="20"/>
                <w:color w:val="auto"/>
              </w:rPr>
            </w:pPr>
            <w:r>
              <w:rPr>
                <w:rFonts w:ascii="Arial" w:cs="Arial" w:eastAsia="Arial" w:hAnsi="Arial"/>
                <w:sz w:val="18"/>
                <w:szCs w:val="18"/>
                <w:b w:val="1"/>
                <w:bCs w:val="1"/>
                <w:color w:val="auto"/>
                <w:w w:val="91"/>
              </w:rPr>
              <w:t>Value</w:t>
            </w:r>
          </w:p>
        </w:tc>
        <w:tc>
          <w:tcPr>
            <w:tcW w:w="300" w:type="dxa"/>
            <w:vAlign w:val="bottom"/>
          </w:tcPr>
          <w:p>
            <w:pPr>
              <w:spacing w:after="0"/>
              <w:rPr>
                <w:sz w:val="20"/>
                <w:szCs w:val="20"/>
                <w:color w:val="auto"/>
              </w:rPr>
            </w:pPr>
          </w:p>
        </w:tc>
        <w:tc>
          <w:tcPr>
            <w:tcW w:w="1320" w:type="dxa"/>
            <w:vAlign w:val="bottom"/>
            <w:gridSpan w:val="2"/>
          </w:tcPr>
          <w:p>
            <w:pPr>
              <w:jc w:val="center"/>
              <w:ind w:right="640"/>
              <w:spacing w:after="0"/>
              <w:rPr>
                <w:sz w:val="20"/>
                <w:szCs w:val="20"/>
                <w:color w:val="auto"/>
              </w:rPr>
            </w:pPr>
            <w:r>
              <w:rPr>
                <w:rFonts w:ascii="Arial" w:cs="Arial" w:eastAsia="Arial" w:hAnsi="Arial"/>
                <w:sz w:val="18"/>
                <w:szCs w:val="18"/>
                <w:b w:val="1"/>
                <w:bCs w:val="1"/>
                <w:color w:val="auto"/>
                <w:w w:val="91"/>
              </w:rPr>
              <w:t>Value</w:t>
            </w:r>
          </w:p>
        </w:tc>
        <w:tc>
          <w:tcPr>
            <w:tcW w:w="240" w:type="dxa"/>
            <w:vAlign w:val="bottom"/>
          </w:tcPr>
          <w:p>
            <w:pPr>
              <w:spacing w:after="0"/>
              <w:rPr>
                <w:sz w:val="20"/>
                <w:szCs w:val="20"/>
                <w:color w:val="auto"/>
              </w:rPr>
            </w:pPr>
          </w:p>
        </w:tc>
        <w:tc>
          <w:tcPr>
            <w:tcW w:w="1360" w:type="dxa"/>
            <w:vAlign w:val="bottom"/>
            <w:gridSpan w:val="2"/>
          </w:tcPr>
          <w:p>
            <w:pPr>
              <w:ind w:left="120"/>
              <w:spacing w:after="0"/>
              <w:rPr>
                <w:sz w:val="20"/>
                <w:szCs w:val="20"/>
                <w:color w:val="auto"/>
              </w:rPr>
            </w:pPr>
            <w:r>
              <w:rPr>
                <w:rFonts w:ascii="Arial" w:cs="Arial" w:eastAsia="Arial" w:hAnsi="Arial"/>
                <w:sz w:val="18"/>
                <w:szCs w:val="18"/>
                <w:b w:val="1"/>
                <w:bCs w:val="1"/>
                <w:color w:val="auto"/>
              </w:rPr>
              <w:t>Level 1</w:t>
            </w:r>
          </w:p>
        </w:tc>
        <w:tc>
          <w:tcPr>
            <w:tcW w:w="220" w:type="dxa"/>
            <w:vAlign w:val="bottom"/>
          </w:tcPr>
          <w:p>
            <w:pPr>
              <w:spacing w:after="0"/>
              <w:rPr>
                <w:sz w:val="20"/>
                <w:szCs w:val="20"/>
                <w:color w:val="auto"/>
              </w:rPr>
            </w:pPr>
          </w:p>
        </w:tc>
        <w:tc>
          <w:tcPr>
            <w:tcW w:w="134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Level 2</w:t>
            </w:r>
          </w:p>
        </w:tc>
        <w:tc>
          <w:tcPr>
            <w:tcW w:w="220" w:type="dxa"/>
            <w:vAlign w:val="bottom"/>
          </w:tcPr>
          <w:p>
            <w:pPr>
              <w:spacing w:after="0"/>
              <w:rPr>
                <w:sz w:val="20"/>
                <w:szCs w:val="20"/>
                <w:color w:val="auto"/>
              </w:rPr>
            </w:pPr>
          </w:p>
        </w:tc>
        <w:tc>
          <w:tcPr>
            <w:tcW w:w="1140" w:type="dxa"/>
            <w:vAlign w:val="bottom"/>
            <w:gridSpan w:val="2"/>
          </w:tcPr>
          <w:p>
            <w:pPr>
              <w:ind w:left="140"/>
              <w:spacing w:after="0"/>
              <w:rPr>
                <w:sz w:val="20"/>
                <w:szCs w:val="20"/>
                <w:color w:val="auto"/>
              </w:rPr>
            </w:pPr>
            <w:r>
              <w:rPr>
                <w:rFonts w:ascii="Arial" w:cs="Arial" w:eastAsia="Arial" w:hAnsi="Arial"/>
                <w:sz w:val="18"/>
                <w:szCs w:val="18"/>
                <w:b w:val="1"/>
                <w:bCs w:val="1"/>
                <w:color w:val="auto"/>
              </w:rPr>
              <w:t>Level 3</w:t>
            </w:r>
          </w:p>
        </w:tc>
      </w:tr>
      <w:tr>
        <w:trPr>
          <w:trHeight w:val="210"/>
        </w:trPr>
        <w:tc>
          <w:tcPr>
            <w:tcW w:w="34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Series 2023 Term Preferred Shares</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69.4</w:t>
            </w:r>
          </w:p>
        </w:tc>
        <w:tc>
          <w:tcPr>
            <w:tcW w:w="3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77.1</w:t>
            </w:r>
          </w:p>
        </w:tc>
        <w:tc>
          <w:tcPr>
            <w:tcW w:w="3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77.1</w:t>
            </w:r>
          </w:p>
        </w:tc>
        <w:tc>
          <w:tcPr>
            <w:tcW w:w="3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3660" w:type="dxa"/>
            <w:vAlign w:val="bottom"/>
            <w:gridSpan w:val="2"/>
          </w:tcPr>
          <w:p>
            <w:pPr>
              <w:spacing w:after="0"/>
              <w:rPr>
                <w:sz w:val="20"/>
                <w:szCs w:val="20"/>
                <w:color w:val="auto"/>
              </w:rPr>
            </w:pPr>
            <w:r>
              <w:rPr>
                <w:rFonts w:ascii="Arial" w:cs="Arial" w:eastAsia="Arial" w:hAnsi="Arial"/>
                <w:sz w:val="18"/>
                <w:szCs w:val="18"/>
                <w:color w:val="auto"/>
              </w:rPr>
              <w:t>Series 2024 Term Preferred Shares</w:t>
            </w:r>
          </w:p>
        </w:tc>
        <w:tc>
          <w:tcPr>
            <w:tcW w:w="200" w:type="dxa"/>
            <w:vAlign w:val="bottom"/>
          </w:tcPr>
          <w:p>
            <w:pPr>
              <w:spacing w:after="0"/>
              <w:rPr>
                <w:sz w:val="19"/>
                <w:szCs w:val="19"/>
                <w:color w:val="auto"/>
              </w:rPr>
            </w:pPr>
          </w:p>
        </w:tc>
        <w:tc>
          <w:tcPr>
            <w:tcW w:w="1420" w:type="dxa"/>
            <w:vAlign w:val="bottom"/>
            <w:gridSpan w:val="2"/>
          </w:tcPr>
          <w:p>
            <w:pPr>
              <w:jc w:val="right"/>
              <w:ind w:right="340"/>
              <w:spacing w:after="0"/>
              <w:rPr>
                <w:sz w:val="20"/>
                <w:szCs w:val="20"/>
                <w:color w:val="auto"/>
              </w:rPr>
            </w:pPr>
            <w:r>
              <w:rPr>
                <w:rFonts w:ascii="Arial" w:cs="Arial" w:eastAsia="Arial" w:hAnsi="Arial"/>
                <w:sz w:val="18"/>
                <w:szCs w:val="18"/>
                <w:color w:val="auto"/>
              </w:rPr>
              <w:t>48.7</w:t>
            </w:r>
          </w:p>
        </w:tc>
        <w:tc>
          <w:tcPr>
            <w:tcW w:w="300" w:type="dxa"/>
            <w:vAlign w:val="bottom"/>
          </w:tcPr>
          <w:p>
            <w:pPr>
              <w:spacing w:after="0"/>
              <w:rPr>
                <w:sz w:val="19"/>
                <w:szCs w:val="19"/>
                <w:color w:val="auto"/>
              </w:rPr>
            </w:pP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rPr>
              <w:t>52.3</w:t>
            </w:r>
          </w:p>
        </w:tc>
        <w:tc>
          <w:tcPr>
            <w:tcW w:w="240" w:type="dxa"/>
            <w:vAlign w:val="bottom"/>
          </w:tcPr>
          <w:p>
            <w:pPr>
              <w:spacing w:after="0"/>
              <w:rPr>
                <w:sz w:val="19"/>
                <w:szCs w:val="19"/>
                <w:color w:val="auto"/>
              </w:rPr>
            </w:pPr>
          </w:p>
        </w:tc>
        <w:tc>
          <w:tcPr>
            <w:tcW w:w="13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52.3</w:t>
            </w:r>
          </w:p>
        </w:tc>
        <w:tc>
          <w:tcPr>
            <w:tcW w:w="22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366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118.1</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129.4</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129.4</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3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Significant Unobservable Inputs for Level 3 Investments</w:t>
      </w:r>
    </w:p>
    <w:p>
      <w:pPr>
        <w:spacing w:after="0" w:line="23" w:lineRule="exact"/>
        <w:rPr>
          <w:sz w:val="20"/>
          <w:szCs w:val="20"/>
          <w:color w:val="auto"/>
        </w:rPr>
      </w:pPr>
    </w:p>
    <w:p>
      <w:pPr>
        <w:jc w:val="both"/>
        <w:ind w:firstLine="270"/>
        <w:spacing w:after="0" w:line="271" w:lineRule="auto"/>
        <w:rPr>
          <w:sz w:val="20"/>
          <w:szCs w:val="20"/>
          <w:color w:val="auto"/>
        </w:rPr>
      </w:pPr>
      <w:r>
        <w:rPr>
          <w:rFonts w:ascii="Arial" w:cs="Arial" w:eastAsia="Arial" w:hAnsi="Arial"/>
          <w:sz w:val="17"/>
          <w:szCs w:val="17"/>
          <w:color w:val="auto"/>
        </w:rPr>
        <w:t>In accordance with ASC 820-10, the following table provides quantitative information about the Fund’s Level 3 fair value measurements as of December 31, 2016. The Fund’s valuation policy, as described above, establishes parameters for the sources and types of valuation analysis, as well as the methodologies and inputs that the Fund uses in determining fair value. If the Board of Directors or OXLC Management determines that additional techniques, sources or inputs are appropriate or necessary in a given situation, such additional work may be undertaken. The weighted average calculations in the table below are based on the fair value within each respective valuation techniques and methodologies and asset category.</w:t>
      </w: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2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6400" w:type="dxa"/>
            <w:vAlign w:val="bottom"/>
            <w:tcBorders>
              <w:bottom w:val="single" w:sz="8" w:color="auto"/>
            </w:tcBorders>
            <w:gridSpan w:val="7"/>
            <w:shd w:val="clear" w:color="auto" w:fill="CCEEFF"/>
          </w:tcPr>
          <w:p>
            <w:pPr>
              <w:ind w:left="1280"/>
              <w:spacing w:after="0"/>
              <w:rPr>
                <w:sz w:val="20"/>
                <w:szCs w:val="20"/>
                <w:color w:val="auto"/>
              </w:rPr>
            </w:pPr>
            <w:r>
              <w:rPr>
                <w:rFonts w:ascii="Arial" w:cs="Arial" w:eastAsia="Arial" w:hAnsi="Arial"/>
                <w:sz w:val="18"/>
                <w:szCs w:val="18"/>
                <w:b w:val="1"/>
                <w:bCs w:val="1"/>
                <w:color w:val="auto"/>
                <w:w w:val="92"/>
              </w:rPr>
              <w:t>Quantitative Information about Level 3 Fair Value Measurements</w:t>
            </w:r>
          </w:p>
        </w:tc>
        <w:tc>
          <w:tcPr>
            <w:tcW w:w="11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r>
      <w:tr>
        <w:trPr>
          <w:trHeight w:val="196"/>
        </w:trPr>
        <w:tc>
          <w:tcPr>
            <w:tcW w:w="2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80" w:type="dxa"/>
            <w:vAlign w:val="bottom"/>
            <w:gridSpan w:val="3"/>
          </w:tcPr>
          <w:p>
            <w:pPr>
              <w:jc w:val="center"/>
              <w:ind w:right="400"/>
              <w:spacing w:after="0" w:line="196" w:lineRule="exact"/>
              <w:rPr>
                <w:sz w:val="20"/>
                <w:szCs w:val="20"/>
                <w:color w:val="auto"/>
              </w:rPr>
            </w:pPr>
            <w:r>
              <w:rPr>
                <w:rFonts w:ascii="Arial" w:cs="Arial" w:eastAsia="Arial" w:hAnsi="Arial"/>
                <w:sz w:val="18"/>
                <w:szCs w:val="18"/>
                <w:b w:val="1"/>
                <w:bCs w:val="1"/>
                <w:color w:val="auto"/>
                <w:w w:val="90"/>
              </w:rPr>
              <w:t>Fair Value as of</w:t>
            </w:r>
          </w:p>
        </w:tc>
        <w:tc>
          <w:tcPr>
            <w:tcW w:w="2300" w:type="dxa"/>
            <w:vAlign w:val="bottom"/>
            <w:gridSpan w:val="2"/>
          </w:tcPr>
          <w:p>
            <w:pPr>
              <w:jc w:val="center"/>
              <w:ind w:right="220"/>
              <w:spacing w:after="0" w:line="196" w:lineRule="exact"/>
              <w:rPr>
                <w:sz w:val="20"/>
                <w:szCs w:val="20"/>
                <w:color w:val="auto"/>
              </w:rPr>
            </w:pPr>
            <w:r>
              <w:rPr>
                <w:rFonts w:ascii="Arial" w:cs="Arial" w:eastAsia="Arial" w:hAnsi="Arial"/>
                <w:sz w:val="18"/>
                <w:szCs w:val="18"/>
                <w:b w:val="1"/>
                <w:bCs w:val="1"/>
                <w:color w:val="auto"/>
                <w:w w:val="89"/>
              </w:rPr>
              <w:t>Valuation Techniques /</w:t>
            </w:r>
          </w:p>
        </w:tc>
        <w:tc>
          <w:tcPr>
            <w:tcW w:w="2440" w:type="dxa"/>
            <w:vAlign w:val="bottom"/>
            <w:gridSpan w:val="3"/>
          </w:tcPr>
          <w:p>
            <w:pPr>
              <w:jc w:val="center"/>
              <w:ind w:right="420"/>
              <w:spacing w:after="0" w:line="196" w:lineRule="exact"/>
              <w:rPr>
                <w:sz w:val="20"/>
                <w:szCs w:val="20"/>
                <w:color w:val="auto"/>
              </w:rPr>
            </w:pPr>
            <w:r>
              <w:rPr>
                <w:rFonts w:ascii="Arial" w:cs="Arial" w:eastAsia="Arial" w:hAnsi="Arial"/>
                <w:sz w:val="18"/>
                <w:szCs w:val="18"/>
                <w:b w:val="1"/>
                <w:bCs w:val="1"/>
                <w:color w:val="auto"/>
                <w:w w:val="89"/>
              </w:rPr>
              <w:t>Unobservable</w:t>
            </w:r>
          </w:p>
        </w:tc>
        <w:tc>
          <w:tcPr>
            <w:tcW w:w="1860" w:type="dxa"/>
            <w:vAlign w:val="bottom"/>
            <w:gridSpan w:val="3"/>
          </w:tcPr>
          <w:p>
            <w:pPr>
              <w:jc w:val="center"/>
              <w:ind w:right="180"/>
              <w:spacing w:after="0" w:line="196" w:lineRule="exact"/>
              <w:rPr>
                <w:sz w:val="20"/>
                <w:szCs w:val="20"/>
                <w:color w:val="auto"/>
              </w:rPr>
            </w:pPr>
            <w:r>
              <w:rPr>
                <w:rFonts w:ascii="Arial" w:cs="Arial" w:eastAsia="Arial" w:hAnsi="Arial"/>
                <w:sz w:val="18"/>
                <w:szCs w:val="18"/>
                <w:b w:val="1"/>
                <w:bCs w:val="1"/>
                <w:color w:val="auto"/>
                <w:w w:val="90"/>
              </w:rPr>
              <w:t>Range / Weighted</w:t>
            </w:r>
          </w:p>
        </w:tc>
      </w:tr>
      <w:tr>
        <w:trPr>
          <w:trHeight w:val="270"/>
        </w:trPr>
        <w:tc>
          <w:tcPr>
            <w:tcW w:w="20" w:type="dxa"/>
            <w:vAlign w:val="bottom"/>
          </w:tcPr>
          <w:p>
            <w:pPr>
              <w:spacing w:after="0"/>
              <w:rPr>
                <w:sz w:val="23"/>
                <w:szCs w:val="23"/>
                <w:color w:val="auto"/>
              </w:rPr>
            </w:pPr>
          </w:p>
        </w:tc>
        <w:tc>
          <w:tcPr>
            <w:tcW w:w="2400" w:type="dxa"/>
            <w:vAlign w:val="bottom"/>
            <w:gridSpan w:val="2"/>
          </w:tcPr>
          <w:p>
            <w:pPr>
              <w:ind w:left="840"/>
              <w:spacing w:after="0"/>
              <w:rPr>
                <w:sz w:val="20"/>
                <w:szCs w:val="20"/>
                <w:color w:val="auto"/>
              </w:rPr>
            </w:pPr>
            <w:r>
              <w:rPr>
                <w:rFonts w:ascii="Arial" w:cs="Arial" w:eastAsia="Arial" w:hAnsi="Arial"/>
                <w:sz w:val="18"/>
                <w:szCs w:val="18"/>
                <w:b w:val="1"/>
                <w:bCs w:val="1"/>
                <w:color w:val="auto"/>
              </w:rPr>
              <w:t>Assets</w:t>
            </w:r>
          </w:p>
        </w:tc>
        <w:tc>
          <w:tcPr>
            <w:tcW w:w="120" w:type="dxa"/>
            <w:vAlign w:val="bottom"/>
          </w:tcPr>
          <w:p>
            <w:pPr>
              <w:spacing w:after="0"/>
              <w:rPr>
                <w:sz w:val="23"/>
                <w:szCs w:val="23"/>
                <w:color w:val="auto"/>
              </w:rPr>
            </w:pPr>
          </w:p>
        </w:tc>
        <w:tc>
          <w:tcPr>
            <w:tcW w:w="2280" w:type="dxa"/>
            <w:vAlign w:val="bottom"/>
            <w:gridSpan w:val="3"/>
          </w:tcPr>
          <w:p>
            <w:pPr>
              <w:jc w:val="center"/>
              <w:ind w:right="340"/>
              <w:spacing w:after="0"/>
              <w:rPr>
                <w:sz w:val="20"/>
                <w:szCs w:val="20"/>
                <w:color w:val="auto"/>
              </w:rPr>
            </w:pPr>
            <w:r>
              <w:rPr>
                <w:rFonts w:ascii="Arial" w:cs="Arial" w:eastAsia="Arial" w:hAnsi="Arial"/>
                <w:sz w:val="18"/>
                <w:szCs w:val="18"/>
                <w:b w:val="1"/>
                <w:bCs w:val="1"/>
                <w:color w:val="auto"/>
                <w:w w:val="90"/>
              </w:rPr>
              <w:t>December 31, 2016</w:t>
            </w:r>
          </w:p>
        </w:tc>
        <w:tc>
          <w:tcPr>
            <w:tcW w:w="23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Methodologies</w:t>
            </w:r>
          </w:p>
        </w:tc>
        <w:tc>
          <w:tcPr>
            <w:tcW w:w="2440" w:type="dxa"/>
            <w:vAlign w:val="bottom"/>
            <w:gridSpan w:val="3"/>
          </w:tcPr>
          <w:p>
            <w:pPr>
              <w:jc w:val="center"/>
              <w:ind w:right="400"/>
              <w:spacing w:after="0"/>
              <w:rPr>
                <w:sz w:val="20"/>
                <w:szCs w:val="20"/>
                <w:color w:val="auto"/>
              </w:rPr>
            </w:pPr>
            <w:r>
              <w:rPr>
                <w:rFonts w:ascii="Arial" w:cs="Arial" w:eastAsia="Arial" w:hAnsi="Arial"/>
                <w:sz w:val="18"/>
                <w:szCs w:val="18"/>
                <w:b w:val="1"/>
                <w:bCs w:val="1"/>
                <w:color w:val="auto"/>
                <w:w w:val="99"/>
              </w:rPr>
              <w:t>Input</w:t>
            </w:r>
          </w:p>
        </w:tc>
        <w:tc>
          <w:tcPr>
            <w:tcW w:w="1860" w:type="dxa"/>
            <w:vAlign w:val="bottom"/>
            <w:gridSpan w:val="3"/>
          </w:tcPr>
          <w:p>
            <w:pPr>
              <w:jc w:val="center"/>
              <w:ind w:right="180"/>
              <w:spacing w:after="0" w:line="269" w:lineRule="exact"/>
              <w:rPr>
                <w:sz w:val="20"/>
                <w:szCs w:val="20"/>
                <w:color w:val="auto"/>
              </w:rPr>
            </w:pPr>
            <w:r>
              <w:rPr>
                <w:rFonts w:ascii="Arial" w:cs="Arial" w:eastAsia="Arial" w:hAnsi="Arial"/>
                <w:sz w:val="18"/>
                <w:szCs w:val="18"/>
                <w:b w:val="1"/>
                <w:bCs w:val="1"/>
                <w:color w:val="auto"/>
                <w:w w:val="83"/>
              </w:rPr>
              <w:t>Average</w:t>
            </w:r>
            <w:r>
              <w:rPr>
                <w:rFonts w:ascii="Arial" w:cs="Arial" w:eastAsia="Arial" w:hAnsi="Arial"/>
                <w:sz w:val="30"/>
                <w:szCs w:val="30"/>
                <w:b w:val="1"/>
                <w:bCs w:val="1"/>
                <w:color w:val="auto"/>
                <w:w w:val="83"/>
                <w:vertAlign w:val="superscript"/>
              </w:rPr>
              <w:t>(4)</w:t>
            </w:r>
          </w:p>
        </w:tc>
      </w:tr>
      <w:tr>
        <w:trPr>
          <w:trHeight w:val="210"/>
        </w:trPr>
        <w:tc>
          <w:tcPr>
            <w:tcW w:w="20" w:type="dxa"/>
            <w:vAlign w:val="bottom"/>
          </w:tcPr>
          <w:p>
            <w:pPr>
              <w:spacing w:after="0"/>
              <w:rPr>
                <w:sz w:val="18"/>
                <w:szCs w:val="18"/>
                <w:color w:val="auto"/>
              </w:rPr>
            </w:pPr>
          </w:p>
        </w:tc>
        <w:tc>
          <w:tcPr>
            <w:tcW w:w="21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top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98"/>
              </w:rPr>
              <w:t>in millions)</w:t>
            </w:r>
          </w:p>
        </w:tc>
        <w:tc>
          <w:tcPr>
            <w:tcW w:w="340" w:type="dxa"/>
            <w:vAlign w:val="bottom"/>
            <w:tcBorders>
              <w:top w:val="single" w:sz="8" w:color="CCEEFF"/>
            </w:tcBorders>
            <w:shd w:val="clear" w:color="auto" w:fill="CCEEFF"/>
          </w:tcPr>
          <w:p>
            <w:pPr>
              <w:spacing w:after="0"/>
              <w:rPr>
                <w:sz w:val="18"/>
                <w:szCs w:val="18"/>
                <w:color w:val="auto"/>
              </w:rPr>
            </w:pPr>
          </w:p>
        </w:tc>
        <w:tc>
          <w:tcPr>
            <w:tcW w:w="20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4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57"/>
        </w:trPr>
        <w:tc>
          <w:tcPr>
            <w:tcW w:w="2420" w:type="dxa"/>
            <w:vAlign w:val="bottom"/>
            <w:gridSpan w:val="3"/>
          </w:tcPr>
          <w:p>
            <w:pPr>
              <w:spacing w:after="0"/>
              <w:rPr>
                <w:sz w:val="20"/>
                <w:szCs w:val="20"/>
                <w:color w:val="auto"/>
              </w:rPr>
            </w:pPr>
            <w:r>
              <w:rPr>
                <w:rFonts w:ascii="Arial" w:cs="Arial" w:eastAsia="Arial" w:hAnsi="Arial"/>
                <w:sz w:val="18"/>
                <w:szCs w:val="18"/>
                <w:color w:val="auto"/>
              </w:rPr>
              <w:t>CLO debt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spacing w:after="0"/>
              <w:rPr>
                <w:sz w:val="22"/>
                <w:szCs w:val="22"/>
                <w:color w:val="auto"/>
              </w:rPr>
            </w:pPr>
          </w:p>
        </w:tc>
        <w:tc>
          <w:tcPr>
            <w:tcW w:w="1660" w:type="dxa"/>
            <w:vAlign w:val="bottom"/>
            <w:gridSpan w:val="2"/>
          </w:tcPr>
          <w:p>
            <w:pPr>
              <w:jc w:val="right"/>
              <w:ind w:right="340"/>
              <w:spacing w:after="0"/>
              <w:rPr>
                <w:sz w:val="20"/>
                <w:szCs w:val="20"/>
                <w:color w:val="auto"/>
              </w:rPr>
            </w:pPr>
            <w:r>
              <w:rPr>
                <w:rFonts w:ascii="Arial" w:cs="Arial" w:eastAsia="Arial" w:hAnsi="Arial"/>
                <w:sz w:val="18"/>
                <w:szCs w:val="18"/>
                <w:color w:val="auto"/>
              </w:rPr>
              <w:t>11.3</w:t>
            </w:r>
          </w:p>
        </w:tc>
        <w:tc>
          <w:tcPr>
            <w:tcW w:w="230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Market quotes</w:t>
            </w:r>
          </w:p>
        </w:tc>
        <w:tc>
          <w:tcPr>
            <w:tcW w:w="2440" w:type="dxa"/>
            <w:vAlign w:val="bottom"/>
            <w:gridSpan w:val="3"/>
          </w:tcPr>
          <w:p>
            <w:pPr>
              <w:jc w:val="center"/>
              <w:ind w:right="400"/>
              <w:spacing w:after="0" w:line="256" w:lineRule="exact"/>
              <w:rPr>
                <w:sz w:val="20"/>
                <w:szCs w:val="20"/>
                <w:color w:val="auto"/>
              </w:rPr>
            </w:pPr>
            <w:r>
              <w:rPr>
                <w:rFonts w:ascii="Arial" w:cs="Arial" w:eastAsia="Arial" w:hAnsi="Arial"/>
                <w:sz w:val="18"/>
                <w:szCs w:val="18"/>
                <w:color w:val="auto"/>
                <w:w w:val="91"/>
              </w:rPr>
              <w:t>NBIB</w:t>
            </w:r>
            <w:r>
              <w:rPr>
                <w:rFonts w:ascii="Arial" w:cs="Arial" w:eastAsia="Arial" w:hAnsi="Arial"/>
                <w:sz w:val="29"/>
                <w:szCs w:val="29"/>
                <w:color w:val="auto"/>
                <w:w w:val="91"/>
                <w:vertAlign w:val="superscript"/>
              </w:rPr>
              <w:t>(1)</w:t>
            </w:r>
          </w:p>
        </w:tc>
        <w:tc>
          <w:tcPr>
            <w:tcW w:w="1160" w:type="dxa"/>
            <w:vAlign w:val="bottom"/>
          </w:tcPr>
          <w:p>
            <w:pPr>
              <w:jc w:val="right"/>
              <w:spacing w:after="0"/>
              <w:rPr>
                <w:sz w:val="20"/>
                <w:szCs w:val="20"/>
                <w:color w:val="auto"/>
              </w:rPr>
            </w:pPr>
            <w:r>
              <w:rPr>
                <w:rFonts w:ascii="Arial" w:cs="Arial" w:eastAsia="Arial" w:hAnsi="Arial"/>
                <w:sz w:val="18"/>
                <w:szCs w:val="18"/>
                <w:color w:val="auto"/>
              </w:rPr>
              <w:t>79.4%-94.0%</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 86.9%</w:t>
            </w:r>
          </w:p>
        </w:tc>
      </w:tr>
      <w:tr>
        <w:trPr>
          <w:trHeight w:val="216"/>
        </w:trPr>
        <w:tc>
          <w:tcPr>
            <w:tcW w:w="20" w:type="dxa"/>
            <w:vAlign w:val="bottom"/>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57"/>
        </w:trPr>
        <w:tc>
          <w:tcPr>
            <w:tcW w:w="2420" w:type="dxa"/>
            <w:vAlign w:val="bottom"/>
            <w:gridSpan w:val="3"/>
          </w:tcPr>
          <w:p>
            <w:pPr>
              <w:spacing w:after="0"/>
              <w:rPr>
                <w:sz w:val="20"/>
                <w:szCs w:val="20"/>
                <w:color w:val="auto"/>
              </w:rPr>
            </w:pPr>
            <w:r>
              <w:rPr>
                <w:rFonts w:ascii="Arial" w:cs="Arial" w:eastAsia="Arial" w:hAnsi="Arial"/>
                <w:sz w:val="18"/>
                <w:szCs w:val="18"/>
                <w:color w:val="auto"/>
              </w:rPr>
              <w:t>CLO equity</w:t>
            </w:r>
          </w:p>
        </w:tc>
        <w:tc>
          <w:tcPr>
            <w:tcW w:w="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660" w:type="dxa"/>
            <w:vAlign w:val="bottom"/>
            <w:gridSpan w:val="2"/>
          </w:tcPr>
          <w:p>
            <w:pPr>
              <w:jc w:val="right"/>
              <w:ind w:right="340"/>
              <w:spacing w:after="0"/>
              <w:rPr>
                <w:sz w:val="20"/>
                <w:szCs w:val="20"/>
                <w:color w:val="auto"/>
              </w:rPr>
            </w:pPr>
            <w:r>
              <w:rPr>
                <w:rFonts w:ascii="Arial" w:cs="Arial" w:eastAsia="Arial" w:hAnsi="Arial"/>
                <w:sz w:val="18"/>
                <w:szCs w:val="18"/>
                <w:color w:val="auto"/>
              </w:rPr>
              <w:t>302.4</w:t>
            </w:r>
          </w:p>
        </w:tc>
        <w:tc>
          <w:tcPr>
            <w:tcW w:w="230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Market quotes</w:t>
            </w:r>
          </w:p>
        </w:tc>
        <w:tc>
          <w:tcPr>
            <w:tcW w:w="2440" w:type="dxa"/>
            <w:vAlign w:val="bottom"/>
            <w:gridSpan w:val="3"/>
          </w:tcPr>
          <w:p>
            <w:pPr>
              <w:jc w:val="center"/>
              <w:ind w:right="400"/>
              <w:spacing w:after="0" w:line="256" w:lineRule="exact"/>
              <w:rPr>
                <w:sz w:val="20"/>
                <w:szCs w:val="20"/>
                <w:color w:val="auto"/>
              </w:rPr>
            </w:pPr>
            <w:r>
              <w:rPr>
                <w:rFonts w:ascii="Arial" w:cs="Arial" w:eastAsia="Arial" w:hAnsi="Arial"/>
                <w:sz w:val="18"/>
                <w:szCs w:val="18"/>
                <w:color w:val="auto"/>
                <w:w w:val="91"/>
              </w:rPr>
              <w:t>NBIB</w:t>
            </w:r>
            <w:r>
              <w:rPr>
                <w:rFonts w:ascii="Arial" w:cs="Arial" w:eastAsia="Arial" w:hAnsi="Arial"/>
                <w:sz w:val="29"/>
                <w:szCs w:val="29"/>
                <w:color w:val="auto"/>
                <w:w w:val="91"/>
                <w:vertAlign w:val="superscript"/>
              </w:rPr>
              <w:t>(1)</w:t>
            </w:r>
          </w:p>
        </w:tc>
        <w:tc>
          <w:tcPr>
            <w:tcW w:w="1160" w:type="dxa"/>
            <w:vAlign w:val="bottom"/>
          </w:tcPr>
          <w:p>
            <w:pPr>
              <w:jc w:val="right"/>
              <w:spacing w:after="0"/>
              <w:rPr>
                <w:sz w:val="20"/>
                <w:szCs w:val="20"/>
                <w:color w:val="auto"/>
              </w:rPr>
            </w:pPr>
            <w:r>
              <w:rPr>
                <w:rFonts w:ascii="Arial" w:cs="Arial" w:eastAsia="Arial" w:hAnsi="Arial"/>
                <w:sz w:val="18"/>
                <w:szCs w:val="18"/>
                <w:color w:val="auto"/>
                <w:w w:val="94"/>
              </w:rPr>
              <w:t>34.0%-101.0%</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 65.1%</w:t>
            </w:r>
          </w:p>
        </w:tc>
      </w:tr>
      <w:tr>
        <w:trPr>
          <w:trHeight w:val="257"/>
        </w:trPr>
        <w:tc>
          <w:tcPr>
            <w:tcW w:w="20" w:type="dxa"/>
            <w:vAlign w:val="bottom"/>
          </w:tcPr>
          <w:p>
            <w:pPr>
              <w:spacing w:after="0"/>
              <w:rPr>
                <w:sz w:val="22"/>
                <w:szCs w:val="22"/>
                <w:color w:val="auto"/>
              </w:rPr>
            </w:pPr>
          </w:p>
        </w:tc>
        <w:tc>
          <w:tcPr>
            <w:tcW w:w="216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16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24.1</w:t>
            </w:r>
          </w:p>
        </w:tc>
        <w:tc>
          <w:tcPr>
            <w:tcW w:w="230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87"/>
              </w:rPr>
              <w:t>Recent transactions</w:t>
            </w:r>
          </w:p>
        </w:tc>
        <w:tc>
          <w:tcPr>
            <w:tcW w:w="2440" w:type="dxa"/>
            <w:vAlign w:val="bottom"/>
            <w:gridSpan w:val="3"/>
            <w:shd w:val="clear" w:color="auto" w:fill="CCEEFF"/>
          </w:tcPr>
          <w:p>
            <w:pPr>
              <w:jc w:val="center"/>
              <w:ind w:right="420"/>
              <w:spacing w:after="0" w:line="256" w:lineRule="exact"/>
              <w:rPr>
                <w:sz w:val="20"/>
                <w:szCs w:val="20"/>
                <w:color w:val="auto"/>
              </w:rPr>
            </w:pPr>
            <w:r>
              <w:rPr>
                <w:rFonts w:ascii="Arial" w:cs="Arial" w:eastAsia="Arial" w:hAnsi="Arial"/>
                <w:sz w:val="18"/>
                <w:szCs w:val="18"/>
                <w:color w:val="auto"/>
                <w:w w:val="88"/>
              </w:rPr>
              <w:t>Actual trade</w:t>
            </w:r>
            <w:r>
              <w:rPr>
                <w:rFonts w:ascii="Arial" w:cs="Arial" w:eastAsia="Arial" w:hAnsi="Arial"/>
                <w:sz w:val="29"/>
                <w:szCs w:val="29"/>
                <w:color w:val="auto"/>
                <w:w w:val="88"/>
                <w:vertAlign w:val="superscript"/>
              </w:rPr>
              <w:t>(2)</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67.3%-85.3%</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 81.8%</w:t>
            </w:r>
          </w:p>
        </w:tc>
      </w:tr>
      <w:tr>
        <w:trPr>
          <w:trHeight w:val="216"/>
        </w:trPr>
        <w:tc>
          <w:tcPr>
            <w:tcW w:w="218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7"/>
        </w:trPr>
        <w:tc>
          <w:tcPr>
            <w:tcW w:w="20" w:type="dxa"/>
            <w:vAlign w:val="bottom"/>
          </w:tcPr>
          <w:p>
            <w:pPr>
              <w:spacing w:after="0"/>
              <w:rPr>
                <w:sz w:val="22"/>
                <w:szCs w:val="22"/>
                <w:color w:val="auto"/>
              </w:rPr>
            </w:pPr>
          </w:p>
        </w:tc>
        <w:tc>
          <w:tcPr>
            <w:tcW w:w="2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CLO equity - side letters</w:t>
            </w:r>
          </w:p>
        </w:tc>
        <w:tc>
          <w:tcPr>
            <w:tcW w:w="12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16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3.0</w:t>
            </w:r>
          </w:p>
        </w:tc>
        <w:tc>
          <w:tcPr>
            <w:tcW w:w="2300" w:type="dxa"/>
            <w:vAlign w:val="bottom"/>
            <w:gridSpan w:val="2"/>
            <w:shd w:val="clear" w:color="auto" w:fill="CCEEFF"/>
          </w:tcPr>
          <w:p>
            <w:pPr>
              <w:jc w:val="center"/>
              <w:ind w:right="220"/>
              <w:spacing w:after="0" w:line="256" w:lineRule="exact"/>
              <w:rPr>
                <w:sz w:val="20"/>
                <w:szCs w:val="20"/>
                <w:color w:val="auto"/>
              </w:rPr>
            </w:pPr>
            <w:r>
              <w:rPr>
                <w:rFonts w:ascii="Arial" w:cs="Arial" w:eastAsia="Arial" w:hAnsi="Arial"/>
                <w:sz w:val="18"/>
                <w:szCs w:val="18"/>
                <w:color w:val="auto"/>
                <w:w w:val="88"/>
              </w:rPr>
              <w:t>Discounted cash flow</w:t>
            </w:r>
            <w:r>
              <w:rPr>
                <w:rFonts w:ascii="Arial" w:cs="Arial" w:eastAsia="Arial" w:hAnsi="Arial"/>
                <w:sz w:val="29"/>
                <w:szCs w:val="29"/>
                <w:color w:val="auto"/>
                <w:w w:val="88"/>
                <w:vertAlign w:val="superscript"/>
              </w:rPr>
              <w:t>(3)</w:t>
            </w:r>
          </w:p>
        </w:tc>
        <w:tc>
          <w:tcPr>
            <w:tcW w:w="2440" w:type="dxa"/>
            <w:vAlign w:val="bottom"/>
            <w:gridSpan w:val="3"/>
            <w:shd w:val="clear" w:color="auto" w:fill="CCEEFF"/>
          </w:tcPr>
          <w:p>
            <w:pPr>
              <w:jc w:val="center"/>
              <w:ind w:right="420"/>
              <w:spacing w:after="0" w:line="256" w:lineRule="exact"/>
              <w:rPr>
                <w:sz w:val="20"/>
                <w:szCs w:val="20"/>
                <w:color w:val="auto"/>
              </w:rPr>
            </w:pPr>
            <w:r>
              <w:rPr>
                <w:rFonts w:ascii="Arial" w:cs="Arial" w:eastAsia="Arial" w:hAnsi="Arial"/>
                <w:sz w:val="18"/>
                <w:szCs w:val="18"/>
                <w:color w:val="auto"/>
                <w:w w:val="87"/>
              </w:rPr>
              <w:t>Discount rate</w:t>
            </w:r>
            <w:r>
              <w:rPr>
                <w:rFonts w:ascii="Arial" w:cs="Arial" w:eastAsia="Arial" w:hAnsi="Arial"/>
                <w:sz w:val="29"/>
                <w:szCs w:val="29"/>
                <w:color w:val="auto"/>
                <w:w w:val="87"/>
                <w:vertAlign w:val="superscript"/>
              </w:rPr>
              <w:t>(3)</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12.9%-16.2%</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 14.5%</w:t>
            </w:r>
          </w:p>
        </w:tc>
      </w:tr>
      <w:tr>
        <w:trPr>
          <w:trHeight w:val="230"/>
        </w:trPr>
        <w:tc>
          <w:tcPr>
            <w:tcW w:w="20" w:type="dxa"/>
            <w:vAlign w:val="bottom"/>
          </w:tcPr>
          <w:p>
            <w:pPr>
              <w:spacing w:after="0"/>
              <w:rPr>
                <w:sz w:val="19"/>
                <w:szCs w:val="19"/>
                <w:color w:val="auto"/>
              </w:rPr>
            </w:pPr>
          </w:p>
        </w:tc>
        <w:tc>
          <w:tcPr>
            <w:tcW w:w="216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208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204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160" w:type="dxa"/>
            <w:vAlign w:val="bottom"/>
            <w:tcBorders>
              <w:bottom w:val="single" w:sz="8" w:color="CCEEFF"/>
            </w:tcBorders>
          </w:tcPr>
          <w:p>
            <w:pPr>
              <w:spacing w:after="0"/>
              <w:rPr>
                <w:sz w:val="19"/>
                <w:szCs w:val="19"/>
                <w:color w:val="auto"/>
              </w:rPr>
            </w:pPr>
          </w:p>
        </w:tc>
        <w:tc>
          <w:tcPr>
            <w:tcW w:w="6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r>
      <w:tr>
        <w:trPr>
          <w:trHeight w:val="182"/>
        </w:trPr>
        <w:tc>
          <w:tcPr>
            <w:tcW w:w="20" w:type="dxa"/>
            <w:vAlign w:val="bottom"/>
          </w:tcPr>
          <w:p>
            <w:pPr>
              <w:spacing w:after="0"/>
              <w:rPr>
                <w:sz w:val="15"/>
                <w:szCs w:val="15"/>
                <w:color w:val="auto"/>
              </w:rPr>
            </w:pPr>
          </w:p>
        </w:tc>
        <w:tc>
          <w:tcPr>
            <w:tcW w:w="2400" w:type="dxa"/>
            <w:vAlign w:val="bottom"/>
            <w:gridSpan w:val="2"/>
            <w:shd w:val="clear" w:color="auto" w:fill="CCEEFF"/>
          </w:tcPr>
          <w:p>
            <w:pPr>
              <w:spacing w:after="0" w:line="182" w:lineRule="exact"/>
              <w:rPr>
                <w:sz w:val="20"/>
                <w:szCs w:val="20"/>
                <w:color w:val="auto"/>
              </w:rPr>
            </w:pPr>
            <w:r>
              <w:rPr>
                <w:rFonts w:ascii="Arial" w:cs="Arial" w:eastAsia="Arial" w:hAnsi="Arial"/>
                <w:sz w:val="18"/>
                <w:szCs w:val="18"/>
                <w:color w:val="auto"/>
              </w:rPr>
              <w:t>Total Fair Value for Level 3</w:t>
            </w: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0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0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257"/>
        </w:trPr>
        <w:tc>
          <w:tcPr>
            <w:tcW w:w="20" w:type="dxa"/>
            <w:vAlign w:val="bottom"/>
          </w:tcPr>
          <w:p>
            <w:pPr>
              <w:spacing w:after="0"/>
              <w:rPr>
                <w:sz w:val="22"/>
                <w:szCs w:val="22"/>
                <w:color w:val="auto"/>
              </w:rPr>
            </w:pPr>
          </w:p>
        </w:tc>
        <w:tc>
          <w:tcPr>
            <w:tcW w:w="2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Investments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spacing w:after="0"/>
              <w:rPr>
                <w:sz w:val="22"/>
                <w:szCs w:val="22"/>
                <w:color w:val="auto"/>
              </w:rPr>
            </w:pPr>
          </w:p>
        </w:tc>
        <w:tc>
          <w:tcPr>
            <w:tcW w:w="16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340.8</w:t>
            </w:r>
          </w:p>
        </w:tc>
        <w:tc>
          <w:tcPr>
            <w:tcW w:w="20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04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r>
      <w:tr>
        <w:trPr>
          <w:trHeight w:val="20"/>
        </w:trPr>
        <w:tc>
          <w:tcPr>
            <w:tcW w:w="20" w:type="dxa"/>
            <w:vAlign w:val="bottom"/>
          </w:tcPr>
          <w:p>
            <w:pPr>
              <w:spacing w:after="0" w:line="20" w:lineRule="exact"/>
              <w:rPr>
                <w:sz w:val="1"/>
                <w:szCs w:val="1"/>
                <w:color w:val="auto"/>
              </w:rPr>
            </w:pPr>
          </w:p>
        </w:tc>
        <w:tc>
          <w:tcPr>
            <w:tcW w:w="2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0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656"/>
        </w:trPr>
        <w:tc>
          <w:tcPr>
            <w:tcW w:w="20" w:type="dxa"/>
            <w:vAlign w:val="bottom"/>
          </w:tcPr>
          <w:p>
            <w:pPr>
              <w:spacing w:after="0"/>
              <w:rPr>
                <w:sz w:val="24"/>
                <w:szCs w:val="24"/>
                <w:color w:val="auto"/>
              </w:rPr>
            </w:pPr>
          </w:p>
        </w:tc>
        <w:tc>
          <w:tcPr>
            <w:tcW w:w="21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92"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color w:val="auto"/>
        </w:rPr>
        <w:t>OXFORD LANE CAPITAL CORP.</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31, 2016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FAIR VALUE – (continued)</w:t>
      </w:r>
    </w:p>
    <w:p>
      <w:pPr>
        <w:spacing w:after="0" w:line="229" w:lineRule="exact"/>
        <w:rPr>
          <w:sz w:val="20"/>
          <w:szCs w:val="20"/>
          <w:color w:val="auto"/>
        </w:rPr>
      </w:pPr>
    </w:p>
    <w:p>
      <w:pPr>
        <w:jc w:val="both"/>
        <w:ind w:left="660" w:hanging="328"/>
        <w:spacing w:after="0" w:line="253"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Fund generally uses non-binding indicative bid (“NBIB”) prices provided by an independent pricing service or broker on or near the valuation date as the primary basis for the fair value determinations for CLO debt and equity investments, which may be adjusted for pending equity distributions as of the valuation date. These bid prices are non-binding, and may not be determinative of fair value. Each bid price is evaluated by the Board of Directors in conjunction with additional information compiled by OXLC Management, including performance and covenant compliance information as provided by the independent trustee.</w:t>
      </w:r>
    </w:p>
    <w:p>
      <w:pPr>
        <w:spacing w:after="0" w:line="3"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Prices provided by independent pricing services are evaluated in conjunction with actual trades and, in certain cases, the value represented by actual trades may be more representative of fair value as determined by the Board of Directors.</w:t>
      </w:r>
    </w:p>
    <w:p>
      <w:pPr>
        <w:jc w:val="both"/>
        <w:ind w:left="660" w:hanging="328"/>
        <w:spacing w:after="0" w:line="265" w:lineRule="auto"/>
        <w:tabs>
          <w:tab w:leader="none" w:pos="660" w:val="left"/>
        </w:tabs>
        <w:numPr>
          <w:ilvl w:val="0"/>
          <w:numId w:val="2"/>
        </w:numPr>
        <w:rPr>
          <w:rFonts w:ascii="Arial" w:cs="Arial" w:eastAsia="Arial" w:hAnsi="Arial"/>
          <w:sz w:val="17"/>
          <w:szCs w:val="17"/>
          <w:color w:val="auto"/>
        </w:rPr>
      </w:pPr>
      <w:r>
        <w:rPr>
          <w:rFonts w:ascii="Arial" w:cs="Arial" w:eastAsia="Arial" w:hAnsi="Arial"/>
          <w:sz w:val="17"/>
          <w:szCs w:val="17"/>
          <w:color w:val="auto"/>
        </w:rPr>
        <w:t>The Fund will calculate the fair value of certain CLO equity investments based upon the net present value of expected contractual payment streams discounted using estimated market yields for the equity tranche of the respective CLO vehicle. OXLC will also consider those investments in which the record date for an equity distribution payment falls on the last day of the period, and the likelihood that a prospective purchaser would require an adjustment to the transaction price representing substantially all of the pending distribution.</w:t>
      </w: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Weighted averages are calculated based on fair value of investments.</w:t>
      </w:r>
    </w:p>
    <w:p>
      <w:pPr>
        <w:spacing w:after="0" w:line="211" w:lineRule="exact"/>
        <w:rPr>
          <w:sz w:val="20"/>
          <w:szCs w:val="20"/>
          <w:color w:val="auto"/>
        </w:rPr>
      </w:pPr>
    </w:p>
    <w:p>
      <w:pPr>
        <w:ind w:left="280"/>
        <w:spacing w:after="0"/>
        <w:rPr>
          <w:sz w:val="20"/>
          <w:szCs w:val="20"/>
          <w:color w:val="auto"/>
        </w:rPr>
      </w:pPr>
      <w:r>
        <w:rPr>
          <w:rFonts w:ascii="Arial" w:cs="Arial" w:eastAsia="Arial" w:hAnsi="Arial"/>
          <w:sz w:val="17"/>
          <w:szCs w:val="17"/>
          <w:color w:val="auto"/>
        </w:rPr>
        <w:t>Significant increases or decreases in any of the unobservable inputs in isolation may result in a significantly lower or higher fair value measurement.</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INVESTMENT INCOME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from securitization vehicles and equity investments</w:t>
      </w:r>
    </w:p>
    <w:p>
      <w:pPr>
        <w:spacing w:after="0" w:line="23" w:lineRule="exact"/>
        <w:rPr>
          <w:sz w:val="20"/>
          <w:szCs w:val="20"/>
          <w:color w:val="auto"/>
        </w:rPr>
      </w:pPr>
    </w:p>
    <w:p>
      <w:pPr>
        <w:jc w:val="both"/>
        <w:ind w:firstLine="270"/>
        <w:spacing w:after="0" w:line="290" w:lineRule="auto"/>
        <w:rPr>
          <w:sz w:val="20"/>
          <w:szCs w:val="20"/>
          <w:color w:val="auto"/>
        </w:rPr>
      </w:pPr>
      <w:r>
        <w:rPr>
          <w:rFonts w:ascii="Arial" w:cs="Arial" w:eastAsia="Arial" w:hAnsi="Arial"/>
          <w:sz w:val="16"/>
          <w:szCs w:val="16"/>
          <w:color w:val="auto"/>
        </w:rPr>
        <w:t xml:space="preserve">Income from securitization vehicles and equity investments in the equity class securities of CLO vehicles (typically income notes or subordinated notes) is recorded using the effective interest method in accordance with the provisions of ASC 325-40, </w:t>
      </w:r>
      <w:r>
        <w:rPr>
          <w:rFonts w:ascii="Arial" w:cs="Arial" w:eastAsia="Arial" w:hAnsi="Arial"/>
          <w:sz w:val="16"/>
          <w:szCs w:val="16"/>
          <w:i w:val="1"/>
          <w:iCs w:val="1"/>
          <w:color w:val="auto"/>
        </w:rPr>
        <w:t>Beneficial Interests in Securitized Financial Assets</w:t>
      </w:r>
      <w:r>
        <w:rPr>
          <w:rFonts w:ascii="Arial" w:cs="Arial" w:eastAsia="Arial" w:hAnsi="Arial"/>
          <w:sz w:val="16"/>
          <w:szCs w:val="16"/>
          <w:color w:val="auto"/>
        </w:rPr>
        <w:t>, based upon a calculation of the effective yield to the expected redemption date based on an estimate of future cash flows, including those CLO equity investments that have not made their inaugural distribution for the relevant period end. The Fund monitors the expected residual payments, and the effective yield is determined and updated quarterly, as needed. Accordingly, investment income recognized on CLO equity securities in the GAAP statement of operations differs from both the tax-basis investment income and from the cash distributions actually received by the Fund during the period.</w:t>
      </w:r>
    </w:p>
    <w:p>
      <w:pPr>
        <w:spacing w:after="0" w:line="164" w:lineRule="exact"/>
        <w:rPr>
          <w:sz w:val="20"/>
          <w:szCs w:val="20"/>
          <w:color w:val="auto"/>
        </w:rPr>
      </w:pPr>
    </w:p>
    <w:p>
      <w:pPr>
        <w:jc w:val="both"/>
        <w:ind w:firstLine="270"/>
        <w:spacing w:after="0" w:line="342" w:lineRule="auto"/>
        <w:rPr>
          <w:sz w:val="20"/>
          <w:szCs w:val="20"/>
          <w:color w:val="auto"/>
        </w:rPr>
      </w:pPr>
      <w:r>
        <w:rPr>
          <w:rFonts w:ascii="Arial" w:cs="Arial" w:eastAsia="Arial" w:hAnsi="Arial"/>
          <w:sz w:val="16"/>
          <w:szCs w:val="16"/>
          <w:color w:val="auto"/>
        </w:rPr>
        <w:t>The Fund also records income on its investments in CLO warehouse facilities based on a stated rate as per the underlying note purchase agreement or, if there is no stated rate, then an estimated rate is calculated using a base case model projecting the timing of the ramp-up of the CLO warehouse facility.</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 – Debt Investments</w:t>
      </w:r>
    </w:p>
    <w:p>
      <w:pPr>
        <w:spacing w:after="0" w:line="23" w:lineRule="exact"/>
        <w:rPr>
          <w:sz w:val="20"/>
          <w:szCs w:val="20"/>
          <w:color w:val="auto"/>
        </w:rPr>
      </w:pPr>
    </w:p>
    <w:p>
      <w:pPr>
        <w:jc w:val="both"/>
        <w:ind w:firstLine="270"/>
        <w:spacing w:after="0" w:line="254" w:lineRule="auto"/>
        <w:rPr>
          <w:sz w:val="20"/>
          <w:szCs w:val="20"/>
          <w:color w:val="auto"/>
        </w:rPr>
      </w:pPr>
      <w:r>
        <w:rPr>
          <w:rFonts w:ascii="Arial" w:cs="Arial" w:eastAsia="Arial" w:hAnsi="Arial"/>
          <w:sz w:val="18"/>
          <w:szCs w:val="18"/>
          <w:color w:val="auto"/>
        </w:rPr>
        <w:t>Interest income is recorded on an accrual basis using the contractual rate applicable to each debt investment and includes the accretion of discounts and amortization of premiums. Discounts from and premiums to par value on securities purchased are accreted/amortized into interest income over the life of the respective security using the effective interest method. The amortized cost of investments represents the original cost adjusted for the accretion of discounts and amortization of premiums, if any.</w:t>
      </w:r>
    </w:p>
    <w:p>
      <w:pPr>
        <w:spacing w:after="0" w:line="190" w:lineRule="exact"/>
        <w:rPr>
          <w:sz w:val="20"/>
          <w:szCs w:val="20"/>
          <w:color w:val="auto"/>
        </w:rPr>
      </w:pPr>
    </w:p>
    <w:p>
      <w:pPr>
        <w:jc w:val="both"/>
        <w:ind w:firstLine="270"/>
        <w:spacing w:after="0" w:line="257" w:lineRule="auto"/>
        <w:rPr>
          <w:sz w:val="20"/>
          <w:szCs w:val="20"/>
          <w:color w:val="auto"/>
        </w:rPr>
      </w:pPr>
      <w:r>
        <w:rPr>
          <w:rFonts w:ascii="Arial" w:cs="Arial" w:eastAsia="Arial" w:hAnsi="Arial"/>
          <w:sz w:val="18"/>
          <w:szCs w:val="18"/>
          <w:color w:val="auto"/>
        </w:rPr>
        <w:t>Generally, if the Fund does not expect the borrower to be able to service its debt and other obligations, the Fund will, on a discretionary basis, place the debt instrument on non-accrual status and will generally cease recognizing interest income on that loan for financial reporting purposes until all principal and interest have been brought current through payment or due to restructuring such that the interest income is deemed to be collectible. The Fund generally restores non-accrual loans to accrual status when past due principal and interest is paid and, in the Fund’s judgment, the payments are likely to remain current. As of December 31, 2016, the Fund had no non-accrual assets in its portfolio.</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w:t>
      </w:r>
    </w:p>
    <w:p>
      <w:pPr>
        <w:spacing w:after="0" w:line="23" w:lineRule="exact"/>
        <w:rPr>
          <w:sz w:val="20"/>
          <w:szCs w:val="20"/>
          <w:color w:val="auto"/>
        </w:rPr>
      </w:pPr>
    </w:p>
    <w:p>
      <w:pPr>
        <w:jc w:val="both"/>
        <w:ind w:firstLine="270"/>
        <w:spacing w:after="0" w:line="273" w:lineRule="auto"/>
        <w:rPr>
          <w:sz w:val="20"/>
          <w:szCs w:val="20"/>
          <w:color w:val="auto"/>
        </w:rPr>
      </w:pPr>
      <w:r>
        <w:rPr>
          <w:rFonts w:ascii="Arial" w:cs="Arial" w:eastAsia="Arial" w:hAnsi="Arial"/>
          <w:sz w:val="17"/>
          <w:szCs w:val="17"/>
          <w:color w:val="auto"/>
        </w:rPr>
        <w:t>Other income includes distributions from fee letters and success fees associated with portfolio investments. Distributions from CLO equity fee letter investments are an enhancement to the return on a CLO equity investment, are based upon a percentage of the collateral manager’s fees, and are recorded as other income when earned. The Fund may also earn success fees associated with its investments in CLO warehouse facilities, which are contingent upon a take-out of the warehouse by a permanent CLO structure; such fees are earned and recognized when the take-out is completed.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color w:val="auto"/>
        </w:rPr>
        <w:t>OXFORD LANE CAPITAL CORP.</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31, 2016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U.S. FEDERAL INCOME TAXES</w:t>
      </w:r>
    </w:p>
    <w:p>
      <w:pPr>
        <w:spacing w:after="0" w:line="229" w:lineRule="exact"/>
        <w:rPr>
          <w:sz w:val="20"/>
          <w:szCs w:val="20"/>
          <w:color w:val="auto"/>
        </w:rPr>
      </w:pPr>
    </w:p>
    <w:p>
      <w:pPr>
        <w:ind w:right="440" w:firstLine="270"/>
        <w:spacing w:after="0" w:line="286" w:lineRule="auto"/>
        <w:rPr>
          <w:sz w:val="20"/>
          <w:szCs w:val="20"/>
          <w:color w:val="auto"/>
        </w:rPr>
      </w:pPr>
      <w:r>
        <w:rPr>
          <w:rFonts w:ascii="Arial" w:cs="Arial" w:eastAsia="Arial" w:hAnsi="Arial"/>
          <w:sz w:val="17"/>
          <w:szCs w:val="17"/>
          <w:color w:val="auto"/>
        </w:rPr>
        <w:t>The Fund intends to operate so as to continue to qualify to be taxed as a RIC under Subchapter M of the U.S. Tax Code (the “Code”) and, as such, to not be subject to U.S. federal income tax on the portion of its taxable income and gains distributed to stockholders. To qualify for RIC tax treatment, OXLC is required to distribute at least 90% of its investment company taxable income, as defined by the Code.</w:t>
      </w:r>
    </w:p>
    <w:p>
      <w:pPr>
        <w:spacing w:after="0" w:line="166" w:lineRule="exact"/>
        <w:rPr>
          <w:sz w:val="20"/>
          <w:szCs w:val="20"/>
          <w:color w:val="auto"/>
        </w:rPr>
      </w:pPr>
    </w:p>
    <w:p>
      <w:pPr>
        <w:ind w:right="660" w:firstLine="270"/>
        <w:spacing w:after="0" w:line="259" w:lineRule="auto"/>
        <w:rPr>
          <w:sz w:val="20"/>
          <w:szCs w:val="20"/>
          <w:color w:val="auto"/>
        </w:rPr>
      </w:pPr>
      <w:r>
        <w:rPr>
          <w:rFonts w:ascii="Arial" w:cs="Arial" w:eastAsia="Arial" w:hAnsi="Arial"/>
          <w:sz w:val="18"/>
          <w:szCs w:val="18"/>
          <w:color w:val="auto"/>
        </w:rPr>
        <w:t>Because U.S. federal income tax regulations differ from GAAP, distributions in accordance with tax regulations may differ from net investment income and realized gains recognized for financial reporting purposes. Differences may be permanent or temporary. Permanent differences are reclassified among capital accounts in the financial statement to reflect their tax character. Temporary differences arise when certain items of income, expense, gain or loss are recognized at some time in the future.</w:t>
      </w:r>
    </w:p>
    <w:p>
      <w:pPr>
        <w:spacing w:after="0" w:line="187" w:lineRule="exact"/>
        <w:rPr>
          <w:sz w:val="20"/>
          <w:szCs w:val="20"/>
          <w:color w:val="auto"/>
        </w:rPr>
      </w:pPr>
    </w:p>
    <w:p>
      <w:pPr>
        <w:ind w:right="700" w:firstLine="270"/>
        <w:spacing w:after="0" w:line="286" w:lineRule="auto"/>
        <w:rPr>
          <w:sz w:val="20"/>
          <w:szCs w:val="20"/>
          <w:color w:val="auto"/>
        </w:rPr>
      </w:pPr>
      <w:r>
        <w:rPr>
          <w:rFonts w:ascii="Arial" w:cs="Arial" w:eastAsia="Arial" w:hAnsi="Arial"/>
          <w:sz w:val="17"/>
          <w:szCs w:val="17"/>
          <w:color w:val="auto"/>
        </w:rPr>
        <w:t>Differences between distributions and net investment income may also result from the treatment of short-term gains as ordinary income for tax purposes. Our distribution policy is based upon our estimate of our distributable net investment income, which includes actual distributions from our CLO equity class investments, with further consideration given to our realized gains or losses on a taxable basis.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10040" w:type="dxa"/>
            <w:vAlign w:val="bottom"/>
          </w:tcPr>
          <w:p>
            <w:pPr>
              <w:ind w:left="260"/>
              <w:spacing w:after="0"/>
              <w:rPr>
                <w:sz w:val="20"/>
                <w:szCs w:val="20"/>
                <w:color w:val="auto"/>
              </w:rPr>
            </w:pPr>
            <w:r>
              <w:rPr>
                <w:rFonts w:ascii="Arial" w:cs="Arial" w:eastAsia="Arial" w:hAnsi="Arial"/>
                <w:sz w:val="18"/>
                <w:szCs w:val="18"/>
                <w:color w:val="auto"/>
              </w:rPr>
              <w:t>As of December 31, 2016, the cost and net unrealized depreciation of securities on a tax basis were as follows:</w:t>
            </w: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10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Cost for federal income tax purposes</w:t>
            </w:r>
          </w:p>
        </w:tc>
        <w:tc>
          <w:tcPr>
            <w:tcW w:w="220" w:type="dxa"/>
            <w:vAlign w:val="bottom"/>
            <w:tcBorders>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383,745,260</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0060" w:type="dxa"/>
            <w:vAlign w:val="bottom"/>
            <w:gridSpan w:val="2"/>
            <w:vMerge w:val="restart"/>
          </w:tcPr>
          <w:p>
            <w:pPr>
              <w:spacing w:after="0"/>
              <w:rPr>
                <w:sz w:val="20"/>
                <w:szCs w:val="20"/>
                <w:color w:val="auto"/>
              </w:rPr>
            </w:pPr>
            <w:r>
              <w:rPr>
                <w:rFonts w:ascii="Arial" w:cs="Arial" w:eastAsia="Arial" w:hAnsi="Arial"/>
                <w:sz w:val="18"/>
                <w:szCs w:val="18"/>
                <w:color w:val="auto"/>
              </w:rPr>
              <w:t>Gross unrealized appreciation</w:t>
            </w: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0060" w:type="dxa"/>
            <w:vAlign w:val="bottom"/>
            <w:gridSpan w:val="2"/>
            <w:vMerge w:val="continue"/>
          </w:tcPr>
          <w:p>
            <w:pPr>
              <w:spacing w:after="0"/>
              <w:rPr>
                <w:sz w:val="17"/>
                <w:szCs w:val="17"/>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line="196" w:lineRule="exact"/>
              <w:rPr>
                <w:sz w:val="20"/>
                <w:szCs w:val="20"/>
                <w:color w:val="auto"/>
              </w:rPr>
            </w:pPr>
            <w:r>
              <w:rPr>
                <w:rFonts w:ascii="Arial" w:cs="Arial" w:eastAsia="Arial" w:hAnsi="Arial"/>
                <w:sz w:val="18"/>
                <w:szCs w:val="18"/>
                <w:color w:val="auto"/>
              </w:rPr>
              <w:t>13,603,875</w:t>
            </w:r>
          </w:p>
        </w:tc>
        <w:tc>
          <w:tcPr>
            <w:tcW w:w="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Gross unrealized depreciation</w:t>
            </w:r>
          </w:p>
        </w:tc>
        <w:tc>
          <w:tcPr>
            <w:tcW w:w="22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(56,526,333)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0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unrealized depreciation</w:t>
            </w: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(42,922,458</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20" w:type="dxa"/>
            <w:vAlign w:val="bottom"/>
          </w:tcPr>
          <w:p>
            <w:pPr>
              <w:spacing w:after="0"/>
              <w:rPr>
                <w:sz w:val="24"/>
                <w:szCs w:val="24"/>
                <w:color w:val="auto"/>
              </w:rPr>
            </w:pPr>
          </w:p>
        </w:tc>
        <w:tc>
          <w:tcPr>
            <w:tcW w:w="100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92"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Item 2. Controls and Procedures.</w:t>
      </w:r>
    </w:p>
    <w:p>
      <w:pPr>
        <w:spacing w:after="0" w:line="229" w:lineRule="exact"/>
        <w:rPr>
          <w:sz w:val="20"/>
          <w:szCs w:val="20"/>
          <w:color w:val="auto"/>
        </w:rPr>
      </w:pPr>
    </w:p>
    <w:p>
      <w:pPr>
        <w:ind w:firstLine="278"/>
        <w:spacing w:after="0" w:line="293" w:lineRule="auto"/>
        <w:tabs>
          <w:tab w:leader="none" w:pos="830" w:val="left"/>
        </w:tabs>
        <w:numPr>
          <w:ilvl w:val="0"/>
          <w:numId w:val="3"/>
        </w:numPr>
        <w:rPr>
          <w:rFonts w:ascii="Arial" w:cs="Arial" w:eastAsia="Arial" w:hAnsi="Arial"/>
          <w:sz w:val="16"/>
          <w:szCs w:val="16"/>
          <w:color w:val="auto"/>
        </w:rPr>
      </w:pPr>
      <w:r>
        <w:rPr>
          <w:rFonts w:ascii="Arial" w:cs="Arial" w:eastAsia="Arial" w:hAnsi="Arial"/>
          <w:sz w:val="16"/>
          <w:szCs w:val="16"/>
          <w:color w:val="auto"/>
        </w:rPr>
        <w:t>Based on an evaluation of the Disclosure Controls and Procedures (as defined in Rule 30a-3(c) under the Investment Company Act of 1940, the “Disclosure Controls”) as of a date within 90 days prior to the filing date (the “Filing Date”) of this Form N-Q (the “Report”), the Chief Executive Officer (its principal executive officer) and Chief Financial Officer (its principal financial officer) have concluded that the Disclosure Controls are reasonably designed to ensure that information required to be disclosed by the Registrant in the Report is recorded, processed, summarized and reported by the Filing Date, including ensuring that information required to be disclosed in the Report is accumulated and communicated to the Registrant's management, including the Registrant's principal executive officer and principal financial officer, as appropriate to allow timely decisions regarding required disclosure.</w:t>
      </w:r>
    </w:p>
    <w:p>
      <w:pPr>
        <w:spacing w:after="0" w:line="164" w:lineRule="exact"/>
        <w:rPr>
          <w:rFonts w:ascii="Arial" w:cs="Arial" w:eastAsia="Arial" w:hAnsi="Arial"/>
          <w:sz w:val="16"/>
          <w:szCs w:val="16"/>
          <w:color w:val="auto"/>
        </w:rPr>
      </w:pPr>
    </w:p>
    <w:p>
      <w:pPr>
        <w:ind w:right="100" w:firstLine="278"/>
        <w:spacing w:after="0" w:line="264" w:lineRule="auto"/>
        <w:tabs>
          <w:tab w:leader="none" w:pos="837"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There were no changes in the Registrant’s internal control over financial reporting (as defined in Rule 30a-3(d) under the Investment Company Act of 1940) that occurred during the Registrant’s last fiscal quarter that have materially affected or are reasonably likely to materially affect the Registrant’s internal control over financial reporting.</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Exhibits.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Certifications of principal executive officer and principal financial officer as required by Rule 30a-2(a) under the Investment Company Act of 1940.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595630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688" w:right="25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0" w:firstLine="270"/>
        <w:spacing w:after="0" w:line="277" w:lineRule="auto"/>
        <w:rPr>
          <w:sz w:val="20"/>
          <w:szCs w:val="20"/>
          <w:color w:val="auto"/>
        </w:rPr>
      </w:pPr>
      <w:r>
        <w:rPr>
          <w:rFonts w:ascii="Arial" w:cs="Arial" w:eastAsia="Arial" w:hAnsi="Arial"/>
          <w:sz w:val="18"/>
          <w:szCs w:val="18"/>
          <w:color w:val="auto"/>
        </w:rPr>
        <w:t>Pursuant to the requirements of the Securities Exchange Act of 1934 and the Investment Company Act of 1940, the Registrant has duly caused this report to be signed on its behalf by the undersigned, thereunto duly authorized.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OXFORD LANE CAPITAL CORP.</w:t>
      </w:r>
    </w:p>
    <w:p>
      <w:pPr>
        <w:spacing w:after="0" w:line="229" w:lineRule="exact"/>
        <w:rPr>
          <w:sz w:val="20"/>
          <w:szCs w:val="20"/>
          <w:color w:val="auto"/>
        </w:rPr>
      </w:pPr>
    </w:p>
    <w:p>
      <w:pPr>
        <w:ind w:left="10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Jonathan H. Cohen</w:t>
      </w:r>
    </w:p>
    <w:p>
      <w:pPr>
        <w:spacing w:after="0" w:line="2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Name: Jonathan H. Cohen</w:t>
      </w:r>
    </w:p>
    <w:p>
      <w:pPr>
        <w:spacing w:after="0" w:line="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Title: Chief Executive Officer</w:t>
      </w:r>
    </w:p>
    <w:p>
      <w:pPr>
        <w:spacing w:after="0" w:line="21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Date: February 7, 2017</w:t>
      </w:r>
    </w:p>
    <w:p>
      <w:pPr>
        <w:spacing w:after="0" w:line="225" w:lineRule="exact"/>
        <w:rPr>
          <w:sz w:val="20"/>
          <w:szCs w:val="20"/>
          <w:color w:val="auto"/>
        </w:rPr>
      </w:pPr>
    </w:p>
    <w:p>
      <w:pPr>
        <w:ind w:firstLine="270"/>
        <w:spacing w:after="0" w:line="277" w:lineRule="auto"/>
        <w:rPr>
          <w:sz w:val="20"/>
          <w:szCs w:val="20"/>
          <w:color w:val="auto"/>
        </w:rPr>
      </w:pPr>
      <w:r>
        <w:rPr>
          <w:rFonts w:ascii="Arial" w:cs="Arial" w:eastAsia="Arial" w:hAnsi="Arial"/>
          <w:sz w:val="18"/>
          <w:szCs w:val="18"/>
          <w:color w:val="auto"/>
        </w:rPr>
        <w:t>Pursuant to the requirements of the Securities Exchange Act of 1934 and the Investment Company Act of 1940, this report has been signed below by the following persons on behalf of the Registrant and in the capacities and on the dates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300" w:type="dxa"/>
            <w:vAlign w:val="bottom"/>
            <w:gridSpan w:val="3"/>
          </w:tcPr>
          <w:p>
            <w:pPr>
              <w:ind w:left="100"/>
              <w:spacing w:after="0"/>
              <w:rPr>
                <w:sz w:val="20"/>
                <w:szCs w:val="20"/>
                <w:color w:val="auto"/>
              </w:rPr>
            </w:pPr>
            <w:r>
              <w:rPr>
                <w:rFonts w:ascii="Arial" w:cs="Arial" w:eastAsia="Arial" w:hAnsi="Arial"/>
                <w:sz w:val="18"/>
                <w:szCs w:val="18"/>
                <w:color w:val="auto"/>
              </w:rPr>
              <w:t>By:/s/ Jonathan H. Cohen</w:t>
            </w:r>
          </w:p>
        </w:tc>
        <w:tc>
          <w:tcPr>
            <w:tcW w:w="6120" w:type="dxa"/>
            <w:vAlign w:val="bottom"/>
            <w:gridSpan w:val="3"/>
          </w:tcPr>
          <w:p>
            <w:pPr>
              <w:ind w:left="2440"/>
              <w:spacing w:after="0"/>
              <w:rPr>
                <w:sz w:val="20"/>
                <w:szCs w:val="20"/>
                <w:color w:val="auto"/>
              </w:rPr>
            </w:pPr>
            <w:r>
              <w:rPr>
                <w:rFonts w:ascii="Arial" w:cs="Arial" w:eastAsia="Arial" w:hAnsi="Arial"/>
                <w:sz w:val="18"/>
                <w:szCs w:val="18"/>
                <w:color w:val="auto"/>
              </w:rPr>
              <w:t>By:/s/ Bruce L. Rubin</w:t>
            </w:r>
          </w:p>
        </w:tc>
      </w:tr>
      <w:tr>
        <w:trPr>
          <w:trHeight w:val="20"/>
        </w:trPr>
        <w:tc>
          <w:tcPr>
            <w:tcW w:w="380" w:type="dxa"/>
            <w:vAlign w:val="bottom"/>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r>
      <w:tr>
        <w:trPr>
          <w:trHeight w:val="222"/>
        </w:trPr>
        <w:tc>
          <w:tcPr>
            <w:tcW w:w="5300" w:type="dxa"/>
            <w:vAlign w:val="bottom"/>
            <w:gridSpan w:val="3"/>
          </w:tcPr>
          <w:p>
            <w:pPr>
              <w:ind w:left="380"/>
              <w:spacing w:after="0"/>
              <w:rPr>
                <w:sz w:val="20"/>
                <w:szCs w:val="20"/>
                <w:color w:val="auto"/>
              </w:rPr>
            </w:pPr>
            <w:r>
              <w:rPr>
                <w:rFonts w:ascii="Arial" w:cs="Arial" w:eastAsia="Arial" w:hAnsi="Arial"/>
                <w:sz w:val="18"/>
                <w:szCs w:val="18"/>
                <w:color w:val="auto"/>
              </w:rPr>
              <w:t>Name: Jonathan H. Cohen</w:t>
            </w:r>
          </w:p>
        </w:tc>
        <w:tc>
          <w:tcPr>
            <w:tcW w:w="2700" w:type="dxa"/>
            <w:vAlign w:val="bottom"/>
          </w:tcPr>
          <w:p>
            <w:pPr>
              <w:spacing w:after="0"/>
              <w:rPr>
                <w:sz w:val="19"/>
                <w:szCs w:val="19"/>
                <w:color w:val="auto"/>
              </w:rPr>
            </w:pPr>
          </w:p>
        </w:tc>
        <w:tc>
          <w:tcPr>
            <w:tcW w:w="3420" w:type="dxa"/>
            <w:vAlign w:val="bottom"/>
            <w:gridSpan w:val="2"/>
          </w:tcPr>
          <w:p>
            <w:pPr>
              <w:spacing w:after="0"/>
              <w:rPr>
                <w:sz w:val="20"/>
                <w:szCs w:val="20"/>
                <w:color w:val="auto"/>
              </w:rPr>
            </w:pPr>
            <w:r>
              <w:rPr>
                <w:rFonts w:ascii="Arial" w:cs="Arial" w:eastAsia="Arial" w:hAnsi="Arial"/>
                <w:sz w:val="18"/>
                <w:szCs w:val="18"/>
                <w:color w:val="auto"/>
              </w:rPr>
              <w:t>Name: Bruce L. Rubin</w:t>
            </w:r>
          </w:p>
        </w:tc>
      </w:tr>
      <w:tr>
        <w:trPr>
          <w:trHeight w:val="216"/>
        </w:trPr>
        <w:tc>
          <w:tcPr>
            <w:tcW w:w="5300" w:type="dxa"/>
            <w:vAlign w:val="bottom"/>
            <w:gridSpan w:val="3"/>
          </w:tcPr>
          <w:p>
            <w:pPr>
              <w:ind w:left="380"/>
              <w:spacing w:after="0"/>
              <w:rPr>
                <w:sz w:val="20"/>
                <w:szCs w:val="20"/>
                <w:color w:val="auto"/>
              </w:rPr>
            </w:pPr>
            <w:r>
              <w:rPr>
                <w:rFonts w:ascii="Arial" w:cs="Arial" w:eastAsia="Arial" w:hAnsi="Arial"/>
                <w:sz w:val="18"/>
                <w:szCs w:val="18"/>
                <w:color w:val="auto"/>
              </w:rPr>
              <w:t>Title: Chief Executive Officer</w:t>
            </w:r>
          </w:p>
        </w:tc>
        <w:tc>
          <w:tcPr>
            <w:tcW w:w="2700" w:type="dxa"/>
            <w:vAlign w:val="bottom"/>
          </w:tcPr>
          <w:p>
            <w:pPr>
              <w:spacing w:after="0"/>
              <w:rPr>
                <w:sz w:val="18"/>
                <w:szCs w:val="18"/>
                <w:color w:val="auto"/>
              </w:rPr>
            </w:pPr>
          </w:p>
        </w:tc>
        <w:tc>
          <w:tcPr>
            <w:tcW w:w="3420" w:type="dxa"/>
            <w:vAlign w:val="bottom"/>
            <w:gridSpan w:val="2"/>
          </w:tcPr>
          <w:p>
            <w:pPr>
              <w:spacing w:after="0"/>
              <w:rPr>
                <w:sz w:val="20"/>
                <w:szCs w:val="20"/>
                <w:color w:val="auto"/>
              </w:rPr>
            </w:pPr>
            <w:r>
              <w:rPr>
                <w:rFonts w:ascii="Arial" w:cs="Arial" w:eastAsia="Arial" w:hAnsi="Arial"/>
                <w:sz w:val="18"/>
                <w:szCs w:val="18"/>
                <w:color w:val="auto"/>
              </w:rPr>
              <w:t>Title: Chief Financial Officer</w:t>
            </w:r>
          </w:p>
        </w:tc>
      </w:tr>
      <w:tr>
        <w:trPr>
          <w:trHeight w:val="230"/>
        </w:trPr>
        <w:tc>
          <w:tcPr>
            <w:tcW w:w="380" w:type="dxa"/>
            <w:vAlign w:val="bottom"/>
          </w:tcPr>
          <w:p>
            <w:pPr>
              <w:spacing w:after="0"/>
              <w:rPr>
                <w:sz w:val="20"/>
                <w:szCs w:val="20"/>
                <w:color w:val="auto"/>
              </w:rPr>
            </w:pPr>
          </w:p>
        </w:tc>
        <w:tc>
          <w:tcPr>
            <w:tcW w:w="4920" w:type="dxa"/>
            <w:vAlign w:val="bottom"/>
            <w:gridSpan w:val="2"/>
          </w:tcPr>
          <w:p>
            <w:pPr>
              <w:ind w:left="400"/>
              <w:spacing w:after="0"/>
              <w:rPr>
                <w:sz w:val="20"/>
                <w:szCs w:val="20"/>
                <w:color w:val="auto"/>
              </w:rPr>
            </w:pPr>
            <w:r>
              <w:rPr>
                <w:rFonts w:ascii="Arial" w:cs="Arial" w:eastAsia="Arial" w:hAnsi="Arial"/>
                <w:sz w:val="18"/>
                <w:szCs w:val="18"/>
                <w:color w:val="auto"/>
              </w:rPr>
              <w:t>(Principal Executive Officer)</w:t>
            </w:r>
          </w:p>
        </w:tc>
        <w:tc>
          <w:tcPr>
            <w:tcW w:w="2700" w:type="dxa"/>
            <w:vAlign w:val="bottom"/>
          </w:tcPr>
          <w:p>
            <w:pPr>
              <w:spacing w:after="0"/>
              <w:rPr>
                <w:sz w:val="20"/>
                <w:szCs w:val="20"/>
                <w:color w:val="auto"/>
              </w:rPr>
            </w:pPr>
          </w:p>
        </w:tc>
        <w:tc>
          <w:tcPr>
            <w:tcW w:w="3420" w:type="dxa"/>
            <w:vAlign w:val="bottom"/>
            <w:gridSpan w:val="2"/>
          </w:tcPr>
          <w:p>
            <w:pPr>
              <w:ind w:left="460"/>
              <w:spacing w:after="0"/>
              <w:rPr>
                <w:sz w:val="20"/>
                <w:szCs w:val="20"/>
                <w:color w:val="auto"/>
              </w:rPr>
            </w:pPr>
            <w:r>
              <w:rPr>
                <w:rFonts w:ascii="Arial" w:cs="Arial" w:eastAsia="Arial" w:hAnsi="Arial"/>
                <w:sz w:val="18"/>
                <w:szCs w:val="18"/>
                <w:color w:val="auto"/>
              </w:rPr>
              <w:t>(Principal Financial Officer)</w:t>
            </w:r>
          </w:p>
        </w:tc>
      </w:tr>
      <w:tr>
        <w:trPr>
          <w:trHeight w:val="432"/>
        </w:trPr>
        <w:tc>
          <w:tcPr>
            <w:tcW w:w="5300" w:type="dxa"/>
            <w:vAlign w:val="bottom"/>
            <w:gridSpan w:val="3"/>
          </w:tcPr>
          <w:p>
            <w:pPr>
              <w:ind w:left="380"/>
              <w:spacing w:after="0"/>
              <w:rPr>
                <w:sz w:val="20"/>
                <w:szCs w:val="20"/>
                <w:color w:val="auto"/>
              </w:rPr>
            </w:pPr>
            <w:r>
              <w:rPr>
                <w:rFonts w:ascii="Arial" w:cs="Arial" w:eastAsia="Arial" w:hAnsi="Arial"/>
                <w:sz w:val="18"/>
                <w:szCs w:val="18"/>
                <w:color w:val="auto"/>
              </w:rPr>
              <w:t>Date: February 7, 2017</w:t>
            </w:r>
          </w:p>
        </w:tc>
        <w:tc>
          <w:tcPr>
            <w:tcW w:w="2700" w:type="dxa"/>
            <w:vAlign w:val="bottom"/>
          </w:tcPr>
          <w:p>
            <w:pPr>
              <w:spacing w:after="0"/>
              <w:rPr>
                <w:sz w:val="24"/>
                <w:szCs w:val="24"/>
                <w:color w:val="auto"/>
              </w:rPr>
            </w:pPr>
          </w:p>
        </w:tc>
        <w:tc>
          <w:tcPr>
            <w:tcW w:w="3420" w:type="dxa"/>
            <w:vAlign w:val="bottom"/>
            <w:gridSpan w:val="2"/>
          </w:tcPr>
          <w:p>
            <w:pPr>
              <w:spacing w:after="0"/>
              <w:rPr>
                <w:sz w:val="20"/>
                <w:szCs w:val="20"/>
                <w:color w:val="auto"/>
              </w:rPr>
            </w:pPr>
            <w:r>
              <w:rPr>
                <w:rFonts w:ascii="Arial" w:cs="Arial" w:eastAsia="Arial" w:hAnsi="Arial"/>
                <w:sz w:val="18"/>
                <w:szCs w:val="18"/>
                <w:color w:val="auto"/>
              </w:rPr>
              <w:t>Date: February 7, 2017</w:t>
            </w:r>
          </w:p>
        </w:tc>
      </w:tr>
      <w:tr>
        <w:trPr>
          <w:trHeight w:val="891"/>
        </w:trPr>
        <w:tc>
          <w:tcPr>
            <w:tcW w:w="38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334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88" w:right="239" w:bottom="1440" w:gutter="0" w:footer="0" w:header="0"/>
        </w:sectPr>
      </w:pPr>
    </w:p>
    <w:bookmarkStart w:id="11" w:name="page12"/>
    <w:bookmarkEnd w:id="11"/>
    <w:p>
      <w:pPr>
        <w:jc w:val="right"/>
        <w:spacing w:after="0"/>
        <w:rPr>
          <w:sz w:val="20"/>
          <w:szCs w:val="20"/>
          <w:color w:val="auto"/>
        </w:rPr>
      </w:pPr>
      <w:r>
        <w:rPr>
          <w:rFonts w:ascii="Arial" w:cs="Arial" w:eastAsia="Arial" w:hAnsi="Arial"/>
          <w:sz w:val="18"/>
          <w:szCs w:val="18"/>
          <w:b w:val="1"/>
          <w:bCs w:val="1"/>
          <w:color w:val="auto"/>
        </w:rPr>
        <w:t>Exhibit 99.Cert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12(a)(2)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30a-2(a) Certification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Jonathan H. Cohen, Chief Executive Officer of Oxford Lane Capital Corp., certify that:</w:t>
      </w:r>
    </w:p>
    <w:p>
      <w:pPr>
        <w:spacing w:after="0" w:line="225"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 have reviewed this report on Form N-Q of Oxford Lane Capital Corp.;</w:t>
      </w:r>
    </w:p>
    <w:p>
      <w:pPr>
        <w:spacing w:after="0" w:line="225"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Based on my knowledge, the schedules of investments included in this report, fairly present in all material respects the investments of the registrant as of the end of the fiscal quarter for which the report is filed;</w:t>
      </w:r>
    </w:p>
    <w:p>
      <w:pPr>
        <w:spacing w:after="0" w:line="170"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Rule 30a-3(c) under the Investment Company Act of 1940) and internal control over financial reporting (as defined in Rule 30a-3(d) under the Investment Company Act of 1940) for the registrant and have:</w:t>
      </w:r>
    </w:p>
    <w:p>
      <w:pPr>
        <w:spacing w:after="0" w:line="181"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a date within 90 days prior to the filing date of this report based on such evaluation; and</w:t>
      </w:r>
    </w:p>
    <w:p>
      <w:pPr>
        <w:spacing w:after="0" w:line="181"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to the registrant’s auditors and the audit committee of the registrant’s board of directors (or persons performing the equivalent functions):</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1"/>
          <w:numId w:val="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1"/>
          <w:numId w:val="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Dated this 7th day of February,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JONATHAN H. COHEN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Jonathan H. Cohen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144907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297180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Exhibit 12(a)(2)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30a-2(a) Certification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Bruce L. Rubin, Chief Financial Officer of Oxford Lane Capital Corp., certify that:</w:t>
      </w:r>
    </w:p>
    <w:p>
      <w:pPr>
        <w:spacing w:after="0" w:line="225"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 have reviewed this report on Form N-Q of Oxford Lane Capital Corp.;</w:t>
      </w:r>
    </w:p>
    <w:p>
      <w:pPr>
        <w:spacing w:after="0" w:line="225"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Based on my knowledge, the schedules of investments included in this report, fairly present in all material respects the investments of the registrant as of the end of the fiscal quarter for which the report is filed;</w:t>
      </w:r>
    </w:p>
    <w:p>
      <w:pPr>
        <w:spacing w:after="0" w:line="170"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Rule 30a-3(c) under the Investment Company Act of 1940) and internal control over financial reporting (as defined in Rule 30a-3(d) under the Investment Company Act of 1940) for the registrant and have:</w:t>
      </w:r>
    </w:p>
    <w:p>
      <w:pPr>
        <w:spacing w:after="0" w:line="181"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a date within 90 days prior to the filing date of this report based on such evaluation; and</w:t>
      </w:r>
    </w:p>
    <w:p>
      <w:pPr>
        <w:spacing w:after="0" w:line="181"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to the registrant’s auditors and the audit committee of the registrant’s board of directors (or persons performing the equivalent functions):</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1"/>
          <w:numId w:val="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1"/>
          <w:numId w:val="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Dated this 7th day of February,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BRUCE L. RUBIN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Bruce L. Rubin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144907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297180</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15" w:right="239" w:bottom="1440" w:gutter="0" w:footer="0" w:header="0"/>
        </w:sectPr>
      </w:pPr>
    </w:p>
    <w:bookmarkStart w:id="13" w:name="page14"/>
    <w:bookmarkEnd w:id="13"/>
    <w:p>
      <w:pPr>
        <w:jc w:val="right"/>
        <w:spacing w:after="0"/>
        <w:rPr>
          <w:sz w:val="20"/>
          <w:szCs w:val="20"/>
          <w:color w:val="auto"/>
        </w:rPr>
      </w:pPr>
      <w:r>
        <w:rPr>
          <w:rFonts w:ascii="Arial" w:cs="Arial" w:eastAsia="Arial" w:hAnsi="Arial"/>
          <w:sz w:val="18"/>
          <w:szCs w:val="18"/>
          <w:b w:val="1"/>
          <w:bCs w:val="1"/>
          <w:color w:val="auto"/>
        </w:rPr>
        <w:t>Exhibit 99.906CERT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12(b)</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30a-2(b) Certification</w:t>
      </w:r>
    </w:p>
    <w:p>
      <w:pPr>
        <w:spacing w:after="0" w:line="211" w:lineRule="exact"/>
        <w:rPr>
          <w:sz w:val="20"/>
          <w:szCs w:val="20"/>
          <w:color w:val="auto"/>
        </w:rPr>
      </w:pPr>
    </w:p>
    <w:p>
      <w:pPr>
        <w:jc w:val="both"/>
        <w:ind w:right="80" w:firstLine="486"/>
        <w:spacing w:after="0" w:line="264" w:lineRule="auto"/>
        <w:rPr>
          <w:sz w:val="20"/>
          <w:szCs w:val="20"/>
          <w:color w:val="auto"/>
        </w:rPr>
      </w:pPr>
      <w:r>
        <w:rPr>
          <w:rFonts w:ascii="Arial" w:cs="Arial" w:eastAsia="Arial" w:hAnsi="Arial"/>
          <w:sz w:val="18"/>
          <w:szCs w:val="18"/>
          <w:color w:val="auto"/>
        </w:rPr>
        <w:t>In connection with the Report on Form N-Q for the quarter ended December 31, 2016 (the “Report”) of Oxford Lane Capital Corp. (the “Registrant”), as filed with the Securities and Exchange Commission on the date hereof, I, Jonathan H. Cohen, the Chief Executive Officer of the Registrant, hereby certify, to the best of my knowledge, that:</w:t>
      </w:r>
    </w:p>
    <w:p>
      <w:pPr>
        <w:spacing w:after="0" w:line="181"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25" w:lineRule="exact"/>
        <w:rPr>
          <w:rFonts w:ascii="Arial" w:cs="Arial" w:eastAsia="Arial" w:hAnsi="Arial"/>
          <w:sz w:val="18"/>
          <w:szCs w:val="18"/>
          <w:color w:val="auto"/>
        </w:rPr>
      </w:pPr>
    </w:p>
    <w:p>
      <w:pPr>
        <w:ind w:right="260" w:firstLine="332"/>
        <w:spacing w:after="0" w:line="485" w:lineRule="auto"/>
        <w:tabs>
          <w:tab w:leader="none" w:pos="648"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Registrant. /s/ JONATHAN H. COHEN</w:t>
      </w:r>
    </w:p>
    <w:p>
      <w:pPr>
        <w:spacing w:after="0"/>
        <w:rPr>
          <w:rFonts w:ascii="Arial" w:cs="Arial" w:eastAsia="Arial" w:hAnsi="Arial"/>
          <w:sz w:val="18"/>
          <w:szCs w:val="18"/>
          <w:color w:val="auto"/>
        </w:rPr>
      </w:pPr>
      <w:r>
        <w:rPr>
          <w:rFonts w:ascii="Arial" w:cs="Arial" w:eastAsia="Arial" w:hAnsi="Arial"/>
          <w:sz w:val="18"/>
          <w:szCs w:val="18"/>
          <w:color w:val="auto"/>
        </w:rPr>
        <w:t>Name: Jonathan H. Cohen</w:t>
      </w:r>
    </w:p>
    <w:p>
      <w:pPr>
        <w:spacing w:after="0" w:line="184"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Date: February 7,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-379095</wp:posOffset>
            </wp:positionV>
            <wp:extent cx="144907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44907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417830</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4" w:name="page15"/>
    <w:bookmarkEnd w:id="14"/>
    <w:p>
      <w:pPr>
        <w:jc w:val="center"/>
        <w:ind w:right="-119"/>
        <w:spacing w:after="0"/>
        <w:rPr>
          <w:sz w:val="20"/>
          <w:szCs w:val="20"/>
          <w:color w:val="auto"/>
        </w:rPr>
      </w:pPr>
      <w:r>
        <w:rPr>
          <w:rFonts w:ascii="Arial" w:cs="Arial" w:eastAsia="Arial" w:hAnsi="Arial"/>
          <w:sz w:val="18"/>
          <w:szCs w:val="18"/>
          <w:b w:val="1"/>
          <w:bCs w:val="1"/>
          <w:color w:val="auto"/>
        </w:rPr>
        <w:t>Exhibit 12(b)</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Rule 30a-2(b) Certification</w:t>
      </w:r>
    </w:p>
    <w:p>
      <w:pPr>
        <w:spacing w:after="0" w:line="211" w:lineRule="exact"/>
        <w:rPr>
          <w:sz w:val="20"/>
          <w:szCs w:val="20"/>
          <w:color w:val="auto"/>
        </w:rPr>
      </w:pPr>
    </w:p>
    <w:p>
      <w:pPr>
        <w:ind w:firstLine="486"/>
        <w:spacing w:after="0" w:line="264" w:lineRule="auto"/>
        <w:rPr>
          <w:sz w:val="20"/>
          <w:szCs w:val="20"/>
          <w:color w:val="auto"/>
        </w:rPr>
      </w:pPr>
      <w:r>
        <w:rPr>
          <w:rFonts w:ascii="Arial" w:cs="Arial" w:eastAsia="Arial" w:hAnsi="Arial"/>
          <w:sz w:val="18"/>
          <w:szCs w:val="18"/>
          <w:color w:val="auto"/>
        </w:rPr>
        <w:t>In connection with the Report on Form N-Q for the quarter ended December 31, 2016 (the “Report”) of Oxford Lane Capital Corp. (the “Registrant”), as filed with the Securities and Exchange Commission on the date hereof, I, Bruce L. Rubin, the Chief Financial Officer of the Registrant, hereby certify, to the best of my knowledge, that:</w:t>
      </w:r>
    </w:p>
    <w:p>
      <w:pPr>
        <w:spacing w:after="0" w:line="181"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25" w:lineRule="exact"/>
        <w:rPr>
          <w:rFonts w:ascii="Arial" w:cs="Arial" w:eastAsia="Arial" w:hAnsi="Arial"/>
          <w:sz w:val="18"/>
          <w:szCs w:val="18"/>
          <w:color w:val="auto"/>
        </w:rPr>
      </w:pPr>
    </w:p>
    <w:p>
      <w:pPr>
        <w:ind w:right="160" w:firstLine="332"/>
        <w:spacing w:after="0" w:line="485" w:lineRule="auto"/>
        <w:tabs>
          <w:tab w:leader="none" w:pos="648"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Registrant. /s/ BRUCE L. RUBIN</w:t>
      </w:r>
    </w:p>
    <w:p>
      <w:pPr>
        <w:spacing w:after="0"/>
        <w:rPr>
          <w:rFonts w:ascii="Arial" w:cs="Arial" w:eastAsia="Arial" w:hAnsi="Arial"/>
          <w:sz w:val="18"/>
          <w:szCs w:val="18"/>
          <w:color w:val="auto"/>
        </w:rPr>
      </w:pPr>
      <w:r>
        <w:rPr>
          <w:rFonts w:ascii="Arial" w:cs="Arial" w:eastAsia="Arial" w:hAnsi="Arial"/>
          <w:sz w:val="18"/>
          <w:szCs w:val="18"/>
          <w:color w:val="auto"/>
        </w:rPr>
        <w:t>Name: Bruce L. Rubin</w:t>
      </w:r>
    </w:p>
    <w:p>
      <w:pPr>
        <w:spacing w:after="0" w:line="184"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Date: February 7,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-379095</wp:posOffset>
            </wp:positionV>
            <wp:extent cx="144907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44907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417830</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320"/>
      </w:cols>
      <w:pgMar w:left="240" w:top="71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decimal"/>
      <w:start w:val="1"/>
    </w:lvl>
  </w:abstractNum>
  <w:abstractNum w:abstractNumId="1">
    <w:nsid w:val="238E1F29"/>
    <w:multiLevelType w:val="hybridMultilevel"/>
    <w:lvl w:ilvl="0">
      <w:lvlJc w:val="left"/>
      <w:lvlText w:val="(%1)"/>
      <w:numFmt w:val="decimal"/>
      <w:start w:val="1"/>
    </w:lvl>
  </w:abstractNum>
  <w:abstractNum w:abstractNumId="2">
    <w:nsid w:val="46E87CCD"/>
    <w:multiLevelType w:val="hybridMultilevel"/>
    <w:lvl w:ilvl="0">
      <w:lvlJc w:val="left"/>
      <w:lvlText w:val="(%1)"/>
      <w:numFmt w:val="lowerLetter"/>
      <w:start w:val="1"/>
    </w:lvl>
  </w:abstractNum>
  <w:abstractNum w:abstractNumId="3">
    <w:nsid w:val="3D1B58BA"/>
    <w:multiLevelType w:val="hybridMultilevel"/>
    <w:lvl w:ilvl="0">
      <w:lvlJc w:val="left"/>
      <w:lvlText w:val="%1."/>
      <w:numFmt w:val="decimal"/>
      <w:start w:val="1"/>
    </w:lvl>
    <w:lvl w:ilvl="1">
      <w:lvlJc w:val="left"/>
      <w:lvlText w:val="%2)"/>
      <w:numFmt w:val="lowerLetter"/>
      <w:start w:val="1"/>
    </w:lvl>
  </w:abstractNum>
  <w:abstractNum w:abstractNumId="4">
    <w:nsid w:val="507ED7AB"/>
    <w:multiLevelType w:val="hybridMultilevel"/>
    <w:lvl w:ilvl="0">
      <w:lvlJc w:val="left"/>
      <w:lvlText w:val="%1."/>
      <w:numFmt w:val="decimal"/>
      <w:start w:val="1"/>
    </w:lvl>
    <w:lvl w:ilvl="1">
      <w:lvlJc w:val="left"/>
      <w:lvlText w:val="%2)"/>
      <w:numFmt w:val="lowerLetter"/>
      <w:start w:val="1"/>
    </w:lvl>
  </w:abstractNum>
  <w:abstractNum w:abstractNumId="5">
    <w:nsid w:val="2EB141F2"/>
    <w:multiLevelType w:val="hybridMultilevel"/>
    <w:lvl w:ilvl="0">
      <w:lvlJc w:val="left"/>
      <w:lvlText w:val="(%1)"/>
      <w:numFmt w:val="decimal"/>
      <w:start w:val="1"/>
    </w:lvl>
  </w:abstractNum>
  <w:abstractNum w:abstractNumId="6">
    <w:nsid w:val="41B71E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2020-01-16T06:19:00Z</dcterms:created>
  <dcterms:modified xsi:type="dcterms:W3CDTF">2020-01-16T06:19:00Z</dcterms:modified>
</cp:coreProperties>
</file>