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4572-01_defa14a.htm"/>
      <w:bookmarkStart w:id="1" w:name="ksea030457201_defa14a"/>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w:t>
        <w:br/>
        <w:t>(RULE 14a-101)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PROXY STATEMENT</w:t>
        <w:br/>
        <w:t>SCHEDULE 14A INFORMATION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 THE</w:t>
        <w:br/>
        <w:t>SECURITIES EXCHANGE ACT OF 1934</w:t>
      </w:r>
    </w:p>
    <w:p>
      <w:pPr>
        <w:pStyle w:val="TextBody"/>
        <w:bidi w:val="0"/>
        <w:spacing w:before="0" w:after="0"/>
        <w:ind w:left="0" w:right="0" w:hanging="0"/>
        <w:jc w:val="center"/>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3905"/>
        <w:gridCol w:w="245"/>
      </w:tblGrid>
      <w:tr>
        <w:trPr/>
        <w:tc>
          <w:tcPr>
            <w:tcW w:w="3905" w:type="dxa"/>
            <w:tcBorders/>
            <w:vAlign w:val="center"/>
          </w:tcPr>
          <w:p>
            <w:pPr>
              <w:pStyle w:val="TableContents"/>
              <w:bidi w:val="0"/>
              <w:spacing w:before="0" w:after="283"/>
              <w:jc w:val="left"/>
              <w:rPr>
                <w:b/>
              </w:rPr>
            </w:pPr>
            <w:r>
              <w:rPr>
                <w:b/>
              </w:rPr>
              <w:t>Filed by the Registrant</w:t>
            </w:r>
          </w:p>
        </w:tc>
        <w:tc>
          <w:tcPr>
            <w:tcW w:w="245" w:type="dxa"/>
            <w:tcBorders/>
            <w:vAlign w:val="center"/>
          </w:tcPr>
          <w:p>
            <w:pPr>
              <w:pStyle w:val="TableContents"/>
              <w:bidi w:val="0"/>
              <w:spacing w:before="0" w:after="283"/>
              <w:jc w:val="right"/>
              <w:rPr/>
            </w:pPr>
            <w:r>
              <w:rPr/>
              <w:t>☒</w:t>
            </w:r>
          </w:p>
        </w:tc>
      </w:tr>
      <w:tr>
        <w:trPr/>
        <w:tc>
          <w:tcPr>
            <w:tcW w:w="390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3905" w:type="dxa"/>
            <w:tcBorders/>
            <w:vAlign w:val="center"/>
          </w:tcPr>
          <w:p>
            <w:pPr>
              <w:pStyle w:val="TableContents"/>
              <w:bidi w:val="0"/>
              <w:spacing w:before="0" w:after="283"/>
              <w:jc w:val="left"/>
              <w:rPr/>
            </w:pPr>
            <w:r>
              <w:rPr/>
              <w:t>Filed by a Party other than the Registrant</w:t>
            </w:r>
          </w:p>
        </w:tc>
        <w:tc>
          <w:tcPr>
            <w:tcW w:w="245" w:type="dxa"/>
            <w:tcBorders/>
            <w:vAlign w:val="center"/>
          </w:tcPr>
          <w:p>
            <w:pPr>
              <w:pStyle w:val="TableContents"/>
              <w:bidi w:val="0"/>
              <w:spacing w:before="0" w:after="283"/>
              <w:jc w:val="righ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245"/>
        <w:gridCol w:w="2360"/>
      </w:tblGrid>
      <w:tr>
        <w:trPr/>
        <w:tc>
          <w:tcPr>
            <w:tcW w:w="245" w:type="dxa"/>
            <w:tcBorders/>
            <w:vAlign w:val="center"/>
          </w:tcPr>
          <w:p>
            <w:pPr>
              <w:pStyle w:val="TableContents"/>
              <w:bidi w:val="0"/>
              <w:spacing w:before="0" w:after="283"/>
              <w:jc w:val="left"/>
              <w:rPr/>
            </w:pPr>
            <w:r>
              <w:rPr/>
              <w:t>☐</w:t>
            </w:r>
          </w:p>
        </w:tc>
        <w:tc>
          <w:tcPr>
            <w:tcW w:w="2360" w:type="dxa"/>
            <w:tcBorders/>
            <w:vAlign w:val="center"/>
          </w:tcPr>
          <w:p>
            <w:pPr>
              <w:pStyle w:val="TableContents"/>
              <w:bidi w:val="0"/>
              <w:spacing w:before="0" w:after="283"/>
              <w:jc w:val="both"/>
              <w:rPr>
                <w:sz w:val="20"/>
              </w:rPr>
            </w:pPr>
            <w:r>
              <w:rPr>
                <w:sz w:val="20"/>
              </w:rPr>
              <w:t>Preliminary Proxy Statement</w:t>
            </w:r>
          </w:p>
        </w:tc>
      </w:tr>
    </w:tbl>
    <w:p>
      <w:pPr>
        <w:pStyle w:val="TextBody"/>
        <w:bidi w:val="0"/>
        <w:spacing w:before="0" w:after="0"/>
        <w:ind w:left="0" w:right="0" w:hanging="0"/>
        <w:jc w:val="left"/>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245"/>
        <w:gridCol w:w="6710"/>
      </w:tblGrid>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both"/>
              <w:rPr>
                <w:b/>
                <w:sz w:val="20"/>
              </w:rPr>
            </w:pPr>
            <w:r>
              <w:rPr>
                <w:b/>
                <w:sz w:val="20"/>
              </w:rPr>
              <w:t>Confidential, for Use of the Commission Only (as permitted by Rule 14a-6(e)(2))</w:t>
            </w:r>
          </w:p>
        </w:tc>
      </w:tr>
    </w:tbl>
    <w:p>
      <w:pPr>
        <w:pStyle w:val="TextBody"/>
        <w:bidi w:val="0"/>
        <w:spacing w:before="0" w:after="0"/>
        <w:ind w:left="0" w:right="0" w:hanging="0"/>
        <w:jc w:val="left"/>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245"/>
        <w:gridCol w:w="2240"/>
      </w:tblGrid>
      <w:tr>
        <w:trPr/>
        <w:tc>
          <w:tcPr>
            <w:tcW w:w="245"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283"/>
              <w:jc w:val="both"/>
              <w:rPr>
                <w:sz w:val="20"/>
              </w:rPr>
            </w:pPr>
            <w:r>
              <w:rPr>
                <w:sz w:val="20"/>
              </w:rPr>
              <w:t>Definitive Proxy Statement</w:t>
            </w:r>
          </w:p>
        </w:tc>
      </w:tr>
    </w:tbl>
    <w:p>
      <w:pPr>
        <w:pStyle w:val="TextBody"/>
        <w:bidi w:val="0"/>
        <w:spacing w:before="0" w:after="0"/>
        <w:jc w:val="left"/>
        <w:rPr>
          <w:caps w:val="false"/>
          <w:smallCaps w:val="false"/>
        </w:rPr>
      </w:pPr>
      <w:r>
        <w:rPr>
          <w:caps w:val="false"/>
          <w:smallCaps w:val="false"/>
        </w:rPr>
        <w:t> </w:t>
      </w:r>
    </w:p>
    <w:tbl>
      <w:tblPr>
        <w:tblW w:w="2845" w:type="dxa"/>
        <w:jc w:val="left"/>
        <w:tblInd w:w="0" w:type="dxa"/>
        <w:tblLayout w:type="fixed"/>
        <w:tblCellMar>
          <w:top w:w="0" w:type="dxa"/>
          <w:left w:w="0" w:type="dxa"/>
          <w:bottom w:w="0" w:type="dxa"/>
          <w:right w:w="0" w:type="dxa"/>
        </w:tblCellMar>
      </w:tblPr>
      <w:tblGrid>
        <w:gridCol w:w="245"/>
        <w:gridCol w:w="2600"/>
      </w:tblGrid>
      <w:tr>
        <w:trPr/>
        <w:tc>
          <w:tcPr>
            <w:tcW w:w="245" w:type="dxa"/>
            <w:tcBorders/>
            <w:vAlign w:val="center"/>
          </w:tcPr>
          <w:p>
            <w:pPr>
              <w:pStyle w:val="TableContents"/>
              <w:bidi w:val="0"/>
              <w:spacing w:before="0" w:after="283"/>
              <w:jc w:val="left"/>
              <w:rPr/>
            </w:pPr>
            <w:r>
              <w:rPr/>
              <w:t>☒</w:t>
            </w:r>
          </w:p>
        </w:tc>
        <w:tc>
          <w:tcPr>
            <w:tcW w:w="2600" w:type="dxa"/>
            <w:tcBorders/>
            <w:vAlign w:val="center"/>
          </w:tcPr>
          <w:p>
            <w:pPr>
              <w:pStyle w:val="TableContents"/>
              <w:bidi w:val="0"/>
              <w:spacing w:before="0" w:after="283"/>
              <w:jc w:val="both"/>
              <w:rPr>
                <w:sz w:val="20"/>
              </w:rPr>
            </w:pPr>
            <w:r>
              <w:rPr>
                <w:sz w:val="20"/>
              </w:rPr>
              <w:t>Definitive Additional Materials</w:t>
            </w:r>
          </w:p>
        </w:tc>
      </w:tr>
    </w:tbl>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245"/>
        <w:gridCol w:w="3590"/>
      </w:tblGrid>
      <w:tr>
        <w:trPr/>
        <w:tc>
          <w:tcPr>
            <w:tcW w:w="245" w:type="dxa"/>
            <w:tcBorders/>
            <w:vAlign w:val="center"/>
          </w:tcPr>
          <w:p>
            <w:pPr>
              <w:pStyle w:val="TableContents"/>
              <w:bidi w:val="0"/>
              <w:spacing w:before="0" w:after="283"/>
              <w:jc w:val="left"/>
              <w:rPr/>
            </w:pPr>
            <w:r>
              <w:rPr/>
              <w:t>☐</w:t>
            </w:r>
          </w:p>
        </w:tc>
        <w:tc>
          <w:tcPr>
            <w:tcW w:w="3590" w:type="dxa"/>
            <w:tcBorders/>
            <w:vAlign w:val="center"/>
          </w:tcPr>
          <w:p>
            <w:pPr>
              <w:pStyle w:val="TableContents"/>
              <w:bidi w:val="0"/>
              <w:spacing w:before="0" w:after="283"/>
              <w:jc w:val="left"/>
              <w:rPr>
                <w:sz w:val="20"/>
              </w:rPr>
            </w:pPr>
            <w:r>
              <w:rPr>
                <w:sz w:val="20"/>
              </w:rPr>
              <w:t>Soliciting Material Pursuant to Rule 14a-12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Oxford Lane Capital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22"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Person(s) Filing Proxy Statement if other than the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left"/>
        <w:rPr>
          <w:caps w:val="false"/>
          <w:smallCaps w:val="false"/>
        </w:rPr>
      </w:pPr>
      <w:r>
        <w:rPr>
          <w:caps w:val="false"/>
          <w:smallCaps w:val="false"/>
        </w:rPr>
        <w:t> </w:t>
      </w:r>
    </w:p>
    <w:tbl>
      <w:tblPr>
        <w:tblW w:w="1825" w:type="dxa"/>
        <w:jc w:val="left"/>
        <w:tblInd w:w="0" w:type="dxa"/>
        <w:tblLayout w:type="fixed"/>
        <w:tblCellMar>
          <w:top w:w="0" w:type="dxa"/>
          <w:left w:w="0" w:type="dxa"/>
          <w:bottom w:w="0" w:type="dxa"/>
          <w:right w:w="0" w:type="dxa"/>
        </w:tblCellMar>
      </w:tblPr>
      <w:tblGrid>
        <w:gridCol w:w="245"/>
        <w:gridCol w:w="1580"/>
      </w:tblGrid>
      <w:tr>
        <w:trPr/>
        <w:tc>
          <w:tcPr>
            <w:tcW w:w="245" w:type="dxa"/>
            <w:tcBorders/>
            <w:vAlign w:val="center"/>
          </w:tcPr>
          <w:p>
            <w:pPr>
              <w:pStyle w:val="TableContents"/>
              <w:bidi w:val="0"/>
              <w:spacing w:before="0" w:after="283"/>
              <w:jc w:val="left"/>
              <w:rPr/>
            </w:pPr>
            <w:r>
              <w:rPr/>
              <w:t>☒</w:t>
            </w:r>
          </w:p>
        </w:tc>
        <w:tc>
          <w:tcPr>
            <w:tcW w:w="1580" w:type="dxa"/>
            <w:tcBorders/>
            <w:vAlign w:val="center"/>
          </w:tcPr>
          <w:p>
            <w:pPr>
              <w:pStyle w:val="TableContents"/>
              <w:bidi w:val="0"/>
              <w:spacing w:before="0" w:after="283"/>
              <w:jc w:val="both"/>
              <w:rPr/>
            </w:pPr>
            <w:r>
              <w:rPr/>
              <w:t>No fee required.</w:t>
            </w:r>
          </w:p>
        </w:tc>
      </w:tr>
    </w:tbl>
    <w:p>
      <w:pPr>
        <w:pStyle w:val="TextBody"/>
        <w:bidi w:val="0"/>
        <w:spacing w:before="0" w:after="0"/>
        <w:ind w:left="0" w:right="0" w:hanging="0"/>
        <w:jc w:val="left"/>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245"/>
        <w:gridCol w:w="3860"/>
      </w:tblGrid>
      <w:tr>
        <w:trPr/>
        <w:tc>
          <w:tcPr>
            <w:tcW w:w="245" w:type="dxa"/>
            <w:tcBorders/>
            <w:vAlign w:val="center"/>
          </w:tcPr>
          <w:p>
            <w:pPr>
              <w:pStyle w:val="TableContents"/>
              <w:bidi w:val="0"/>
              <w:spacing w:before="0" w:after="283"/>
              <w:jc w:val="left"/>
              <w:rPr/>
            </w:pPr>
            <w:r>
              <w:rPr/>
              <w:t>☐</w:t>
            </w:r>
          </w:p>
        </w:tc>
        <w:tc>
          <w:tcPr>
            <w:tcW w:w="3860" w:type="dxa"/>
            <w:tcBorders/>
            <w:vAlign w:val="center"/>
          </w:tcPr>
          <w:p>
            <w:pPr>
              <w:pStyle w:val="TableContents"/>
              <w:bidi w:val="0"/>
              <w:spacing w:before="0" w:after="283"/>
              <w:jc w:val="both"/>
              <w:rPr>
                <w:sz w:val="20"/>
              </w:rPr>
            </w:pPr>
            <w:r>
              <w:rPr>
                <w:sz w:val="20"/>
              </w:rPr>
              <w:t>Fee paid previously with preliminary materials.</w:t>
            </w:r>
          </w:p>
        </w:tc>
      </w:tr>
    </w:tbl>
    <w:p>
      <w:pPr>
        <w:pStyle w:val="TextBody"/>
        <w:bidi w:val="0"/>
        <w:spacing w:before="0" w:after="0"/>
        <w:ind w:left="0" w:right="0" w:hanging="0"/>
        <w:jc w:val="left"/>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245"/>
        <w:gridCol w:w="8300"/>
      </w:tblGrid>
      <w:tr>
        <w:trPr/>
        <w:tc>
          <w:tcPr>
            <w:tcW w:w="245"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both"/>
              <w:rPr>
                <w:sz w:val="20"/>
              </w:rPr>
            </w:pPr>
            <w:r>
              <w:rPr>
                <w:sz w:val="20"/>
              </w:rPr>
              <w:t>Fee computed on table in exhibit required by Item 25(b)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drawing>
          <wp:inline distT="0" distB="0" distL="0" distR="0">
            <wp:extent cx="6991350" cy="9048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991350" cy="9048750"/>
                    </a:xfrm>
                    <a:prstGeom prst="rect">
                      <a:avLst/>
                    </a:prstGeom>
                  </pic:spPr>
                </pic:pic>
              </a:graphicData>
            </a:graphic>
          </wp:inline>
        </w:drawing>
      </w:r>
    </w:p>
    <w:p>
      <w:pPr>
        <w:pStyle w:val="TextBody"/>
        <w:bidi w:val="0"/>
        <w:jc w:val="left"/>
        <w:rPr>
          <w:color w:val="FFFFFF"/>
          <w:sz w:val="2"/>
        </w:rPr>
      </w:pPr>
      <w:r>
        <w:rPr>
          <w:color w:val="FFFFFF"/>
          <w:sz w:val="2"/>
        </w:rPr>
        <w:t>OXFORD LANE CAPITAL CORP. PO Box 43131 Providence, RI 02940 - 3131 https://www.proxy - direct.com/oxf - 35304 Easy Online Access – View your proxy materials and vote. Step 1: View your materials at: https://www.proxy - direct.com/oxf - 35304 Step 2: Login using your Control Number and Security Code Step 3: Vote your shares On this website, you can also set Future Delivery Preferences or request a paper or e - mail copy of the materials. There is no charge to you for requesting a copy. Please make your request as soon as possible but no later than October 12, 2026, to facilitate timely delivery. Unless requested, you will not otherwise receive a paper or e - mail copy . SCAN the QR code to access your materials without entering a Control Number or Security Code. The meeting will be held at 8 Sound Shore Drive, Suite 255 Second Floor Conference Room, Greenwich, CT 06830 on October 22, 2026, at 8:30 a.m. (Eastern Time). Important Notice Regarding the Availability of Proxy Materials for the Oxford Lane Capital Corp. Annual Meeting of Stockholders to Be Held on October 22, 2026. Under Securities and Exchange Commission rules, you are receiving this notice that the proxy materials for the annual stockholders’ meeting are available on the Internet . Follow the instructions below to view the proxy materials and vote onlin e or request a copy . The items to be voted on at the annual meeting are on the reverse side . Your vote is important! This communication is NOT a form for voting and presents only an overview of the more complete proxy materials that are available to you on the Internet or by mail . We encourage you to access and review all the important information contained in the proxy materials before voting . The proxy materials include the Proxy Statement, Notice of 2026 Annual Meeting of Stockholders, the accompanying Annual Report on Form N - CSR for the fiscal year ended March 31 , 2026 and the Form of Proxy Card . To view your proxy materials, go to the website and enter your login details, using the 14 - digit control number and 8 - digit security code listed in the boxes below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991350" cy="9048750"/>
                    </a:xfrm>
                    <a:prstGeom prst="rect">
                      <a:avLst/>
                    </a:prstGeom>
                  </pic:spPr>
                </pic:pic>
              </a:graphicData>
            </a:graphic>
          </wp:inline>
        </w:drawing>
      </w:r>
    </w:p>
    <w:p>
      <w:pPr>
        <w:pStyle w:val="TextBody"/>
        <w:bidi w:val="0"/>
        <w:jc w:val="left"/>
        <w:rPr>
          <w:color w:val="FFFFFF"/>
          <w:sz w:val="2"/>
        </w:rPr>
      </w:pPr>
      <w:r>
        <w:rPr>
          <w:color w:val="FFFFFF"/>
          <w:sz w:val="2"/>
        </w:rPr>
        <w:t>THE COMPANY’S BOARD OF DIRECTORS, INCLUDING ALL THE INDEPENDENT DIRECTORS, UNANIMOUSLY RECOMMENDS THAT YOU VOTE “FOR” THE COMPANY’S DIRECTOR NOMINEE LISTED. The following matters will be considered at the Meeting: 1 . To vote on the election of one director of the Company to be elected by the holders of the Company’s outstanding common stock, par value $ 0 . 01 per share, and outstanding preferred stock, voting together as a single class, with such director to serve for a term of three years, or until his successor is duly elected and qualified . 01. John Reardon 2. To transact such other business as may properly come before the Annual Meeting and any adjournments or postponements. If you wish to attend the Annual Meeting, please follow the instructions in the Proxy Materials and bring this Notice and proper identification with you to the Annual Meeting. ONLINE MATERIAL ACCESS AND PAPER COPY REQUESTS CAN ALSO BE MADE UTILIZING ONE OF THE METHODS BELOW. YOU CAN ALSO USE ONE OF THESE METHODS TO ELECT A PERMANENT DELIVERY PREFERENCE FOR FUTURE MEETINGS. PLEASE STATE YOUR 14 - DIGIT CONTROL NUMBER AND 8 - DIGIT SECURITY CODE WHEN MAKING A REQUEST. OXF_35304_NA_090226 TELEPHONE REQUESTS CALL 1 - 877 - 816 - 5331 (toll free) E - MAIL REQUESTS AT: proxymaterials@computershare.com</w:t>
      </w:r>
    </w:p>
    <w:p>
      <w:pPr>
        <w:pStyle w:val="TextBody"/>
        <w:bidi w:val="0"/>
        <w:spacing w:before="0" w:after="0"/>
        <w:ind w:left="0" w:right="0" w:hanging="0"/>
        <w:jc w:val="left"/>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733</Words>
  <Characters>3617</Characters>
  <CharactersWithSpaces>4346</CharactersWithSpaces>
  <Paragraphs>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