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N-Q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QUARTERLY SCHEDULE OF PORTFOLIO HOLDINGS OF REGISTERED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MANAGEMENT INVESTMENT COMPANY</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820" w:type="dxa"/>
            <w:vAlign w:val="bottom"/>
            <w:gridSpan w:val="9"/>
          </w:tcPr>
          <w:p>
            <w:pPr>
              <w:spacing w:after="0"/>
              <w:rPr>
                <w:sz w:val="20"/>
                <w:szCs w:val="20"/>
                <w:color w:val="auto"/>
              </w:rPr>
            </w:pPr>
            <w:r>
              <w:rPr>
                <w:rFonts w:ascii="Arial" w:cs="Arial" w:eastAsia="Arial" w:hAnsi="Arial"/>
                <w:sz w:val="18"/>
                <w:szCs w:val="18"/>
                <w:color w:val="auto"/>
              </w:rPr>
              <w:t>Investment Company Act file number 811-22432</w:t>
            </w:r>
          </w:p>
        </w:tc>
        <w:tc>
          <w:tcPr>
            <w:tcW w:w="3600" w:type="dxa"/>
            <w:vAlign w:val="bottom"/>
          </w:tcPr>
          <w:p>
            <w:pPr>
              <w:spacing w:after="0"/>
              <w:rPr>
                <w:sz w:val="17"/>
                <w:szCs w:val="17"/>
                <w:color w:val="auto"/>
              </w:rPr>
            </w:pPr>
          </w:p>
        </w:tc>
      </w:tr>
      <w:tr>
        <w:trPr>
          <w:trHeight w:val="438"/>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20" w:type="dxa"/>
            <w:vAlign w:val="bottom"/>
            <w:gridSpan w:val="2"/>
          </w:tcPr>
          <w:p>
            <w:pPr>
              <w:jc w:val="center"/>
              <w:ind w:right="110"/>
              <w:spacing w:after="0"/>
              <w:rPr>
                <w:sz w:val="20"/>
                <w:szCs w:val="20"/>
                <w:color w:val="auto"/>
              </w:rPr>
            </w:pPr>
            <w:r>
              <w:rPr>
                <w:rFonts w:ascii="Arial" w:cs="Arial" w:eastAsia="Arial" w:hAnsi="Arial"/>
                <w:sz w:val="18"/>
                <w:szCs w:val="18"/>
                <w:color w:val="auto"/>
                <w:w w:val="92"/>
              </w:rPr>
              <w:t>Oxford Lane Capital Corp.</w:t>
            </w:r>
          </w:p>
        </w:tc>
        <w:tc>
          <w:tcPr>
            <w:tcW w:w="3600" w:type="dxa"/>
            <w:vAlign w:val="bottom"/>
          </w:tcPr>
          <w:p>
            <w:pPr>
              <w:spacing w:after="0"/>
              <w:rPr>
                <w:sz w:val="24"/>
                <w:szCs w:val="24"/>
                <w:color w:val="auto"/>
              </w:rPr>
            </w:pP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20" w:type="dxa"/>
            <w:vAlign w:val="bottom"/>
            <w:gridSpan w:val="2"/>
          </w:tcPr>
          <w:p>
            <w:pPr>
              <w:jc w:val="center"/>
              <w:ind w:right="110"/>
              <w:spacing w:after="0"/>
              <w:rPr>
                <w:sz w:val="20"/>
                <w:szCs w:val="20"/>
                <w:color w:val="auto"/>
              </w:rPr>
            </w:pPr>
            <w:r>
              <w:rPr>
                <w:rFonts w:ascii="Arial" w:cs="Arial" w:eastAsia="Arial" w:hAnsi="Arial"/>
                <w:sz w:val="18"/>
                <w:szCs w:val="18"/>
                <w:color w:val="auto"/>
                <w:w w:val="90"/>
              </w:rPr>
              <w:t>(Exact name of registrant as specified in charter)</w:t>
            </w:r>
          </w:p>
        </w:tc>
        <w:tc>
          <w:tcPr>
            <w:tcW w:w="3600" w:type="dxa"/>
            <w:vAlign w:val="bottom"/>
          </w:tcPr>
          <w:p>
            <w:pPr>
              <w:spacing w:after="0"/>
              <w:rPr>
                <w:sz w:val="20"/>
                <w:szCs w:val="20"/>
                <w:color w:val="auto"/>
              </w:rPr>
            </w:pPr>
          </w:p>
        </w:tc>
      </w:tr>
      <w:tr>
        <w:trPr>
          <w:trHeight w:val="418"/>
        </w:trPr>
        <w:tc>
          <w:tcPr>
            <w:tcW w:w="7820" w:type="dxa"/>
            <w:vAlign w:val="bottom"/>
            <w:gridSpan w:val="9"/>
          </w:tcPr>
          <w:p>
            <w:pPr>
              <w:jc w:val="center"/>
              <w:ind w:right="2010"/>
              <w:spacing w:after="0"/>
              <w:rPr>
                <w:sz w:val="20"/>
                <w:szCs w:val="20"/>
                <w:color w:val="auto"/>
              </w:rPr>
            </w:pPr>
            <w:r>
              <w:rPr>
                <w:rFonts w:ascii="Arial" w:cs="Arial" w:eastAsia="Arial" w:hAnsi="Arial"/>
                <w:sz w:val="18"/>
                <w:szCs w:val="18"/>
                <w:color w:val="auto"/>
                <w:w w:val="90"/>
              </w:rPr>
              <w:t>8 Sound Shore Drive, Suite 255</w:t>
            </w:r>
          </w:p>
        </w:tc>
        <w:tc>
          <w:tcPr>
            <w:tcW w:w="3600" w:type="dxa"/>
            <w:vAlign w:val="bottom"/>
          </w:tcPr>
          <w:p>
            <w:pPr>
              <w:spacing w:after="0"/>
              <w:rPr>
                <w:sz w:val="24"/>
                <w:szCs w:val="24"/>
                <w:color w:val="auto"/>
              </w:rPr>
            </w:pPr>
          </w:p>
        </w:tc>
      </w:tr>
      <w:tr>
        <w:trPr>
          <w:trHeight w:val="230"/>
        </w:trPr>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gridSpan w:val="7"/>
          </w:tcPr>
          <w:p>
            <w:pPr>
              <w:jc w:val="center"/>
              <w:ind w:right="3850"/>
              <w:spacing w:after="0"/>
              <w:rPr>
                <w:sz w:val="20"/>
                <w:szCs w:val="20"/>
                <w:color w:val="auto"/>
              </w:rPr>
            </w:pPr>
            <w:r>
              <w:rPr>
                <w:rFonts w:ascii="Arial" w:cs="Arial" w:eastAsia="Arial" w:hAnsi="Arial"/>
                <w:sz w:val="18"/>
                <w:szCs w:val="18"/>
                <w:color w:val="auto"/>
                <w:w w:val="93"/>
              </w:rPr>
              <w:t>Greenwich, CT</w:t>
            </w:r>
          </w:p>
        </w:tc>
        <w:tc>
          <w:tcPr>
            <w:tcW w:w="3600" w:type="dxa"/>
            <w:vAlign w:val="bottom"/>
            <w:tcBorders>
              <w:bottom w:val="single" w:sz="8" w:color="auto"/>
            </w:tcBorders>
          </w:tcPr>
          <w:p>
            <w:pPr>
              <w:jc w:val="right"/>
              <w:ind w:right="2530"/>
              <w:spacing w:after="0"/>
              <w:rPr>
                <w:sz w:val="20"/>
                <w:szCs w:val="20"/>
                <w:color w:val="auto"/>
              </w:rPr>
            </w:pPr>
            <w:r>
              <w:rPr>
                <w:rFonts w:ascii="Arial" w:cs="Arial" w:eastAsia="Arial" w:hAnsi="Arial"/>
                <w:sz w:val="18"/>
                <w:szCs w:val="18"/>
                <w:color w:val="auto"/>
              </w:rPr>
              <w:t>06830</w:t>
            </w:r>
          </w:p>
        </w:tc>
      </w:tr>
      <w:tr>
        <w:trPr>
          <w:trHeight w:val="224"/>
        </w:trPr>
        <w:tc>
          <w:tcPr>
            <w:tcW w:w="7820" w:type="dxa"/>
            <w:vAlign w:val="bottom"/>
            <w:gridSpan w:val="9"/>
          </w:tcPr>
          <w:p>
            <w:pPr>
              <w:jc w:val="center"/>
              <w:ind w:right="1990"/>
              <w:spacing w:after="0"/>
              <w:rPr>
                <w:sz w:val="20"/>
                <w:szCs w:val="20"/>
                <w:color w:val="auto"/>
              </w:rPr>
            </w:pPr>
            <w:r>
              <w:rPr>
                <w:rFonts w:ascii="Arial" w:cs="Arial" w:eastAsia="Arial" w:hAnsi="Arial"/>
                <w:sz w:val="18"/>
                <w:szCs w:val="18"/>
                <w:color w:val="auto"/>
                <w:w w:val="92"/>
              </w:rPr>
              <w:t>(Address of principal executive offices)</w:t>
            </w:r>
          </w:p>
        </w:tc>
        <w:tc>
          <w:tcPr>
            <w:tcW w:w="3600" w:type="dxa"/>
            <w:vAlign w:val="bottom"/>
          </w:tcPr>
          <w:p>
            <w:pPr>
              <w:jc w:val="center"/>
              <w:ind w:right="2010"/>
              <w:spacing w:after="0"/>
              <w:rPr>
                <w:sz w:val="20"/>
                <w:szCs w:val="20"/>
                <w:color w:val="auto"/>
              </w:rPr>
            </w:pPr>
            <w:r>
              <w:rPr>
                <w:rFonts w:ascii="Arial" w:cs="Arial" w:eastAsia="Arial" w:hAnsi="Arial"/>
                <w:sz w:val="18"/>
                <w:szCs w:val="18"/>
                <w:color w:val="auto"/>
                <w:w w:val="91"/>
              </w:rPr>
              <w:t>(Zip code)</w:t>
            </w:r>
          </w:p>
        </w:tc>
      </w:tr>
      <w:tr>
        <w:trPr>
          <w:trHeight w:val="404"/>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00" w:type="dxa"/>
            <w:vAlign w:val="bottom"/>
          </w:tcPr>
          <w:p>
            <w:pPr>
              <w:jc w:val="center"/>
              <w:ind w:right="1230"/>
              <w:spacing w:after="0"/>
              <w:rPr>
                <w:sz w:val="20"/>
                <w:szCs w:val="20"/>
                <w:color w:val="auto"/>
              </w:rPr>
            </w:pPr>
            <w:r>
              <w:rPr>
                <w:rFonts w:ascii="Arial" w:cs="Arial" w:eastAsia="Arial" w:hAnsi="Arial"/>
                <w:sz w:val="18"/>
                <w:szCs w:val="18"/>
                <w:color w:val="auto"/>
                <w:w w:val="88"/>
              </w:rPr>
              <w:t>Jonathan H. Cohen</w:t>
            </w:r>
          </w:p>
        </w:tc>
        <w:tc>
          <w:tcPr>
            <w:tcW w:w="3600" w:type="dxa"/>
            <w:vAlign w:val="bottom"/>
          </w:tcPr>
          <w:p>
            <w:pPr>
              <w:spacing w:after="0"/>
              <w:rPr>
                <w:sz w:val="24"/>
                <w:szCs w:val="24"/>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20" w:type="dxa"/>
            <w:vAlign w:val="bottom"/>
            <w:gridSpan w:val="2"/>
          </w:tcPr>
          <w:p>
            <w:pPr>
              <w:jc w:val="center"/>
              <w:ind w:right="90"/>
              <w:spacing w:after="0"/>
              <w:rPr>
                <w:sz w:val="20"/>
                <w:szCs w:val="20"/>
                <w:color w:val="auto"/>
              </w:rPr>
            </w:pPr>
            <w:r>
              <w:rPr>
                <w:rFonts w:ascii="Arial" w:cs="Arial" w:eastAsia="Arial" w:hAnsi="Arial"/>
                <w:sz w:val="18"/>
                <w:szCs w:val="18"/>
                <w:color w:val="auto"/>
                <w:w w:val="93"/>
              </w:rPr>
              <w:t>Chief Executive Officer</w:t>
            </w:r>
          </w:p>
        </w:tc>
        <w:tc>
          <w:tcPr>
            <w:tcW w:w="36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20" w:type="dxa"/>
            <w:vAlign w:val="bottom"/>
            <w:gridSpan w:val="2"/>
          </w:tcPr>
          <w:p>
            <w:pPr>
              <w:jc w:val="center"/>
              <w:ind w:right="110"/>
              <w:spacing w:after="0"/>
              <w:rPr>
                <w:sz w:val="20"/>
                <w:szCs w:val="20"/>
                <w:color w:val="auto"/>
              </w:rPr>
            </w:pPr>
            <w:r>
              <w:rPr>
                <w:rFonts w:ascii="Arial" w:cs="Arial" w:eastAsia="Arial" w:hAnsi="Arial"/>
                <w:sz w:val="18"/>
                <w:szCs w:val="18"/>
                <w:color w:val="auto"/>
                <w:w w:val="92"/>
              </w:rPr>
              <w:t>Oxford Lane Capital Corp.</w:t>
            </w:r>
          </w:p>
        </w:tc>
        <w:tc>
          <w:tcPr>
            <w:tcW w:w="36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20" w:type="dxa"/>
            <w:vAlign w:val="bottom"/>
            <w:gridSpan w:val="2"/>
          </w:tcPr>
          <w:p>
            <w:pPr>
              <w:jc w:val="center"/>
              <w:ind w:right="110"/>
              <w:spacing w:after="0"/>
              <w:rPr>
                <w:sz w:val="20"/>
                <w:szCs w:val="20"/>
                <w:color w:val="auto"/>
              </w:rPr>
            </w:pPr>
            <w:r>
              <w:rPr>
                <w:rFonts w:ascii="Arial" w:cs="Arial" w:eastAsia="Arial" w:hAnsi="Arial"/>
                <w:sz w:val="18"/>
                <w:szCs w:val="18"/>
                <w:color w:val="auto"/>
                <w:w w:val="90"/>
              </w:rPr>
              <w:t>8 Sound Shore Drive, Suite 255</w:t>
            </w:r>
          </w:p>
        </w:tc>
        <w:tc>
          <w:tcPr>
            <w:tcW w:w="3600" w:type="dxa"/>
            <w:vAlign w:val="bottom"/>
          </w:tcPr>
          <w:p>
            <w:pPr>
              <w:spacing w:after="0"/>
              <w:rPr>
                <w:sz w:val="18"/>
                <w:szCs w:val="18"/>
                <w:color w:val="auto"/>
              </w:rPr>
            </w:pPr>
          </w:p>
        </w:tc>
      </w:tr>
      <w:tr>
        <w:trPr>
          <w:trHeight w:val="230"/>
        </w:trPr>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91"/>
              </w:rPr>
              <w:t>Greenwich, CT 06830</w:t>
            </w:r>
          </w:p>
        </w:tc>
        <w:tc>
          <w:tcPr>
            <w:tcW w:w="3600" w:type="dxa"/>
            <w:vAlign w:val="bottom"/>
            <w:tcBorders>
              <w:bottom w:val="single" w:sz="8" w:color="auto"/>
            </w:tcBorders>
          </w:tcPr>
          <w:p>
            <w:pPr>
              <w:spacing w:after="0"/>
              <w:rPr>
                <w:sz w:val="20"/>
                <w:szCs w:val="20"/>
                <w:color w:val="auto"/>
              </w:rPr>
            </w:pPr>
          </w:p>
        </w:tc>
      </w:tr>
      <w:tr>
        <w:trPr>
          <w:trHeight w:val="224"/>
        </w:trPr>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20" w:type="dxa"/>
            <w:vAlign w:val="bottom"/>
            <w:gridSpan w:val="2"/>
          </w:tcPr>
          <w:p>
            <w:pPr>
              <w:jc w:val="center"/>
              <w:ind w:right="90"/>
              <w:spacing w:after="0"/>
              <w:rPr>
                <w:sz w:val="20"/>
                <w:szCs w:val="20"/>
                <w:color w:val="auto"/>
              </w:rPr>
            </w:pPr>
            <w:r>
              <w:rPr>
                <w:rFonts w:ascii="Arial" w:cs="Arial" w:eastAsia="Arial" w:hAnsi="Arial"/>
                <w:sz w:val="18"/>
                <w:szCs w:val="18"/>
                <w:color w:val="auto"/>
                <w:w w:val="89"/>
              </w:rPr>
              <w:t>(Name and address of agent for service)</w:t>
            </w:r>
          </w:p>
        </w:tc>
        <w:tc>
          <w:tcPr>
            <w:tcW w:w="3600" w:type="dxa"/>
            <w:vAlign w:val="bottom"/>
          </w:tcPr>
          <w:p>
            <w:pPr>
              <w:spacing w:after="0"/>
              <w:rPr>
                <w:sz w:val="19"/>
                <w:szCs w:val="19"/>
                <w:color w:val="auto"/>
              </w:rPr>
            </w:pPr>
          </w:p>
        </w:tc>
      </w:tr>
      <w:tr>
        <w:trPr>
          <w:trHeight w:val="377"/>
        </w:trPr>
        <w:tc>
          <w:tcPr>
            <w:tcW w:w="7820" w:type="dxa"/>
            <w:vAlign w:val="bottom"/>
            <w:gridSpan w:val="9"/>
          </w:tcPr>
          <w:p>
            <w:pPr>
              <w:spacing w:after="0"/>
              <w:rPr>
                <w:sz w:val="20"/>
                <w:szCs w:val="20"/>
                <w:color w:val="auto"/>
              </w:rPr>
            </w:pPr>
            <w:r>
              <w:rPr>
                <w:rFonts w:ascii="Arial" w:cs="Arial" w:eastAsia="Arial" w:hAnsi="Arial"/>
                <w:sz w:val="18"/>
                <w:szCs w:val="18"/>
                <w:color w:val="auto"/>
              </w:rPr>
              <w:t>Registrant’s telephone number, including area code: (203) 983-5275</w:t>
            </w:r>
          </w:p>
        </w:tc>
        <w:tc>
          <w:tcPr>
            <w:tcW w:w="3600" w:type="dxa"/>
            <w:vAlign w:val="bottom"/>
          </w:tcPr>
          <w:p>
            <w:pPr>
              <w:spacing w:after="0"/>
              <w:rPr>
                <w:sz w:val="24"/>
                <w:szCs w:val="24"/>
                <w:color w:val="auto"/>
              </w:rPr>
            </w:pPr>
          </w:p>
        </w:tc>
      </w:tr>
      <w:tr>
        <w:trPr>
          <w:trHeight w:val="412"/>
        </w:trPr>
        <w:tc>
          <w:tcPr>
            <w:tcW w:w="3800" w:type="dxa"/>
            <w:vAlign w:val="bottom"/>
            <w:gridSpan w:val="7"/>
          </w:tcPr>
          <w:p>
            <w:pPr>
              <w:spacing w:after="0"/>
              <w:rPr>
                <w:sz w:val="20"/>
                <w:szCs w:val="20"/>
                <w:color w:val="auto"/>
              </w:rPr>
            </w:pPr>
            <w:r>
              <w:rPr>
                <w:rFonts w:ascii="Arial" w:cs="Arial" w:eastAsia="Arial" w:hAnsi="Arial"/>
                <w:sz w:val="18"/>
                <w:szCs w:val="18"/>
                <w:color w:val="auto"/>
              </w:rPr>
              <w:t>Date of fiscal year end: March 31</w:t>
            </w:r>
          </w:p>
        </w:tc>
        <w:tc>
          <w:tcPr>
            <w:tcW w:w="112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12"/>
        </w:trPr>
        <w:tc>
          <w:tcPr>
            <w:tcW w:w="7820" w:type="dxa"/>
            <w:vAlign w:val="bottom"/>
            <w:gridSpan w:val="9"/>
          </w:tcPr>
          <w:p>
            <w:pPr>
              <w:spacing w:after="0"/>
              <w:rPr>
                <w:sz w:val="20"/>
                <w:szCs w:val="20"/>
                <w:color w:val="auto"/>
              </w:rPr>
            </w:pPr>
            <w:r>
              <w:rPr>
                <w:rFonts w:ascii="Arial" w:cs="Arial" w:eastAsia="Arial" w:hAnsi="Arial"/>
                <w:sz w:val="18"/>
                <w:szCs w:val="18"/>
                <w:color w:val="auto"/>
              </w:rPr>
              <w:t>Date of reporting period: June 30, 2019</w:t>
            </w:r>
          </w:p>
        </w:tc>
        <w:tc>
          <w:tcPr>
            <w:tcW w:w="3600" w:type="dxa"/>
            <w:vAlign w:val="bottom"/>
          </w:tcPr>
          <w:p>
            <w:pPr>
              <w:spacing w:after="0"/>
              <w:rPr>
                <w:sz w:val="24"/>
                <w:szCs w:val="24"/>
                <w:color w:val="auto"/>
              </w:rPr>
            </w:pPr>
          </w:p>
        </w:tc>
      </w:tr>
      <w:tr>
        <w:trPr>
          <w:trHeight w:val="608"/>
        </w:trPr>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4"/>
          </w:tcPr>
          <w:p>
            <w:pPr>
              <w:spacing w:after="0"/>
              <w:rPr>
                <w:sz w:val="20"/>
                <w:szCs w:val="20"/>
                <w:color w:val="auto"/>
              </w:rPr>
            </w:pPr>
            <w:r>
              <w:rPr>
                <w:rFonts w:ascii="Arial" w:cs="Arial" w:eastAsia="Arial" w:hAnsi="Arial"/>
                <w:sz w:val="18"/>
                <w:szCs w:val="18"/>
                <w:b w:val="1"/>
                <w:bCs w:val="1"/>
                <w:color w:val="auto"/>
              </w:rPr>
              <w:t>Item 1. Schedule of Investments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PRINCIPAL</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 of Net</w:t>
            </w:r>
          </w:p>
        </w:tc>
        <w:tc>
          <w:tcPr>
            <w:tcW w:w="0" w:type="dxa"/>
            <w:vAlign w:val="bottom"/>
          </w:tcPr>
          <w:p>
            <w:pPr>
              <w:spacing w:after="0"/>
              <w:rPr>
                <w:sz w:val="1"/>
                <w:szCs w:val="1"/>
                <w:color w:val="auto"/>
              </w:rPr>
            </w:pPr>
          </w:p>
        </w:tc>
      </w:tr>
      <w:tr>
        <w:trPr>
          <w:trHeight w:val="234"/>
        </w:trPr>
        <w:tc>
          <w:tcPr>
            <w:tcW w:w="4580" w:type="dxa"/>
            <w:vAlign w:val="bottom"/>
            <w:gridSpan w:val="4"/>
          </w:tcPr>
          <w:p>
            <w:pPr>
              <w:spacing w:after="0"/>
              <w:rPr>
                <w:sz w:val="20"/>
                <w:szCs w:val="20"/>
                <w:color w:val="auto"/>
              </w:rPr>
            </w:pPr>
            <w:r>
              <w:rPr>
                <w:rFonts w:ascii="Arial" w:cs="Arial" w:eastAsia="Arial" w:hAnsi="Arial"/>
                <w:sz w:val="18"/>
                <w:szCs w:val="18"/>
                <w:b w:val="1"/>
                <w:bCs w:val="1"/>
                <w:color w:val="auto"/>
              </w:rPr>
              <w:t>COMPANY/INVESTMENT(1)(14)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FAIR VALUE(2)</w:t>
            </w:r>
          </w:p>
        </w:tc>
        <w:tc>
          <w:tcPr>
            <w:tcW w:w="16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8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0"/>
              </w:rPr>
              <w:t>Collateralized Loan Obligation - Debt Investments</w:t>
            </w:r>
          </w:p>
        </w:tc>
        <w:tc>
          <w:tcPr>
            <w:tcW w:w="68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Structured Finance - Debt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Longfellow Place CLO, Ltd.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tcPr>
          <w:p>
            <w:pPr>
              <w:spacing w:after="0" w:line="201" w:lineRule="exact"/>
              <w:rPr>
                <w:sz w:val="20"/>
                <w:szCs w:val="20"/>
                <w:color w:val="auto"/>
              </w:rPr>
            </w:pPr>
            <w:r>
              <w:rPr>
                <w:rFonts w:ascii="Arial" w:cs="Arial" w:eastAsia="Arial" w:hAnsi="Arial"/>
                <w:sz w:val="18"/>
                <w:szCs w:val="18"/>
                <w:color w:val="auto"/>
              </w:rPr>
              <w:t>CLO secured notes - Class FRR(3)(6), 11.10% (LIBOR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4"/>
          </w:tcPr>
          <w:p>
            <w:pPr>
              <w:spacing w:after="0"/>
              <w:rPr>
                <w:sz w:val="20"/>
                <w:szCs w:val="20"/>
                <w:color w:val="auto"/>
              </w:rPr>
            </w:pPr>
            <w:r>
              <w:rPr>
                <w:rFonts w:ascii="Arial" w:cs="Arial" w:eastAsia="Arial" w:hAnsi="Arial"/>
                <w:sz w:val="18"/>
                <w:szCs w:val="18"/>
                <w:color w:val="auto"/>
              </w:rPr>
              <w:t>8.50%, due April 15, 2029)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775,000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625,899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643,018</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Midocean Credit CLO VI</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CLO secured notes - Class ER(3)(6), 9.42% (LIBOR + 6.90%,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due January 20, 2029)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5,970,000</w:t>
            </w: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Mountain Hawk II CLO, Ltd.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tcPr>
          <w:p>
            <w:pPr>
              <w:spacing w:after="0" w:line="201" w:lineRule="exact"/>
              <w:rPr>
                <w:sz w:val="20"/>
                <w:szCs w:val="20"/>
                <w:color w:val="auto"/>
              </w:rPr>
            </w:pPr>
            <w:r>
              <w:rPr>
                <w:rFonts w:ascii="Arial" w:cs="Arial" w:eastAsia="Arial" w:hAnsi="Arial"/>
                <w:sz w:val="18"/>
                <w:szCs w:val="18"/>
                <w:color w:val="auto"/>
                <w:w w:val="94"/>
              </w:rPr>
              <w:t>CLO secured notes - Class E(3)(6), 7.39% (LIBOR + 4.80%,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4"/>
          </w:tcPr>
          <w:p>
            <w:pPr>
              <w:spacing w:after="0"/>
              <w:rPr>
                <w:sz w:val="20"/>
                <w:szCs w:val="20"/>
                <w:color w:val="auto"/>
              </w:rPr>
            </w:pPr>
            <w:r>
              <w:rPr>
                <w:rFonts w:ascii="Arial" w:cs="Arial" w:eastAsia="Arial" w:hAnsi="Arial"/>
                <w:sz w:val="18"/>
                <w:szCs w:val="18"/>
                <w:color w:val="auto"/>
              </w:rPr>
              <w:t>due July 20, 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8,000,000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7,055,225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6,088,000</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OZLM XIII, Ltd.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CLO secured notes - Class D(3)(6), 8.03% (LIBOR + 5.45%,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due July 30, 2027)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8,805,177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8,730,500</w:t>
            </w: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OZLM XXII, Ltd.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tcPr>
          <w:p>
            <w:pPr>
              <w:spacing w:after="0" w:line="201" w:lineRule="exact"/>
              <w:rPr>
                <w:sz w:val="20"/>
                <w:szCs w:val="20"/>
                <w:color w:val="auto"/>
              </w:rPr>
            </w:pPr>
            <w:r>
              <w:rPr>
                <w:rFonts w:ascii="Arial" w:cs="Arial" w:eastAsia="Arial" w:hAnsi="Arial"/>
                <w:sz w:val="18"/>
                <w:szCs w:val="18"/>
                <w:color w:val="auto"/>
                <w:w w:val="94"/>
              </w:rPr>
              <w:t>CLO secured notes - Class E(3)(6), 9.98% (LIBOR + 7.39%,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580" w:type="dxa"/>
            <w:vAlign w:val="bottom"/>
            <w:gridSpan w:val="4"/>
          </w:tcPr>
          <w:p>
            <w:pPr>
              <w:spacing w:after="0"/>
              <w:rPr>
                <w:sz w:val="20"/>
                <w:szCs w:val="20"/>
                <w:color w:val="auto"/>
              </w:rPr>
            </w:pPr>
            <w:r>
              <w:rPr>
                <w:rFonts w:ascii="Arial" w:cs="Arial" w:eastAsia="Arial" w:hAnsi="Arial"/>
                <w:sz w:val="18"/>
                <w:szCs w:val="18"/>
                <w:color w:val="auto"/>
              </w:rPr>
              <w:t>due January 17, 2031)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2,670,000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2,586,347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2,307,414</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Structured Finance - Debt Investments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25,072,648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23,738,932</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w w:val="95"/>
              </w:rPr>
              <w:t>Total Collateralized Loan Obligation - Debt Investments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25,072,648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23,738,932</w:t>
            </w: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Collateralized Loan Obligation - Equity Investments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Structured Finance - Equity Investments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ALM XVII, Ltd.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22.93%,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January 15, 2028)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3,731,575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3,489,880</w:t>
            </w: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AMMC CLO XI, Ltd.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tcPr>
          <w:p>
            <w:pPr>
              <w:spacing w:after="0" w:line="201" w:lineRule="exact"/>
              <w:rPr>
                <w:sz w:val="20"/>
                <w:szCs w:val="20"/>
                <w:color w:val="auto"/>
              </w:rPr>
            </w:pPr>
            <w:r>
              <w:rPr>
                <w:rFonts w:ascii="Arial" w:cs="Arial" w:eastAsia="Arial" w:hAnsi="Arial"/>
                <w:sz w:val="18"/>
                <w:szCs w:val="18"/>
                <w:color w:val="auto"/>
                <w:w w:val="94"/>
              </w:rPr>
              <w:t>CLO subordinated notes(5)(7)(12), (Estimated yield 18.25%,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4"/>
          </w:tcPr>
          <w:p>
            <w:pPr>
              <w:spacing w:after="0"/>
              <w:rPr>
                <w:sz w:val="20"/>
                <w:szCs w:val="20"/>
                <w:color w:val="auto"/>
              </w:rPr>
            </w:pPr>
            <w:r>
              <w:rPr>
                <w:rFonts w:ascii="Arial" w:cs="Arial" w:eastAsia="Arial" w:hAnsi="Arial"/>
                <w:sz w:val="18"/>
                <w:szCs w:val="18"/>
                <w:color w:val="auto"/>
              </w:rPr>
              <w:t>maturity April 30, 2031)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2,100,000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1,267,390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1,113,000</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AMMC CLO XII, Ltd.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CLO subordinated notes(5)(7)(12), (Estimated yield 19.04%,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November 10, 2030)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11,428,571</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5,862,683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4,685,714</w:t>
            </w: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Anchorage Capital CLO 4- R, Ltd.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tcPr>
          <w:p>
            <w:pPr>
              <w:spacing w:after="0" w:line="201" w:lineRule="exact"/>
              <w:rPr>
                <w:sz w:val="20"/>
                <w:szCs w:val="20"/>
                <w:color w:val="auto"/>
              </w:rPr>
            </w:pPr>
            <w:r>
              <w:rPr>
                <w:rFonts w:ascii="Arial" w:cs="Arial" w:eastAsia="Arial" w:hAnsi="Arial"/>
                <w:sz w:val="18"/>
                <w:szCs w:val="18"/>
                <w:color w:val="auto"/>
                <w:w w:val="94"/>
              </w:rPr>
              <w:t>CLO subordinated notes(5)(7)(12), (Estimated yield 18.66%,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4"/>
          </w:tcPr>
          <w:p>
            <w:pPr>
              <w:spacing w:after="0"/>
              <w:rPr>
                <w:sz w:val="20"/>
                <w:szCs w:val="20"/>
                <w:color w:val="auto"/>
              </w:rPr>
            </w:pPr>
            <w:r>
              <w:rPr>
                <w:rFonts w:ascii="Arial" w:cs="Arial" w:eastAsia="Arial" w:hAnsi="Arial"/>
                <w:sz w:val="18"/>
                <w:szCs w:val="18"/>
                <w:color w:val="auto"/>
              </w:rPr>
              <w:t>maturity January 28, 2031)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5,102,246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4,920,000</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Anchorage Capital CLO 5- R, Ltd.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14.64%,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January 15, 2030)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3,968,899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3,228,305</w:t>
            </w: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Anchorage Capital CLO 8, Ltd.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tcPr>
          <w:p>
            <w:pPr>
              <w:spacing w:after="0" w:line="201" w:lineRule="exact"/>
              <w:rPr>
                <w:sz w:val="20"/>
                <w:szCs w:val="20"/>
                <w:color w:val="auto"/>
              </w:rPr>
            </w:pPr>
            <w:r>
              <w:rPr>
                <w:rFonts w:ascii="Arial" w:cs="Arial" w:eastAsia="Arial" w:hAnsi="Arial"/>
                <w:sz w:val="18"/>
                <w:szCs w:val="18"/>
                <w:color w:val="auto"/>
                <w:w w:val="94"/>
              </w:rPr>
              <w:t>CLO subordinated notes(5)(7)(12), (Estimated yield 21.55%,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4"/>
          </w:tcPr>
          <w:p>
            <w:pPr>
              <w:spacing w:after="0"/>
              <w:rPr>
                <w:sz w:val="20"/>
                <w:szCs w:val="20"/>
                <w:color w:val="auto"/>
              </w:rPr>
            </w:pPr>
            <w:r>
              <w:rPr>
                <w:rFonts w:ascii="Arial" w:cs="Arial" w:eastAsia="Arial" w:hAnsi="Arial"/>
                <w:sz w:val="18"/>
                <w:szCs w:val="18"/>
                <w:color w:val="auto"/>
              </w:rPr>
              <w:t>maturity July 28, 2028)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4,990,457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4,920,000</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Apex Credit CLO 2015-II, Ltd. (fka: JFIN CLO 2015-II</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gridSpan w:val="4"/>
          </w:tcPr>
          <w:p>
            <w:pPr>
              <w:spacing w:after="0"/>
              <w:rPr>
                <w:sz w:val="20"/>
                <w:szCs w:val="20"/>
                <w:color w:val="auto"/>
              </w:rPr>
            </w:pPr>
            <w:r>
              <w:rPr>
                <w:rFonts w:ascii="Arial" w:cs="Arial" w:eastAsia="Arial" w:hAnsi="Arial"/>
                <w:sz w:val="18"/>
                <w:szCs w:val="18"/>
                <w:b w:val="1"/>
                <w:bCs w:val="1"/>
                <w:color w:val="auto"/>
              </w:rPr>
              <w:t>Ltd.)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16.96%,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October 17, 2026)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4,630,466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3,747,199</w:t>
            </w: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Apex Credit CLO 2018 Ltd.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 (Estimated yield 23.88%,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4"/>
          </w:tcPr>
          <w:p>
            <w:pPr>
              <w:spacing w:after="0"/>
              <w:rPr>
                <w:sz w:val="20"/>
                <w:szCs w:val="20"/>
                <w:color w:val="auto"/>
              </w:rPr>
            </w:pPr>
            <w:r>
              <w:rPr>
                <w:rFonts w:ascii="Arial" w:cs="Arial" w:eastAsia="Arial" w:hAnsi="Arial"/>
                <w:sz w:val="18"/>
                <w:szCs w:val="18"/>
                <w:color w:val="auto"/>
              </w:rPr>
              <w:t>maturity April 25, 2031)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9,750,000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7,664,330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7,304,911</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Apex Credit CLO 2019 Ltd.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CLO subordinated notes(5)(7)(9), (Estimated yield 22.03%,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April 18, 2032)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16,000,000</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13,483,394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13,600,000</w:t>
            </w: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 Street CLO,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688"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CLO subordinated notes(5)(7)(12), (Estimated yield 29.76%,</w:t>
            </w:r>
          </w:p>
        </w:tc>
        <w:tc>
          <w:tcPr>
            <w:tcW w:w="1780" w:type="dxa"/>
            <w:vAlign w:val="bottom"/>
          </w:tcPr>
          <w:p>
            <w:pPr>
              <w:jc w:val="right"/>
              <w:ind w:right="390"/>
              <w:spacing w:after="0"/>
              <w:rPr>
                <w:sz w:val="20"/>
                <w:szCs w:val="20"/>
                <w:color w:val="auto"/>
              </w:rPr>
            </w:pPr>
            <w:r>
              <w:rPr>
                <w:rFonts w:ascii="Arial" w:cs="Arial" w:eastAsia="Arial" w:hAnsi="Arial"/>
                <w:sz w:val="18"/>
                <w:szCs w:val="18"/>
                <w:color w:val="auto"/>
              </w:rPr>
              <w:t>3,000,000</w:t>
            </w: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1,986,586</w:t>
            </w:r>
          </w:p>
        </w:tc>
        <w:tc>
          <w:tcPr>
            <w:tcW w:w="3060" w:type="dxa"/>
            <w:vAlign w:val="bottom"/>
          </w:tcPr>
          <w:p>
            <w:pPr>
              <w:jc w:val="right"/>
              <w:ind w:right="1770"/>
              <w:spacing w:after="0"/>
              <w:rPr>
                <w:sz w:val="20"/>
                <w:szCs w:val="20"/>
                <w:color w:val="auto"/>
              </w:rPr>
            </w:pPr>
            <w:r>
              <w:rPr>
                <w:rFonts w:ascii="Arial" w:cs="Arial" w:eastAsia="Arial" w:hAnsi="Arial"/>
                <w:sz w:val="18"/>
                <w:szCs w:val="18"/>
                <w:color w:val="auto"/>
              </w:rPr>
              <w:t>2,010,000</w:t>
            </w: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maturity October 20, 2028)</w:t>
            </w:r>
          </w:p>
        </w:tc>
        <w:tc>
          <w:tcPr>
            <w:tcW w:w="1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Ares XXVII CLO, Ltd.</w:t>
            </w:r>
          </w:p>
        </w:tc>
        <w:tc>
          <w:tcPr>
            <w:tcW w:w="1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25.59%,</w:t>
            </w:r>
          </w:p>
        </w:tc>
        <w:tc>
          <w:tcPr>
            <w:tcW w:w="17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maturity July 28, 2029)</w:t>
            </w:r>
          </w:p>
        </w:tc>
        <w:tc>
          <w:tcPr>
            <w:tcW w:w="17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17,000,000</w:t>
            </w:r>
          </w:p>
        </w:tc>
        <w:tc>
          <w:tcPr>
            <w:tcW w:w="1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8,071,455</w:t>
            </w:r>
          </w:p>
        </w:tc>
        <w:tc>
          <w:tcPr>
            <w:tcW w:w="3060" w:type="dxa"/>
            <w:vAlign w:val="bottom"/>
            <w:shd w:val="clear" w:color="auto" w:fill="CCEEFF"/>
          </w:tcPr>
          <w:p>
            <w:pPr>
              <w:jc w:val="right"/>
              <w:ind w:right="1770"/>
              <w:spacing w:after="0"/>
              <w:rPr>
                <w:sz w:val="20"/>
                <w:szCs w:val="20"/>
                <w:color w:val="auto"/>
              </w:rPr>
            </w:pPr>
            <w:r>
              <w:rPr>
                <w:rFonts w:ascii="Arial" w:cs="Arial" w:eastAsia="Arial" w:hAnsi="Arial"/>
                <w:sz w:val="18"/>
                <w:szCs w:val="18"/>
                <w:color w:val="auto"/>
              </w:rPr>
              <w:t>7,659,760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 of Net</w:t>
            </w:r>
          </w:p>
        </w:tc>
        <w:tc>
          <w:tcPr>
            <w:tcW w:w="0" w:type="dxa"/>
            <w:vAlign w:val="bottom"/>
          </w:tcPr>
          <w:p>
            <w:pPr>
              <w:spacing w:after="0"/>
              <w:rPr>
                <w:sz w:val="1"/>
                <w:szCs w:val="1"/>
                <w:color w:val="auto"/>
              </w:rPr>
            </w:pPr>
          </w:p>
        </w:tc>
      </w:tr>
      <w:tr>
        <w:trPr>
          <w:trHeight w:val="234"/>
        </w:trPr>
        <w:tc>
          <w:tcPr>
            <w:tcW w:w="4620" w:type="dxa"/>
            <w:vAlign w:val="bottom"/>
            <w:gridSpan w:val="4"/>
          </w:tcPr>
          <w:p>
            <w:pPr>
              <w:spacing w:after="0"/>
              <w:rPr>
                <w:sz w:val="20"/>
                <w:szCs w:val="20"/>
                <w:color w:val="auto"/>
              </w:rPr>
            </w:pPr>
            <w:r>
              <w:rPr>
                <w:rFonts w:ascii="Arial" w:cs="Arial" w:eastAsia="Arial" w:hAnsi="Arial"/>
                <w:sz w:val="18"/>
                <w:szCs w:val="18"/>
                <w:b w:val="1"/>
                <w:bCs w:val="1"/>
                <w:color w:val="auto"/>
              </w:rPr>
              <w:t>COMPANY/INVESTMENT(1)(14)</w:t>
            </w:r>
          </w:p>
        </w:tc>
        <w:tc>
          <w:tcPr>
            <w:tcW w:w="36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FAIR VALUE(2)</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Collateralized Loan Obligation - Equity Investments -</w:t>
            </w:r>
          </w:p>
        </w:tc>
        <w:tc>
          <w:tcPr>
            <w:tcW w:w="36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41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(continued)</w:t>
            </w:r>
          </w:p>
        </w:tc>
        <w:tc>
          <w:tcPr>
            <w:tcW w:w="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Structured Finance - Equity Investments (continued)</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Ares XXXVII CLO Ltd.</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 (Estimated yield 26.65%,</w:t>
            </w: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4"/>
          </w:tcPr>
          <w:p>
            <w:pPr>
              <w:spacing w:after="0"/>
              <w:rPr>
                <w:sz w:val="20"/>
                <w:szCs w:val="20"/>
                <w:color w:val="auto"/>
              </w:rPr>
            </w:pPr>
            <w:r>
              <w:rPr>
                <w:rFonts w:ascii="Arial" w:cs="Arial" w:eastAsia="Arial" w:hAnsi="Arial"/>
                <w:sz w:val="18"/>
                <w:szCs w:val="18"/>
                <w:color w:val="auto"/>
              </w:rPr>
              <w:t>maturity October 15, 2030)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15,000,000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10,679,040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10,996,655</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Ares XL CLO Ltd.</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20.52%,</w:t>
            </w: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January 15, 2029)</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7,207,433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6,018,937</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Atlas Senior Loan Fund XII, Ltd.</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 (Estimated yield 23.56%,</w:t>
            </w: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4"/>
          </w:tcPr>
          <w:p>
            <w:pPr>
              <w:spacing w:after="0"/>
              <w:rPr>
                <w:sz w:val="20"/>
                <w:szCs w:val="20"/>
                <w:color w:val="auto"/>
              </w:rPr>
            </w:pPr>
            <w:r>
              <w:rPr>
                <w:rFonts w:ascii="Arial" w:cs="Arial" w:eastAsia="Arial" w:hAnsi="Arial"/>
                <w:sz w:val="18"/>
                <w:szCs w:val="18"/>
                <w:color w:val="auto"/>
              </w:rPr>
              <w:t>maturity October 24, 2031)</w:t>
            </w:r>
          </w:p>
        </w:tc>
        <w:tc>
          <w:tcPr>
            <w:tcW w:w="3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1,075,679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1,125,000</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Battalion CLO VI Ltd.</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CLO preference shares (5)(7)(10), (Estimated yield 0.00%,</w:t>
            </w: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October 17, 2026)</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439,349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Battalion CLO VII Ltd.</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 (Estimated yield 13.02%,</w:t>
            </w: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4"/>
          </w:tcPr>
          <w:p>
            <w:pPr>
              <w:spacing w:after="0"/>
              <w:rPr>
                <w:sz w:val="20"/>
                <w:szCs w:val="20"/>
                <w:color w:val="auto"/>
              </w:rPr>
            </w:pPr>
            <w:r>
              <w:rPr>
                <w:rFonts w:ascii="Arial" w:cs="Arial" w:eastAsia="Arial" w:hAnsi="Arial"/>
                <w:sz w:val="18"/>
                <w:szCs w:val="18"/>
                <w:color w:val="auto"/>
              </w:rPr>
              <w:t>maturity July 17, 2028)</w:t>
            </w:r>
          </w:p>
        </w:tc>
        <w:tc>
          <w:tcPr>
            <w:tcW w:w="3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26,900,000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16,120,245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11,029,000</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Benefit Street Partners CLO III Ltd.</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22.62%,</w:t>
            </w: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July 20, 2029)</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2,264,942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2,250,000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Benefit Street Partners CLO V Ltd.</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3"/>
          </w:tcPr>
          <w:p>
            <w:pPr>
              <w:spacing w:after="0" w:line="201" w:lineRule="exact"/>
              <w:rPr>
                <w:sz w:val="20"/>
                <w:szCs w:val="20"/>
                <w:color w:val="auto"/>
              </w:rPr>
            </w:pPr>
            <w:r>
              <w:rPr>
                <w:rFonts w:ascii="Arial" w:cs="Arial" w:eastAsia="Arial" w:hAnsi="Arial"/>
                <w:sz w:val="18"/>
                <w:szCs w:val="18"/>
                <w:color w:val="auto"/>
                <w:w w:val="98"/>
              </w:rPr>
              <w:t>CLO preference shares (5)(7)(10), (Estimated yield 0.00%,</w:t>
            </w: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4"/>
          </w:tcPr>
          <w:p>
            <w:pPr>
              <w:spacing w:after="0"/>
              <w:rPr>
                <w:sz w:val="20"/>
                <w:szCs w:val="20"/>
                <w:color w:val="auto"/>
              </w:rPr>
            </w:pPr>
            <w:r>
              <w:rPr>
                <w:rFonts w:ascii="Arial" w:cs="Arial" w:eastAsia="Arial" w:hAnsi="Arial"/>
                <w:sz w:val="18"/>
                <w:szCs w:val="18"/>
                <w:color w:val="auto"/>
              </w:rPr>
              <w:t>maturity October 20, 2026)</w:t>
            </w:r>
          </w:p>
        </w:tc>
        <w:tc>
          <w:tcPr>
            <w:tcW w:w="3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11,500,000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852,715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460,000</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B&amp;M CLO 2014-1 LTD</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-34.79%,</w:t>
            </w: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April 16, 2026)</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558,414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Bristol Park CLO, Ltd.</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3"/>
          </w:tcPr>
          <w:p>
            <w:pPr>
              <w:spacing w:after="0" w:line="201" w:lineRule="exact"/>
              <w:rPr>
                <w:sz w:val="20"/>
                <w:szCs w:val="20"/>
                <w:color w:val="auto"/>
              </w:rPr>
            </w:pPr>
            <w:r>
              <w:rPr>
                <w:rFonts w:ascii="Arial" w:cs="Arial" w:eastAsia="Arial" w:hAnsi="Arial"/>
                <w:sz w:val="18"/>
                <w:szCs w:val="18"/>
                <w:color w:val="auto"/>
                <w:w w:val="97"/>
              </w:rPr>
              <w:t>CLO income notes(5)(7), (Estimated yield 10.34%, maturity</w:t>
            </w: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4"/>
          </w:tcPr>
          <w:p>
            <w:pPr>
              <w:spacing w:after="0"/>
              <w:rPr>
                <w:sz w:val="20"/>
                <w:szCs w:val="20"/>
                <w:color w:val="auto"/>
              </w:rPr>
            </w:pPr>
            <w:r>
              <w:rPr>
                <w:rFonts w:ascii="Arial" w:cs="Arial" w:eastAsia="Arial" w:hAnsi="Arial"/>
                <w:sz w:val="18"/>
                <w:szCs w:val="18"/>
                <w:color w:val="auto"/>
              </w:rPr>
              <w:t>April 15, 2029)</w:t>
            </w:r>
          </w:p>
        </w:tc>
        <w:tc>
          <w:tcPr>
            <w:tcW w:w="3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10,000,000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7,688,395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Canyon Capital CLO 2015-1, Ltd.</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24.42%,</w:t>
            </w: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April 15, 2029)</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6,404,273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5,400,000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Carlyle Global Market Strategies CLO 2013-2, Ltd.</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3"/>
          </w:tcPr>
          <w:p>
            <w:pPr>
              <w:spacing w:after="0" w:line="201" w:lineRule="exact"/>
              <w:rPr>
                <w:sz w:val="20"/>
                <w:szCs w:val="20"/>
                <w:color w:val="auto"/>
              </w:rPr>
            </w:pPr>
            <w:r>
              <w:rPr>
                <w:rFonts w:ascii="Arial" w:cs="Arial" w:eastAsia="Arial" w:hAnsi="Arial"/>
                <w:sz w:val="18"/>
                <w:szCs w:val="18"/>
                <w:color w:val="auto"/>
                <w:w w:val="95"/>
              </w:rPr>
              <w:t>CLO subordinated notes(5)(7)(12), (Estimated yield 20.67%,</w:t>
            </w: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4"/>
          </w:tcPr>
          <w:p>
            <w:pPr>
              <w:spacing w:after="0"/>
              <w:rPr>
                <w:sz w:val="20"/>
                <w:szCs w:val="20"/>
                <w:color w:val="auto"/>
              </w:rPr>
            </w:pPr>
            <w:r>
              <w:rPr>
                <w:rFonts w:ascii="Arial" w:cs="Arial" w:eastAsia="Arial" w:hAnsi="Arial"/>
                <w:sz w:val="18"/>
                <w:szCs w:val="18"/>
                <w:color w:val="auto"/>
              </w:rPr>
              <w:t>maturity January 18, 2029)</w:t>
            </w:r>
          </w:p>
        </w:tc>
        <w:tc>
          <w:tcPr>
            <w:tcW w:w="3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16,098,067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10,340,544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9,062,372</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Carlyle Global Market Strategies CLO 2014-5, Ltd.</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21.36%,</w:t>
            </w: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July 15, 2031)</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3,441,464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2,970,000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Cathedral Lake CLO 2013, Ltd.</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3"/>
          </w:tcPr>
          <w:p>
            <w:pPr>
              <w:spacing w:after="0" w:line="201" w:lineRule="exact"/>
              <w:rPr>
                <w:sz w:val="20"/>
                <w:szCs w:val="20"/>
                <w:color w:val="auto"/>
              </w:rPr>
            </w:pPr>
            <w:r>
              <w:rPr>
                <w:rFonts w:ascii="Arial" w:cs="Arial" w:eastAsia="Arial" w:hAnsi="Arial"/>
                <w:sz w:val="18"/>
                <w:szCs w:val="18"/>
                <w:color w:val="auto"/>
                <w:w w:val="95"/>
              </w:rPr>
              <w:t>CLO subordinated notes(5)(7)(12), (Estimated yield 18.10%,</w:t>
            </w: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4"/>
          </w:tcPr>
          <w:p>
            <w:pPr>
              <w:spacing w:after="0"/>
              <w:rPr>
                <w:sz w:val="20"/>
                <w:szCs w:val="20"/>
                <w:color w:val="auto"/>
              </w:rPr>
            </w:pPr>
            <w:r>
              <w:rPr>
                <w:rFonts w:ascii="Arial" w:cs="Arial" w:eastAsia="Arial" w:hAnsi="Arial"/>
                <w:sz w:val="18"/>
                <w:szCs w:val="18"/>
                <w:color w:val="auto"/>
              </w:rPr>
              <w:t>maturity October 15, 2029)</w:t>
            </w:r>
          </w:p>
        </w:tc>
        <w:tc>
          <w:tcPr>
            <w:tcW w:w="3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6,350,000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2,937,495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2,476,500</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Cathedral Lake II, Ltd.</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CLO subordinated notes(5)(7)(12), (Estimated yield 22.21%,</w:t>
            </w: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July 15, 2029)</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12,112,200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7,592,965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6,964,515</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CIFC Funding 2013-III-R, Ltd.</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 (Estimated yield 22.34%,</w:t>
            </w: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4"/>
          </w:tcPr>
          <w:p>
            <w:pPr>
              <w:spacing w:after="0"/>
              <w:rPr>
                <w:sz w:val="20"/>
                <w:szCs w:val="20"/>
                <w:color w:val="auto"/>
              </w:rPr>
            </w:pPr>
            <w:r>
              <w:rPr>
                <w:rFonts w:ascii="Arial" w:cs="Arial" w:eastAsia="Arial" w:hAnsi="Arial"/>
                <w:sz w:val="18"/>
                <w:szCs w:val="18"/>
                <w:color w:val="auto"/>
              </w:rPr>
              <w:t>maturity April 24, 2031)</w:t>
            </w:r>
          </w:p>
        </w:tc>
        <w:tc>
          <w:tcPr>
            <w:tcW w:w="3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4,900,000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2,427,625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2,450,000</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CIFC Funding 2014, Ltd.</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CLO income notes(5)(7), (Estimated yield 15.87%, maturity</w:t>
            </w: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18, 2031)</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3,659,445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3,165,000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80" w:type="dxa"/>
            <w:vAlign w:val="bottom"/>
          </w:tcPr>
          <w:p>
            <w:pPr>
              <w:spacing w:after="0"/>
              <w:rPr>
                <w:sz w:val="20"/>
                <w:szCs w:val="20"/>
                <w:color w:val="auto"/>
              </w:rPr>
            </w:pPr>
            <w:r>
              <w:rPr>
                <w:rFonts w:ascii="Arial" w:cs="Arial" w:eastAsia="Arial" w:hAnsi="Arial"/>
                <w:sz w:val="18"/>
                <w:szCs w:val="18"/>
                <w:b w:val="1"/>
                <w:bCs w:val="1"/>
                <w:color w:val="auto"/>
              </w:rPr>
              <w:t>CIFC Funding 2014-III, Ltd.</w:t>
            </w:r>
          </w:p>
        </w:tc>
        <w:tc>
          <w:tcPr>
            <w:tcW w:w="1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CLO income notes(5)(7)(12), (Estimated yield 20.63%, maturity</w:t>
            </w: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October 22, 2031)</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18,225,000</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10,653,313</w:t>
            </w:r>
          </w:p>
        </w:tc>
        <w:tc>
          <w:tcPr>
            <w:tcW w:w="1260" w:type="dxa"/>
            <w:vAlign w:val="bottom"/>
          </w:tcPr>
          <w:p>
            <w:pPr>
              <w:jc w:val="right"/>
              <w:spacing w:after="0"/>
              <w:rPr>
                <w:sz w:val="20"/>
                <w:szCs w:val="20"/>
                <w:color w:val="auto"/>
              </w:rPr>
            </w:pPr>
            <w:r>
              <w:rPr>
                <w:rFonts w:ascii="Arial" w:cs="Arial" w:eastAsia="Arial" w:hAnsi="Arial"/>
                <w:sz w:val="18"/>
                <w:szCs w:val="18"/>
                <w:color w:val="auto"/>
              </w:rPr>
              <w:t>10,023,750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PRINCIPAL</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 of Net</w:t>
            </w:r>
          </w:p>
        </w:tc>
        <w:tc>
          <w:tcPr>
            <w:tcW w:w="0" w:type="dxa"/>
            <w:vAlign w:val="bottom"/>
          </w:tcPr>
          <w:p>
            <w:pPr>
              <w:spacing w:after="0"/>
              <w:rPr>
                <w:sz w:val="1"/>
                <w:szCs w:val="1"/>
                <w:color w:val="auto"/>
              </w:rPr>
            </w:pPr>
          </w:p>
        </w:tc>
      </w:tr>
      <w:tr>
        <w:trPr>
          <w:trHeight w:val="234"/>
        </w:trPr>
        <w:tc>
          <w:tcPr>
            <w:tcW w:w="4840" w:type="dxa"/>
            <w:vAlign w:val="bottom"/>
            <w:gridSpan w:val="4"/>
          </w:tcPr>
          <w:p>
            <w:pPr>
              <w:spacing w:after="0"/>
              <w:rPr>
                <w:sz w:val="20"/>
                <w:szCs w:val="20"/>
                <w:color w:val="auto"/>
              </w:rPr>
            </w:pPr>
            <w:r>
              <w:rPr>
                <w:rFonts w:ascii="Arial" w:cs="Arial" w:eastAsia="Arial" w:hAnsi="Arial"/>
                <w:sz w:val="18"/>
                <w:szCs w:val="18"/>
                <w:b w:val="1"/>
                <w:bCs w:val="1"/>
                <w:color w:val="auto"/>
              </w:rPr>
              <w:t>COMPANY/INVESTMENT(1)(14)</w:t>
            </w:r>
          </w:p>
        </w:tc>
        <w:tc>
          <w:tcPr>
            <w:tcW w:w="24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FAIR VALUE(2)</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2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Collateralized Loan Obligation - Equity Investments -</w:t>
            </w:r>
          </w:p>
        </w:tc>
        <w:tc>
          <w:tcPr>
            <w:tcW w:w="24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41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(continued)</w:t>
            </w:r>
          </w:p>
        </w:tc>
        <w:tc>
          <w:tcPr>
            <w:tcW w:w="7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Structured Finance - Equity Investments (continued)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Dryden 49 Senior Loan Fund</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tcPr>
          <w:p>
            <w:pPr>
              <w:spacing w:after="0" w:line="201" w:lineRule="exact"/>
              <w:rPr>
                <w:sz w:val="20"/>
                <w:szCs w:val="20"/>
                <w:color w:val="auto"/>
              </w:rPr>
            </w:pPr>
            <w:r>
              <w:rPr>
                <w:rFonts w:ascii="Arial" w:cs="Arial" w:eastAsia="Arial" w:hAnsi="Arial"/>
                <w:sz w:val="18"/>
                <w:szCs w:val="18"/>
                <w:color w:val="auto"/>
                <w:w w:val="92"/>
              </w:rPr>
              <w:t>CLO subordinated notes(5)(7), (Estimated yield 16.43%, maturity</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July 18, 2030)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12,850,000</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9,623,860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8,352,500</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Dryden 54 Senior Loan Fund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CLO subordinated notes(5)(7), (Estimated yield 16.34%, maturity</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19, 2029)</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2,042,350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1,775,000</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Ellington CLO II, Ltd.</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tcPr>
          <w:p>
            <w:pPr>
              <w:spacing w:after="0" w:line="201" w:lineRule="exact"/>
              <w:rPr>
                <w:sz w:val="20"/>
                <w:szCs w:val="20"/>
                <w:color w:val="auto"/>
              </w:rPr>
            </w:pPr>
            <w:r>
              <w:rPr>
                <w:rFonts w:ascii="Arial" w:cs="Arial" w:eastAsia="Arial" w:hAnsi="Arial"/>
                <w:sz w:val="18"/>
                <w:szCs w:val="18"/>
                <w:color w:val="auto"/>
                <w:w w:val="92"/>
              </w:rPr>
              <w:t>CLO subordinated notes(5)(7), (Estimated yield 16.71%, maturity</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February 15, 2029)</w:t>
            </w:r>
          </w:p>
        </w:tc>
        <w:tc>
          <w:tcPr>
            <w:tcW w:w="24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6,000,000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5,001,397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4,140,000</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Figueroa CLO 2013-2, Ltd.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CLO subordinated notes(5)(7)(12), (Estimated yield 19.59%,</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June 20, 2027)</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4,185,179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3,995,000</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Flatiron CLO 17 Ltd.</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tcPr>
          <w:p>
            <w:pPr>
              <w:spacing w:after="0" w:line="201" w:lineRule="exact"/>
              <w:rPr>
                <w:sz w:val="20"/>
                <w:szCs w:val="20"/>
                <w:color w:val="auto"/>
              </w:rPr>
            </w:pPr>
            <w:r>
              <w:rPr>
                <w:rFonts w:ascii="Arial" w:cs="Arial" w:eastAsia="Arial" w:hAnsi="Arial"/>
                <w:sz w:val="18"/>
                <w:szCs w:val="18"/>
                <w:color w:val="auto"/>
                <w:w w:val="92"/>
              </w:rPr>
              <w:t>CLO subordinated notes(5)(7), (Estimated yield 22.22%, maturity</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May 15, 2030)</w:t>
            </w:r>
          </w:p>
        </w:tc>
        <w:tc>
          <w:tcPr>
            <w:tcW w:w="24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2,337,500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1,574,703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1,449,250</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GoldenTree Loan Opportunities XI, Ltd.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CLO subordinated notes(5)(7), (Estimated yield 13.42%, maturity</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18, 2031)</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2,413,752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2,040,000</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Halcyon Loan Advisors Funding 2015-1 Ltd.</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tcPr>
          <w:p>
            <w:pPr>
              <w:spacing w:after="0" w:line="201" w:lineRule="exact"/>
              <w:rPr>
                <w:sz w:val="20"/>
                <w:szCs w:val="20"/>
                <w:color w:val="auto"/>
              </w:rPr>
            </w:pPr>
            <w:r>
              <w:rPr>
                <w:rFonts w:ascii="Arial" w:cs="Arial" w:eastAsia="Arial" w:hAnsi="Arial"/>
                <w:sz w:val="18"/>
                <w:szCs w:val="18"/>
                <w:color w:val="auto"/>
                <w:w w:val="92"/>
              </w:rPr>
              <w:t>CLO subordinated notes(5)(7), (Estimated yield 17.36%, maturity</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April 20, 2027)</w:t>
            </w:r>
          </w:p>
        </w:tc>
        <w:tc>
          <w:tcPr>
            <w:tcW w:w="24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7,000,000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3,298,507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1,050,000</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Halcyon Loan Advisors Funding 2018-1 Ltd.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CLO subordinated notes(5)(7)(12), (Estimated yield 17.30%,</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July 20, 2031)</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11,250,000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10,267,357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9,337,500</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HPS Loan Management 10-2016, Ltd.</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tcPr>
          <w:p>
            <w:pPr>
              <w:spacing w:after="0" w:line="201" w:lineRule="exact"/>
              <w:rPr>
                <w:sz w:val="20"/>
                <w:szCs w:val="20"/>
                <w:color w:val="auto"/>
              </w:rPr>
            </w:pPr>
            <w:r>
              <w:rPr>
                <w:rFonts w:ascii="Arial" w:cs="Arial" w:eastAsia="Arial" w:hAnsi="Arial"/>
                <w:sz w:val="18"/>
                <w:szCs w:val="18"/>
                <w:color w:val="auto"/>
                <w:w w:val="92"/>
              </w:rPr>
              <w:t>CLO subordinated notes(5)(7), (Estimated yield 18.26%, maturity</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January 20, 2028)</w:t>
            </w:r>
          </w:p>
        </w:tc>
        <w:tc>
          <w:tcPr>
            <w:tcW w:w="24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10,000,000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6,051,554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5,800,000</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Hull Street CLO Ltd.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CLO subordinated notes(5)(7)(12), (Estimated yield -18.94%,</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October 18, 2026)</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4,197,718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900,000</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ICG US CLO 2016-1, Ltd.</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tcPr>
          <w:p>
            <w:pPr>
              <w:spacing w:after="0" w:line="201" w:lineRule="exact"/>
              <w:rPr>
                <w:sz w:val="20"/>
                <w:szCs w:val="20"/>
                <w:color w:val="auto"/>
              </w:rPr>
            </w:pPr>
            <w:r>
              <w:rPr>
                <w:rFonts w:ascii="Arial" w:cs="Arial" w:eastAsia="Arial" w:hAnsi="Arial"/>
                <w:sz w:val="18"/>
                <w:szCs w:val="18"/>
                <w:color w:val="auto"/>
                <w:w w:val="94"/>
              </w:rPr>
              <w:t>CLO subordinated notes(5)(7), (Estimated yield 9.21%, maturity</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July 29, 2028)</w:t>
            </w:r>
          </w:p>
        </w:tc>
        <w:tc>
          <w:tcPr>
            <w:tcW w:w="24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4,750,000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4,566,751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3,431,400</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Ivy Hill Middle Market Credit VII, Ltd.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notes(5)(7)(12), (Estimated yield 8.81%,</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October 20, 2029)</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4,456,594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3,073,010</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Jamestown CLO III, Ltd.</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notes(5)(7)(10), (Estimated yield 0.00%,</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maturity January 15, 2026)</w:t>
            </w:r>
          </w:p>
        </w:tc>
        <w:tc>
          <w:tcPr>
            <w:tcW w:w="24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15,575,000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936,600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Jamestown CLO IV, Ltd.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CLO subordinated notes(5)(7), (Estimated yield 7.09%, maturity</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15, 2026)</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2,841,440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950,000</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Jamestown CLO VII, Ltd.</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notes(5)(7)(12), (Estimated yield 9.47%,</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maturity July 25, 2027)</w:t>
            </w:r>
          </w:p>
        </w:tc>
        <w:tc>
          <w:tcPr>
            <w:tcW w:w="24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13,912,500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6,799,198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5,565,000</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Longfellow Place CLO, Ltd.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CLO subordinated notes(5)(7), (Estimated yield 18.71%, maturity</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15, 2029)</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19,640,000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7,870,371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4,563,705</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Madison Park Funding XV, Ltd.</w:t>
            </w:r>
          </w:p>
        </w:tc>
        <w:tc>
          <w:tcPr>
            <w:tcW w:w="17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w w:val="99"/>
              </w:rPr>
              <w:t>CLO subordinated notes(5)(7), (Estimated yield 14.07%, maturity</w:t>
            </w:r>
          </w:p>
        </w:tc>
        <w:tc>
          <w:tcPr>
            <w:tcW w:w="1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January 27, 2026)</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7,000,000</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4,221,299</w:t>
            </w:r>
          </w:p>
        </w:tc>
        <w:tc>
          <w:tcPr>
            <w:tcW w:w="2820" w:type="dxa"/>
            <w:vAlign w:val="bottom"/>
          </w:tcPr>
          <w:p>
            <w:pPr>
              <w:jc w:val="right"/>
              <w:ind w:right="1490"/>
              <w:spacing w:after="0"/>
              <w:rPr>
                <w:sz w:val="20"/>
                <w:szCs w:val="20"/>
                <w:color w:val="auto"/>
              </w:rPr>
            </w:pPr>
            <w:r>
              <w:rPr>
                <w:rFonts w:ascii="Arial" w:cs="Arial" w:eastAsia="Arial" w:hAnsi="Arial"/>
                <w:sz w:val="18"/>
                <w:szCs w:val="18"/>
                <w:color w:val="auto"/>
              </w:rPr>
              <w:t>3,920,000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Madison Park Funding XXII, Ltd.</w:t>
            </w: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notes(5)(7)(12), (Estimated yield 17.97%,</w:t>
            </w:r>
          </w:p>
        </w:tc>
        <w:tc>
          <w:tcPr>
            <w:tcW w:w="17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maturity October 25, 2029)</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15,000,000</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11,915,090</w:t>
            </w:r>
          </w:p>
        </w:tc>
        <w:tc>
          <w:tcPr>
            <w:tcW w:w="282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rPr>
              <w:t>11,880,000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 w:name="page8"/>
    <w:bookmarkEnd w:id="7"/>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PRINCIPAL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 of Net</w:t>
            </w:r>
          </w:p>
        </w:tc>
        <w:tc>
          <w:tcPr>
            <w:tcW w:w="0" w:type="dxa"/>
            <w:vAlign w:val="bottom"/>
          </w:tcPr>
          <w:p>
            <w:pPr>
              <w:spacing w:after="0"/>
              <w:rPr>
                <w:sz w:val="1"/>
                <w:szCs w:val="1"/>
                <w:color w:val="auto"/>
              </w:rPr>
            </w:pPr>
          </w:p>
        </w:tc>
      </w:tr>
      <w:tr>
        <w:trPr>
          <w:trHeight w:val="234"/>
        </w:trPr>
        <w:tc>
          <w:tcPr>
            <w:tcW w:w="4600" w:type="dxa"/>
            <w:vAlign w:val="bottom"/>
            <w:gridSpan w:val="4"/>
          </w:tcPr>
          <w:p>
            <w:pPr>
              <w:spacing w:after="0"/>
              <w:rPr>
                <w:sz w:val="20"/>
                <w:szCs w:val="20"/>
                <w:color w:val="auto"/>
              </w:rPr>
            </w:pPr>
            <w:r>
              <w:rPr>
                <w:rFonts w:ascii="Arial" w:cs="Arial" w:eastAsia="Arial" w:hAnsi="Arial"/>
                <w:sz w:val="18"/>
                <w:szCs w:val="18"/>
                <w:b w:val="1"/>
                <w:bCs w:val="1"/>
                <w:color w:val="auto"/>
              </w:rPr>
              <w:t>COMPANY/INVESTMENT(1)(14)</w:t>
            </w:r>
          </w:p>
        </w:tc>
        <w:tc>
          <w:tcPr>
            <w:tcW w:w="26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FAIR VALUE(2)</w:t>
            </w: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8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Collateralized Loan Obligation - Equity Investments -</w:t>
            </w:r>
          </w:p>
        </w:tc>
        <w:tc>
          <w:tcPr>
            <w:tcW w:w="26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41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(continued)</w:t>
            </w: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Structured Finance - Equity Investments (continued)</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Madison Park Funding XXIV, Ltd.</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 (Estimated yield 18.29%,</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rPr>
              <w:t>maturity January 20, 2028)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3,568,750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2,634,428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2,569,500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Madison Park Funding XXV, Ltd.</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CLO subordinated notes(5)(7)(12), (Estimated yield 13.53%,</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April 25, 2029)</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1,174,417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1,014,000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Madison Park Funding XXIX, Ltd.</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notes(5)(7)(11)(12), (Estimated yield</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rPr>
              <w:t>13.40%, maturity October 18, 2047)</w:t>
            </w:r>
          </w:p>
        </w:tc>
        <w:tc>
          <w:tcPr>
            <w:tcW w:w="2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17,000,000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14,545,675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14,110,000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Madison Park Funding XXX, Ltd.</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notes(5)(7)(11)(12), (Estimated yield</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20.29%, maturity April 15, 2029)</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17,550,000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15,902,160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15,844,137</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Madison Park Fund XLI, Ltd. (fka: Atrium XII CLO)</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notes(4)(5)(7)(11), (Estimated yield</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rPr>
              <w:t>17.22%, maturity April 22, 2027)</w:t>
            </w:r>
          </w:p>
        </w:tc>
        <w:tc>
          <w:tcPr>
            <w:tcW w:w="2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34,762,500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23,400,976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23,290,875</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Marble Point CLO XI Ltd.</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CLO income notes(5)(7), (Estimated yield 20.05%, maturity</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18, 2047)</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2,915,498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2,840,000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Midocean Credit CLO III</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tcPr>
          <w:p>
            <w:pPr>
              <w:spacing w:after="0" w:line="201" w:lineRule="exact"/>
              <w:rPr>
                <w:sz w:val="20"/>
                <w:szCs w:val="20"/>
                <w:color w:val="auto"/>
              </w:rPr>
            </w:pPr>
            <w:r>
              <w:rPr>
                <w:rFonts w:ascii="Arial" w:cs="Arial" w:eastAsia="Arial" w:hAnsi="Arial"/>
                <w:sz w:val="18"/>
                <w:szCs w:val="18"/>
                <w:color w:val="auto"/>
                <w:w w:val="96"/>
              </w:rPr>
              <w:t>CLO income notes(5)(7), (Estimated yield 22.61%, maturity</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rPr>
              <w:t>April 21, 2031)</w:t>
            </w:r>
          </w:p>
        </w:tc>
        <w:tc>
          <w:tcPr>
            <w:tcW w:w="2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16,650,000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7,010,501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6,327,000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Midocean Credit CLO VI</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income notes(5)(7)(11), (Estimated yield 13.79%,</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January 20, 2029)</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24,494,001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17,560,125</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Mountain Hawk II CLO, Ltd.</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tcPr>
          <w:p>
            <w:pPr>
              <w:spacing w:after="0" w:line="201" w:lineRule="exact"/>
              <w:rPr>
                <w:sz w:val="20"/>
                <w:szCs w:val="20"/>
                <w:color w:val="auto"/>
              </w:rPr>
            </w:pPr>
            <w:r>
              <w:rPr>
                <w:rFonts w:ascii="Arial" w:cs="Arial" w:eastAsia="Arial" w:hAnsi="Arial"/>
                <w:sz w:val="18"/>
                <w:szCs w:val="18"/>
                <w:color w:val="auto"/>
                <w:w w:val="93"/>
              </w:rPr>
              <w:t>CLO secured notes (5)(7), (Estimated yield -18.80%, maturity</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rPr>
              <w:t>July 20, 2024)</w:t>
            </w:r>
          </w:p>
        </w:tc>
        <w:tc>
          <w:tcPr>
            <w:tcW w:w="2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25,670,000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4,398,607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1,026,800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Mountain View CLO 2014-1 Ltd.</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22.60%,</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October 15, 2026)</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3,411,538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1,412,386</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Mountain View CLO 2017-2 Ltd.</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 (Estimated yield 21.83%,</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rPr>
              <w:t>maturity January 16, 2031)</w:t>
            </w:r>
          </w:p>
        </w:tc>
        <w:tc>
          <w:tcPr>
            <w:tcW w:w="2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1,146,415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1,064,000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Ocean Trails CLO VI</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29.23%,</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July 15, 2028)</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3,352,217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2,773,740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Octagon Investment Partners XXII, Ltd.</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 (Estimated yield 20.03%,</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rPr>
              <w:t>maturity January 22, 2030)</w:t>
            </w:r>
          </w:p>
        </w:tc>
        <w:tc>
          <w:tcPr>
            <w:tcW w:w="2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3,168,750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2,097,248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1,932,938</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Octagon Investment Partners 33, Ltd.</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16.65%,</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January 20, 2031)</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9,105,353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8,400,000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Octagon Investment Partners 38, Ltd.</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tcPr>
          <w:p>
            <w:pPr>
              <w:spacing w:after="0" w:line="201" w:lineRule="exact"/>
              <w:rPr>
                <w:sz w:val="20"/>
                <w:szCs w:val="20"/>
                <w:color w:val="auto"/>
              </w:rPr>
            </w:pPr>
            <w:r>
              <w:rPr>
                <w:rFonts w:ascii="Arial" w:cs="Arial" w:eastAsia="Arial" w:hAnsi="Arial"/>
                <w:sz w:val="18"/>
                <w:szCs w:val="18"/>
                <w:color w:val="auto"/>
                <w:w w:val="94"/>
              </w:rPr>
              <w:t>CLO subordinated notes(5)(7)(12), (Estimated yield 18.21%,</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rPr>
              <w:t>maturity July 20, 2030)</w:t>
            </w:r>
          </w:p>
        </w:tc>
        <w:tc>
          <w:tcPr>
            <w:tcW w:w="2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4,284,652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4,200,000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Octagon Investment Partners 39, Ltd.</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CLO subordinated notes(5)(7)(12), (Estimated yield 16.94%,</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October 20, 2030)</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8,945,483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8,840,000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Octagon Investment Partners 40,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0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0175"/>
                    </a:xfrm>
                    <a:prstGeom prst="rect">
                      <a:avLst/>
                    </a:prstGeom>
                    <a:noFill/>
                  </pic:spPr>
                </pic:pic>
              </a:graphicData>
            </a:graphic>
          </wp:anchor>
        </w:drawing>
      </w:r>
    </w:p>
    <w:p>
      <w:pPr>
        <w:sectPr>
          <w:pgSz w:w="11900" w:h="16883" w:orient="portrait"/>
          <w:cols w:equalWidth="0" w:num="1">
            <w:col w:w="11420"/>
          </w:cols>
          <w:pgMar w:left="240" w:top="472"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CLO subordinated notes(4)(5)(7)(9), (Estimated yield 17.14%,</w:t>
            </w: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maturity April 20, 2031)</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47,250,000</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41,803,035</w:t>
            </w:r>
          </w:p>
        </w:tc>
        <w:tc>
          <w:tcPr>
            <w:tcW w:w="3040" w:type="dxa"/>
            <w:vAlign w:val="bottom"/>
          </w:tcPr>
          <w:p>
            <w:pPr>
              <w:jc w:val="right"/>
              <w:ind w:right="1710"/>
              <w:spacing w:after="0"/>
              <w:rPr>
                <w:sz w:val="20"/>
                <w:szCs w:val="20"/>
                <w:color w:val="auto"/>
              </w:rPr>
            </w:pPr>
            <w:r>
              <w:rPr>
                <w:rFonts w:ascii="Arial" w:cs="Arial" w:eastAsia="Arial" w:hAnsi="Arial"/>
                <w:sz w:val="18"/>
                <w:szCs w:val="18"/>
                <w:color w:val="auto"/>
              </w:rPr>
              <w:t>42,052,500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Octagon Loan Funding, Ltd.</w:t>
            </w: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20.20%,</w:t>
            </w:r>
          </w:p>
        </w:tc>
        <w:tc>
          <w:tcPr>
            <w:tcW w:w="17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maturity November 18, 2031)</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1,774,526</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1,016,925</w:t>
            </w:r>
          </w:p>
        </w:tc>
        <w:tc>
          <w:tcPr>
            <w:tcW w:w="304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1,011,480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PRINCIPAL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 of Net</w:t>
            </w:r>
          </w:p>
        </w:tc>
        <w:tc>
          <w:tcPr>
            <w:tcW w:w="0" w:type="dxa"/>
            <w:vAlign w:val="bottom"/>
          </w:tcPr>
          <w:p>
            <w:pPr>
              <w:spacing w:after="0"/>
              <w:rPr>
                <w:sz w:val="1"/>
                <w:szCs w:val="1"/>
                <w:color w:val="auto"/>
              </w:rPr>
            </w:pPr>
          </w:p>
        </w:tc>
      </w:tr>
      <w:tr>
        <w:trPr>
          <w:trHeight w:val="234"/>
        </w:trPr>
        <w:tc>
          <w:tcPr>
            <w:tcW w:w="4640" w:type="dxa"/>
            <w:vAlign w:val="bottom"/>
            <w:gridSpan w:val="4"/>
          </w:tcPr>
          <w:p>
            <w:pPr>
              <w:spacing w:after="0"/>
              <w:rPr>
                <w:sz w:val="20"/>
                <w:szCs w:val="20"/>
                <w:color w:val="auto"/>
              </w:rPr>
            </w:pPr>
            <w:r>
              <w:rPr>
                <w:rFonts w:ascii="Arial" w:cs="Arial" w:eastAsia="Arial" w:hAnsi="Arial"/>
                <w:sz w:val="18"/>
                <w:szCs w:val="18"/>
                <w:b w:val="1"/>
                <w:bCs w:val="1"/>
                <w:color w:val="auto"/>
              </w:rPr>
              <w:t>COMPANY/INVESTMENT(1)(14)</w:t>
            </w:r>
          </w:p>
        </w:tc>
        <w:tc>
          <w:tcPr>
            <w:tcW w:w="22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FAIR VALUE(2)</w:t>
            </w: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Collateralized Loan Obligation - Equity Investments -</w:t>
            </w:r>
          </w:p>
        </w:tc>
        <w:tc>
          <w:tcPr>
            <w:tcW w:w="22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41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(continued)</w:t>
            </w: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Structured Finance - Equity Investments (continued)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OFSI Fund VII, Ltd.</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 (Estimated yield -4.46%,</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gridSpan w:val="4"/>
          </w:tcPr>
          <w:p>
            <w:pPr>
              <w:spacing w:after="0"/>
              <w:rPr>
                <w:sz w:val="20"/>
                <w:szCs w:val="20"/>
                <w:color w:val="auto"/>
              </w:rPr>
            </w:pPr>
            <w:r>
              <w:rPr>
                <w:rFonts w:ascii="Arial" w:cs="Arial" w:eastAsia="Arial" w:hAnsi="Arial"/>
                <w:sz w:val="18"/>
                <w:szCs w:val="18"/>
                <w:color w:val="auto"/>
              </w:rPr>
              <w:t>maturity October 18, 2026)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28,840,000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17,679,875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8,940,400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OFSI BSL VIII, Ltd.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CLO preferred shares(5)(7), (Estimated yield 21.21%, maturity</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16, 2029)</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5,979,599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5,525,000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OFSI BSL IX, Ltd.</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tcPr>
          <w:p>
            <w:pPr>
              <w:spacing w:after="0" w:line="201" w:lineRule="exact"/>
              <w:rPr>
                <w:sz w:val="20"/>
                <w:szCs w:val="20"/>
                <w:color w:val="auto"/>
              </w:rPr>
            </w:pPr>
            <w:r>
              <w:rPr>
                <w:rFonts w:ascii="Arial" w:cs="Arial" w:eastAsia="Arial" w:hAnsi="Arial"/>
                <w:sz w:val="18"/>
                <w:szCs w:val="18"/>
                <w:color w:val="auto"/>
              </w:rPr>
              <w:t>CLO preferred shares(5)(7)(12), (Estimated yield 18.69%,</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gridSpan w:val="4"/>
          </w:tcPr>
          <w:p>
            <w:pPr>
              <w:spacing w:after="0"/>
              <w:rPr>
                <w:sz w:val="20"/>
                <w:szCs w:val="20"/>
                <w:color w:val="auto"/>
              </w:rPr>
            </w:pPr>
            <w:r>
              <w:rPr>
                <w:rFonts w:ascii="Arial" w:cs="Arial" w:eastAsia="Arial" w:hAnsi="Arial"/>
                <w:sz w:val="18"/>
                <w:szCs w:val="18"/>
                <w:color w:val="auto"/>
              </w:rPr>
              <w:t>maturity July 31, 2118)</w:t>
            </w:r>
          </w:p>
        </w:tc>
        <w:tc>
          <w:tcPr>
            <w:tcW w:w="2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11,480,000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10,241,725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9,413,600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OHA Loan Funding 2012-1, Ltd.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notes(5)(7)(10)(15), (Estimated yield</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26.13%, maturity January 23, 2024)</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1,047,586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1,480,000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OZLM Funding III, Ltd.</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 (Estimated yield 11.20%,</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gridSpan w:val="4"/>
          </w:tcPr>
          <w:p>
            <w:pPr>
              <w:spacing w:after="0"/>
              <w:rPr>
                <w:sz w:val="20"/>
                <w:szCs w:val="20"/>
                <w:color w:val="auto"/>
              </w:rPr>
            </w:pPr>
            <w:r>
              <w:rPr>
                <w:rFonts w:ascii="Arial" w:cs="Arial" w:eastAsia="Arial" w:hAnsi="Arial"/>
                <w:sz w:val="18"/>
                <w:szCs w:val="18"/>
                <w:color w:val="auto"/>
              </w:rPr>
              <w:t>maturity January 22, 2029)</w:t>
            </w:r>
          </w:p>
        </w:tc>
        <w:tc>
          <w:tcPr>
            <w:tcW w:w="2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12,000,000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7,435,885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5,520,000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OZLM VIII, Ltd.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CLO subordinated notes(5)(7)(12), (Estimated yield 22.03%,</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October 17, 2029)</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3,393,867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3,100,000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OZLM XIII, Ltd.</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 (Estimated yield 17.59%,</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gridSpan w:val="4"/>
          </w:tcPr>
          <w:p>
            <w:pPr>
              <w:spacing w:after="0"/>
              <w:rPr>
                <w:sz w:val="20"/>
                <w:szCs w:val="20"/>
                <w:color w:val="auto"/>
              </w:rPr>
            </w:pPr>
            <w:r>
              <w:rPr>
                <w:rFonts w:ascii="Arial" w:cs="Arial" w:eastAsia="Arial" w:hAnsi="Arial"/>
                <w:sz w:val="18"/>
                <w:szCs w:val="18"/>
                <w:color w:val="auto"/>
              </w:rPr>
              <w:t>maturity July 30, 2027)</w:t>
            </w:r>
          </w:p>
        </w:tc>
        <w:tc>
          <w:tcPr>
            <w:tcW w:w="2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23,000,000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12,498,178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9,890,000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OZLM XIV, Ltd.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CLO subordinated notes(5)(7)(11), (Estimated yield 10.98%,</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January 15, 2029)</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8,163,643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5,695,477</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Regatta III Funding Ltd.</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notes(5)(7)(10)(16), (Estimated yield</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gridSpan w:val="4"/>
          </w:tcPr>
          <w:p>
            <w:pPr>
              <w:spacing w:after="0"/>
              <w:rPr>
                <w:sz w:val="20"/>
                <w:szCs w:val="20"/>
                <w:color w:val="auto"/>
              </w:rPr>
            </w:pPr>
            <w:r>
              <w:rPr>
                <w:rFonts w:ascii="Arial" w:cs="Arial" w:eastAsia="Arial" w:hAnsi="Arial"/>
                <w:sz w:val="18"/>
                <w:szCs w:val="18"/>
                <w:color w:val="auto"/>
              </w:rPr>
              <w:t>0.00%, maturity April 15, 2026)</w:t>
            </w:r>
          </w:p>
        </w:tc>
        <w:tc>
          <w:tcPr>
            <w:tcW w:w="2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3,750,000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38,367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18,750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Seneca Park CLO, Ltd.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CLO subordinated notes(5)(7)(12), (Estimated yield 48.74%,</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October 20, 2026)</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855,929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Shackleton 2013-IV-R CLO, Ltd.</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 (Estimated yield 20.02%,</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gridSpan w:val="4"/>
          </w:tcPr>
          <w:p>
            <w:pPr>
              <w:spacing w:after="0"/>
              <w:rPr>
                <w:sz w:val="20"/>
                <w:szCs w:val="20"/>
                <w:color w:val="auto"/>
              </w:rPr>
            </w:pPr>
            <w:r>
              <w:rPr>
                <w:rFonts w:ascii="Arial" w:cs="Arial" w:eastAsia="Arial" w:hAnsi="Arial"/>
                <w:sz w:val="18"/>
                <w:szCs w:val="18"/>
                <w:color w:val="auto"/>
              </w:rPr>
              <w:t>maturity April 13, 2031)</w:t>
            </w:r>
          </w:p>
        </w:tc>
        <w:tc>
          <w:tcPr>
            <w:tcW w:w="2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11,750,000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9,822,729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7,692,660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Shackleton 2015-VII CLO, Ltd.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17.30%,</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July 15, 2031)</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9,332,417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6,965,585</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Shackleton 2017-X CLO, Ltd.</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 (Estimated yield 10.49%,</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gridSpan w:val="4"/>
          </w:tcPr>
          <w:p>
            <w:pPr>
              <w:spacing w:after="0"/>
              <w:rPr>
                <w:sz w:val="20"/>
                <w:szCs w:val="20"/>
                <w:color w:val="auto"/>
              </w:rPr>
            </w:pPr>
            <w:r>
              <w:rPr>
                <w:rFonts w:ascii="Arial" w:cs="Arial" w:eastAsia="Arial" w:hAnsi="Arial"/>
                <w:sz w:val="18"/>
                <w:szCs w:val="18"/>
                <w:color w:val="auto"/>
              </w:rPr>
              <w:t>maturity April 20, 2029)</w:t>
            </w:r>
          </w:p>
        </w:tc>
        <w:tc>
          <w:tcPr>
            <w:tcW w:w="2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10,000,000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8,819,695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6,200,000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Sound Point CLO VI-R, Ltd.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17.73%,</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October 20, 2031)</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19,656,983</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9,233,522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8,649,073</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Steele Creek CLO 2016-1, Ltd.</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tcPr>
          <w:p>
            <w:pPr>
              <w:spacing w:after="0" w:line="201" w:lineRule="exact"/>
              <w:rPr>
                <w:sz w:val="20"/>
                <w:szCs w:val="20"/>
                <w:color w:val="auto"/>
              </w:rPr>
            </w:pPr>
            <w:r>
              <w:rPr>
                <w:rFonts w:ascii="Arial" w:cs="Arial" w:eastAsia="Arial" w:hAnsi="Arial"/>
                <w:sz w:val="18"/>
                <w:szCs w:val="18"/>
                <w:color w:val="auto"/>
              </w:rPr>
              <w:t>CLO subordinated notes(5)(7), (Estimated yield 18.98%,</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gridSpan w:val="4"/>
          </w:tcPr>
          <w:p>
            <w:pPr>
              <w:spacing w:after="0"/>
              <w:rPr>
                <w:sz w:val="20"/>
                <w:szCs w:val="20"/>
                <w:color w:val="auto"/>
              </w:rPr>
            </w:pPr>
            <w:r>
              <w:rPr>
                <w:rFonts w:ascii="Arial" w:cs="Arial" w:eastAsia="Arial" w:hAnsi="Arial"/>
                <w:sz w:val="18"/>
                <w:szCs w:val="18"/>
                <w:color w:val="auto"/>
              </w:rPr>
              <w:t>maturity June 15, 2031)</w:t>
            </w:r>
          </w:p>
        </w:tc>
        <w:tc>
          <w:tcPr>
            <w:tcW w:w="2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4,000,000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3,573,455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Telos CLO 2013-3, Ltd.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CLO subordinated notes(5)(7)(12), (Estimated yield 3.41%,</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July 17, 2026)</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14,332,210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8,461,554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4,586,307</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Telos CLO 2013-4, Ltd.</w:t>
            </w:r>
          </w:p>
        </w:tc>
        <w:tc>
          <w:tcPr>
            <w:tcW w:w="1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tcPr>
          <w:p>
            <w:pPr>
              <w:spacing w:after="0" w:line="201" w:lineRule="exact"/>
              <w:rPr>
                <w:sz w:val="20"/>
                <w:szCs w:val="20"/>
                <w:color w:val="auto"/>
              </w:rPr>
            </w:pPr>
            <w:r>
              <w:rPr>
                <w:rFonts w:ascii="Arial" w:cs="Arial" w:eastAsia="Arial" w:hAnsi="Arial"/>
                <w:sz w:val="18"/>
                <w:szCs w:val="18"/>
                <w:color w:val="auto"/>
              </w:rPr>
              <w:t>CLO subordinated notes(5)(7)(12), (Estimated yield 18.87%,</w:t>
            </w:r>
          </w:p>
        </w:tc>
        <w:tc>
          <w:tcPr>
            <w:tcW w:w="1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maturity January 17, 2030)</w:t>
            </w:r>
          </w:p>
        </w:tc>
        <w:tc>
          <w:tcPr>
            <w:tcW w:w="1820" w:type="dxa"/>
            <w:vAlign w:val="bottom"/>
          </w:tcPr>
          <w:p>
            <w:pPr>
              <w:jc w:val="right"/>
              <w:ind w:right="430"/>
              <w:spacing w:after="0"/>
              <w:rPr>
                <w:sz w:val="20"/>
                <w:szCs w:val="20"/>
                <w:color w:val="auto"/>
              </w:rPr>
            </w:pPr>
            <w:r>
              <w:rPr>
                <w:rFonts w:ascii="Arial" w:cs="Arial" w:eastAsia="Arial" w:hAnsi="Arial"/>
                <w:sz w:val="18"/>
                <w:szCs w:val="18"/>
                <w:color w:val="auto"/>
              </w:rPr>
              <w:t>11,350,000</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7,218,036</w:t>
            </w:r>
          </w:p>
        </w:tc>
        <w:tc>
          <w:tcPr>
            <w:tcW w:w="3000" w:type="dxa"/>
            <w:vAlign w:val="bottom"/>
          </w:tcPr>
          <w:p>
            <w:pPr>
              <w:jc w:val="right"/>
              <w:ind w:right="1710"/>
              <w:spacing w:after="0"/>
              <w:rPr>
                <w:sz w:val="20"/>
                <w:szCs w:val="20"/>
                <w:color w:val="auto"/>
              </w:rPr>
            </w:pPr>
            <w:r>
              <w:rPr>
                <w:rFonts w:ascii="Arial" w:cs="Arial" w:eastAsia="Arial" w:hAnsi="Arial"/>
                <w:sz w:val="18"/>
                <w:szCs w:val="18"/>
                <w:color w:val="auto"/>
              </w:rPr>
              <w:t>4,813,294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Telos CLO 2014-6, Ltd.</w:t>
            </w:r>
          </w:p>
        </w:tc>
        <w:tc>
          <w:tcPr>
            <w:tcW w:w="1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22.16%,</w:t>
            </w:r>
          </w:p>
        </w:tc>
        <w:tc>
          <w:tcPr>
            <w:tcW w:w="18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maturity January 17, 2027)</w:t>
            </w:r>
          </w:p>
        </w:tc>
        <w:tc>
          <w:tcPr>
            <w:tcW w:w="18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21,400,000</w:t>
            </w:r>
          </w:p>
        </w:tc>
        <w:tc>
          <w:tcPr>
            <w:tcW w:w="1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9,137,917</w:t>
            </w:r>
          </w:p>
        </w:tc>
        <w:tc>
          <w:tcPr>
            <w:tcW w:w="300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7,520,764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1" w:name="page12"/>
    <w:bookmarkEnd w:id="11"/>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7"/>
              </w:rPr>
              <w:t>% of Net</w:t>
            </w:r>
          </w:p>
        </w:tc>
        <w:tc>
          <w:tcPr>
            <w:tcW w:w="0" w:type="dxa"/>
            <w:vAlign w:val="bottom"/>
          </w:tcPr>
          <w:p>
            <w:pPr>
              <w:spacing w:after="0"/>
              <w:rPr>
                <w:sz w:val="1"/>
                <w:szCs w:val="1"/>
                <w:color w:val="auto"/>
              </w:rPr>
            </w:pPr>
          </w:p>
        </w:tc>
      </w:t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COMPANY/INVESTMENT(1)(14)</w:t>
            </w:r>
          </w:p>
        </w:tc>
        <w:tc>
          <w:tcPr>
            <w:tcW w:w="280" w:type="dxa"/>
            <w:vAlign w:val="bottom"/>
          </w:tcPr>
          <w:p>
            <w:pPr>
              <w:spacing w:after="0"/>
              <w:rPr>
                <w:sz w:val="20"/>
                <w:szCs w:val="20"/>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FAIR VALUE(2)</w:t>
            </w:r>
          </w:p>
        </w:tc>
        <w:tc>
          <w:tcPr>
            <w:tcW w:w="16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20" w:type="dxa"/>
            <w:vAlign w:val="bottom"/>
            <w:tcBorders>
              <w:top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Collateralized Loan Obligation - Equity Investments - (continued)</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Structured Finance - Equity Investments (continued)</w:t>
            </w: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Thacher Park CLO, Ltd.</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w w:val="93"/>
              </w:rPr>
              <w:t>CLO subordinated notes(5)(7)(12), (Estimated yield 28.30%,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maturity October 20, 2026)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4,500,000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1,271,695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1,305,000</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THL Credit Wind River 2015-1 CLO Ltd.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CLO subordinated notes(5)(7)(12), (Estimated yield 20.71%,</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maturity October 20, 2030)</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817,975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838,500</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THL Credit Wind River 2017-1 CLO Ltd.</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w w:val="93"/>
              </w:rPr>
              <w:t>CLO subordinated notes(5)(7)(11), (Estimated yield 10.80%,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maturity April 18, 2029)</w:t>
            </w:r>
          </w:p>
        </w:tc>
        <w:tc>
          <w:tcPr>
            <w:tcW w:w="2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12,000,000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10,223,667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7,200,000</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THL Credit Wind River 2017-4 CLO Ltd.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15.95%,</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maturity November 20, 2030)</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7,746,597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7,134,000</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Tralee CLO II, Ltd.</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CLO subordinated notes(5)(7), (Estimated yield 27.94%,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maturity July 20, 2029)</w:t>
            </w:r>
          </w:p>
        </w:tc>
        <w:tc>
          <w:tcPr>
            <w:tcW w:w="2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6,300,000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2,514,852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1,890,000</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Tralee CLO IV, Ltd.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19.68%,</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maturity January 20, 2030)</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13,270,000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11,797,177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9,023,600</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Trinitas CLO VIII, Ltd.</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w w:val="93"/>
              </w:rPr>
              <w:t>CLO subordinated notes(5)(7)(12), (Estimated yield 19.94%,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maturity July 20, 2117)</w:t>
            </w:r>
          </w:p>
        </w:tc>
        <w:tc>
          <w:tcPr>
            <w:tcW w:w="2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633,809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607,500</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Tryon Park CLO, Ltd.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CLO subordinated notes(5)(7)(12), (Estimated yield 17.63%,</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maturity July 15, 2025)</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4,226,000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1,395,851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1,267,800</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Venture XIV CLO, Limited</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w w:val="93"/>
              </w:rPr>
              <w:t>CLO subordinated notes(5)(7)(12), (Estimated yield 22.02%,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maturity August 28, 2029)</w:t>
            </w:r>
          </w:p>
        </w:tc>
        <w:tc>
          <w:tcPr>
            <w:tcW w:w="2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9,250,000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5,100,963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3,515,000</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Venture XV CLO, Limited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CLO subordinated notes(5)(7)(12), (Estimated yield 9.66%,</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maturity July 15, 2028)</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4,310,243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2,665,000</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Venture XVII CLO, Limited</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w w:val="93"/>
              </w:rPr>
              <w:t>CLO subordinated notes(5)(7)(12), (Estimated yield 20.14%,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maturity April 15, 2027)</w:t>
            </w:r>
          </w:p>
        </w:tc>
        <w:tc>
          <w:tcPr>
            <w:tcW w:w="2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17,000,000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11,121,192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7,733,958</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Venture XX CLO, Limited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CLO subordinated notes(5)(7)(12), (Estimated yield 12.84%,</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maturity April 15, 2027)</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4,128,409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3,060,000</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Venture XXI CLO, Limited</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CLO subordinated notes(5)(7), (Estimated yield 22.32%,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maturity July 15, 2027)</w:t>
            </w:r>
          </w:p>
        </w:tc>
        <w:tc>
          <w:tcPr>
            <w:tcW w:w="2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30,000,000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18,717,680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14,700,000</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Venture 32 CLO, Limited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19.34%,</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maturity July 18, 2031)</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3,205,488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3,045,000</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Venture 37 CLO, Limited</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w w:val="95"/>
              </w:rPr>
              <w:t>CLO subordinated notes(5)(7)(9), (Estimated yield 19.71%,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maturity July 15, 2032)</w:t>
            </w:r>
          </w:p>
        </w:tc>
        <w:tc>
          <w:tcPr>
            <w:tcW w:w="2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9,000,000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7,672,514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8,100,000</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Vibrant CLO III, Ltd.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20.54%,</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maturity October 20, 2031)</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3,633,853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3,250,000</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Wellfleet 2016-2 CLO,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78040" cy="130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30175"/>
                    </a:xfrm>
                    <a:prstGeom prst="rect">
                      <a:avLst/>
                    </a:prstGeom>
                    <a:noFill/>
                  </pic:spPr>
                </pic:pic>
              </a:graphicData>
            </a:graphic>
          </wp:anchor>
        </w:drawing>
      </w:r>
    </w:p>
    <w:p>
      <w:pPr>
        <w:sectPr>
          <w:pgSz w:w="11900" w:h="16883" w:orient="portrait"/>
          <w:cols w:equalWidth="0" w:num="1">
            <w:col w:w="11420"/>
          </w:cols>
          <w:pgMar w:left="240" w:top="688"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2"/>
        </w:trPr>
        <w:tc>
          <w:tcPr>
            <w:tcW w:w="486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rPr>
              <w:t>CLO subordinated notes(5)(7), (Estimated yield 21.62%,</w:t>
            </w:r>
          </w:p>
        </w:tc>
        <w:tc>
          <w:tcPr>
            <w:tcW w:w="176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3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maturity October 20, 2028)</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10,000,000</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8,493,685</w:t>
            </w:r>
          </w:p>
        </w:tc>
        <w:tc>
          <w:tcPr>
            <w:tcW w:w="3000" w:type="dxa"/>
            <w:vAlign w:val="bottom"/>
          </w:tcPr>
          <w:p>
            <w:pPr>
              <w:jc w:val="right"/>
              <w:ind w:right="1710"/>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West CLO 2014-1, Ltd.</w:t>
            </w: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notes(5)(7)(12), (Estimated yield 32.30%,</w:t>
            </w:r>
          </w:p>
        </w:tc>
        <w:tc>
          <w:tcPr>
            <w:tcW w:w="17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maturity July 18, 2026)</w:t>
            </w:r>
          </w:p>
        </w:tc>
        <w:tc>
          <w:tcPr>
            <w:tcW w:w="17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20,250,000</w:t>
            </w:r>
          </w:p>
        </w:tc>
        <w:tc>
          <w:tcPr>
            <w:tcW w:w="1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8,725,968</w:t>
            </w:r>
          </w:p>
        </w:tc>
        <w:tc>
          <w:tcPr>
            <w:tcW w:w="300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8,302,500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12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PRINCIPAL</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 of Net</w:t>
            </w:r>
          </w:p>
        </w:tc>
        <w:tc>
          <w:tcPr>
            <w:tcW w:w="0" w:type="dxa"/>
            <w:vAlign w:val="bottom"/>
          </w:tcPr>
          <w:p>
            <w:pPr>
              <w:spacing w:after="0"/>
              <w:rPr>
                <w:sz w:val="1"/>
                <w:szCs w:val="1"/>
                <w:color w:val="auto"/>
              </w:rPr>
            </w:pPr>
          </w:p>
        </w:tc>
      </w:tr>
      <w:tr>
        <w:trPr>
          <w:trHeight w:val="234"/>
        </w:trPr>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COMPANY/INVESTMENT(1)(14)</w:t>
            </w:r>
          </w:p>
        </w:tc>
        <w:tc>
          <w:tcPr>
            <w:tcW w:w="26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20"/>
                <w:szCs w:val="20"/>
                <w:color w:val="auto"/>
              </w:rPr>
            </w:pPr>
          </w:p>
        </w:tc>
        <w:tc>
          <w:tcPr>
            <w:tcW w:w="1400" w:type="dxa"/>
            <w:vAlign w:val="bottom"/>
            <w:gridSpan w:val="3"/>
          </w:tcPr>
          <w:p>
            <w:pPr>
              <w:ind w:left="20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4"/>
          </w:tcPr>
          <w:p>
            <w:pPr>
              <w:spacing w:after="0"/>
              <w:rPr>
                <w:sz w:val="20"/>
                <w:szCs w:val="20"/>
                <w:color w:val="auto"/>
              </w:rPr>
            </w:pPr>
            <w:r>
              <w:rPr>
                <w:rFonts w:ascii="Arial" w:cs="Arial" w:eastAsia="Arial" w:hAnsi="Arial"/>
                <w:sz w:val="18"/>
                <w:szCs w:val="18"/>
                <w:b w:val="1"/>
                <w:bCs w:val="1"/>
                <w:color w:val="auto"/>
              </w:rPr>
              <w:t>FAIR VALUE(2)</w:t>
            </w:r>
          </w:p>
        </w:tc>
        <w:tc>
          <w:tcPr>
            <w:tcW w:w="166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Borders>
              <w:top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Collateralized Loan Obligation - Equity Investments -</w:t>
            </w:r>
          </w:p>
        </w:tc>
        <w:tc>
          <w:tcPr>
            <w:tcW w:w="26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412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(continued)</w:t>
            </w:r>
          </w:p>
        </w:tc>
        <w:tc>
          <w:tcPr>
            <w:tcW w:w="4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Structured Finance - Equity Investments (continued)</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Zais CLO 8, Limited</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4"/>
          </w:tcPr>
          <w:p>
            <w:pPr>
              <w:spacing w:after="0" w:line="201" w:lineRule="exact"/>
              <w:rPr>
                <w:sz w:val="20"/>
                <w:szCs w:val="20"/>
                <w:color w:val="auto"/>
              </w:rPr>
            </w:pPr>
            <w:r>
              <w:rPr>
                <w:rFonts w:ascii="Arial" w:cs="Arial" w:eastAsia="Arial" w:hAnsi="Arial"/>
                <w:sz w:val="18"/>
                <w:szCs w:val="18"/>
                <w:color w:val="auto"/>
                <w:w w:val="94"/>
              </w:rPr>
              <w:t>CLO subordinated notes(5)(7)(12), (Estimated yield 27.42%,</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April 15, 2029)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2,317,417</w:t>
            </w:r>
          </w:p>
        </w:tc>
        <w:tc>
          <w:tcPr>
            <w:tcW w:w="120" w:type="dxa"/>
            <w:vAlign w:val="bottom"/>
          </w:tcPr>
          <w:p>
            <w:pPr>
              <w:spacing w:after="0"/>
              <w:rPr>
                <w:sz w:val="20"/>
                <w:szCs w:val="20"/>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2,370,000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Zais CLO 9, Limited</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CLO subordinated notes(5)(7), (Estimated yield 21.05%,</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July 20, 2031)</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10,700,000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9,325,465</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8,731,200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Other CLO equity related investments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CLO other(8)</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2,216,337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Structured Finance - Equity Investments</w:t>
            </w:r>
          </w:p>
        </w:tc>
        <w:tc>
          <w:tcPr>
            <w:tcW w:w="2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675,094,145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568,938,649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142.29</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w w:val="93"/>
              </w:rPr>
              <w:t>Total Collateralized Loan Obligation - Equity Investments</w:t>
            </w:r>
          </w:p>
        </w:tc>
        <w:tc>
          <w:tcPr>
            <w:tcW w:w="26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675,094,145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568,938,649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142.29</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700,166,793</w:t>
            </w:r>
          </w:p>
        </w:tc>
        <w:tc>
          <w:tcPr>
            <w:tcW w:w="12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592,677,581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148.23%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Cash and Cash Equivalents</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First American Government Obligations Fund(13)</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16,992,211</w:t>
            </w:r>
          </w:p>
        </w:tc>
        <w:tc>
          <w:tcPr>
            <w:tcW w:w="120" w:type="dxa"/>
            <w:vAlign w:val="bottom"/>
            <w:shd w:val="clear" w:color="auto" w:fill="CCEEFF"/>
          </w:tcPr>
          <w:p>
            <w:pPr>
              <w:spacing w:after="0"/>
              <w:rPr>
                <w:sz w:val="19"/>
                <w:szCs w:val="19"/>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16,992,211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gridSpan w:val="4"/>
          </w:tcPr>
          <w:p>
            <w:pPr>
              <w:ind w:left="480"/>
              <w:spacing w:after="0"/>
              <w:rPr>
                <w:sz w:val="20"/>
                <w:szCs w:val="20"/>
                <w:color w:val="auto"/>
              </w:rPr>
            </w:pPr>
            <w:r>
              <w:rPr>
                <w:rFonts w:ascii="Arial" w:cs="Arial" w:eastAsia="Arial" w:hAnsi="Arial"/>
                <w:sz w:val="18"/>
                <w:szCs w:val="18"/>
                <w:b w:val="1"/>
                <w:bCs w:val="1"/>
                <w:color w:val="auto"/>
              </w:rPr>
              <w:t>Total Cash and Cash Equivalents</w:t>
            </w:r>
          </w:p>
        </w:tc>
        <w:tc>
          <w:tcPr>
            <w:tcW w:w="26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16,992,211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16,992,211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Total Investments and Cash and Cash Equivalents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717,159,004</w:t>
            </w:r>
          </w:p>
        </w:tc>
        <w:tc>
          <w:tcPr>
            <w:tcW w:w="12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609,669,792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152.48%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tcBorders>
              <w:top w:val="single" w:sz="8" w:color="CCEEFF"/>
            </w:tcBorders>
            <w:gridSpan w:val="4"/>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LIABILITIES IN EXCESS OF OTHER ASSETS</w:t>
            </w:r>
          </w:p>
        </w:tc>
        <w:tc>
          <w:tcPr>
            <w:tcW w:w="2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(209,833,405</w:t>
            </w:r>
          </w:p>
        </w:tc>
        <w:tc>
          <w:tcPr>
            <w:tcW w:w="1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60" w:type="dxa"/>
            <w:vAlign w:val="bottom"/>
            <w:gridSpan w:val="4"/>
          </w:tcPr>
          <w:p>
            <w:pPr>
              <w:spacing w:after="0" w:line="178" w:lineRule="exact"/>
              <w:rPr>
                <w:sz w:val="20"/>
                <w:szCs w:val="20"/>
                <w:color w:val="auto"/>
              </w:rPr>
            </w:pPr>
            <w:r>
              <w:rPr>
                <w:rFonts w:ascii="Arial" w:cs="Arial" w:eastAsia="Arial" w:hAnsi="Arial"/>
                <w:sz w:val="18"/>
                <w:szCs w:val="18"/>
                <w:b w:val="1"/>
                <w:bCs w:val="1"/>
                <w:color w:val="auto"/>
                <w:w w:val="99"/>
              </w:rPr>
              <w:t>NET ASSETS (equivalent to $8.01 per share based on</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49,916,091 shares of common stock outstanding)</w:t>
            </w: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399,836,387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 w:name="page15"/>
    <w:bookmarkEnd w:id="14"/>
    <w:p>
      <w:pPr>
        <w:jc w:val="center"/>
        <w:ind w:right="-111"/>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SCHEDULE OF INVESTMENTS – (continued)</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0"/>
          <w:szCs w:val="20"/>
          <w:color w:val="auto"/>
        </w:rPr>
      </w:pPr>
    </w:p>
    <w:p>
      <w:pPr>
        <w:ind w:left="492" w:hanging="492"/>
        <w:spacing w:after="0" w:line="264" w:lineRule="auto"/>
        <w:tabs>
          <w:tab w:leader="none" w:pos="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Investment Company Act of 1940, as amended (the “1940 Act”). In general, under the 1940 Act, we would be presumed to “control” a portfolio company if we owned more than 25% of its voting securities and would be an “affiliate” of a portfolio company if we owned 5% or more of its voting securities.</w:t>
      </w:r>
    </w:p>
    <w:p>
      <w:pPr>
        <w:spacing w:after="0" w:line="19" w:lineRule="exact"/>
        <w:rPr>
          <w:rFonts w:ascii="Arial" w:cs="Arial" w:eastAsia="Arial" w:hAnsi="Arial"/>
          <w:sz w:val="18"/>
          <w:szCs w:val="18"/>
          <w:color w:val="auto"/>
        </w:rPr>
      </w:pPr>
    </w:p>
    <w:p>
      <w:pPr>
        <w:ind w:left="492" w:hanging="492"/>
        <w:spacing w:after="0"/>
        <w:tabs>
          <w:tab w:leader="none" w:pos="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is determined in good faith by the Board of Directors of the Fund.</w:t>
      </w:r>
    </w:p>
    <w:p>
      <w:pPr>
        <w:spacing w:after="0" w:line="63" w:lineRule="exact"/>
        <w:rPr>
          <w:rFonts w:ascii="Arial" w:cs="Arial" w:eastAsia="Arial" w:hAnsi="Arial"/>
          <w:sz w:val="18"/>
          <w:szCs w:val="18"/>
          <w:color w:val="auto"/>
        </w:rPr>
      </w:pPr>
    </w:p>
    <w:p>
      <w:pPr>
        <w:ind w:left="492" w:hanging="492"/>
        <w:spacing w:after="0"/>
        <w:tabs>
          <w:tab w:leader="none" w:pos="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 value reflects accretion of original issue discount or market discount.</w:t>
      </w:r>
    </w:p>
    <w:p>
      <w:pPr>
        <w:spacing w:after="0" w:line="63" w:lineRule="exact"/>
        <w:rPr>
          <w:rFonts w:ascii="Arial" w:cs="Arial" w:eastAsia="Arial" w:hAnsi="Arial"/>
          <w:sz w:val="18"/>
          <w:szCs w:val="18"/>
          <w:color w:val="auto"/>
        </w:rPr>
      </w:pPr>
    </w:p>
    <w:p>
      <w:pPr>
        <w:ind w:left="492" w:hanging="492"/>
        <w:spacing w:after="0"/>
        <w:tabs>
          <w:tab w:leader="none" w:pos="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Investment represents greater than 5% of net assets.</w:t>
      </w:r>
    </w:p>
    <w:p>
      <w:pPr>
        <w:spacing w:after="0" w:line="63" w:lineRule="exact"/>
        <w:rPr>
          <w:rFonts w:ascii="Arial" w:cs="Arial" w:eastAsia="Arial" w:hAnsi="Arial"/>
          <w:sz w:val="18"/>
          <w:szCs w:val="18"/>
          <w:color w:val="auto"/>
        </w:rPr>
      </w:pPr>
    </w:p>
    <w:p>
      <w:pPr>
        <w:ind w:left="492" w:hanging="492"/>
        <w:spacing w:after="0"/>
        <w:tabs>
          <w:tab w:leader="none" w:pos="492" w:val="left"/>
        </w:tabs>
        <w:numPr>
          <w:ilvl w:val="0"/>
          <w:numId w:val="1"/>
        </w:numPr>
        <w:rPr>
          <w:rFonts w:ascii="Arial" w:cs="Arial" w:eastAsia="Arial" w:hAnsi="Arial"/>
          <w:sz w:val="17"/>
          <w:szCs w:val="17"/>
          <w:color w:val="auto"/>
        </w:rPr>
      </w:pPr>
      <w:r>
        <w:rPr>
          <w:rFonts w:ascii="Arial" w:cs="Arial" w:eastAsia="Arial" w:hAnsi="Arial"/>
          <w:sz w:val="17"/>
          <w:szCs w:val="17"/>
          <w:color w:val="auto"/>
        </w:rPr>
        <w:t>Cost value reflects accretion of effective yield less any cash distributions received or entitled to be received from CLO equity investments.</w:t>
      </w:r>
    </w:p>
    <w:p>
      <w:pPr>
        <w:spacing w:after="0" w:line="74" w:lineRule="exact"/>
        <w:rPr>
          <w:rFonts w:ascii="Arial" w:cs="Arial" w:eastAsia="Arial" w:hAnsi="Arial"/>
          <w:sz w:val="17"/>
          <w:szCs w:val="17"/>
          <w:color w:val="auto"/>
        </w:rPr>
      </w:pPr>
    </w:p>
    <w:p>
      <w:pPr>
        <w:ind w:left="492" w:right="280" w:hanging="492"/>
        <w:spacing w:after="0" w:line="277" w:lineRule="auto"/>
        <w:tabs>
          <w:tab w:leader="none" w:pos="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 secured notes generally bear interest at a rate determined by reference to three-month LIBOR which resets quarterly. For each CLO debt investment, the rate provided is as of June 30, 2019.</w:t>
      </w:r>
    </w:p>
    <w:p>
      <w:pPr>
        <w:spacing w:after="0" w:line="8" w:lineRule="exact"/>
        <w:rPr>
          <w:rFonts w:ascii="Arial" w:cs="Arial" w:eastAsia="Arial" w:hAnsi="Arial"/>
          <w:sz w:val="18"/>
          <w:szCs w:val="18"/>
          <w:color w:val="auto"/>
        </w:rPr>
      </w:pPr>
    </w:p>
    <w:p>
      <w:pPr>
        <w:ind w:left="492" w:hanging="492"/>
        <w:spacing w:after="0" w:line="257" w:lineRule="auto"/>
        <w:tabs>
          <w:tab w:leader="none" w:pos="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 subordinated notes, preferred shares and income notes are considered equity positions in the CLO funds. Equity investments are entitled to recurring distributions which are generally equal to the remaining cash flow of the payments made by the underlying fund’s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spacing w:after="0" w:line="26" w:lineRule="exact"/>
        <w:rPr>
          <w:rFonts w:ascii="Arial" w:cs="Arial" w:eastAsia="Arial" w:hAnsi="Arial"/>
          <w:sz w:val="18"/>
          <w:szCs w:val="18"/>
          <w:color w:val="auto"/>
        </w:rPr>
      </w:pPr>
    </w:p>
    <w:p>
      <w:pPr>
        <w:ind w:left="492" w:hanging="492"/>
        <w:spacing w:after="0"/>
        <w:tabs>
          <w:tab w:leader="none" w:pos="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represents discounted cash flows associated with fees earned from CLO equity investments</w:t>
      </w:r>
    </w:p>
    <w:p>
      <w:pPr>
        <w:spacing w:after="0" w:line="63" w:lineRule="exact"/>
        <w:rPr>
          <w:rFonts w:ascii="Arial" w:cs="Arial" w:eastAsia="Arial" w:hAnsi="Arial"/>
          <w:sz w:val="18"/>
          <w:szCs w:val="18"/>
          <w:color w:val="auto"/>
        </w:rPr>
      </w:pPr>
    </w:p>
    <w:p>
      <w:pPr>
        <w:ind w:left="492" w:hanging="492"/>
        <w:spacing w:after="0"/>
        <w:tabs>
          <w:tab w:leader="none" w:pos="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Investment has not made inaugural distribution for relevant period end.</w:t>
      </w:r>
    </w:p>
    <w:p>
      <w:pPr>
        <w:spacing w:after="0" w:line="63" w:lineRule="exact"/>
        <w:rPr>
          <w:rFonts w:ascii="Arial" w:cs="Arial" w:eastAsia="Arial" w:hAnsi="Arial"/>
          <w:sz w:val="18"/>
          <w:szCs w:val="18"/>
          <w:color w:val="auto"/>
        </w:rPr>
      </w:pPr>
    </w:p>
    <w:p>
      <w:pPr>
        <w:ind w:left="492" w:hanging="492"/>
        <w:spacing w:after="0"/>
        <w:tabs>
          <w:tab w:leader="none" w:pos="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 equity investment was optionally redeemed. See “Note 2. Summary of Significant Accounting Policies.”</w:t>
      </w:r>
    </w:p>
    <w:p>
      <w:pPr>
        <w:spacing w:after="0" w:line="63" w:lineRule="exact"/>
        <w:rPr>
          <w:rFonts w:ascii="Arial" w:cs="Arial" w:eastAsia="Arial" w:hAnsi="Arial"/>
          <w:sz w:val="18"/>
          <w:szCs w:val="18"/>
          <w:color w:val="auto"/>
        </w:rPr>
      </w:pPr>
    </w:p>
    <w:p>
      <w:pPr>
        <w:ind w:left="492" w:right="560" w:hanging="492"/>
        <w:spacing w:after="0" w:line="277" w:lineRule="auto"/>
        <w:tabs>
          <w:tab w:leader="none" w:pos="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Securities held as collateral pursuant to repurchase agreement with Nomura Securities International, Inc. See “Note 2. Summary of Significant Accounting Policies.”</w:t>
      </w:r>
    </w:p>
    <w:p>
      <w:pPr>
        <w:spacing w:after="0" w:line="8" w:lineRule="exact"/>
        <w:rPr>
          <w:rFonts w:ascii="Arial" w:cs="Arial" w:eastAsia="Arial" w:hAnsi="Arial"/>
          <w:sz w:val="18"/>
          <w:szCs w:val="18"/>
          <w:color w:val="auto"/>
        </w:rPr>
      </w:pPr>
    </w:p>
    <w:p>
      <w:pPr>
        <w:ind w:left="492" w:right="420" w:hanging="492"/>
        <w:spacing w:after="0" w:line="277" w:lineRule="auto"/>
        <w:tabs>
          <w:tab w:leader="none" w:pos="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 equity is co-invested with the Fund’s affiliates pursuant to an exemptive order issued on June 14, 2017 by the Securities and Exchange Commission (“SEC”). See “Note 4. Related Party Transactions.”</w:t>
      </w:r>
    </w:p>
    <w:p>
      <w:pPr>
        <w:spacing w:after="0" w:line="8" w:lineRule="exact"/>
        <w:rPr>
          <w:rFonts w:ascii="Arial" w:cs="Arial" w:eastAsia="Arial" w:hAnsi="Arial"/>
          <w:sz w:val="18"/>
          <w:szCs w:val="18"/>
          <w:color w:val="auto"/>
        </w:rPr>
      </w:pPr>
    </w:p>
    <w:p>
      <w:pPr>
        <w:ind w:left="492" w:hanging="492"/>
        <w:spacing w:after="0"/>
        <w:tabs>
          <w:tab w:leader="none" w:pos="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cash equivalents held in a money market account as of June 30, 2019.</w:t>
      </w:r>
    </w:p>
    <w:p>
      <w:pPr>
        <w:spacing w:after="0" w:line="63" w:lineRule="exact"/>
        <w:rPr>
          <w:rFonts w:ascii="Arial" w:cs="Arial" w:eastAsia="Arial" w:hAnsi="Arial"/>
          <w:sz w:val="18"/>
          <w:szCs w:val="18"/>
          <w:color w:val="auto"/>
        </w:rPr>
      </w:pPr>
    </w:p>
    <w:p>
      <w:pPr>
        <w:ind w:left="492" w:hanging="492"/>
        <w:spacing w:after="0"/>
        <w:tabs>
          <w:tab w:leader="none" w:pos="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fair value of the investment was determined using significant unobservable inputs. See “Note 3. Fair Value.”</w:t>
      </w:r>
    </w:p>
    <w:p>
      <w:pPr>
        <w:spacing w:after="0" w:line="63" w:lineRule="exact"/>
        <w:rPr>
          <w:rFonts w:ascii="Arial" w:cs="Arial" w:eastAsia="Arial" w:hAnsi="Arial"/>
          <w:sz w:val="18"/>
          <w:szCs w:val="18"/>
          <w:color w:val="auto"/>
        </w:rPr>
      </w:pPr>
    </w:p>
    <w:p>
      <w:pPr>
        <w:ind w:left="492" w:hanging="492"/>
        <w:spacing w:after="0"/>
        <w:tabs>
          <w:tab w:leader="none" w:pos="492"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investment was optionally redeemed during the quarter ended June 30, 2019. See “Note 2. Summary of Significant Accounting Policies.”</w:t>
      </w:r>
    </w:p>
    <w:p>
      <w:pPr>
        <w:spacing w:after="0" w:line="74" w:lineRule="exact"/>
        <w:rPr>
          <w:rFonts w:ascii="Arial" w:cs="Arial" w:eastAsia="Arial" w:hAnsi="Arial"/>
          <w:sz w:val="17"/>
          <w:szCs w:val="17"/>
          <w:color w:val="auto"/>
        </w:rPr>
      </w:pPr>
    </w:p>
    <w:p>
      <w:pPr>
        <w:ind w:left="492" w:right="40" w:hanging="492"/>
        <w:spacing w:after="0" w:line="277" w:lineRule="auto"/>
        <w:tabs>
          <w:tab w:leader="none" w:pos="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investment represents our percent ownership in certain equity securities transferred to OXLC upon the redemption of this investment on October 25, 2018.</w:t>
      </w:r>
    </w:p>
    <w:p>
      <w:pPr>
        <w:spacing w:after="0" w:line="251"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12"/>
          </w:cols>
          <w:pgMar w:left="248" w:top="69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UNAUDITED INTERIM FINANCIAL STATEMENTS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Schedule of Investments of Oxford Lane Capital Corp. (“OXLC,” “we,” “us,” “our,” or the “Fund”) are prepared in accordance with generally accepted accounting principles in the United States of America (“GAAP”) and pursuant to the requirements for reporting on Form N-Q. Accordingly, certain disclosures accompanying annual and semi-annual financial statements prepared in accordance with GAAP are omitted. In the opinion of management, all adjustments, consisting of normal recurring accruals, necessary for the fair statement of financial results for the interim periods have been omitted. The Schedule of Investments and notes thereto should be read in conjunction with the financial statements and notes thereto included in the Fund’s Form N-CSR for the year ended March 31, 2019, as filed with the SEC.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Fund fair values its investment portfolio in accordance with the provisions of Financial Accounting Standards Board Accounting Standards Codification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Estimates made in the preparation of OXLC’s Schedule of Investments include the valuation of investments and the related amounts of unrealized appreciation and depreciation of investments recorded. OXLC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OXLC makes. OXLC is required to specifically fair value each individual investment on a quarterly basis.</w:t>
      </w:r>
    </w:p>
    <w:p>
      <w:pPr>
        <w:spacing w:after="0" w:line="193"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ASC 820-10 clarifies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OXLC considers the attributes of current market conditions on an on-going basis and has determined that due to the general illiquidity of the market for its investment portfolio, whereby little or no market data exists.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Collateralized Loan Obligations — Debt and Equity</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OXLC has acquired debt and equity positions in Collateralized Loan Obligations (“CLO”) investment vehicles and has purchased CLO warehouse facilities. These investments are special purpose financing vehicles. In valuing such investments, OXLC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OXLC also considers those instances in which the record date for an equity distribution payment falls on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OXLC considers the operating metrics of the specific investment vehicle, including compliance with collateralization tests, defaulted and restructured securities, and payment defaults, if any. Oxford Lane Management, LLC (“OXLC Management” or the “Adviser”) or the Fund’s board of directors (the “Board of Directors”) may elect to engage third-party valuation firms to provide assistance to our Valuation Committee and Board of Directors in valuing certain of our investments, including, but not limited to, when requested by the Board of Directors or the Adviser. If a third-party valuation firm is engaged by the Fund, it will provide the Board of Directors with a written report with respect to each investment it has reviewed. The Valuation Committee will evaluate the impact of such additional information, and factor it into its consideration of fair value.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6" w:name="page17"/>
    <w:bookmarkEnd w:id="16"/>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Sold Under Agreement to Repurchase</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Fund has entered into an agreement whereby it sold securities to be repurchased at an agreed-upon price and date. Under this agreement, the Fund accounts for this transaction as a collateralized financing transaction which is recorded at the contracted repurchase amount plus interest. The Fund’s securities sold under the agreement to repurchase are carried at cost; which approximates fair value. Refer to “Note 8. Borrowings Related to Securities Sold Under Agreement to Repurchase” in our most recent Annual Report as of March 31, 2019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TRANSACTIONS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Securities transactions are recorded on trade date. An optional redemption (“optionally redeemed”) feature of a CLO allows a majority of the holders of the equity securities issued by the CLO issuer, after the end of a specified non-call period, to cause the redemption of the secured notes issued by the CLO with proceeds paid either through the liquidation of the CLO’s assets or through a refinancing with new debt. The optional redemption is effectively a voluntary prepayment of the secured debt issued by the CLO prior to the stated maturity of such debt. Distributions received on CLO equity investments which were optionally redeemed are first applied to the remaining cost basis until it is reduced to zero, after which distributions are recorded as realized gains.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Fund’s assets measured at fair value on a recurring basis subject to the disclosure requirements of ASC 820-10 at June 30, 2019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gridSpan w:val="8"/>
          </w:tcPr>
          <w:p>
            <w:pPr>
              <w:jc w:val="right"/>
              <w:ind w:right="410"/>
              <w:spacing w:after="0"/>
              <w:rPr>
                <w:sz w:val="20"/>
                <w:szCs w:val="20"/>
                <w:color w:val="auto"/>
              </w:rPr>
            </w:pPr>
            <w:r>
              <w:rPr>
                <w:rFonts w:ascii="Arial" w:cs="Arial" w:eastAsia="Arial" w:hAnsi="Arial"/>
                <w:sz w:val="18"/>
                <w:szCs w:val="18"/>
                <w:b w:val="1"/>
                <w:bCs w:val="1"/>
                <w:color w:val="auto"/>
              </w:rPr>
              <w:t>Fair Value Measurements at Reporting Date Using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Significant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Other Observable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Identical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Assets ($ in millions)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CLO debt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CLO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Unobservable Inputs for Level 3 Investments</w:t>
      </w:r>
    </w:p>
    <w:p>
      <w:pPr>
        <w:spacing w:after="0" w:line="225" w:lineRule="exact"/>
        <w:rPr>
          <w:sz w:val="20"/>
          <w:szCs w:val="20"/>
          <w:color w:val="auto"/>
        </w:rPr>
      </w:pPr>
    </w:p>
    <w:p>
      <w:pPr>
        <w:jc w:val="both"/>
        <w:ind w:firstLine="584"/>
        <w:spacing w:after="0" w:line="276" w:lineRule="auto"/>
        <w:rPr>
          <w:sz w:val="20"/>
          <w:szCs w:val="20"/>
          <w:color w:val="auto"/>
        </w:rPr>
      </w:pPr>
      <w:r>
        <w:rPr>
          <w:rFonts w:ascii="Arial" w:cs="Arial" w:eastAsia="Arial" w:hAnsi="Arial"/>
          <w:sz w:val="17"/>
          <w:szCs w:val="17"/>
          <w:color w:val="auto"/>
        </w:rPr>
        <w:t>In accordance with ASC 820-10, the following table provides quantitative information about the Fund’s Level 3 fair value measurements as of June 30, 2019. The Fund’s valuation policy, as described above, establishes parameters for the sources and types of valuation analysis, as well as the methodologies and inputs that the Fund uses in determining fair value. If the Board of Directors or OXLC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 and methodology and asset category.</w:t>
      </w:r>
    </w:p>
    <w:p>
      <w:pPr>
        <w:sectPr>
          <w:pgSz w:w="11900" w:h="16892" w:orient="portrait"/>
          <w:cols w:equalWidth="0" w:num="1">
            <w:col w:w="11420"/>
          </w:cols>
          <w:pgMar w:left="240" w:top="796"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804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CLO debt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CLO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CLO equity - side letters</w:t>
      </w:r>
    </w:p>
    <w:p>
      <w:pPr>
        <w:spacing w:after="0" w:line="200" w:lineRule="exact"/>
        <w:rPr>
          <w:sz w:val="20"/>
          <w:szCs w:val="20"/>
          <w:color w:val="auto"/>
        </w:rPr>
      </w:pPr>
    </w:p>
    <w:p>
      <w:pPr>
        <w:spacing w:after="0" w:line="25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 xml:space="preserve">Total Fair Value for Level 3 Investments </w:t>
      </w:r>
      <w:r>
        <w:rPr>
          <w:rFonts w:ascii="Arial" w:cs="Arial" w:eastAsia="Arial" w:hAnsi="Arial"/>
          <w:sz w:val="30"/>
          <w:szCs w:val="30"/>
          <w:color w:val="auto"/>
          <w:vertAlign w:val="superscript"/>
        </w:rPr>
        <w:t>(6)</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7200" w:type="dxa"/>
            <w:vAlign w:val="bottom"/>
            <w:gridSpan w:val="8"/>
          </w:tcPr>
          <w:p>
            <w:pPr>
              <w:ind w:left="960"/>
              <w:spacing w:after="0"/>
              <w:rPr>
                <w:sz w:val="20"/>
                <w:szCs w:val="20"/>
                <w:color w:val="auto"/>
              </w:rPr>
            </w:pPr>
            <w:r>
              <w:rPr>
                <w:rFonts w:ascii="Arial" w:cs="Arial" w:eastAsia="Arial" w:hAnsi="Arial"/>
                <w:sz w:val="18"/>
                <w:szCs w:val="18"/>
                <w:b w:val="1"/>
                <w:bCs w:val="1"/>
                <w:color w:val="auto"/>
              </w:rPr>
              <w:t>Quantitative Information about Level 3 Fair Value Measurements</w:t>
            </w:r>
          </w:p>
        </w:tc>
        <w:tc>
          <w:tcPr>
            <w:tcW w:w="1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Impact to</w:t>
            </w:r>
          </w:p>
        </w:tc>
        <w:tc>
          <w:tcPr>
            <w:tcW w:w="0" w:type="dxa"/>
            <w:vAlign w:val="bottom"/>
          </w:tcPr>
          <w:p>
            <w:pPr>
              <w:spacing w:after="0"/>
              <w:rPr>
                <w:sz w:val="1"/>
                <w:szCs w:val="1"/>
                <w:color w:val="auto"/>
              </w:rPr>
            </w:pPr>
          </w:p>
        </w:tc>
      </w:tr>
      <w:tr>
        <w:trPr>
          <w:trHeight w:val="178"/>
        </w:trPr>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Valuation</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Valuation from</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Fair Value as of</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Techniques /</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Range / Weighted</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an Increase in</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June 30, 2019</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Methodologies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Input</w:t>
            </w:r>
          </w:p>
        </w:tc>
        <w:tc>
          <w:tcPr>
            <w:tcW w:w="1720" w:type="dxa"/>
            <w:vAlign w:val="bottom"/>
            <w:gridSpan w:val="2"/>
          </w:tcPr>
          <w:p>
            <w:pPr>
              <w:ind w:left="400"/>
              <w:spacing w:after="0" w:line="269" w:lineRule="exact"/>
              <w:rPr>
                <w:sz w:val="20"/>
                <w:szCs w:val="20"/>
                <w:color w:val="auto"/>
              </w:rPr>
            </w:pPr>
            <w:r>
              <w:rPr>
                <w:rFonts w:ascii="Arial" w:cs="Arial" w:eastAsia="Arial" w:hAnsi="Arial"/>
                <w:sz w:val="18"/>
                <w:szCs w:val="18"/>
                <w:b w:val="1"/>
                <w:bCs w:val="1"/>
                <w:color w:val="auto"/>
              </w:rPr>
              <w:t>Average</w:t>
            </w:r>
            <w:r>
              <w:rPr>
                <w:rFonts w:ascii="Arial" w:cs="Arial" w:eastAsia="Arial" w:hAnsi="Arial"/>
                <w:sz w:val="30"/>
                <w:szCs w:val="30"/>
                <w:b w:val="1"/>
                <w:bCs w:val="1"/>
                <w:color w:val="auto"/>
                <w:vertAlign w:val="superscript"/>
              </w:rPr>
              <w:t>(3)</w:t>
            </w:r>
          </w:p>
        </w:tc>
        <w:tc>
          <w:tcPr>
            <w:tcW w:w="180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7"/>
              </w:rPr>
              <w:t>Input</w:t>
            </w:r>
            <w:r>
              <w:rPr>
                <w:rFonts w:ascii="Arial" w:cs="Arial" w:eastAsia="Arial" w:hAnsi="Arial"/>
                <w:sz w:val="30"/>
                <w:szCs w:val="30"/>
                <w:b w:val="1"/>
                <w:bCs w:val="1"/>
                <w:color w:val="auto"/>
                <w:w w:val="87"/>
                <w:vertAlign w:val="superscript"/>
              </w:rPr>
              <w:t>(4)</w:t>
            </w:r>
          </w:p>
        </w:tc>
        <w:tc>
          <w:tcPr>
            <w:tcW w:w="0" w:type="dxa"/>
            <w:vAlign w:val="bottom"/>
          </w:tcPr>
          <w:p>
            <w:pPr>
              <w:spacing w:after="0"/>
              <w:rPr>
                <w:sz w:val="1"/>
                <w:szCs w:val="1"/>
                <w:color w:val="auto"/>
              </w:rPr>
            </w:pPr>
          </w:p>
        </w:tc>
      </w:tr>
      <w:tr>
        <w:trPr>
          <w:trHeight w:val="224"/>
        </w:trPr>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 in millions)</w:t>
            </w:r>
          </w:p>
        </w:tc>
        <w:tc>
          <w:tcPr>
            <w:tcW w:w="12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76.1%-99.5% /</w:t>
            </w:r>
          </w:p>
        </w:tc>
        <w:tc>
          <w:tcPr>
            <w:tcW w:w="12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7"/>
              </w:rPr>
              <w:t>NBIP</w:t>
            </w:r>
            <w:r>
              <w:rPr>
                <w:rFonts w:ascii="Arial" w:cs="Arial" w:eastAsia="Arial" w:hAnsi="Arial"/>
                <w:sz w:val="30"/>
                <w:szCs w:val="30"/>
                <w:color w:val="auto"/>
                <w:w w:val="87"/>
                <w:vertAlign w:val="superscript"/>
              </w:rPr>
              <w:t>(1)</w:t>
            </w:r>
          </w:p>
        </w:tc>
        <w:tc>
          <w:tcPr>
            <w:tcW w:w="1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w w:val="91"/>
              </w:rPr>
              <w:t>Market quotes</w:t>
            </w:r>
          </w:p>
        </w:tc>
        <w:tc>
          <w:tcPr>
            <w:tcW w:w="1920" w:type="dxa"/>
            <w:vAlign w:val="bottom"/>
            <w:gridSpan w:val="2"/>
            <w:vMerge w:val="continue"/>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4"/>
                <w:szCs w:val="24"/>
                <w:color w:val="auto"/>
              </w:rPr>
            </w:pPr>
          </w:p>
        </w:tc>
        <w:tc>
          <w:tcPr>
            <w:tcW w:w="1800" w:type="dxa"/>
            <w:vAlign w:val="bottom"/>
          </w:tcPr>
          <w:p>
            <w:pPr>
              <w:jc w:val="center"/>
              <w:ind w:lef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35"/>
        </w:trPr>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24"/>
                <w:szCs w:val="24"/>
                <w:color w:val="auto"/>
              </w:rPr>
            </w:pP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w w:val="91"/>
              </w:rPr>
              <w:t>Market quotes</w:t>
            </w:r>
          </w:p>
        </w:tc>
        <w:tc>
          <w:tcPr>
            <w:tcW w:w="1920" w:type="dxa"/>
            <w:vAlign w:val="bottom"/>
            <w:gridSpan w:val="2"/>
          </w:tcPr>
          <w:p>
            <w:pPr>
              <w:jc w:val="center"/>
              <w:ind w:right="100"/>
              <w:spacing w:after="0" w:line="335" w:lineRule="exact"/>
              <w:rPr>
                <w:sz w:val="20"/>
                <w:szCs w:val="20"/>
                <w:color w:val="auto"/>
              </w:rPr>
            </w:pPr>
            <w:r>
              <w:rPr>
                <w:rFonts w:ascii="Arial" w:cs="Arial" w:eastAsia="Arial" w:hAnsi="Arial"/>
                <w:sz w:val="18"/>
                <w:szCs w:val="18"/>
                <w:color w:val="auto"/>
                <w:w w:val="87"/>
              </w:rPr>
              <w:t>NBIP</w:t>
            </w:r>
            <w:r>
              <w:rPr>
                <w:rFonts w:ascii="Arial" w:cs="Arial" w:eastAsia="Arial" w:hAnsi="Arial"/>
                <w:sz w:val="30"/>
                <w:szCs w:val="30"/>
                <w:color w:val="auto"/>
                <w:w w:val="87"/>
                <w:vertAlign w:val="superscript"/>
              </w:rPr>
              <w:t>(1)</w:t>
            </w:r>
          </w:p>
        </w:tc>
        <w:tc>
          <w:tcPr>
            <w:tcW w:w="1600" w:type="dxa"/>
            <w:vAlign w:val="bottom"/>
          </w:tcPr>
          <w:p>
            <w:pPr>
              <w:spacing w:after="0"/>
              <w:rPr>
                <w:sz w:val="20"/>
                <w:szCs w:val="20"/>
                <w:color w:val="auto"/>
              </w:rPr>
            </w:pPr>
            <w:r>
              <w:rPr>
                <w:rFonts w:ascii="Arial" w:cs="Arial" w:eastAsia="Arial" w:hAnsi="Arial"/>
                <w:sz w:val="18"/>
                <w:szCs w:val="18"/>
                <w:color w:val="auto"/>
                <w:w w:val="96"/>
              </w:rPr>
              <w:t>4.0%-90.3% / 55.8%</w:t>
            </w:r>
          </w:p>
        </w:tc>
        <w:tc>
          <w:tcPr>
            <w:tcW w:w="120" w:type="dxa"/>
            <w:vAlign w:val="bottom"/>
          </w:tcPr>
          <w:p>
            <w:pPr>
              <w:spacing w:after="0"/>
              <w:rPr>
                <w:sz w:val="24"/>
                <w:szCs w:val="24"/>
                <w:color w:val="auto"/>
              </w:rPr>
            </w:pPr>
          </w:p>
        </w:tc>
        <w:tc>
          <w:tcPr>
            <w:tcW w:w="1800" w:type="dxa"/>
            <w:vAlign w:val="bottom"/>
          </w:tcPr>
          <w:p>
            <w:pPr>
              <w:jc w:val="center"/>
              <w:ind w:lef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59.1%-79.2% /</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29.4</w:t>
            </w: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w w:val="89"/>
              </w:rPr>
              <w:t>Recent Transaction</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Actual trade</w:t>
            </w:r>
          </w:p>
        </w:tc>
        <w:tc>
          <w:tcPr>
            <w:tcW w:w="1600" w:type="dxa"/>
            <w:vAlign w:val="bottom"/>
          </w:tcPr>
          <w:p>
            <w:pPr>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9"/>
                <w:szCs w:val="19"/>
                <w:color w:val="auto"/>
              </w:rPr>
            </w:pPr>
          </w:p>
        </w:tc>
        <w:tc>
          <w:tcPr>
            <w:tcW w:w="1800" w:type="dxa"/>
            <w:vAlign w:val="bottom"/>
          </w:tcPr>
          <w:p>
            <w:pPr>
              <w:jc w:val="center"/>
              <w:ind w:lef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21"/>
                <w:szCs w:val="21"/>
                <w:color w:val="auto"/>
              </w:rPr>
            </w:pP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w w:val="96"/>
              </w:rPr>
              <w:t>Yield Analysis</w:t>
            </w:r>
          </w:p>
        </w:tc>
        <w:tc>
          <w:tcPr>
            <w:tcW w:w="1920" w:type="dxa"/>
            <w:vAlign w:val="bottom"/>
            <w:gridSpan w:val="2"/>
          </w:tcPr>
          <w:p>
            <w:pPr>
              <w:jc w:val="center"/>
              <w:ind w:right="100"/>
              <w:spacing w:after="0" w:line="253" w:lineRule="exact"/>
              <w:rPr>
                <w:sz w:val="20"/>
                <w:szCs w:val="20"/>
                <w:color w:val="auto"/>
              </w:rPr>
            </w:pPr>
            <w:r>
              <w:rPr>
                <w:rFonts w:ascii="Arial" w:cs="Arial" w:eastAsia="Arial" w:hAnsi="Arial"/>
                <w:sz w:val="18"/>
                <w:szCs w:val="18"/>
                <w:color w:val="auto"/>
                <w:w w:val="88"/>
              </w:rPr>
              <w:t>NBIP</w:t>
            </w:r>
            <w:r>
              <w:rPr>
                <w:rFonts w:ascii="Arial" w:cs="Arial" w:eastAsia="Arial" w:hAnsi="Arial"/>
                <w:sz w:val="29"/>
                <w:szCs w:val="29"/>
                <w:color w:val="auto"/>
                <w:w w:val="88"/>
                <w:vertAlign w:val="superscript"/>
              </w:rPr>
              <w:t>(1)</w:t>
            </w:r>
          </w:p>
        </w:tc>
        <w:tc>
          <w:tcPr>
            <w:tcW w:w="1600" w:type="dxa"/>
            <w:vAlign w:val="bottom"/>
          </w:tcPr>
          <w:p>
            <w:pPr>
              <w:spacing w:after="0"/>
              <w:rPr>
                <w:sz w:val="20"/>
                <w:szCs w:val="20"/>
                <w:color w:val="auto"/>
              </w:rPr>
            </w:pPr>
            <w:r>
              <w:rPr>
                <w:rFonts w:ascii="Arial" w:cs="Arial" w:eastAsia="Arial" w:hAnsi="Arial"/>
                <w:sz w:val="18"/>
                <w:szCs w:val="18"/>
                <w:color w:val="auto"/>
                <w:w w:val="96"/>
              </w:rPr>
              <w:t>9.4%-84.0% / 49.4%</w:t>
            </w:r>
          </w:p>
        </w:tc>
        <w:tc>
          <w:tcPr>
            <w:tcW w:w="120" w:type="dxa"/>
            <w:vAlign w:val="bottom"/>
          </w:tcPr>
          <w:p>
            <w:pPr>
              <w:spacing w:after="0"/>
              <w:rPr>
                <w:sz w:val="21"/>
                <w:szCs w:val="21"/>
                <w:color w:val="auto"/>
              </w:rPr>
            </w:pPr>
          </w:p>
        </w:tc>
        <w:tc>
          <w:tcPr>
            <w:tcW w:w="1800" w:type="dxa"/>
            <w:vAlign w:val="bottom"/>
          </w:tcPr>
          <w:p>
            <w:pPr>
              <w:jc w:val="center"/>
              <w:ind w:left="10"/>
              <w:spacing w:after="0"/>
              <w:rPr>
                <w:sz w:val="20"/>
                <w:szCs w:val="20"/>
                <w:color w:val="auto"/>
              </w:rPr>
            </w:pPr>
            <w:r>
              <w:rPr>
                <w:rFonts w:ascii="Arial" w:cs="Arial" w:eastAsia="Arial" w:hAnsi="Arial"/>
                <w:sz w:val="18"/>
                <w:szCs w:val="18"/>
                <w:color w:val="auto"/>
                <w:w w:val="85"/>
              </w:rPr>
              <w:t>Decrease</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w w:val="94"/>
              </w:rPr>
              <w:t>Liquidation Net Asset</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w w:val="85"/>
              </w:rPr>
              <w:t>Value</w:t>
            </w:r>
            <w:r>
              <w:rPr>
                <w:rFonts w:ascii="Arial" w:cs="Arial" w:eastAsia="Arial" w:hAnsi="Arial"/>
                <w:sz w:val="30"/>
                <w:szCs w:val="30"/>
                <w:color w:val="auto"/>
                <w:w w:val="85"/>
                <w:vertAlign w:val="superscript"/>
              </w:rPr>
              <w:t>(5)</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NBIP</w:t>
            </w:r>
            <w:r>
              <w:rPr>
                <w:rFonts w:ascii="Arial" w:cs="Arial" w:eastAsia="Arial" w:hAnsi="Arial"/>
                <w:sz w:val="30"/>
                <w:szCs w:val="30"/>
                <w:color w:val="auto"/>
                <w:w w:val="87"/>
                <w:vertAlign w:val="superscript"/>
              </w:rPr>
              <w:t>(1)</w:t>
            </w:r>
          </w:p>
        </w:tc>
        <w:tc>
          <w:tcPr>
            <w:tcW w:w="1600" w:type="dxa"/>
            <w:vAlign w:val="bottom"/>
          </w:tcPr>
          <w:p>
            <w:pPr>
              <w:spacing w:after="0"/>
              <w:rPr>
                <w:sz w:val="20"/>
                <w:szCs w:val="20"/>
                <w:color w:val="auto"/>
              </w:rPr>
            </w:pPr>
            <w:r>
              <w:rPr>
                <w:rFonts w:ascii="Arial" w:cs="Arial" w:eastAsia="Arial" w:hAnsi="Arial"/>
                <w:sz w:val="18"/>
                <w:szCs w:val="18"/>
                <w:color w:val="auto"/>
              </w:rPr>
              <w:t>0.5%-20.0% / 7.6%</w:t>
            </w:r>
          </w:p>
        </w:tc>
        <w:tc>
          <w:tcPr>
            <w:tcW w:w="120" w:type="dxa"/>
            <w:vAlign w:val="bottom"/>
          </w:tcPr>
          <w:p>
            <w:pPr>
              <w:spacing w:after="0"/>
              <w:rPr>
                <w:sz w:val="24"/>
                <w:szCs w:val="24"/>
                <w:color w:val="auto"/>
              </w:rPr>
            </w:pPr>
          </w:p>
        </w:tc>
        <w:tc>
          <w:tcPr>
            <w:tcW w:w="1800" w:type="dxa"/>
            <w:vAlign w:val="bottom"/>
          </w:tcPr>
          <w:p>
            <w:pPr>
              <w:jc w:val="center"/>
              <w:ind w:lef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5"/>
        </w:trPr>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Discounted cash flow</w:t>
            </w:r>
            <w:r>
              <w:rPr>
                <w:rFonts w:ascii="Arial" w:cs="Arial" w:eastAsia="Arial" w:hAnsi="Arial"/>
                <w:sz w:val="30"/>
                <w:szCs w:val="30"/>
                <w:color w:val="auto"/>
                <w:w w:val="88"/>
                <w:vertAlign w:val="superscript"/>
              </w:rPr>
              <w:t>(2)</w:t>
            </w: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7"/>
              </w:rPr>
              <w:t>Discount rate</w:t>
            </w:r>
            <w:r>
              <w:rPr>
                <w:rFonts w:ascii="Arial" w:cs="Arial" w:eastAsia="Arial" w:hAnsi="Arial"/>
                <w:sz w:val="30"/>
                <w:szCs w:val="30"/>
                <w:color w:val="auto"/>
                <w:w w:val="87"/>
                <w:vertAlign w:val="superscript"/>
              </w:rPr>
              <w:t>(2)</w:t>
            </w:r>
          </w:p>
        </w:tc>
        <w:tc>
          <w:tcPr>
            <w:tcW w:w="1600" w:type="dxa"/>
            <w:vAlign w:val="bottom"/>
          </w:tcPr>
          <w:p>
            <w:pPr>
              <w:spacing w:after="0"/>
              <w:rPr>
                <w:sz w:val="20"/>
                <w:szCs w:val="20"/>
                <w:color w:val="auto"/>
              </w:rPr>
            </w:pPr>
            <w:r>
              <w:rPr>
                <w:rFonts w:ascii="Arial" w:cs="Arial" w:eastAsia="Arial" w:hAnsi="Arial"/>
                <w:sz w:val="18"/>
                <w:szCs w:val="18"/>
                <w:color w:val="auto"/>
              </w:rPr>
              <w:t>12.6%-21.8% /</w:t>
            </w: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800" w:type="dxa"/>
            <w:vAlign w:val="bottom"/>
          </w:tcPr>
          <w:p>
            <w:pPr>
              <w:jc w:val="center"/>
              <w:ind w:left="10"/>
              <w:spacing w:after="0"/>
              <w:rPr>
                <w:sz w:val="20"/>
                <w:szCs w:val="20"/>
                <w:color w:val="auto"/>
              </w:rPr>
            </w:pPr>
            <w:r>
              <w:rPr>
                <w:rFonts w:ascii="Arial" w:cs="Arial" w:eastAsia="Arial" w:hAnsi="Arial"/>
                <w:sz w:val="18"/>
                <w:szCs w:val="18"/>
                <w:color w:val="auto"/>
                <w:w w:val="85"/>
              </w:rPr>
              <w:t>Decrease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w w:val="89"/>
              </w:rPr>
              <w:t>Recent Transaction</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Actual trade</w:t>
            </w:r>
          </w:p>
        </w:tc>
        <w:tc>
          <w:tcPr>
            <w:tcW w:w="1600" w:type="dxa"/>
            <w:vAlign w:val="bottom"/>
          </w:tcPr>
          <w:p>
            <w:pPr>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0"/>
                <w:szCs w:val="20"/>
                <w:color w:val="auto"/>
              </w:rPr>
            </w:pPr>
          </w:p>
        </w:tc>
        <w:tc>
          <w:tcPr>
            <w:tcW w:w="1800" w:type="dxa"/>
            <w:vAlign w:val="bottom"/>
          </w:tcPr>
          <w:p>
            <w:pPr>
              <w:jc w:val="center"/>
              <w:ind w:lef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-2014855</wp:posOffset>
            </wp:positionV>
            <wp:extent cx="72466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-1602740</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-1165860</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-702310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-290830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-8255</wp:posOffset>
            </wp:positionV>
            <wp:extent cx="7246620"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236" w:lineRule="exact"/>
        <w:rPr>
          <w:sz w:val="20"/>
          <w:szCs w:val="20"/>
          <w:color w:val="auto"/>
        </w:rPr>
      </w:pPr>
    </w:p>
    <w:p>
      <w:pPr>
        <w:ind w:left="1100" w:hanging="1096"/>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592.7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951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ectPr>
          <w:pgSz w:w="11900" w:h="16892" w:orient="portrait"/>
          <w:cols w:equalWidth="0" w:num="2">
            <w:col w:w="2000" w:space="300"/>
            <w:col w:w="9120"/>
          </w:cols>
          <w:pgMar w:left="240" w:top="796" w:right="239" w:bottom="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SCHEDULE OF INVESTMENTS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FAIR VALUE </w:t>
      </w:r>
      <w:r>
        <w:rPr>
          <w:rFonts w:ascii="Arial" w:cs="Arial" w:eastAsia="Arial" w:hAnsi="Arial"/>
          <w:sz w:val="18"/>
          <w:szCs w:val="18"/>
          <w:color w:val="auto"/>
        </w:rPr>
        <w:t>(cont.)</w:t>
      </w:r>
    </w:p>
    <w:p>
      <w:pPr>
        <w:spacing w:after="0" w:line="229" w:lineRule="exact"/>
        <w:rPr>
          <w:sz w:val="20"/>
          <w:szCs w:val="20"/>
          <w:color w:val="auto"/>
        </w:rPr>
      </w:pPr>
    </w:p>
    <w:p>
      <w:pPr>
        <w:ind w:left="340" w:hanging="332"/>
        <w:spacing w:after="0" w:line="25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Fund generally uses non-binding indicative prices (“NBIP”) provided by an independent pricing service or broker on or near the valuation date as the primary basis for the fair value determinations for CLO debt and equity investments, which may be adjusted for pending equity distributions as of the valuation date. These prices are non-binding, and may not be determinative of fair value. Each price is evaluated by the Board of Directors in conjunction with additional information compiled by OXLC Management, including performance and covenant compliance information as provided by the independent trustee.</w:t>
      </w:r>
    </w:p>
    <w:p>
      <w:pPr>
        <w:spacing w:after="0" w:line="3"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Fund calculates the fair value of CLO equity side letters based upon the net present value of expected contractual payment streams discounted using estimated market yields for the equity tranche of the respective CLO vehicle.</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Weighted averages are calculated based on fair value of investments.</w:t>
      </w:r>
    </w:p>
    <w:p>
      <w:pPr>
        <w:spacing w:after="0" w:line="9" w:lineRule="exact"/>
        <w:rPr>
          <w:rFonts w:ascii="Arial" w:cs="Arial" w:eastAsia="Arial" w:hAnsi="Arial"/>
          <w:sz w:val="18"/>
          <w:szCs w:val="18"/>
          <w:color w:val="auto"/>
        </w:rPr>
      </w:pPr>
    </w:p>
    <w:p>
      <w:pPr>
        <w:jc w:val="both"/>
        <w:ind w:left="340" w:right="10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on fair value measurement of an increase in each unobservable input is in isolation. The discount rate is the rate used to discount future cash flows in a discounted cash flow calculation. An increase in discount rate, in isolation, would result in a decrease in a fair value measurement. Significant increases or decreases in any of the unobservable inputs in isolation may result in a significantly lower or higher fair value measurement.</w:t>
      </w:r>
    </w:p>
    <w:p>
      <w:pPr>
        <w:spacing w:after="0" w:line="2" w:lineRule="exact"/>
        <w:rPr>
          <w:rFonts w:ascii="Arial" w:cs="Arial" w:eastAsia="Arial" w:hAnsi="Arial"/>
          <w:sz w:val="16"/>
          <w:szCs w:val="16"/>
          <w:color w:val="auto"/>
        </w:rPr>
      </w:pPr>
    </w:p>
    <w:p>
      <w:pPr>
        <w:ind w:left="340" w:right="2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fair value of those CLO equity positions which have been optionally redeemed are generally valued using a liquidation net asset value basis which represents the estimated expected residual value of the CLO as of the end of the period.</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may not sum due to rounding.</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SCHEDULE OF INVESTMENTS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7700"/>
        <w:spacing w:after="0"/>
        <w:rPr>
          <w:sz w:val="20"/>
          <w:szCs w:val="20"/>
          <w:color w:val="auto"/>
        </w:rPr>
      </w:pPr>
      <w:r>
        <w:rPr>
          <w:rFonts w:ascii="Arial" w:cs="Arial" w:eastAsia="Arial" w:hAnsi="Arial"/>
          <w:sz w:val="17"/>
          <w:szCs w:val="17"/>
          <w:b w:val="1"/>
          <w:bCs w:val="1"/>
          <w:color w:val="auto"/>
        </w:rPr>
        <w:t>NOTE 4. RELATED PARTY TRANSACTIONS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Co-Investment Exemptive Relief</w:t>
      </w:r>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On June 14, 2017, the SEC issued an order permitting OXLC and certain of its affiliates to complete negotiated co-investment transactions in portfolio companies, subject to certain conditions (the “Order”). Subject to satisfaction of certain conditions to the Order, OXLC and certain of its affiliates are now permitted, together with any future business development companies, registered closed-end funds and certain private funds, each of whose investment adviser is OXLC’s investment adviser or an investment adviser controlling, controlled by, or under common control with OXLC’s investment adviser, to co-invest in negotiated investment opportunities where doing so would otherwise be prohibited under the 1940 Act, providing OXLC’s stockholders with access to a broader array of investment opportunities.</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Order, OXLC is permitted to co-invest in such investment opportunities with its affiliates if a “required majority” (as defined in Section 57(o) of the 1940 Act) of its independent directors make certain conclusions in connection with a co-investment transaction, including, but not limited to, that (1) the terms of the potential co-investment transaction, including the consideration to be paid, are reasonable and fair to OXLC and its stockholders and do not involve overreaching in respect of OXLC or its stockholders on the part of any person concerned, and (2) the potential co-investment transaction is consistent with the interests of OXLC’s stockholders and is consistent with OXLC’s then-current investment objective and strategies.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Item 2. Controls and Procedures.</w:t>
      </w:r>
    </w:p>
    <w:p>
      <w:pPr>
        <w:spacing w:after="0" w:line="225" w:lineRule="exact"/>
        <w:rPr>
          <w:sz w:val="20"/>
          <w:szCs w:val="20"/>
          <w:color w:val="auto"/>
        </w:rPr>
      </w:pPr>
    </w:p>
    <w:p>
      <w:pPr>
        <w:ind w:firstLine="258"/>
        <w:spacing w:after="0" w:line="293" w:lineRule="auto"/>
        <w:tabs>
          <w:tab w:leader="none" w:pos="765"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an evaluation of the Disclosure Controls and Procedures (as defined in Rule 30a-3(c) under the Investment Company Act of 1940, as amended, the “Disclosure Controls”) as of a date within 90 days prior to the filing date (the “Filing Date”) of this Form N-Q (the “Report”), the Chief Executive Officer (the principal executive officer) and Chief Financial Officer (the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64" w:lineRule="exact"/>
        <w:rPr>
          <w:rFonts w:ascii="Arial" w:cs="Arial" w:eastAsia="Arial" w:hAnsi="Arial"/>
          <w:sz w:val="16"/>
          <w:szCs w:val="16"/>
          <w:color w:val="auto"/>
        </w:rPr>
      </w:pPr>
    </w:p>
    <w:p>
      <w:pPr>
        <w:ind w:right="20" w:firstLine="258"/>
        <w:spacing w:after="0" w:line="264" w:lineRule="auto"/>
        <w:tabs>
          <w:tab w:leader="none" w:pos="7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were no changes in the Registrant’s internal control over financial reporting (as defined in Rule 30a-3(d) under the Investment Company Act of 1940, as amended) that occurred during the Registrant’s last fiscal quarter that have materially affected or are reasonably likely to materially affect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3. Exhibits.</w:t>
      </w:r>
    </w:p>
    <w:p>
      <w:pPr>
        <w:spacing w:after="0" w:line="225" w:lineRule="exact"/>
        <w:rPr>
          <w:sz w:val="20"/>
          <w:szCs w:val="20"/>
          <w:color w:val="auto"/>
        </w:rPr>
      </w:pPr>
    </w:p>
    <w:p>
      <w:pPr>
        <w:ind w:right="140" w:firstLine="584"/>
        <w:spacing w:after="0" w:line="277" w:lineRule="auto"/>
        <w:rPr>
          <w:sz w:val="20"/>
          <w:szCs w:val="20"/>
          <w:color w:val="auto"/>
        </w:rPr>
      </w:pPr>
      <w:r>
        <w:rPr>
          <w:rFonts w:ascii="Arial" w:cs="Arial" w:eastAsia="Arial" w:hAnsi="Arial"/>
          <w:sz w:val="18"/>
          <w:szCs w:val="18"/>
          <w:color w:val="auto"/>
        </w:rPr>
        <w:t>Certifications of principal executive officer and principal financial officer as required by Rule 30a-2(a) under the Investment Company Act of 1940, as amended.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1" w:name="page22"/>
    <w:bookmarkEnd w:id="21"/>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and the Investment Company Act of 1940, as amended,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OXFORD LANE CAPITAL CORP.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By:/s/ Jonathan H. Cohen</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31813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Date: August 1, 2019</w:t>
      </w:r>
    </w:p>
    <w:p>
      <w:pPr>
        <w:spacing w:after="0" w:line="225"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Pursuant to the requirements of the Securities Exchange Act of 1934, as amended, and the Investment Company Act of 1940, as amended, this report has been signed below by the following persons on behalf of the Registrant and in the capacities and on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ind w:left="340"/>
              <w:spacing w:after="0"/>
              <w:rPr>
                <w:sz w:val="20"/>
                <w:szCs w:val="20"/>
                <w:color w:val="auto"/>
              </w:rPr>
            </w:pPr>
            <w:r>
              <w:rPr>
                <w:rFonts w:ascii="Arial" w:cs="Arial" w:eastAsia="Arial" w:hAnsi="Arial"/>
                <w:sz w:val="18"/>
                <w:szCs w:val="18"/>
                <w:color w:val="auto"/>
              </w:rPr>
              <w:t>By:/s/ Jonathan H. Cohen</w:t>
            </w:r>
          </w:p>
        </w:tc>
        <w:tc>
          <w:tcPr>
            <w:tcW w:w="1820" w:type="dxa"/>
            <w:vAlign w:val="bottom"/>
          </w:tcPr>
          <w:p>
            <w:pPr>
              <w:spacing w:after="0"/>
              <w:rPr>
                <w:sz w:val="20"/>
                <w:szCs w:val="20"/>
                <w:color w:val="auto"/>
              </w:rPr>
            </w:pPr>
          </w:p>
        </w:tc>
        <w:tc>
          <w:tcPr>
            <w:tcW w:w="5380" w:type="dxa"/>
            <w:vAlign w:val="bottom"/>
            <w:gridSpan w:val="3"/>
          </w:tcPr>
          <w:p>
            <w:pPr>
              <w:ind w:left="100"/>
              <w:spacing w:after="0"/>
              <w:rPr>
                <w:sz w:val="20"/>
                <w:szCs w:val="20"/>
                <w:color w:val="auto"/>
              </w:rPr>
            </w:pPr>
            <w:r>
              <w:rPr>
                <w:rFonts w:ascii="Arial" w:cs="Arial" w:eastAsia="Arial" w:hAnsi="Arial"/>
                <w:sz w:val="18"/>
                <w:szCs w:val="18"/>
                <w:color w:val="auto"/>
              </w:rPr>
              <w:t>By:/s/ Bruce L. Rubin</w:t>
            </w:r>
          </w:p>
        </w:tc>
      </w:tr>
      <w:tr>
        <w:trPr>
          <w:trHeight w:val="195"/>
        </w:trPr>
        <w:tc>
          <w:tcPr>
            <w:tcW w:w="600" w:type="dxa"/>
            <w:vAlign w:val="bottom"/>
          </w:tcPr>
          <w:p>
            <w:pPr>
              <w:spacing w:after="0"/>
              <w:rPr>
                <w:sz w:val="16"/>
                <w:szCs w:val="16"/>
                <w:color w:val="auto"/>
              </w:rPr>
            </w:pPr>
          </w:p>
        </w:tc>
        <w:tc>
          <w:tcPr>
            <w:tcW w:w="3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Jonathan H. Cohen</w:t>
            </w:r>
          </w:p>
        </w:tc>
        <w:tc>
          <w:tcPr>
            <w:tcW w:w="182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50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Bruce L. Rubin</w:t>
            </w:r>
          </w:p>
        </w:tc>
      </w:tr>
      <w:tr>
        <w:trPr>
          <w:trHeight w:val="216"/>
        </w:trPr>
        <w:tc>
          <w:tcPr>
            <w:tcW w:w="4320" w:type="dxa"/>
            <w:vAlign w:val="bottom"/>
            <w:gridSpan w:val="2"/>
          </w:tcPr>
          <w:p>
            <w:pPr>
              <w:ind w:left="600"/>
              <w:spacing w:after="0"/>
              <w:rPr>
                <w:sz w:val="20"/>
                <w:szCs w:val="20"/>
                <w:color w:val="auto"/>
              </w:rPr>
            </w:pPr>
            <w:r>
              <w:rPr>
                <w:rFonts w:ascii="Arial" w:cs="Arial" w:eastAsia="Arial" w:hAnsi="Arial"/>
                <w:sz w:val="18"/>
                <w:szCs w:val="18"/>
                <w:color w:val="auto"/>
              </w:rPr>
              <w:t>Title: Chief Executive Officer</w:t>
            </w: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Title: Chief Financial Officer</w:t>
            </w:r>
          </w:p>
        </w:tc>
      </w:tr>
      <w:tr>
        <w:trPr>
          <w:trHeight w:val="230"/>
        </w:trPr>
        <w:tc>
          <w:tcPr>
            <w:tcW w:w="600" w:type="dxa"/>
            <w:vAlign w:val="bottom"/>
          </w:tcPr>
          <w:p>
            <w:pPr>
              <w:spacing w:after="0"/>
              <w:rPr>
                <w:sz w:val="20"/>
                <w:szCs w:val="20"/>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0" w:type="dxa"/>
            <w:vAlign w:val="bottom"/>
            <w:gridSpan w:val="2"/>
          </w:tcPr>
          <w:p>
            <w:pPr>
              <w:ind w:left="320"/>
              <w:spacing w:after="0"/>
              <w:rPr>
                <w:sz w:val="20"/>
                <w:szCs w:val="20"/>
                <w:color w:val="auto"/>
              </w:rPr>
            </w:pPr>
            <w:r>
              <w:rPr>
                <w:rFonts w:ascii="Arial" w:cs="Arial" w:eastAsia="Arial" w:hAnsi="Arial"/>
                <w:sz w:val="18"/>
                <w:szCs w:val="18"/>
                <w:color w:val="auto"/>
              </w:rPr>
              <w:t>(Principal Financial Officer)</w:t>
            </w:r>
          </w:p>
        </w:tc>
      </w:tr>
      <w:tr>
        <w:trPr>
          <w:trHeight w:val="432"/>
        </w:trPr>
        <w:tc>
          <w:tcPr>
            <w:tcW w:w="4320" w:type="dxa"/>
            <w:vAlign w:val="bottom"/>
            <w:gridSpan w:val="2"/>
          </w:tcPr>
          <w:p>
            <w:pPr>
              <w:ind w:left="600"/>
              <w:spacing w:after="0"/>
              <w:rPr>
                <w:sz w:val="20"/>
                <w:szCs w:val="20"/>
                <w:color w:val="auto"/>
              </w:rPr>
            </w:pPr>
            <w:r>
              <w:rPr>
                <w:rFonts w:ascii="Arial" w:cs="Arial" w:eastAsia="Arial" w:hAnsi="Arial"/>
                <w:sz w:val="18"/>
                <w:szCs w:val="18"/>
                <w:color w:val="auto"/>
              </w:rPr>
              <w:t>Date: August 1, 2019</w:t>
            </w: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Date: August 1, 2019</w:t>
            </w:r>
          </w:p>
        </w:tc>
      </w:tr>
      <w:tr>
        <w:trPr>
          <w:trHeight w:val="561"/>
        </w:trPr>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520"/>
          </w:cols>
          <w:pgMar w:left="240" w:top="796" w:right="1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99.Cert</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Exhibit 12(a)(2)</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H. Cohen, Chief Executive Officer of Oxford Lane Capital Corp., certify that:</w:t>
      </w:r>
    </w:p>
    <w:p>
      <w:pPr>
        <w:spacing w:after="0" w:line="225" w:lineRule="exact"/>
        <w:rPr>
          <w:sz w:val="20"/>
          <w:szCs w:val="20"/>
          <w:color w:val="auto"/>
        </w:rPr>
      </w:pPr>
    </w:p>
    <w:p>
      <w:pPr>
        <w:ind w:left="600" w:hanging="295"/>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25" w:lineRule="exact"/>
        <w:rPr>
          <w:rFonts w:ascii="Arial" w:cs="Arial" w:eastAsia="Arial" w:hAnsi="Arial"/>
          <w:sz w:val="18"/>
          <w:szCs w:val="18"/>
          <w:color w:val="auto"/>
        </w:rPr>
      </w:pPr>
    </w:p>
    <w:p>
      <w:pPr>
        <w:jc w:val="both"/>
        <w:ind w:left="600" w:hanging="295"/>
        <w:spacing w:after="0" w:line="264"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60" w:hanging="295"/>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schedule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jc w:val="both"/>
        <w:ind w:left="600" w:right="100" w:hanging="295"/>
        <w:spacing w:after="0" w:line="264"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jc w:val="both"/>
        <w:ind w:left="900" w:hanging="298"/>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right="620" w:hanging="298"/>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right="80" w:hanging="298"/>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ind w:left="900" w:hanging="298"/>
        <w:spacing w:after="0" w:line="34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00" w:right="180" w:hanging="295"/>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00" w:right="260" w:hanging="298"/>
        <w:spacing w:after="0" w:line="308" w:lineRule="auto"/>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00" w:right="220" w:hanging="298"/>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of August,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Exhibit 12(a)(2)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Bruce L. Rubin, Chief Financial Officer of Oxford Lane Capital Corp., certify that:</w:t>
      </w:r>
    </w:p>
    <w:p>
      <w:pPr>
        <w:spacing w:after="0" w:line="225" w:lineRule="exact"/>
        <w:rPr>
          <w:sz w:val="20"/>
          <w:szCs w:val="20"/>
          <w:color w:val="auto"/>
        </w:rPr>
      </w:pPr>
    </w:p>
    <w:p>
      <w:pPr>
        <w:ind w:left="600" w:hanging="295"/>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25" w:lineRule="exact"/>
        <w:rPr>
          <w:rFonts w:ascii="Arial" w:cs="Arial" w:eastAsia="Arial" w:hAnsi="Arial"/>
          <w:sz w:val="18"/>
          <w:szCs w:val="18"/>
          <w:color w:val="auto"/>
        </w:rPr>
      </w:pPr>
    </w:p>
    <w:p>
      <w:pPr>
        <w:jc w:val="both"/>
        <w:ind w:left="600" w:hanging="295"/>
        <w:spacing w:after="0" w:line="264"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60" w:hanging="295"/>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schedule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jc w:val="both"/>
        <w:ind w:left="600" w:right="100" w:hanging="295"/>
        <w:spacing w:after="0" w:line="264"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ind w:left="900" w:right="280" w:hanging="298"/>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right="620" w:hanging="298"/>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right="80" w:hanging="298"/>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ind w:left="900" w:hanging="298"/>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00" w:right="180" w:hanging="295"/>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00" w:right="260" w:hanging="298"/>
        <w:spacing w:after="0" w:line="308" w:lineRule="auto"/>
        <w:tabs>
          <w:tab w:leader="none" w:pos="9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00" w:right="220" w:hanging="298"/>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of August,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99.906CERT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12(b)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30a-2(b) Certification</w:t>
      </w:r>
    </w:p>
    <w:p>
      <w:pPr>
        <w:spacing w:after="0" w:line="211" w:lineRule="exact"/>
        <w:rPr>
          <w:sz w:val="20"/>
          <w:szCs w:val="20"/>
          <w:color w:val="auto"/>
        </w:rPr>
      </w:pPr>
    </w:p>
    <w:p>
      <w:pPr>
        <w:ind w:right="100" w:firstLine="437"/>
        <w:spacing w:after="0" w:line="264" w:lineRule="auto"/>
        <w:rPr>
          <w:sz w:val="20"/>
          <w:szCs w:val="20"/>
          <w:color w:val="auto"/>
        </w:rPr>
      </w:pPr>
      <w:r>
        <w:rPr>
          <w:rFonts w:ascii="Arial" w:cs="Arial" w:eastAsia="Arial" w:hAnsi="Arial"/>
          <w:sz w:val="18"/>
          <w:szCs w:val="18"/>
          <w:color w:val="auto"/>
        </w:rPr>
        <w:t>In connection with the Report on Form N-Q for the quarter ended June 30, 2019 (the “Report”) of Oxford Lane Capital Corp. (the “Registrant”), as filed with the Securities and Exchange Commission on the date hereof, I, Jonathan H. Cohen, the Chief Executive Officer of the Registrant, hereby certify, to the best of my knowledge, that:</w:t>
      </w:r>
    </w:p>
    <w:p>
      <w:pPr>
        <w:spacing w:after="0" w:line="181" w:lineRule="exact"/>
        <w:rPr>
          <w:sz w:val="20"/>
          <w:szCs w:val="20"/>
          <w:color w:val="auto"/>
        </w:rPr>
      </w:pPr>
    </w:p>
    <w:p>
      <w:pPr>
        <w:ind w:left="900" w:hanging="298"/>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900" w:hanging="298"/>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color w:val="auto"/>
        </w:rPr>
        <w:t>Exhibit 12(b)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Rule 30a-2(b) Certification</w:t>
      </w:r>
    </w:p>
    <w:p>
      <w:pPr>
        <w:spacing w:after="0" w:line="211" w:lineRule="exact"/>
        <w:rPr>
          <w:sz w:val="20"/>
          <w:szCs w:val="20"/>
          <w:color w:val="auto"/>
        </w:rPr>
      </w:pPr>
    </w:p>
    <w:p>
      <w:pPr>
        <w:ind w:right="120" w:firstLine="437"/>
        <w:spacing w:after="0" w:line="264" w:lineRule="auto"/>
        <w:rPr>
          <w:sz w:val="20"/>
          <w:szCs w:val="20"/>
          <w:color w:val="auto"/>
        </w:rPr>
      </w:pPr>
      <w:r>
        <w:rPr>
          <w:rFonts w:ascii="Arial" w:cs="Arial" w:eastAsia="Arial" w:hAnsi="Arial"/>
          <w:sz w:val="18"/>
          <w:szCs w:val="18"/>
          <w:color w:val="auto"/>
        </w:rPr>
        <w:t>In connection with the Report on Form N-Q for the quarter ended June 30, 2019 (the “Report”) of Oxford Lane Capital Corp. (the “Registrant”), as filed with the Securities and Exchange Commission on the date hereof, I, Bruce L. Rubin, the Chief Financial Officer of the Registrant, hereby certify, to the best of my knowledge, that:</w:t>
      </w:r>
    </w:p>
    <w:p>
      <w:pPr>
        <w:spacing w:after="0" w:line="181" w:lineRule="exact"/>
        <w:rPr>
          <w:sz w:val="20"/>
          <w:szCs w:val="20"/>
          <w:color w:val="auto"/>
        </w:rPr>
      </w:pPr>
    </w:p>
    <w:p>
      <w:pPr>
        <w:ind w:left="900" w:hanging="298"/>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900" w:hanging="298"/>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00"/>
      </w:cols>
      <w:pgMar w:left="240" w:top="80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2019-11-30T13:18:27Z</dcterms:created>
  <dcterms:modified xsi:type="dcterms:W3CDTF">2019-11-30T13:18:27Z</dcterms:modified>
</cp:coreProperties>
</file>