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0" w:after="283"/>
        <w:ind w:left="0" w:right="0" w:hanging="0"/>
        <w:jc w:val="center"/>
        <w:rPr>
          <w:caps w:val="false"/>
          <w:smallCaps w:val="false"/>
          <w:bdr w:val="double" w:sz="16" w:space="4" w:color="000000"/>
        </w:rPr>
      </w:pPr>
      <w:bookmarkStart w:id="0" w:name="ea164050_ncsrs.htm"/>
      <w:bookmarkStart w:id="1" w:name="ksea164050_ncsrs"/>
      <w:bookmarkEnd w:id="0"/>
      <w:bookmarkEnd w:id="1"/>
      <w:r>
        <w:rPr>
          <w:caps w:val="false"/>
          <w:smallCaps w:val="false"/>
          <w:bdr w:val="double" w:sz="16" w:space="4" w:color="000000"/>
        </w:rPr>
        <w:t> </w:t>
      </w:r>
    </w:p>
    <w:p>
      <w:pPr>
        <w:pStyle w:val="TextBody"/>
        <w:keepNext w:val="true"/>
        <w:pageBreakBefore w:val="false"/>
        <w:widowControl/>
        <w:pBdr/>
        <w:bidi w:val="0"/>
        <w:spacing w:before="7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3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N-CSR</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true"/>
        <w:pageBreakBefore w:val="false"/>
        <w:widowControl/>
        <w:pBdr/>
        <w:bidi w:val="0"/>
        <w:spacing w:before="4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CERTIFIED SHAREHOLDER REPORT OF REGISTERED MANAGEMENT</w:t>
        <w:br/>
        <w:t>INVESTMENT COMPANIES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Company Act file number 811-22432</w:t>
      </w:r>
    </w:p>
    <w:p>
      <w:pPr>
        <w:pStyle w:val="TextBody"/>
        <w:keepNext w:val="true"/>
        <w:pageBreakBefore w:val="false"/>
        <w:widowControl/>
        <w:pBdr/>
        <w:bidi w:val="0"/>
        <w:spacing w:before="29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true"/>
        <w:pageBreakBefore w:val="false"/>
        <w:widowControl/>
        <w:pBdr/>
        <w:bidi w:val="0"/>
        <w:spacing w:before="240" w:after="24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6"/>
        </w:rPr>
        <w:t>Oxford Lane Capital Corp.</w:t>
        <w:br/>
      </w:r>
      <w:r>
        <w:rPr>
          <w:rFonts w:ascii="Times New Roman PS Std;serif" w:hAnsi="Times New Roman PS Std;serif"/>
          <w:b w:val="false"/>
          <w:i w:val="false"/>
          <w:caps w:val="false"/>
          <w:smallCaps w:val="false"/>
          <w:sz w:val="20"/>
        </w:rPr>
        <w:t>(Exact name of registrant as specified in charter)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Sound Shore Drive, Suite 255</w:t>
        <w:br/>
        <w:t>Greenwich, CT 06830</w:t>
        <w:br/>
      </w:r>
      <w:r>
        <w:rPr>
          <w:rFonts w:ascii="Times New Roman PS Std;serif" w:hAnsi="Times New Roman PS Std;serif"/>
          <w:b w:val="false"/>
          <w:i w:val="false"/>
          <w:caps w:val="false"/>
          <w:smallCaps w:val="false"/>
          <w:sz w:val="20"/>
        </w:rPr>
        <w:t>(Address of principal executive offices)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H. Cohen</w:t>
        <w:br/>
        <w:t>Chief Executive Officer</w:t>
        <w:br/>
        <w:t>Oxford Lane Capital Corp.</w:t>
        <w:br/>
        <w:t>8 Sound Shore Drive, Suite 255</w:t>
        <w:br/>
        <w:t>Greenwich, CT 06830</w:t>
        <w:br/>
      </w:r>
      <w:r>
        <w:rPr>
          <w:rFonts w:ascii="Times New Roman PS Std;serif" w:hAnsi="Times New Roman PS Std;serif"/>
          <w:b w:val="false"/>
          <w:i w:val="false"/>
          <w:caps w:val="false"/>
          <w:smallCaps w:val="false"/>
          <w:sz w:val="20"/>
        </w:rPr>
        <w:t>(Name and address of agent for service)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true"/>
        <w:pageBreakBefore w:val="false"/>
        <w:widowControl/>
        <w:pBdr/>
        <w:bidi w:val="0"/>
        <w:spacing w:before="5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Registrant’s telephone number, including area code: (203) 983-5275</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of fiscal year end: March 31</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of reporting period: September 30, 2023</w:t>
      </w:r>
    </w:p>
    <w:p>
      <w:pPr>
        <w:pStyle w:val="TextBody"/>
        <w:keepNext w:val="true"/>
        <w:pageBreakBefore w:val="false"/>
        <w:widowControl/>
        <w:pBdr/>
        <w:bidi w:val="0"/>
        <w:spacing w:before="72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 Reports to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semi-annual report to stockholders for the six months ended September 30, 2023 is filed herewith pursuant to Rule 30e-1 under the Investment Company Act of 1940.</w:t>
      </w:r>
    </w:p>
    <w:p>
      <w:pPr>
        <w:pStyle w:val="TextBody"/>
        <w:keepNext w:val="false"/>
        <w:pageBreakBefore w:val="false"/>
        <w:widowControl/>
        <w:pBdr/>
        <w:bidi w:val="0"/>
        <w:spacing w:before="1540" w:after="283"/>
        <w:jc w:val="center"/>
        <w:rPr>
          <w:rFonts w:ascii="Times New Roman PS Std;serif" w:hAnsi="Times New Roman PS Std;serif"/>
          <w:b/>
          <w:i w:val="false"/>
          <w:caps w:val="false"/>
          <w:smallCaps w:val="false"/>
          <w:sz w:val="36"/>
        </w:rPr>
      </w:pPr>
      <w:r>
        <w:rPr>
          <w:rFonts w:ascii="Times New Roman PS Std;serif" w:hAnsi="Times New Roman PS Std;serif"/>
          <w:b/>
          <w:i w:val="false"/>
          <w:caps w:val="false"/>
          <w:smallCaps w:val="false"/>
          <w:sz w:val="36"/>
        </w:rPr>
        <w:t>Oxford Lane Capital Corp.</w:t>
      </w:r>
    </w:p>
    <w:p>
      <w:pPr>
        <w:pStyle w:val="TextBody"/>
        <w:keepNext w:val="false"/>
        <w:pageBreakBefore w:val="false"/>
        <w:widowControl/>
        <w:pBdr/>
        <w:bidi w:val="0"/>
        <w:spacing w:before="15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Semi-Annual Report</w:t>
      </w:r>
    </w:p>
    <w:p>
      <w:pPr>
        <w:pStyle w:val="TextBody"/>
        <w:keepNext w:val="false"/>
        <w:pageBreakBefore w:val="false"/>
        <w:widowControl/>
        <w:pBdr/>
        <w:bidi w:val="0"/>
        <w:spacing w:before="150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September 30, 2023</w:t>
      </w:r>
    </w:p>
    <w:p>
      <w:pPr>
        <w:pStyle w:val="TextBody"/>
        <w:keepNext w:val="false"/>
        <w:pageBreakBefore w:val="false"/>
        <w:widowControl/>
        <w:pBdr/>
        <w:bidi w:val="0"/>
        <w:spacing w:before="4800" w:after="283"/>
        <w:jc w:val="left"/>
        <w:rPr>
          <w:rFonts w:ascii="Times New Roman PS Std;serif" w:hAnsi="Times New Roman PS Std;serif"/>
          <w:b/>
          <w:i/>
          <w:caps w:val="false"/>
          <w:smallCaps w:val="false"/>
          <w:sz w:val="24"/>
        </w:rPr>
      </w:pPr>
      <w:r>
        <w:rPr>
          <w:rFonts w:ascii="Times New Roman PS Std;serif" w:hAnsi="Times New Roman PS Std;serif"/>
          <w:b/>
          <w:i/>
          <w:caps w:val="false"/>
          <w:smallCaps w:val="false"/>
          <w:sz w:val="24"/>
        </w:rPr>
        <w:t>oxfordlanecapital.com</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8188" w:type="dxa"/>
        <w:jc w:val="left"/>
        <w:tblInd w:w="0" w:type="dxa"/>
        <w:tblLayout w:type="fixed"/>
        <w:tblCellMar>
          <w:top w:w="0" w:type="dxa"/>
          <w:left w:w="0" w:type="dxa"/>
          <w:bottom w:w="0" w:type="dxa"/>
          <w:right w:w="0" w:type="dxa"/>
        </w:tblCellMar>
      </w:tblPr>
      <w:tblGrid>
        <w:gridCol w:w="7381"/>
        <w:gridCol w:w="146"/>
        <w:gridCol w:w="661"/>
      </w:tblGrid>
      <w:tr>
        <w:trPr/>
        <w:tc>
          <w:tcPr>
            <w:tcW w:w="73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100">
              <w:r>
                <w:rPr>
                  <w:rStyle w:val="InternetLink"/>
                  <w:rFonts w:ascii="Times New Roman PS Std;serif" w:hAnsi="Times New Roman PS Std;serif"/>
                  <w:b w:val="false"/>
                  <w:i w:val="false"/>
                  <w:caps w:val="false"/>
                  <w:smallCaps w:val="false"/>
                  <w:sz w:val="20"/>
                </w:rPr>
                <w:t>Letter to Stockholders and Management’s Discussion of Fund Performance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Important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Top Ten Holdings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Fees and Expenses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102">
              <w:r>
                <w:rPr>
                  <w:rStyle w:val="InternetLink"/>
                  <w:rFonts w:ascii="Times New Roman PS Std;serif" w:hAnsi="Times New Roman PS Std;serif"/>
                  <w:b w:val="false"/>
                  <w:i w:val="false"/>
                  <w:caps w:val="false"/>
                  <w:smallCaps w:val="false"/>
                  <w:sz w:val="20"/>
                </w:rPr>
                <w:t>Statement of Assets and Liabilities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99103">
              <w:r>
                <w:rPr>
                  <w:rStyle w:val="InternetLink"/>
                  <w:rFonts w:ascii="Times New Roman PS Std;serif" w:hAnsi="Times New Roman PS Std;serif"/>
                  <w:b w:val="false"/>
                  <w:i w:val="false"/>
                  <w:caps w:val="false"/>
                  <w:smallCaps w:val="false"/>
                  <w:sz w:val="20"/>
                </w:rPr>
                <w:t>Schedule of Investments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104">
              <w:r>
                <w:rPr>
                  <w:rStyle w:val="InternetLink"/>
                  <w:rFonts w:ascii="Times New Roman PS Std;serif" w:hAnsi="Times New Roman PS Std;serif"/>
                  <w:b w:val="false"/>
                  <w:i w:val="false"/>
                  <w:caps w:val="false"/>
                  <w:smallCaps w:val="false"/>
                  <w:sz w:val="20"/>
                </w:rPr>
                <w:t>Statement of Operations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99105">
              <w:r>
                <w:rPr>
                  <w:rStyle w:val="InternetLink"/>
                  <w:rFonts w:ascii="Times New Roman PS Std;serif" w:hAnsi="Times New Roman PS Std;serif"/>
                  <w:b w:val="false"/>
                  <w:i w:val="false"/>
                  <w:caps w:val="false"/>
                  <w:smallCaps w:val="false"/>
                  <w:sz w:val="20"/>
                </w:rPr>
                <w:t>Statements of Changes in Net Assets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106">
              <w:r>
                <w:rPr>
                  <w:rStyle w:val="InternetLink"/>
                  <w:rFonts w:ascii="Times New Roman PS Std;serif" w:hAnsi="Times New Roman PS Std;serif"/>
                  <w:b w:val="false"/>
                  <w:i w:val="false"/>
                  <w:caps w:val="false"/>
                  <w:smallCaps w:val="false"/>
                  <w:sz w:val="20"/>
                </w:rPr>
                <w:t>Statement of Cash Flows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99107">
              <w:r>
                <w:rPr>
                  <w:rStyle w:val="InternetLink"/>
                  <w:rFonts w:ascii="Times New Roman PS Std;serif" w:hAnsi="Times New Roman PS Std;serif"/>
                  <w:b w:val="false"/>
                  <w:i w:val="false"/>
                  <w:caps w:val="false"/>
                  <w:smallCaps w:val="false"/>
                  <w:sz w:val="20"/>
                </w:rPr>
                <w:t>Notes to Financial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Price Range of Common Stock</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Distribution Reinvestment Plan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Management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Board Approval of the Investment Advisory Agreement</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Submission of Matters to a Vote of Stockholders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Additional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 w:name="T99100"/>
      <w:bookmarkEnd w:id="3"/>
      <w:r>
        <w:rPr>
          <w:rFonts w:ascii="Times New Roman PS Std;serif" w:hAnsi="Times New Roman PS Std;serif"/>
          <w:b/>
          <w:i w:val="false"/>
          <w:caps w:val="false"/>
          <w:smallCaps w:val="false"/>
          <w:sz w:val="20"/>
        </w:rPr>
        <w:t>Letter to Stockholders and Management’s Discussion of Fund Performance</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7, 2023</w:t>
        <w:br/>
        <w:t>To Our Stockholders: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Company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pleased to submit to you the report of Oxford Lane Capital Corp. (“we”, “us”, “our”, the “Fund” or “Oxford Lane”) for the six months ended September 30, 2023. The net asset value (“NAV”) of our shares at that date was $4.81 per common share. The Fund’s common stock is traded on the NASDAQ Global Select Market and its share price can differ from its NAV. The Fund’s closing price at September 30, 2023 was $4.99 compared to $5.23 at March 31, 2023. The total return based on market value for the Fund for the six months ended September 30, 2023, as reflected in the Fund’s financial highlights, was 4.48%. This return reflects the change in market price for the six months ended September 30, 2023, as well as the impact of $0.465 per share in distributions declared and paid for the six months ended September 30, 2023. The total return based on NAV for the six months ended September 30, 2023, as reflected in the Fund’s financial highlights, was 14.43%. Please refer to “Note 13. Financial Highlights” for further details. On November 6, 2023, the last reported sale price of the Fund’s common stock was $5.03.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note that there may be significant differences between Oxford Lane’s earnings prepared in accordance with generally accepted accounting principles (“GAAP”) in the United States of America and our taxable earnings, particularly related to collateralized loan obligation (“CLO”) equity investments where our taxable earnings are based upon the distributable share of earnings as determined under tax regulations for each CLO equity investment, while GAAP earnings are based upon an effective yield calculation. Additionally, as our taxable earnings are not generally known until after our distributions are made; those distributions may represent a return of capital on a tax basis. While reportable GAAP income from our CLO equity investments for the six months ended September 30, 2023 was approximately $135.5 million, we received or were entitled to receive approximately $213.5 million in distributions from our CLO equity investments.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Investment Objectives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maximize our portfolio’s risk adjusted total return, and we currently seek to achieve our investment objective by investing in structured finance investments, specifically the equity and junior debt tranches of collateralized loan obligation (“CLO”) vehicles, which are collateralized primarily by a diverse portfolio of senior secured loans made to companies whose debt is unrated or is rated below investment grade (the “Senior Loans”) and, to a limited extent, subordinated and/or unsecured loans and bonds (together with the Senior Loans, the “CLO Assets”).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Investment Review</w:t>
      </w:r>
    </w:p>
    <w:p>
      <w:pPr>
        <w:pStyle w:val="TextBody"/>
        <w:keepNext w:val="false"/>
        <w:pageBreakBefore w:val="false"/>
        <w:widowControl/>
        <w:pBdr/>
        <w:bidi w:val="0"/>
        <w:spacing w:before="160" w:after="20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implement our investment objective by investing in equity and junior debt tranches of CLO vehicles(1), which are collateralized primarily by diverse portfolios of Senior Loans, and which generally have very little or no exposure to real estate loans, or mortgage loans or to pools of consumer-based debt, such as credit card receivables or auto loans. Our investment strategy also includes investing in warehouse facilities, which are financing structures intended to aggregate Senior Loans that may be used to form the basis of a CLO vehicle. We may also invest, on an opportunistic basis, in other corporate credits of a variety of types.</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 CLO vehicle is formed by raising multiple “tranches” of debt (with the most senior tranches being rated “AAA” to the most junior tranches typically being rated “BB” or “B”) and equity.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Structurally, CLO vehicles are entities formed to originate and/or acquire a portfolio of loans. The loans within a CLO vehicle are generally limited to loans which meet established credit criteria and are subject to concentration limitations in order to limit a CLO vehicle’s exposure to a single credit.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investment in us carries with it a significant number of meaningful risks, certain of which are discussed in the notes to our financial statements. Investors should read “Note 14. Risks and Uncertainties”, as well as our prospectus, carefully.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2023 Portfolio Review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2023, we held equity investments in 225 different CLO structures, and debt investments in 25 different CLO structures.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September 30, 2023, net investment income, calculated in accordance with GAAP, was approximately $86.8 million, or $0.47 per weighted average common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September 30, 2023, we recorded a net increase in net assets resulting from operations of approximately $115.2 million, or $0.57 per weighted average common share (inclusive of realized and unrealized gains and losses).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September 30, 2023, we made additional investments of approximately $283.6 million, and received approximately $81.4 million from sales and repayments of our CLO investments.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Market Overview and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broader corporate loan and CLO equity market have demonstrated strong performance during the calendar year 2023, through September 30, 2023. During that period, the Morningstar LSTA US Leveraged Loan Index increased from a price of 92.44% as of December 31, 2022 to 94.24% as of June 30, 2023. From June 30, 2023, the Morningstar LSTA US Leveraged Loan Index increased to 95.92% as of September 19, 2023 before dropping to 95.55% as of September month end. The increase in U.S. loan prices led to an approximate 29 point increase in median U.S. CLO equity net asset values year to date. The default rate began the year at 0.72%, peaked at 1.75% in July 2023, before dropping to 1.27% by principal amount in September 2023. In a year that saw elevated defaults, September was the first month of the year which did not record any defaults amongst the constituents of the Morningstar LSTA US Leveraged Loan Index. CLO new issuance through September 30, 2023 totaled approximately $84 billion as issuance ticked up during the third quarter buoyed momentarily by improved arbitrage conditions, but still trails the $106 billion of issuance for the same period in 2022. With this backdrop, we continue to see compelling opportunities and remain active in both the primary and secondary markets, while remaining cautious of potential headwinds from (i) the impact of a prolonged high interest rate environment, (ii) continued inflationary pressures, and (iii) increased geopolitical tension.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Economic and Market Conditions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capital markets may experience periods of volatility and instability for a variety of reasons. We are currently operating in a period of market volatility, as a result of, among other factors, continued concerns about the systemic impact of inflation, energy costs, the Coronavirus pandemic, geopolitical issues, the availability and cost of credit, sovereign debt levels, the mortgage market and a declining real estate market in the United States. Government spending, government policies, including recent increases in certain interest rates by the Federal Reserve, the failure of certain regional banks and disruptions in supply chains in the United States and elsewhere, in conjunction with other factors, have led and could continue to lead to a continued inflationary economic environment that could affect the Fund’s investments, the Fund’s financial condition and the Fund’s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Various social and political circumstances in the U.S. and around the world (including wars and other forms of conflict, including rising trade tensions between the United States and China, and other uncertainties regarding actual and potential shifts in the U.S.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United States and worldwide. Specifically, the Israel-Hamas war and conflict between Russia and Ukraine,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resulting market volatility, could adversely affect our business, financial condition or results of operations. In response to the conflict between Russia and Ukraine, the United States and other countries have imposed sanctions or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These market and economic disruptions could also negatively impact the operating results of our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ability to pay distributions might be adversely affected by the impact of one or more of the risks discussed in this section. The Fund cannot assure investors that it will achieve investment results that will allow the Fund to make a specified level of cash distributions or year-to-year increases in cash distributions.</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br/>
        <w:t>Chief Executive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This letter is intended to assist stockholders in understanding the Fund’s performance during the six months ended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30, 2023. The views and opinions in this letter were current as of November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7, 2023. Statements other than those of historical facts included herein may constitute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and are not guarantees of future performance or results and involve a number of risks and uncertainties. Actual results may differ materially from those in the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as a result of a number of factors. The Fund undertakes no duty to update any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 made herein. Information contained on our website is not incorporated by reference into this stockholder letter and you should not consider information contained on our website to be part of this stockholder letter or any other report we file with the Securities and Exchange Commission.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 w:name="T8"/>
      <w:bookmarkEnd w:id="4"/>
      <w:r>
        <w:rPr>
          <w:rFonts w:ascii="Times New Roman PS Std;serif" w:hAnsi="Times New Roman PS Std;serif"/>
          <w:b/>
          <w:i w:val="false"/>
          <w:caps w:val="false"/>
          <w:smallCaps w:val="false"/>
          <w:sz w:val="20"/>
        </w:rPr>
        <w:t>Important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report is transmitted to the stockholders of the Fund and is furnished pursuant to certain regulatory requirements. This report and the information and views herein do not constitute investment advice, or a recommendation or an offer to enter into any transaction with the Fund or any of its affiliates. This report is provided for informational purposes only, does not constitute an offer to sell securities of the Fund and is not a prospectus. From time to time, the Fund may have a registration statement relating to one or more of its securities on file with the U.S. Securities and Exchange Commission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investment in the Fund is not appropriate for all investors. The investment program of the Fund is speculative, entails substantial risk and includes investment techniques not employed by traditional mutual funds. An investment in the Fund is not intended to be a complete investment program. Shares of closed-end investment companies, such as the Fund, may frequently trade at a discount from their NAV, which may increase investors’ risk of loss. Past performance is not indicative of, or a guarantee of, future performance. The performance and certain other portfolio information quoted herein represents information as of September 30, 2023. Nothing herein should be relied upon as a representation as to the future performance or portfolio holdings of the Fund. Investment return and principal value of an investment will fluctuate, and shares, when sold, may be worth more or less than their original cost. The Fund’s performance is subject to change since the end of the period noted in this report and may be lower or higher than the performance data shown herein.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Oxford Lane Capital Corp.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Capital Corp. is a publicly-traded registered closed-end management investment company. It currently seeks to achieve its investment objective of maximizing risk-adjusted total return by investing in debt and equity tranches of CLO vehicles. The Fund’s investment strategy also includes warehouse facilities, which are financing structures intended to aggregate loans that may be used to form the basis of a CLO vehicle.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report may contain “forward-looking statements” within the meaning of the Private Securities Litigation Reform Act of 1995. Statements other than statements of historical facts included in this report may constitute forward-looking statements (including statements containing words such as “anticipates,” “expects,” “intends,” “plans,” “will,” “may,” “continue,” “believes,” “seeks,” “estimates,” “would,” “could,” “should,” “targets,” “projects,” and variations of these words and similar expressions are intended to identify forward-looking statements) and are not guarantees of future performance or results and involve a number of risks and uncertainties. Actual results may differ materially from those in the forward-looking statements as a result of a number of factors, including those described in the Fund’s filings with the SEC. The Fund undertakes no duty to update any forward-looking statement made herein. All forward-looking statements speak only as of the date of this report.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101"/>
      <w:bookmarkEnd w:id="5"/>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TOP TEN HOLDINGS</w:t>
        <w:br/>
        <w:t>AS OF SEPTEMBER 30, 2023</w:t>
        <w:br/>
        <w:t>(Unaudited)</w:t>
      </w:r>
    </w:p>
    <w:tbl>
      <w:tblPr>
        <w:tblW w:w="10205" w:type="dxa"/>
        <w:jc w:val="left"/>
        <w:tblInd w:w="0" w:type="dxa"/>
        <w:tblLayout w:type="fixed"/>
        <w:tblCellMar>
          <w:top w:w="0" w:type="dxa"/>
          <w:left w:w="0" w:type="dxa"/>
          <w:bottom w:w="0" w:type="dxa"/>
          <w:right w:w="0" w:type="dxa"/>
        </w:tblCellMar>
      </w:tblPr>
      <w:tblGrid>
        <w:gridCol w:w="5437"/>
        <w:gridCol w:w="146"/>
        <w:gridCol w:w="1701"/>
        <w:gridCol w:w="146"/>
        <w:gridCol w:w="226"/>
        <w:gridCol w:w="1186"/>
        <w:gridCol w:w="146"/>
        <w:gridCol w:w="1217"/>
      </w:tblGrid>
      <w:tr>
        <w:trPr/>
        <w:tc>
          <w:tcPr>
            <w:tcW w:w="54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Investment</w:t>
            </w:r>
          </w:p>
        </w:tc>
        <w:tc>
          <w:tcPr>
            <w:tcW w:w="146" w:type="dxa"/>
            <w:tcBorders/>
            <w:vAlign w:val="bottom"/>
          </w:tcPr>
          <w:p>
            <w:pPr>
              <w:pStyle w:val="TableContents"/>
              <w:bidi w:val="0"/>
              <w:spacing w:before="0" w:after="283"/>
              <w:jc w:val="left"/>
              <w:rPr/>
            </w:pPr>
            <w:r>
              <w:rPr/>
              <w:t> </w:t>
            </w:r>
          </w:p>
        </w:tc>
        <w:tc>
          <w:tcPr>
            <w:tcW w:w="17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Maturity</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w:t>
            </w:r>
          </w:p>
        </w:tc>
        <w:tc>
          <w:tcPr>
            <w:tcW w:w="146" w:type="dxa"/>
            <w:tcBorders/>
            <w:vAlign w:val="bottom"/>
          </w:tcPr>
          <w:p>
            <w:pPr>
              <w:pStyle w:val="TableContents"/>
              <w:bidi w:val="0"/>
              <w:spacing w:before="0" w:after="283"/>
              <w:jc w:val="left"/>
              <w:rPr/>
            </w:pPr>
            <w:r>
              <w:rPr/>
              <w:t> </w:t>
            </w:r>
          </w:p>
        </w:tc>
        <w:tc>
          <w:tcPr>
            <w:tcW w:w="121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w:t>
              <w:br/>
              <w:t>Net Assets</w:t>
            </w:r>
          </w:p>
        </w:tc>
      </w:tr>
      <w:tr>
        <w:trPr/>
        <w:tc>
          <w:tcPr>
            <w:tcW w:w="543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Regatta XXII Funding Ltd. – CLO subordinated notes</w:t>
            </w:r>
          </w:p>
        </w:tc>
        <w:tc>
          <w:tcPr>
            <w:tcW w:w="14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20, 2035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32,611,320</w:t>
            </w:r>
          </w:p>
        </w:tc>
        <w:tc>
          <w:tcPr>
            <w:tcW w:w="14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w:t>
            </w:r>
          </w:p>
        </w:tc>
      </w:tr>
      <w:tr>
        <w:trPr/>
        <w:tc>
          <w:tcPr>
            <w:tcW w:w="543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Wind River 2023-1 CLO Ltd. – CLO subordinated notes</w:t>
            </w:r>
          </w:p>
        </w:tc>
        <w:tc>
          <w:tcPr>
            <w:tcW w:w="146" w:type="dxa"/>
            <w:tcBorders/>
            <w:vAlign w:val="bottom"/>
          </w:tcPr>
          <w:p>
            <w:pPr>
              <w:pStyle w:val="TableContents"/>
              <w:bidi w:val="0"/>
              <w:spacing w:before="0" w:after="283"/>
              <w:jc w:val="left"/>
              <w:rPr/>
            </w:pPr>
            <w:r>
              <w:rPr/>
              <w:t> </w:t>
            </w:r>
          </w:p>
        </w:tc>
        <w:tc>
          <w:tcPr>
            <w:tcW w:w="17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25, 2036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29,610,000</w:t>
            </w:r>
          </w:p>
        </w:tc>
        <w:tc>
          <w:tcPr>
            <w:tcW w:w="146" w:type="dxa"/>
            <w:tcBorders/>
            <w:vAlign w:val="bottom"/>
          </w:tcPr>
          <w:p>
            <w:pPr>
              <w:pStyle w:val="TableContents"/>
              <w:bidi w:val="0"/>
              <w:spacing w:before="0" w:after="283"/>
              <w:jc w:val="left"/>
              <w:rPr/>
            </w:pPr>
            <w:r>
              <w:rPr/>
              <w:t> </w:t>
            </w:r>
          </w:p>
        </w:tc>
        <w:tc>
          <w:tcPr>
            <w:tcW w:w="121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2.97%</w:t>
            </w:r>
          </w:p>
        </w:tc>
      </w:tr>
      <w:tr>
        <w:trPr/>
        <w:tc>
          <w:tcPr>
            <w:tcW w:w="543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Milford Park CLO, Ltd. – CLO subordinated notes</w:t>
            </w:r>
          </w:p>
        </w:tc>
        <w:tc>
          <w:tcPr>
            <w:tcW w:w="14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20, 2035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28,345,600</w:t>
            </w:r>
          </w:p>
        </w:tc>
        <w:tc>
          <w:tcPr>
            <w:tcW w:w="14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2.84%</w:t>
            </w:r>
          </w:p>
        </w:tc>
      </w:tr>
      <w:tr>
        <w:trPr/>
        <w:tc>
          <w:tcPr>
            <w:tcW w:w="543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Carlyle US CLO 2021-8, Ltd. – CLO subordinated notes</w:t>
            </w:r>
          </w:p>
        </w:tc>
        <w:tc>
          <w:tcPr>
            <w:tcW w:w="146" w:type="dxa"/>
            <w:tcBorders/>
            <w:vAlign w:val="bottom"/>
          </w:tcPr>
          <w:p>
            <w:pPr>
              <w:pStyle w:val="TableContents"/>
              <w:bidi w:val="0"/>
              <w:spacing w:before="0" w:after="283"/>
              <w:jc w:val="left"/>
              <w:rPr/>
            </w:pPr>
            <w:r>
              <w:rPr/>
              <w:t> </w:t>
            </w:r>
          </w:p>
        </w:tc>
        <w:tc>
          <w:tcPr>
            <w:tcW w:w="17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20, 2034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28,287,438</w:t>
            </w:r>
          </w:p>
        </w:tc>
        <w:tc>
          <w:tcPr>
            <w:tcW w:w="146" w:type="dxa"/>
            <w:tcBorders/>
            <w:vAlign w:val="bottom"/>
          </w:tcPr>
          <w:p>
            <w:pPr>
              <w:pStyle w:val="TableContents"/>
              <w:bidi w:val="0"/>
              <w:spacing w:before="0" w:after="283"/>
              <w:jc w:val="left"/>
              <w:rPr/>
            </w:pPr>
            <w:r>
              <w:rPr/>
              <w:t> </w:t>
            </w:r>
          </w:p>
        </w:tc>
        <w:tc>
          <w:tcPr>
            <w:tcW w:w="121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2.83%</w:t>
            </w:r>
          </w:p>
        </w:tc>
      </w:tr>
      <w:tr>
        <w:trPr/>
        <w:tc>
          <w:tcPr>
            <w:tcW w:w="543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Octagon 60, Ltd. – CLO subordinated notes</w:t>
            </w:r>
          </w:p>
        </w:tc>
        <w:tc>
          <w:tcPr>
            <w:tcW w:w="14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20, 2035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25,740,000</w:t>
            </w:r>
          </w:p>
        </w:tc>
        <w:tc>
          <w:tcPr>
            <w:tcW w:w="14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2.58%</w:t>
            </w:r>
          </w:p>
        </w:tc>
      </w:tr>
      <w:tr>
        <w:trPr/>
        <w:tc>
          <w:tcPr>
            <w:tcW w:w="543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Rockford Tower CLO 2022-1, Ltd. – CLO subordinated notes</w:t>
            </w:r>
          </w:p>
        </w:tc>
        <w:tc>
          <w:tcPr>
            <w:tcW w:w="146" w:type="dxa"/>
            <w:tcBorders/>
            <w:vAlign w:val="bottom"/>
          </w:tcPr>
          <w:p>
            <w:pPr>
              <w:pStyle w:val="TableContents"/>
              <w:bidi w:val="0"/>
              <w:spacing w:before="0" w:after="283"/>
              <w:jc w:val="left"/>
              <w:rPr/>
            </w:pPr>
            <w:r>
              <w:rPr/>
              <w:t> </w:t>
            </w:r>
          </w:p>
        </w:tc>
        <w:tc>
          <w:tcPr>
            <w:tcW w:w="17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20, 2035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24,188,813</w:t>
            </w:r>
          </w:p>
        </w:tc>
        <w:tc>
          <w:tcPr>
            <w:tcW w:w="146" w:type="dxa"/>
            <w:tcBorders/>
            <w:vAlign w:val="bottom"/>
          </w:tcPr>
          <w:p>
            <w:pPr>
              <w:pStyle w:val="TableContents"/>
              <w:bidi w:val="0"/>
              <w:spacing w:before="0" w:after="283"/>
              <w:jc w:val="left"/>
              <w:rPr/>
            </w:pPr>
            <w:r>
              <w:rPr/>
              <w:t> </w:t>
            </w:r>
          </w:p>
        </w:tc>
        <w:tc>
          <w:tcPr>
            <w:tcW w:w="121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2.42%</w:t>
            </w:r>
          </w:p>
        </w:tc>
      </w:tr>
      <w:tr>
        <w:trPr/>
        <w:tc>
          <w:tcPr>
            <w:tcW w:w="543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Nyack Park CLO, Ltd. – CLO subordinated notes</w:t>
            </w:r>
          </w:p>
        </w:tc>
        <w:tc>
          <w:tcPr>
            <w:tcW w:w="14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20, 2034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22,500,000</w:t>
            </w:r>
          </w:p>
        </w:tc>
        <w:tc>
          <w:tcPr>
            <w:tcW w:w="14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2.25%</w:t>
            </w:r>
          </w:p>
        </w:tc>
      </w:tr>
      <w:tr>
        <w:trPr/>
        <w:tc>
          <w:tcPr>
            <w:tcW w:w="543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CIFC Funding 2021-VII, Ltd. – CLO income notes</w:t>
            </w:r>
          </w:p>
        </w:tc>
        <w:tc>
          <w:tcPr>
            <w:tcW w:w="146" w:type="dxa"/>
            <w:tcBorders/>
            <w:vAlign w:val="bottom"/>
          </w:tcPr>
          <w:p>
            <w:pPr>
              <w:pStyle w:val="TableContents"/>
              <w:bidi w:val="0"/>
              <w:spacing w:before="0" w:after="283"/>
              <w:jc w:val="left"/>
              <w:rPr/>
            </w:pPr>
            <w:r>
              <w:rPr/>
              <w:t> </w:t>
            </w:r>
          </w:p>
        </w:tc>
        <w:tc>
          <w:tcPr>
            <w:tcW w:w="17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23, 2035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21,948,000</w:t>
            </w:r>
          </w:p>
        </w:tc>
        <w:tc>
          <w:tcPr>
            <w:tcW w:w="146" w:type="dxa"/>
            <w:tcBorders/>
            <w:vAlign w:val="bottom"/>
          </w:tcPr>
          <w:p>
            <w:pPr>
              <w:pStyle w:val="TableContents"/>
              <w:bidi w:val="0"/>
              <w:spacing w:before="0" w:after="283"/>
              <w:jc w:val="left"/>
              <w:rPr/>
            </w:pPr>
            <w:r>
              <w:rPr/>
              <w:t> </w:t>
            </w:r>
          </w:p>
        </w:tc>
        <w:tc>
          <w:tcPr>
            <w:tcW w:w="121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2.20%</w:t>
            </w:r>
          </w:p>
        </w:tc>
      </w:tr>
      <w:tr>
        <w:trPr/>
        <w:tc>
          <w:tcPr>
            <w:tcW w:w="543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Elmwood CLO 14 Ltd. – CLO subordinated notes</w:t>
            </w:r>
          </w:p>
        </w:tc>
        <w:tc>
          <w:tcPr>
            <w:tcW w:w="14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20, 2035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21,746,000</w:t>
            </w:r>
          </w:p>
        </w:tc>
        <w:tc>
          <w:tcPr>
            <w:tcW w:w="14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2.18%</w:t>
            </w:r>
          </w:p>
        </w:tc>
      </w:tr>
      <w:tr>
        <w:trPr/>
        <w:tc>
          <w:tcPr>
            <w:tcW w:w="543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Kings Park CLO, Ltd. – CLO income notes</w:t>
            </w:r>
          </w:p>
        </w:tc>
        <w:tc>
          <w:tcPr>
            <w:tcW w:w="146" w:type="dxa"/>
            <w:tcBorders/>
            <w:vAlign w:val="bottom"/>
          </w:tcPr>
          <w:p>
            <w:pPr>
              <w:pStyle w:val="TableContents"/>
              <w:bidi w:val="0"/>
              <w:spacing w:before="0" w:after="283"/>
              <w:jc w:val="left"/>
              <w:rPr/>
            </w:pPr>
            <w:r>
              <w:rPr/>
              <w:t> </w:t>
            </w:r>
          </w:p>
        </w:tc>
        <w:tc>
          <w:tcPr>
            <w:tcW w:w="17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2035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21,386,750</w:t>
            </w:r>
          </w:p>
        </w:tc>
        <w:tc>
          <w:tcPr>
            <w:tcW w:w="146" w:type="dxa"/>
            <w:tcBorders/>
            <w:vAlign w:val="bottom"/>
          </w:tcPr>
          <w:p>
            <w:pPr>
              <w:pStyle w:val="TableContents"/>
              <w:bidi w:val="0"/>
              <w:spacing w:before="0" w:after="283"/>
              <w:jc w:val="left"/>
              <w:rPr/>
            </w:pPr>
            <w:r>
              <w:rPr/>
              <w:t> </w:t>
            </w:r>
          </w:p>
        </w:tc>
        <w:tc>
          <w:tcPr>
            <w:tcW w:w="121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Portfolio Investment Breakdown as of September 30, 2023</w:t>
        <w:br/>
        <w:t>(Excludes cash equivalents and other assets)</w:t>
        <w:br/>
        <w:t>(Unaudited)</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2314575" cy="1895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4575" cy="1895475"/>
                    </a:xfrm>
                    <a:prstGeom prst="rect">
                      <a:avLst/>
                    </a:prstGeom>
                  </pic:spPr>
                </pic:pic>
              </a:graphicData>
            </a:graphic>
          </wp:inline>
        </w:drawing>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5553075" cy="24993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53075" cy="249936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7"/>
      <w:bookmarkEnd w:id="6"/>
      <w:r>
        <w:rPr>
          <w:rFonts w:ascii="Times New Roman PS Std;serif" w:hAnsi="Times New Roman PS Std;serif"/>
          <w:b/>
          <w:i w:val="false"/>
          <w:caps w:val="false"/>
          <w:smallCaps w:val="false"/>
          <w:sz w:val="20"/>
        </w:rPr>
        <w:t>FEES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report contains a reference to fees or expenses paid by “us” or “Oxford Lane Capital,” or that “we” will pay fees or expenses, you will indirectly bear such fees or expenses as an investor in Oxford Lane Capital Corp.</w:t>
      </w:r>
    </w:p>
    <w:tbl>
      <w:tblPr>
        <w:tblW w:w="10205" w:type="dxa"/>
        <w:jc w:val="left"/>
        <w:tblInd w:w="0" w:type="dxa"/>
        <w:tblLayout w:type="fixed"/>
        <w:tblCellMar>
          <w:top w:w="0" w:type="dxa"/>
          <w:left w:w="0" w:type="dxa"/>
          <w:bottom w:w="0" w:type="dxa"/>
          <w:right w:w="0" w:type="dxa"/>
        </w:tblCellMar>
      </w:tblPr>
      <w:tblGrid>
        <w:gridCol w:w="8581"/>
        <w:gridCol w:w="146"/>
        <w:gridCol w:w="646"/>
        <w:gridCol w:w="832"/>
      </w:tblGrid>
      <w:tr>
        <w:trPr/>
        <w:tc>
          <w:tcPr>
            <w:tcW w:w="8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transaction expenses: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load (as a percentage of offering price)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8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8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expenses borne by us (as a percentage of offering price)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8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r>
      <w:tr>
        <w:trPr/>
        <w:tc>
          <w:tcPr>
            <w:tcW w:w="8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reinvestment plan expenses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8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r>
      <w:tr>
        <w:trPr/>
        <w:tc>
          <w:tcPr>
            <w:tcW w:w="8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 transaction expenses (as a percentage of offering price)</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8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expenses (estimated as a percentage of net assets attributable to common stock):</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8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management fee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w:t>
            </w:r>
          </w:p>
        </w:tc>
        <w:tc>
          <w:tcPr>
            <w:tcW w:w="8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8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fees payable under our investment advisory agreement (20% of net investment income)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w:t>
            </w:r>
          </w:p>
        </w:tc>
        <w:tc>
          <w:tcPr>
            <w:tcW w:w="83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8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payments on borrowed funds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w:t>
            </w:r>
          </w:p>
        </w:tc>
        <w:tc>
          <w:tcPr>
            <w:tcW w:w="83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r>
      <w:tr>
        <w:trPr/>
        <w:tc>
          <w:tcPr>
            <w:tcW w:w="8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0.92</w:t>
            </w:r>
          </w:p>
        </w:tc>
        <w:tc>
          <w:tcPr>
            <w:tcW w:w="8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8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annual expenses</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w:t>
            </w:r>
          </w:p>
        </w:tc>
        <w:tc>
          <w:tcPr>
            <w:tcW w:w="8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Example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w:t>
      </w:r>
    </w:p>
    <w:tbl>
      <w:tblPr>
        <w:tblW w:w="10205" w:type="dxa"/>
        <w:jc w:val="left"/>
        <w:tblInd w:w="0" w:type="dxa"/>
        <w:tblLayout w:type="fixed"/>
        <w:tblCellMar>
          <w:top w:w="0" w:type="dxa"/>
          <w:left w:w="0" w:type="dxa"/>
          <w:bottom w:w="0" w:type="dxa"/>
          <w:right w:w="0" w:type="dxa"/>
        </w:tblCellMar>
      </w:tblPr>
      <w:tblGrid>
        <w:gridCol w:w="6137"/>
        <w:gridCol w:w="146"/>
        <w:gridCol w:w="245"/>
        <w:gridCol w:w="506"/>
        <w:gridCol w:w="146"/>
        <w:gridCol w:w="279"/>
        <w:gridCol w:w="577"/>
        <w:gridCol w:w="146"/>
        <w:gridCol w:w="279"/>
        <w:gridCol w:w="577"/>
        <w:gridCol w:w="146"/>
        <w:gridCol w:w="313"/>
        <w:gridCol w:w="708"/>
      </w:tblGrid>
      <w:tr>
        <w:trPr/>
        <w:tc>
          <w:tcPr>
            <w:tcW w:w="613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Year</w:t>
            </w:r>
          </w:p>
        </w:tc>
        <w:tc>
          <w:tcPr>
            <w:tcW w:w="146" w:type="dxa"/>
            <w:tcBorders/>
            <w:vAlign w:val="bottom"/>
          </w:tcPr>
          <w:p>
            <w:pPr>
              <w:pStyle w:val="TableContents"/>
              <w:bidi w:val="0"/>
              <w:spacing w:before="0" w:after="283"/>
              <w:jc w:val="left"/>
              <w:rPr/>
            </w:pPr>
            <w:r>
              <w:rPr/>
              <w:t> </w:t>
            </w:r>
          </w:p>
        </w:tc>
        <w:tc>
          <w:tcPr>
            <w:tcW w:w="85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Years</w:t>
            </w:r>
          </w:p>
        </w:tc>
        <w:tc>
          <w:tcPr>
            <w:tcW w:w="146" w:type="dxa"/>
            <w:tcBorders/>
            <w:vAlign w:val="bottom"/>
          </w:tcPr>
          <w:p>
            <w:pPr>
              <w:pStyle w:val="TableContents"/>
              <w:bidi w:val="0"/>
              <w:spacing w:before="0" w:after="283"/>
              <w:jc w:val="left"/>
              <w:rPr/>
            </w:pPr>
            <w:r>
              <w:rPr/>
              <w:t> </w:t>
            </w:r>
          </w:p>
        </w:tc>
        <w:tc>
          <w:tcPr>
            <w:tcW w:w="85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 Years</w:t>
            </w:r>
          </w:p>
        </w:tc>
        <w:tc>
          <w:tcPr>
            <w:tcW w:w="146"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 Years</w:t>
            </w:r>
          </w:p>
        </w:tc>
      </w:tr>
      <w:tr>
        <w:trPr/>
        <w:tc>
          <w:tcPr>
            <w:tcW w:w="61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would pay the following expenses on a $1,000 investment, assuming a 5% annual return</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146"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example and the expenses in the tables above should not be considered as a representation of our future expenses, and actual expenses may be greater or less than those shown.</w:t>
      </w:r>
      <w:r>
        <w:rPr>
          <w:rFonts w:ascii="Times New Roman PS Std;serif" w:hAnsi="Times New Roman PS Std;serif"/>
          <w:b w:val="false"/>
          <w:i w:val="false"/>
          <w:caps w:val="false"/>
          <w:smallCaps w:val="false"/>
          <w:sz w:val="20"/>
        </w:rPr>
        <w:t xml:space="preserve"> While the example assumes, as required by the SEC, a 5.0% annual return, our performance will vary and may result in a return greater or less than 5.0%. The incentive fee under the investment advisory agreement (the “Investment Advisory Agreement”) with Oxford Lane Management, LLC (“Oxford Lane Management” or the “Adviser”), which, assuming a 5.0% annual return, would either not be payable or would have an insignificant impact on the expense amounts shown above, is included in the example. Also, while the example assumes reinvestment of all distributions at NAV, participants in our distribution reinvestment plan will receive a number of shares of our common stock, determined by dividing the total dollar amount of the distribution payable to a participant by the market price per share of our common stock at the close of trading on the distribution payment date, which may be at, above or below NAV. See “Distribution Reinvestment Plan” in this report for additional information regarding our distribution reinvestment plan.</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 the event that the securities to which this report relates are sold to or through underwriters, a corresponding prospectus supplement will disclose the applicable sales load and the “Example” will be updated accordingly.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If applicable, the prospectus or prospectus supplement relating to an offering of our securities will disclose the applicable offering expenses and total stockholder transaction expenses as a percentage of the offering price.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expenses of the distribution reinvestment plan are included in “other expenses.” The plan administrator’s fees will be paid by us. We will not charge any brokerage charges or other charges to stockholders who participate in the plan. However, your own broker may impose brokerage charges in connection with your participation in the plan.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Assumes gross assets of $1,700.3 million and $487.2 million of leverage (which reflects $68.1 million of 6.75% Series 2024 Term Preferred Shares, $88.1 million aggregate amount of 6.25% Series 2027 Term Preferred Shares, $67.2 million aggregate amount of 6.00% Series 2029 Term Preferred Shares, $63.8 million aggregate amount of 7.125% Series 2029 Term Preferred Shares, $100.0 million of the 6.75% Unsecured Notes due 2031 and $100.0 million of the 5.00% Unsecured Notes due 2027 issued and outstanding as of September 30, 2023 and assumes net assets of $1,198.4 million (which has been adjusted to reflect the issuance of an additional $200.0 million of common 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above calculation presents our base management fee as a percentage of our net assets. Our base management fee under the Investment Advisory Agreement, however, is based on our gross assets, which is defined as all the assets of Oxford Lane Capital, including those acquired using borrowings for investment purposes. As a result, to the extent we use additional leverage, it would have the effect of increasing our base management fee as a percentage of our net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Amount reflects the estimated annual incentive fees payable to Oxford Lane Management. The estimate assumes that the incentive fee earned will be proportional to the fee earned during the fiscal year ended March 31, 2023 and adjusted to include the estimated incentive fee based on the issuance of an additional $200.0 million of common stock.</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incentive fee, which is payable quarterly in arrears, equals 20.0% of the excess, if any, of our “Pre-Incentive Fee Net Investment Income” that exceeds a 1.75% quarterly (7.0% annualized) hurdle rate, which we refer to as the “Hurdle”, subject to a “catch-up” provision measured at the end of each calendar quarter. The incentive fee is computed and paid on income that may include interest that is accrued but not yet received in cash. The operation of the incentive fee for each quarter is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no incentive fee is payable to Oxford Lane Management in any calendar quarter in which our Pre-Incentive Fee Net Investment Income does not exceed the Hurdle of 1.75%;</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100% of our Pre-Incentive Fee Net Investment Income with respect to that portion of such Pre-Incentive Fee Net Investment Income, if any, that exceeds the Hurdle but is less than 2.1875% in any calendar quarter (8.75% annualized) is payable to our investment adviser. We refer to this portion of our Pre-Incentive Fee Net Investment Income (which exceeds the Hurdle but is less than 2.1875%) as the “catch-up.” The “catch-up” is meant to provide our investment adviser with 20.0% of our Pre-Incentive Fee Net Investment Income, as if a Hurdle did not apply when our Pre-Incentive Fee Net Investment Income exceeds 2.1875% in any calendar quarter;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20.0% of the amount of our Pre-Incentive Fee Net Investment Income, if any, that exceeds 2.1875% in any calendar quarter (8.75% annualized) is payable to Oxford Lane Management (once the Hurdle is reached and the catch-up is achieved, 20.0% of all Pre-Incentive Fee Investment Income thereafter is allocated to Oxford Lane Management)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 incentive fee is payable to Oxford Lane Management on realized capital gains. For a more detailed discussion of the calculation of this fee, see “Note 5. Related Party Transactions.”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“Interest payments on borrowed funds” represents our annualized interest expense and includes interest payable on the $100 million 6.75% Unsecured Notes due 2031 and $100 million 5.00% Unsecured Notes due 2027, each as outstanding on September 30, 2023. We may issue additional debt securities. In the event that we were to issue additional debt securities, our borrowing costs, and correspondingly our total annual expenses would increase.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Assumes that we have an aggregate of (a) $68.1 million of preferred stock with a preferred rate of 6.75% per annum, (b) $88.1 million of preferred stock with a preferred rate of 6.25% per annum, (c) $67.2 million of preferred stock with a preferred rate of 6.00% per annum and (d) $63.8 million of preferred stock with a preferred rate of 7.125% per annum which were the amounts outstanding as of September 30, 2023. We may issue additional shares of preferred stock. In the event that we were to issue additional shares of preferred stock or debt securities, our borrowing costs, and correspondingly our total annual expenses, including, in the case of such preferred stock, the base management fee as a percentage of the Fund’s net assets attributable to common stock, would increase.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“Other expenses” ($11.0 million) are estimated for the current fiscal year, which considers the actual expenses for the year ended March 31, 2023.</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(10)    “Total annual expenses” is presented as a percentage of net assets attributable to common stockholders, because the holders of shares of our common stock (and not the holders of our preferred stock or debt securities, if any) bear all of our fees and expenses, all of which are included in this fee table presentation. </w:t>
      </w:r>
      <w:r>
        <w:rPr>
          <w:rFonts w:ascii="Times New Roman PS Std;serif" w:hAnsi="Times New Roman PS Std;serif"/>
          <w:b/>
          <w:i w:val="false"/>
          <w:caps w:val="false"/>
          <w:smallCaps w:val="false"/>
          <w:sz w:val="18"/>
        </w:rPr>
        <w:t>The indirect expenses associated with the Fund’s CLO equity investments are not included in the fee table presentation, but if such expenses were included in the fee table presentation then the Fund’s total annual expenses would have been 33.56%.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Principal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description of the principal risk factors associated with an investment in the Fund, please refer to “Note 14. Risks and Uncertainties” in the Unaudited Notes to the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Conflicts of Interest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Oxford Lane Management’s investment team manages the portfolios of Oxford Square Capital Corp., a publicly-traded business development company that invests principally in the debt of U.S.-based companies and CLOs and Oxford Park Income Fund, Inc., a non-traded closed-end investment management company that investments primarily in CLO debt and equity tranches. Additionally, Oxford Lane Management’s investment team also manages the portfolio of Oxford Gate Master Fund, LLC, Oxford Gate, LLC and Oxford Gate (Bermuda),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LLC (collectively, the “Oxford Gate Funds”) and Oxford Bridge II, LLC, limited liability companies that invest principally in the equity of CLOs. In certain instances, the Fund may co-invest on a concurrent basis with affiliates of Oxford Lane Management, subject to compliance with applicable regulations and regulatory guidance and our written allocation policies. On June 14, 2017, the Securities and Exchange Commission (the “SEC”) issued an exemptive order (the “Order”) permitting us and certain of our affiliates to complete negotiated co-investment transactions in portfolio companies, subject to certain conditions. Subject to satisfaction of certain conditions to the Order, the Fund and certain of its affiliates are now permitted, together with any future business development companies, registered closed-end funds and certain private funds, each of whose investment adviser is Oxford Lane Management or an investment adviser controlling, controlled by, or under common control with Oxford Lane Management, to co-invest in negotiated investment opportunities where doing so would otherwise be prohibited under the Investment Company Act of 1940, as amended (the “1940 Act”) providing the Fund’s stockholders with access to a broader array of investment opportunities. Pursuant to the Order, the Fund is permitted to co-invest in such investment opportunities with our affiliates if a “required majority” (as defined in Section 57(o) of the 1940 Act) of its independent directors (as defined in Section 2(a)(19) of the 1940 Act) make certain conclusions in connection with a co-investment transaction, including, but not limited to, that (1) the terms of the potential co-investment transaction, including the consideration to be paid, are reasonable and fair to the Fund and its stockholders and do not involve overreaching in respect of the Fund or its stockholders on the part of any person concerned, and (2) the potential co-investment transaction is consistent with the interests of the Fund’s stockholders and is consistent with its then-current investment objective and strategies.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102"/>
      <w:bookmarkEnd w:id="7"/>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 OF ASSETS AND LIABILITIES</w:t>
        <w:br/>
        <w:t>(Unaudited)</w:t>
      </w:r>
    </w:p>
    <w:tbl>
      <w:tblPr>
        <w:tblW w:w="10205" w:type="dxa"/>
        <w:jc w:val="left"/>
        <w:tblInd w:w="0" w:type="dxa"/>
        <w:tblLayout w:type="fixed"/>
        <w:tblCellMar>
          <w:top w:w="0" w:type="dxa"/>
          <w:left w:w="0" w:type="dxa"/>
          <w:bottom w:w="0" w:type="dxa"/>
          <w:right w:w="0" w:type="dxa"/>
        </w:tblCellMar>
      </w:tblPr>
      <w:tblGrid>
        <w:gridCol w:w="8016"/>
        <w:gridCol w:w="146"/>
        <w:gridCol w:w="226"/>
        <w:gridCol w:w="1486"/>
        <w:gridCol w:w="331"/>
      </w:tblGrid>
      <w:tr>
        <w:trPr/>
        <w:tc>
          <w:tcPr>
            <w:tcW w:w="8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w:t>
              <w:br/>
              <w:t>2023</w:t>
            </w:r>
          </w:p>
        </w:tc>
      </w:tr>
      <w:tr>
        <w:trPr/>
        <w:tc>
          <w:tcPr>
            <w:tcW w:w="8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at fair value (cost: $1,859,803,816)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1,442,843,274</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27,105,794</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receivable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26,851,283</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including accrued interest purchased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3,141,035</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176,120</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on common stock</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97,304</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receivable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86,880</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1,500,301,690</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Mandatorily redeemable preferred stock, net of unamortized deferred issuance costs of $5,398,577 (50,000,000 shares authorized, 11,486,721 shares issued and outstanding)</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281,769,448</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6.75% unsecured notes, net of unamortized deferred issuance costs of $2,667,340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97,332,660</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5.00% unsecured notes, net of unamortized deferred issuance costs of $2,252,592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97,747,408</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purchased not settled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2,295,000</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fees payable to affiliate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11,212,156</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management fee payable to affiliate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7,062,173</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Excise tax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3,229,219</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1,089,212</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32,639</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fees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Administrator expense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51,860</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501,891,775</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11)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 applicable to common stock, $0.01 par value, 450,000,000 shares authorized, 207,403,448 shares issued and outstanding</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998,409,915</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 consist of:</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$0.01 par value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2,074,034</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in excess of par value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1,384,631,314</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distributable earnings/(accumulated losses)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(388,295,433</w:t>
            </w:r>
          </w:p>
        </w:tc>
        <w:tc>
          <w:tcPr>
            <w:tcW w:w="33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01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assets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998,409,915</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 value per common share</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price per share</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market price premium to net asset value per share</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103"/>
      <w:bookmarkEnd w:id="8"/>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4247"/>
        <w:gridCol w:w="146"/>
        <w:gridCol w:w="1096"/>
        <w:gridCol w:w="146"/>
        <w:gridCol w:w="211"/>
        <w:gridCol w:w="931"/>
        <w:gridCol w:w="146"/>
        <w:gridCol w:w="211"/>
        <w:gridCol w:w="931"/>
        <w:gridCol w:w="146"/>
        <w:gridCol w:w="211"/>
        <w:gridCol w:w="931"/>
        <w:gridCol w:w="146"/>
        <w:gridCol w:w="706"/>
      </w:tblGrid>
      <w:tr>
        <w:trPr/>
        <w:tc>
          <w:tcPr>
            <w:tcW w:w="42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42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Collateralized Loan Obligation – Debt Investments</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Structured Finance – Debt Investments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Allegro CLO II-S,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13.42% (LIBOR + 7.82%, due October 21, 2028)</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06/24/2020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4,789,474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3,796,650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Allegro CLO II-S,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D</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11.35% (LIBOR + 5.75%, due October 21, 2028)</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05/09/2023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7,199,077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7,629,875</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Anchorage Capital CLO 4-R,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w:t>
            </w:r>
            <w:r>
              <w:rPr>
                <w:rFonts w:ascii="Times New Roman PS Std;serif" w:hAnsi="Times New Roman PS Std;serif"/>
                <w:b w:val="false"/>
                <w:i w:val="false"/>
                <w:caps w:val="false"/>
                <w:smallCaps w:val="false"/>
                <w:sz w:val="12"/>
              </w:rPr>
              <w:t>(3)(6)(11)</w:t>
            </w:r>
            <w:r>
              <w:rPr>
                <w:rFonts w:ascii="Times New Roman PS Std;serif" w:hAnsi="Times New Roman PS Std;serif"/>
                <w:b w:val="false"/>
                <w:i w:val="false"/>
                <w:caps w:val="false"/>
                <w:smallCaps w:val="false"/>
                <w:sz w:val="16"/>
              </w:rPr>
              <w:t>, 11.13% (LIBOR + 5.50%, due January 28,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11/04/2022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740,603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807,030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XXXVII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ER</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12.84% (LIBOR + 7.27%, due October 15,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06/23/2022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4,257,437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4,039,800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2015-4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ER</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11.54% (LIBOR + 5.95%, due April 20,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01/19/2022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837,000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801,744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709,358</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2018-1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13.84% (LIBOR + 8.21%, due July 30,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11/18/2019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6,683,788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4,850,950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Fuji US CLO 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D</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11.74% (LIBOR + 6.15%, due October 20,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11/09/2022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3,865,503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4,074,075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Elevation CLO 2017-6,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13.97% (LIBOR + 8.40%, due July 15, 2029)</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08/03/2022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1,993,590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1,458,250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Highbridge Loan Management 5-2015,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FRR</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13.57% (LIBOR + 8.00%, due October 15,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08/03/2021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4,375,000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3,815,873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3,072,125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Highbridge Loan Management 2013-2,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ER</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13.84% (LIBOR + 8.25%, due October 20, 2029)</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04/20/2022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2,172,953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1,833,250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Highbridge Loan Management 5-2015,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ERR</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11.57% (LIBOR + 6.26%, due October 15,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09/18/2023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2,185,097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2,183,750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Longfellow Place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FRR</w:t>
            </w:r>
            <w:r>
              <w:rPr>
                <w:rFonts w:ascii="Times New Roman PS Std;serif" w:hAnsi="Times New Roman PS Std;serif"/>
                <w:b w:val="false"/>
                <w:i w:val="false"/>
                <w:caps w:val="false"/>
                <w:smallCaps w:val="false"/>
                <w:sz w:val="12"/>
              </w:rPr>
              <w:t>(3)(6)(20)</w:t>
            </w:r>
            <w:r>
              <w:rPr>
                <w:rFonts w:ascii="Times New Roman PS Std;serif" w:hAnsi="Times New Roman PS Std;serif"/>
                <w:b w:val="false"/>
                <w:i w:val="false"/>
                <w:caps w:val="false"/>
                <w:smallCaps w:val="false"/>
                <w:sz w:val="16"/>
              </w:rPr>
              <w:t>, 14.07% (LIBOR + 8.50%, due April 15, 2029)</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03/26/2019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4,515,461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3,655,264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674,158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Midocean Credit CLO VI</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13.60% (LIBOR + 8.01%, due April 20, 2033)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03/12/2021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3,363,176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2,895,600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871"/>
        <w:gridCol w:w="146"/>
        <w:gridCol w:w="1096"/>
        <w:gridCol w:w="146"/>
        <w:gridCol w:w="211"/>
        <w:gridCol w:w="1036"/>
        <w:gridCol w:w="146"/>
        <w:gridCol w:w="211"/>
        <w:gridCol w:w="1036"/>
        <w:gridCol w:w="146"/>
        <w:gridCol w:w="211"/>
        <w:gridCol w:w="1036"/>
        <w:gridCol w:w="146"/>
        <w:gridCol w:w="466"/>
        <w:gridCol w:w="301"/>
      </w:tblGrid>
      <w:tr>
        <w:trPr/>
        <w:tc>
          <w:tcPr>
            <w:tcW w:w="38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Debt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Debt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Milford Park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w:t>
            </w:r>
            <w:r>
              <w:rPr>
                <w:rFonts w:ascii="Times New Roman PS Std;serif" w:hAnsi="Times New Roman PS Std;serif"/>
                <w:b w:val="false"/>
                <w:i w:val="false"/>
                <w:caps w:val="false"/>
                <w:smallCaps w:val="false"/>
                <w:sz w:val="12"/>
              </w:rPr>
              <w:t>(3)(17)</w:t>
            </w:r>
            <w:r>
              <w:rPr>
                <w:rFonts w:ascii="Times New Roman PS Std;serif" w:hAnsi="Times New Roman PS Std;serif"/>
                <w:b w:val="false"/>
                <w:i w:val="false"/>
                <w:caps w:val="false"/>
                <w:smallCaps w:val="false"/>
                <w:sz w:val="16"/>
              </w:rPr>
              <w:t>, 14.65% (SOFR + 9.32%, due July 20,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05/12/2022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963,895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971,100</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Nassau 2017-II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11.82% (LIBOR + 6.25%, due January 15,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01/07/2022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7,030,000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6,539,996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3,385,648</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36,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w:t>
            </w:r>
            <w:r>
              <w:rPr>
                <w:rFonts w:ascii="Times New Roman PS Std;serif" w:hAnsi="Times New Roman PS Std;serif"/>
                <w:b w:val="false"/>
                <w:i w:val="false"/>
                <w:caps w:val="false"/>
                <w:smallCaps w:val="false"/>
                <w:sz w:val="12"/>
              </w:rPr>
              <w:t>(3)(17)</w:t>
            </w:r>
            <w:r>
              <w:rPr>
                <w:rFonts w:ascii="Times New Roman PS Std;serif" w:hAnsi="Times New Roman PS Std;serif"/>
                <w:b w:val="false"/>
                <w:i w:val="false"/>
                <w:caps w:val="false"/>
                <w:smallCaps w:val="false"/>
                <w:sz w:val="16"/>
              </w:rPr>
              <w:t>, 13.32% (SOFR + 8.01%, due April 15,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09/08/2023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393,525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394,140</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OFSI BSL VIII,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11.96% (LIBOR + 6.39%, due August 16, 2029)</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07/12/2022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3,105,143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3,377,200</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OZLM IX,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ERR</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13.93% (LIBOR + 8.34%, due October 20,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06/16/2023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833,853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1,026,600</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2022-1,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w:t>
            </w:r>
            <w:r>
              <w:rPr>
                <w:rFonts w:ascii="Times New Roman PS Std;serif" w:hAnsi="Times New Roman PS Std;serif"/>
                <w:b w:val="false"/>
                <w:i w:val="false"/>
                <w:caps w:val="false"/>
                <w:smallCaps w:val="false"/>
                <w:sz w:val="12"/>
              </w:rPr>
              <w:t>(3)(17)</w:t>
            </w:r>
            <w:r>
              <w:rPr>
                <w:rFonts w:ascii="Times New Roman PS Std;serif" w:hAnsi="Times New Roman PS Std;serif"/>
                <w:b w:val="false"/>
                <w:i w:val="false"/>
                <w:caps w:val="false"/>
                <w:smallCaps w:val="false"/>
                <w:sz w:val="16"/>
              </w:rPr>
              <w:t>, 12.67% (SOFR + 7.34%, due July 20,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05/06/2022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3,716,349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3,472,125</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Shackleton 2015-VII-R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w:t>
            </w:r>
            <w:r>
              <w:rPr>
                <w:rFonts w:ascii="Times New Roman PS Std;serif" w:hAnsi="Times New Roman PS Std;serif"/>
                <w:b w:val="false"/>
                <w:i w:val="false"/>
                <w:caps w:val="false"/>
                <w:smallCaps w:val="false"/>
                <w:sz w:val="12"/>
              </w:rPr>
              <w:t>(3)(17)</w:t>
            </w:r>
            <w:r>
              <w:rPr>
                <w:rFonts w:ascii="Times New Roman PS Std;serif" w:hAnsi="Times New Roman PS Std;serif"/>
                <w:b w:val="false"/>
                <w:i w:val="false"/>
                <w:caps w:val="false"/>
                <w:smallCaps w:val="false"/>
                <w:sz w:val="16"/>
              </w:rPr>
              <w:t>, 11.77% (SOFR + 6.20%, due July 15,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07/21/2022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770,449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804,800</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V-R,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13.67% (LIBOR + 8.10%, due July 18,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05/25/2022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834,333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314,625</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XXI CLO,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12.17% (LIBOR + 6.60%, due July 15, 2027)</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07/28/2021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8,916,000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6,893,702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6,349,084</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XXI CLO,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10.37% (LIBOR + 4.80%, due July 15, 2027)</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12/08/2022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9,730,883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11,000,000</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XXV CLO,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w:t>
            </w:r>
            <w:r>
              <w:rPr>
                <w:rFonts w:ascii="Times New Roman PS Std;serif" w:hAnsi="Times New Roman PS Std;serif"/>
                <w:b w:val="false"/>
                <w:i w:val="false"/>
                <w:caps w:val="false"/>
                <w:smallCaps w:val="false"/>
                <w:sz w:val="12"/>
              </w:rPr>
              <w:t>(3)(6)</w:t>
            </w:r>
            <w:r>
              <w:rPr>
                <w:rFonts w:ascii="Times New Roman PS Std;serif" w:hAnsi="Times New Roman PS Std;serif"/>
                <w:b w:val="false"/>
                <w:i w:val="false"/>
                <w:caps w:val="false"/>
                <w:smallCaps w:val="false"/>
                <w:sz w:val="16"/>
              </w:rPr>
              <w:t>, 12.79% (LIBOR + 7.20%, due April 20, 2029)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04/21/2022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3,487,310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3,286,400</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Wind River 2023-1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w:t>
            </w:r>
            <w:r>
              <w:rPr>
                <w:rFonts w:ascii="Times New Roman PS Std;serif" w:hAnsi="Times New Roman PS Std;serif"/>
                <w:b w:val="false"/>
                <w:i w:val="false"/>
                <w:caps w:val="false"/>
                <w:smallCaps w:val="false"/>
                <w:sz w:val="12"/>
              </w:rPr>
              <w:t>(3)(9)(17)</w:t>
            </w:r>
            <w:r>
              <w:rPr>
                <w:rFonts w:ascii="Times New Roman PS Std;serif" w:hAnsi="Times New Roman PS Std;serif"/>
                <w:b w:val="false"/>
                <w:i w:val="false"/>
                <w:caps w:val="false"/>
                <w:smallCaps w:val="false"/>
                <w:sz w:val="16"/>
              </w:rPr>
              <w:t>, 13.59% (SOFR + 8.52%, due April 25, 2036)</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03/13/2023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9,614,065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10,060,000</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Structured Finance – Debt Investments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92,407,084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82,466,593</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8.26</w:t>
            </w:r>
          </w:p>
        </w:tc>
        <w:tc>
          <w:tcPr>
            <w:tcW w:w="3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Collateralized Loan Obligation – Debt Investments</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92,407,084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82,466,593</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8.26</w:t>
            </w:r>
          </w:p>
        </w:tc>
        <w:tc>
          <w:tcPr>
            <w:tcW w:w="3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932"/>
        <w:gridCol w:w="146"/>
        <w:gridCol w:w="1096"/>
        <w:gridCol w:w="146"/>
        <w:gridCol w:w="211"/>
        <w:gridCol w:w="1036"/>
        <w:gridCol w:w="146"/>
        <w:gridCol w:w="211"/>
        <w:gridCol w:w="1036"/>
        <w:gridCol w:w="146"/>
        <w:gridCol w:w="211"/>
        <w:gridCol w:w="1036"/>
        <w:gridCol w:w="146"/>
        <w:gridCol w:w="706"/>
      </w:tblGrid>
      <w:tr>
        <w:trPr/>
        <w:tc>
          <w:tcPr>
            <w:tcW w:w="3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Collateralized Loan Obligation – Equity Investments</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Structured Finance – Equity Investments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522 Funding CLO 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27.18%, maturity April 15,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03/03/2023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11,063,732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9,571,836</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AIMCO CLO, Series 2015-A</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18.93%, maturity October 17,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08/25/2021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13,548,313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8,117,130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7,180,606</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AIG CLO 2018-1, LLC</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26.90%, maturity April 20, 2032)</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04/25/2023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9,607,250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5,734,779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6,052,568</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Allegro CLO II-S,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October 21, 2028)</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02/06/2020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20,800,000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4,274,918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832,000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ALM XVII,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January 15, 2028)</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03/04/2019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AMMC CLO XII,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November 10,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09/10/2021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3,909,339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1,948,000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AMMC CLO 25,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30.76%, maturity April 15,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04/27/2022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13,926,917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Anchorage Capital CLO 1-R,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18.29%, maturity April 13,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08/13/2020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6,119,197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4,670,914</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Anchorage Capital CLO 4-R,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14.73%, maturity January 28,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05/20/2019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4,691,620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3,375,000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Anchorage Capital CLO 5-R,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w:t>
            </w:r>
            <w:r>
              <w:rPr>
                <w:rFonts w:ascii="Times New Roman PS Std;serif" w:hAnsi="Times New Roman PS Std;serif"/>
                <w:b w:val="false"/>
                <w:i w:val="false"/>
                <w:caps w:val="false"/>
                <w:smallCaps w:val="false"/>
                <w:sz w:val="16"/>
              </w:rPr>
              <w:t>, (Estimated yield 10.97%, maturity January 15,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07/16/2019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27,316,000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4,057,062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2,855,077</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Anchorage Capital CLO 7,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18.69%, maturity January 28,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06/02/2020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4,667,015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4,303,125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Anchorage Capital CLO 17,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17.39%, maturity July 15,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06/04/2021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20,988,165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17,050,000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Anchorage Capital CLO 25,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29.13%, maturity April 20,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04/24/2023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6,680,250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6,950,000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4037"/>
        <w:gridCol w:w="146"/>
        <w:gridCol w:w="1096"/>
        <w:gridCol w:w="146"/>
        <w:gridCol w:w="211"/>
        <w:gridCol w:w="1036"/>
        <w:gridCol w:w="146"/>
        <w:gridCol w:w="211"/>
        <w:gridCol w:w="1036"/>
        <w:gridCol w:w="146"/>
        <w:gridCol w:w="211"/>
        <w:gridCol w:w="931"/>
        <w:gridCol w:w="146"/>
        <w:gridCol w:w="706"/>
      </w:tblGrid>
      <w:tr>
        <w:trPr/>
        <w:tc>
          <w:tcPr>
            <w:tcW w:w="40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40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Apex Credit CLO 2015-II, Ltd. (fka: JFIN CLO 2015-II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October 17, 2026)</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11/22/2016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2,609,615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933,800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Apex Credit CLO 2018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25,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03/14/2018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12,420,000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4,403,935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969,698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Apex Credit CLO 2019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20.52%, maturity April 18, 2032)</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05/13/2019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12,836,358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6,486,795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Apex Credit CLO 2019-II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14.65%, maturity October 25, 2032)</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10/27/2020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2,509,655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1,858,859</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Apidos CLO XVIII-R</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24.03%, maturity October 22,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06/24/2022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3,140,704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2,925,000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Apidos CLO XXIII</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21.50%, maturity April 15, 2033)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04/01/2022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3,236,539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3,045,300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Apidos CLO XXIV</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20.98%, maturity October 20,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02/10/2022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1,696,202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Apidos CLO XXXIV</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19.25%, maturity January 20,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01/13/2022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7,294,651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6,965,000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Arcadia Warehouse 2022,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warehouse notes</w:t>
            </w:r>
            <w:r>
              <w:rPr>
                <w:rFonts w:ascii="Times New Roman PS Std;serif" w:hAnsi="Times New Roman PS Std;serif"/>
                <w:b w:val="false"/>
                <w:i w:val="false"/>
                <w:caps w:val="false"/>
                <w:smallCaps w:val="false"/>
                <w:sz w:val="12"/>
              </w:rPr>
              <w:t>(4)(5)(7)(11)(19)</w:t>
            </w:r>
            <w:r>
              <w:rPr>
                <w:rFonts w:ascii="Times New Roman PS Std;serif" w:hAnsi="Times New Roman PS Std;serif"/>
                <w:b w:val="false"/>
                <w:i w:val="false"/>
                <w:caps w:val="false"/>
                <w:smallCaps w:val="false"/>
                <w:sz w:val="16"/>
              </w:rPr>
              <w:t>, (Estimated yield 0.00%, maturity July 20, 2023)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01/31/2022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584,375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584,375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35,998</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XXVII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12.04%, maturity October 28,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03/06/2019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27,871,690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12,706,251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8,511,652</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XXXIV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20.59%, maturity April 17, 2033)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08/30/2021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9,700,143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7,525,422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XXXVR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14.53%, maturity July 15,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09/13/2022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2,553,115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1,447,796</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XXXVII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0.41%, maturity October 15,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02/12/2019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8,461,873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4,451,115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932"/>
        <w:gridCol w:w="146"/>
        <w:gridCol w:w="1096"/>
        <w:gridCol w:w="146"/>
        <w:gridCol w:w="211"/>
        <w:gridCol w:w="1036"/>
        <w:gridCol w:w="146"/>
        <w:gridCol w:w="211"/>
        <w:gridCol w:w="1036"/>
        <w:gridCol w:w="146"/>
        <w:gridCol w:w="211"/>
        <w:gridCol w:w="1036"/>
        <w:gridCol w:w="146"/>
        <w:gridCol w:w="706"/>
      </w:tblGrid>
      <w:tr>
        <w:trPr/>
        <w:tc>
          <w:tcPr>
            <w:tcW w:w="3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XL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7.51%, maturity January 15, 2029)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11/30/2017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31,683,000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6,252,400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3,614,382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XLII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22, 2028)</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06/23/2021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21,910,000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7,428,090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3,101,713</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XLVI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16.23%, maturity January 15,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01/25/2022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2,981,441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1,921,695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XLIX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21.01%, maturity July 22,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08/19/2022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2,582,928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2,004,369</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LVII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18.66%, maturity January 25,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08/22/2022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21,200,000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12,812,954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10,181,052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LXI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14.26%, maturity October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08/25/2021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10,601,405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7,800,000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LXVII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19.68%, maturity January 25, 2036)</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10/31/2022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9,180,000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7,385,474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6,923,132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LXIV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26.69%, maturity April 15,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06/08/2023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4,773,389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4,904,053</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Atlas Senior Loan Funding XVII,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17.42%, maturity October 20,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09/20/2021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4,745,072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3,720,000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Atlas Senior Loan Fund XVIII,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18.10%, maturity January 18,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04/21/2022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3,994,851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2,940,000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Atrium XV</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17.44%, maturity January 23, 2048)</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09/17/2019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13,507,872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12,180,000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Bain Capital Credit CLO 2023-1,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w:t>
            </w:r>
            <w:r>
              <w:rPr>
                <w:rFonts w:ascii="Times New Roman PS Std;serif" w:hAnsi="Times New Roman PS Std;serif"/>
                <w:b w:val="false"/>
                <w:i w:val="false"/>
                <w:caps w:val="false"/>
                <w:smallCaps w:val="false"/>
                <w:sz w:val="16"/>
              </w:rPr>
              <w:t>, (Estimated yield 24.38%, maturity April 16, 2036)</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06/27/2023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4,509,586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4,880,000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Battalion CLO VII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July 17, 2028)</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07/03/2018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26,900,000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2,748,141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932"/>
        <w:gridCol w:w="146"/>
        <w:gridCol w:w="1096"/>
        <w:gridCol w:w="146"/>
        <w:gridCol w:w="211"/>
        <w:gridCol w:w="1036"/>
        <w:gridCol w:w="146"/>
        <w:gridCol w:w="211"/>
        <w:gridCol w:w="1036"/>
        <w:gridCol w:w="146"/>
        <w:gridCol w:w="211"/>
        <w:gridCol w:w="1036"/>
        <w:gridCol w:w="146"/>
        <w:gridCol w:w="706"/>
      </w:tblGrid>
      <w:tr>
        <w:trPr/>
        <w:tc>
          <w:tcPr>
            <w:tcW w:w="3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Fuji US CLO 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10.55%, maturity October 20,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02/13/2020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27,980,000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11,844,052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7,834,400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2015-4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24.09%, maturity April 20,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07/22/2020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9,644,700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3,519,564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2,073,611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2016-3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30.73%, maturity November 15,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08/18/2020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9,897,500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4,056,377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2,820,788</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2018-1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30,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01/14/2020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2,098,494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1,012,500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2018-3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19.00%, maturity October 25,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06/11/2020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23,825,000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7,826,148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5,956,250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XXXIV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19.55%, maturity April 20,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03/23/2022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10,700,000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10,219,237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9,095,000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Global Market Strategies CLO 2013-2,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(5)(7)(10)(11)(19)</w:t>
            </w:r>
            <w:r>
              <w:rPr>
                <w:rFonts w:ascii="Times New Roman PS Std;serif" w:hAnsi="Times New Roman PS Std;serif"/>
                <w:b w:val="false"/>
                <w:i w:val="false"/>
                <w:caps w:val="false"/>
                <w:smallCaps w:val="false"/>
                <w:sz w:val="16"/>
              </w:rPr>
              <w:t>, (Estimated yield 0.00%, maturity January 18, 2029)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03/19/2013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16,098,067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1,174,342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1,610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Global Market Strategies CLO 2013-4,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3.60%, maturity January 15,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09/29/2021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4,411,567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2,320,000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Global Market Strategies CLO 2014-5,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16.24%, maturity July 15,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03/27/2019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7,134,333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2,362,170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1,248,508</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Us CLO 2020-1,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22.69%, maturity July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08/04/2023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12,904,167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12,925,000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US CLO 2020-2,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20.75%, maturity January 25,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10/21/2020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14,558,333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10,139,942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9,317,333</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US CLO 2021-8,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17.48%, maturity October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08/24/2021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42,537,500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31,493,450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28,287,438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Cathedral Lake CLO 2013,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(5)(7)(11)(19)</w:t>
            </w:r>
            <w:r>
              <w:rPr>
                <w:rFonts w:ascii="Times New Roman PS Std;serif" w:hAnsi="Times New Roman PS Std;serif"/>
                <w:b w:val="false"/>
                <w:i w:val="false"/>
                <w:caps w:val="false"/>
                <w:smallCaps w:val="false"/>
                <w:sz w:val="16"/>
              </w:rPr>
              <w:t>, (Estimated yield 0.00%, maturity October 15, 2029)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05/31/2018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21,350,000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4,104,830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427,000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932"/>
        <w:gridCol w:w="146"/>
        <w:gridCol w:w="1096"/>
        <w:gridCol w:w="146"/>
        <w:gridCol w:w="211"/>
        <w:gridCol w:w="1036"/>
        <w:gridCol w:w="146"/>
        <w:gridCol w:w="211"/>
        <w:gridCol w:w="1036"/>
        <w:gridCol w:w="146"/>
        <w:gridCol w:w="211"/>
        <w:gridCol w:w="1036"/>
        <w:gridCol w:w="146"/>
        <w:gridCol w:w="706"/>
      </w:tblGrid>
      <w:tr>
        <w:trPr/>
        <w:tc>
          <w:tcPr>
            <w:tcW w:w="3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Catskill Park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20, 2029)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02/10/2022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7,942,500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2,754,331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992,813</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CBAM 2021-14,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12.31%, maturity April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03/24/2022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14,968,630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10,626,500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Cedar Funding IV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24.34%, maturity July 23,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02/10/2022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42,847,225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19,838,827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18,852,779</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Cedar Funding VIII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14.00%, maturity October 17,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01/28/2022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19,126,500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11,181,947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8,224,395</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Cedar Funding XII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15.16%, maturity October 25,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03/23/2022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20,008,575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16,124,547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12,205,231</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Cedar Funding XV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17.76%, maturity April 20,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02/16/2022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29,235,000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22,830,500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19,879,800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CIFC Fenway Warehouse 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warehouse notes</w:t>
            </w:r>
            <w:r>
              <w:rPr>
                <w:rFonts w:ascii="Times New Roman PS Std;serif" w:hAnsi="Times New Roman PS Std;serif"/>
                <w:b w:val="false"/>
                <w:i w:val="false"/>
                <w:caps w:val="false"/>
                <w:smallCaps w:val="false"/>
                <w:sz w:val="12"/>
              </w:rPr>
              <w:t>(4)(5)(7)</w:t>
            </w:r>
            <w:r>
              <w:rPr>
                <w:rFonts w:ascii="Times New Roman PS Std;serif" w:hAnsi="Times New Roman PS Std;serif"/>
                <w:b w:val="false"/>
                <w:i w:val="false"/>
                <w:caps w:val="false"/>
                <w:smallCaps w:val="false"/>
                <w:sz w:val="16"/>
              </w:rPr>
              <w:t>, (Estimated yield 15.17%, maturity October 05, 2023)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01/27/2022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296,595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296,595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1,138,080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CIFC Funding 2014-III,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(5)(7)(11)(19)</w:t>
            </w:r>
            <w:r>
              <w:rPr>
                <w:rFonts w:ascii="Times New Roman PS Std;serif" w:hAnsi="Times New Roman PS Std;serif"/>
                <w:b w:val="false"/>
                <w:i w:val="false"/>
                <w:caps w:val="false"/>
                <w:smallCaps w:val="false"/>
                <w:sz w:val="16"/>
              </w:rPr>
              <w:t>, (Estimated yield 0.00%, maturity October 22,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03/06/2018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18,225,000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6,089,739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3,462,750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CIFC Funding 2021-VII,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18.28%, maturity January 23,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10/18/2021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27,435,000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23,373,100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21,948,000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Columbia Cent CLO 28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November 07,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01/14/2022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9,220,962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Crestline Denali CLO XVI,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20,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06/10/2021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10,422,744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4,070,000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33 Senior Loan Fund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(5)(7)(10)(11)(19)</w:t>
            </w:r>
            <w:r>
              <w:rPr>
                <w:rFonts w:ascii="Times New Roman PS Std;serif" w:hAnsi="Times New Roman PS Std;serif"/>
                <w:b w:val="false"/>
                <w:i w:val="false"/>
                <w:caps w:val="false"/>
                <w:smallCaps w:val="false"/>
                <w:sz w:val="16"/>
              </w:rPr>
              <w:t>, (Estimated yield 0.00%, maturity April 15, 2029)</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11/18/2020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2,496</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38 Senior Loan Fund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4.27%, maturity July 15,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09/23/2021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5,587,755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2,620,000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932"/>
        <w:gridCol w:w="146"/>
        <w:gridCol w:w="1096"/>
        <w:gridCol w:w="146"/>
        <w:gridCol w:w="211"/>
        <w:gridCol w:w="1036"/>
        <w:gridCol w:w="146"/>
        <w:gridCol w:w="211"/>
        <w:gridCol w:w="1036"/>
        <w:gridCol w:w="146"/>
        <w:gridCol w:w="211"/>
        <w:gridCol w:w="1036"/>
        <w:gridCol w:w="146"/>
        <w:gridCol w:w="706"/>
      </w:tblGrid>
      <w:tr>
        <w:trPr/>
        <w:tc>
          <w:tcPr>
            <w:tcW w:w="3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53 CLO, LLC</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15,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02/10/2022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9,640,783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3,392,500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2,313,788</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75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17.52%, maturity April 14,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08/17/2022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2,120,000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1,654,093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1,270,654</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78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26.19%, maturity April 17, 2033)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07/25/2023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4,429,214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4,277,500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86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16.27%, maturity July 17,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03/23/2022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35,350,000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24,450,774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18,735,500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106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18.19%, maturity October 15,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10/18/2022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29,477,500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22,365,837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17,746,841</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108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28.46%, maturity July 18,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06/15/2023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12,778,748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13,020,000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Elevation CLO 2020-11,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3.96%, maturity April 15, 2033)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02/21/2020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17,951,800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11,040,000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Elevation CLO 2021-12,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10.50%, maturity April 20, 2032)</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02/11/2021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27,190,000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18,359,989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10,604,100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Elevation CLO 2021-14,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10.29%, maturity October 20,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09/21/2021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25,479,876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16,960,000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Elmwood CLO 14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20.64%, maturity April 20,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07/24/2023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26,200,000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21,131,475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21,746,000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Elmwood CLO V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17.82%, maturity October 20,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01/25/2022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10,561,838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10,608,000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Elmwood CLO XII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22.76%, maturity January 20,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07/24/2023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8,143,161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8,425,850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Fillmore Park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34.70%, maturity July 15,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07/13/2023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2,408,930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2,499,000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932"/>
        <w:gridCol w:w="146"/>
        <w:gridCol w:w="1096"/>
        <w:gridCol w:w="146"/>
        <w:gridCol w:w="211"/>
        <w:gridCol w:w="1036"/>
        <w:gridCol w:w="146"/>
        <w:gridCol w:w="211"/>
        <w:gridCol w:w="1036"/>
        <w:gridCol w:w="146"/>
        <w:gridCol w:w="211"/>
        <w:gridCol w:w="1036"/>
        <w:gridCol w:w="146"/>
        <w:gridCol w:w="706"/>
      </w:tblGrid>
      <w:tr>
        <w:trPr/>
        <w:tc>
          <w:tcPr>
            <w:tcW w:w="3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Highbridge Loan Management 3-2014,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18, 2029)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06/19/2020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6,327,059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1,785,000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Highbridge Loan Management 5-2015,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12.54%, maturity October 15,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08/03/2021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23,125,000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5,639,830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3,848,231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HPS Loan Management 10-2016,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16.42%, maturity January 20, 2028)</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10/21/2021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24,460,380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11,604,310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8,438,831</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HPS Loan Management 2021-16,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16.01%, maturity January 23,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24,174,000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21,010,357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16,438,320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ICG US CLO 2014-1,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26.38%, maturity October 20,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03/01/2023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28,687,500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5,852,746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5,594,063</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ICG US CLO 2018-2,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17.35%, maturity July 22,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05/24/2022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17,950,000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7,624,699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5,564,500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Kings Park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18.08%, maturity January 21,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12/07/2021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30,552,500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22,967,857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21,386,750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KVK CLO 2013-1,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14, 2028)</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09/22/2020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991,513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592,500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LCM 35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18.50%, maturity October 15,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10/28/2021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20,634,368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15,092,043</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LCM 40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31.83%, maturity January 15, 2036)</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04/20/2023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12,456,691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14,145,630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Longfellow Place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15, 2029)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01/11/2018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19,640,000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5,309,310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1,964</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XI,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7.36%, maturity July 23, 2047)</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01/21/2022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2,765,376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2,145,000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XIII,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3.15%, maturity April 19,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09/17/2019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7,644,794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5,375,000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932"/>
        <w:gridCol w:w="146"/>
        <w:gridCol w:w="1096"/>
        <w:gridCol w:w="146"/>
        <w:gridCol w:w="211"/>
        <w:gridCol w:w="1036"/>
        <w:gridCol w:w="146"/>
        <w:gridCol w:w="211"/>
        <w:gridCol w:w="1036"/>
        <w:gridCol w:w="146"/>
        <w:gridCol w:w="211"/>
        <w:gridCol w:w="1036"/>
        <w:gridCol w:w="146"/>
        <w:gridCol w:w="706"/>
      </w:tblGrid>
      <w:tr>
        <w:trPr/>
        <w:tc>
          <w:tcPr>
            <w:tcW w:w="3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XV,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January 27, 2026)</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03/07/2019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44,590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XIX,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23.86%, maturity January 22, 2028)</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04/06/2023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12,093,750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4,825,890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6,046,875</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XXI,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20.93%, maturity October 15, 2032)</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01/26/2022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4,789,132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4,060,000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XXIV,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10.26%, maturity October 20, 2029)</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03/28/2019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3,568,750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1,694,869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1,320,438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XXVIII,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18.47%, maturity July 15,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02/01/2022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4,267,000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2,436,119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2,096,277</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XXX,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28.64%, maturity April 15, 2047)</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02/23/2018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9,531,679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8,147,487</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 XLI, Ltd. (fka: Atrium XII CLO)</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11.32%, maturity April 22, 2027)</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10/08/2015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39,075,000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16,984,469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15,630,000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Man GLG US CLO 2018-2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October 15, 2028)</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02/18/2021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89,600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Marble Point CLO XVII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25.29%, maturity April 20, 2033)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05/09/2023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5,957,102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6,000,000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Marble Point CLO XVIII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16.61%, maturity October 15, 2050)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01/25/2022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19,894,509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15,300,000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Marble Point CLO XXIV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22.80%, maturity April 20,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01/24/2023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21,690,000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16,029,366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14,966,100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Medalist Partners Corporate Finance CLO VI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29.69%, maturity April 17, 2033)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09/20/2023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3,531,313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Midocean Credit CLO II</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29,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06/17/2021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3,256,849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932"/>
        <w:gridCol w:w="146"/>
        <w:gridCol w:w="1096"/>
        <w:gridCol w:w="146"/>
        <w:gridCol w:w="211"/>
        <w:gridCol w:w="1036"/>
        <w:gridCol w:w="146"/>
        <w:gridCol w:w="211"/>
        <w:gridCol w:w="1036"/>
        <w:gridCol w:w="146"/>
        <w:gridCol w:w="211"/>
        <w:gridCol w:w="1036"/>
        <w:gridCol w:w="146"/>
        <w:gridCol w:w="706"/>
      </w:tblGrid>
      <w:tr>
        <w:trPr/>
        <w:tc>
          <w:tcPr>
            <w:tcW w:w="3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Midocean Credit CLO III</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21,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04/24/2019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16,650,000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5,610,318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832,500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Midocean Credit CLO VI</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12.45%, maturity April 20, 2033)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11/08/2016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29,700,000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21,502,772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11,880,000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Milford Park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21.26%, maturity July 20,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05/12/2022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32,960,000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27,618,359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28,345,600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MP CLO VIII,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13.87%, maturity April 28,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11/10/2021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4,254,779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Nassau 2017-II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15,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09/17/2019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8,200,260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Neuberger Berman CLO XIV,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11.77%, maturity January 28,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01/26/2022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2,384,317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Nyack Park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16.84%, maturity October 20,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09/02/2021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25,038,772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22,500,000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Oaktree CLO 2018-1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21.61%, maturity October 20,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08/25/2022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4,671,917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4,053,750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OCP CLO 2015-9,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28.13%, maturity January 15, 2033)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04/12/2023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3,896,334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3,700,000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OCP CLO 2015-10,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28.05%, maturity January 26,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07/06/2023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10,611,602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10,890,000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OCP CLO 2020-18,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20.23%, maturity July 20, 2032)</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08/16/2022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27,840,000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12,069,920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10,579,200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OCP CLO 2021-22,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21.83%, maturity December 02,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07/26/2022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6,067,816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5,962,500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XXII,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(5)(7)(11)(19)</w:t>
            </w:r>
            <w:r>
              <w:rPr>
                <w:rFonts w:ascii="Times New Roman PS Std;serif" w:hAnsi="Times New Roman PS Std;serif"/>
                <w:b w:val="false"/>
                <w:i w:val="false"/>
                <w:caps w:val="false"/>
                <w:smallCaps w:val="false"/>
                <w:sz w:val="16"/>
              </w:rPr>
              <w:t>, (Estimated yield 0.00%, maturity January 22,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06/07/2018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32,055,000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9,740,036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4,487,700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932"/>
        <w:gridCol w:w="146"/>
        <w:gridCol w:w="1096"/>
        <w:gridCol w:w="146"/>
        <w:gridCol w:w="211"/>
        <w:gridCol w:w="1036"/>
        <w:gridCol w:w="146"/>
        <w:gridCol w:w="211"/>
        <w:gridCol w:w="1036"/>
        <w:gridCol w:w="146"/>
        <w:gridCol w:w="211"/>
        <w:gridCol w:w="1036"/>
        <w:gridCol w:w="146"/>
        <w:gridCol w:w="706"/>
      </w:tblGrid>
      <w:tr>
        <w:trPr/>
        <w:tc>
          <w:tcPr>
            <w:tcW w:w="3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36,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15,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08/24/2021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3,996,185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2,261,519</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38,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16.07%, maturity July 20,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09/13/2022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4,083,474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40,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15.74%, maturity January 20,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02/14/2019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4,319,157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42,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22.93%, maturity July 15,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08/16/2023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5,934,574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5,903,109</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48,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18.97%, maturity October 20,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07/25/2022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8,111,559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7,175,000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49,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25.40%, maturity January 18, 2033)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07/28/2023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2,422,688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2,517,345</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57,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19.05%, maturity October 15,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10/13/2021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31,725,000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24,347,741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19,827,552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60,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18.24%, maturity October 20,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09/08/2022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30,286,910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25,740,000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OFSI BSL VIII,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preferred shares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August 16, 2029)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04/26/2019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3,258,095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OFSI BSL X,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27.67%, maturity April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08/01/2023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24,700,000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14,485,720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14,079,000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OZLM VII,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17, 2029)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01/29/2020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21,891,673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3,301,922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402,873</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OZLM IX,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3.18%, maturity October 20,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06/24/2022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1,854,509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OZLM XIV,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14.66%, maturity July 15,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12/07/2015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31,810,472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13,828,813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9,376,894</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932"/>
        <w:gridCol w:w="146"/>
        <w:gridCol w:w="1096"/>
        <w:gridCol w:w="146"/>
        <w:gridCol w:w="211"/>
        <w:gridCol w:w="1036"/>
        <w:gridCol w:w="146"/>
        <w:gridCol w:w="211"/>
        <w:gridCol w:w="1036"/>
        <w:gridCol w:w="146"/>
        <w:gridCol w:w="211"/>
        <w:gridCol w:w="1036"/>
        <w:gridCol w:w="146"/>
        <w:gridCol w:w="706"/>
      </w:tblGrid>
      <w:tr>
        <w:trPr/>
        <w:tc>
          <w:tcPr>
            <w:tcW w:w="3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OZLM XIX,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21.89%, maturity January 15,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04/29/2022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36,897,500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17,814,838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14,632,636</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Charlie</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warehouse notes</w:t>
            </w:r>
            <w:r>
              <w:rPr>
                <w:rFonts w:ascii="Times New Roman PS Std;serif" w:hAnsi="Times New Roman PS Std;serif"/>
                <w:b w:val="false"/>
                <w:i w:val="false"/>
                <w:caps w:val="false"/>
                <w:smallCaps w:val="false"/>
                <w:sz w:val="12"/>
              </w:rPr>
              <w:t>(4)(5)(7)</w:t>
            </w:r>
            <w:r>
              <w:rPr>
                <w:rFonts w:ascii="Times New Roman PS Std;serif" w:hAnsi="Times New Roman PS Std;serif"/>
                <w:b w:val="false"/>
                <w:i w:val="false"/>
                <w:caps w:val="false"/>
                <w:smallCaps w:val="false"/>
                <w:sz w:val="16"/>
              </w:rPr>
              <w:t>, (Estimated yield 13.95%, maturity July 13, 2023)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02/04/2022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4,646,250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4,646,250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4,646,250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VI Funding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9.42%, maturity April 20,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10/21/2021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11,040,412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7,480,000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XVIII Funding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17.94%, maturity January 15,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02/18/2021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28,886,856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21,678,897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19,931,931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XXII Funding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22.17%, maturity July 20,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05/06/2022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38,823,000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29,625,561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32,611,320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XXIII Funding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15.20%, maturity January 20,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11/04/2021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25,829,333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20,431,672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18,080,533</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Riserva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16.59%, maturity January 18,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03/18/2022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1,329,130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1,056,000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2019-1,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25.28%, maturity April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09/13/2023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4,598,621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2022-1,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20.74%, maturity July 20,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05/06/2022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34,068,750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28,151,252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24,188,813</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2022-3,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33.86%, maturity January 20,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05/09/2023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14,410,944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15,330,000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Rockland Park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15.51%, maturity April 20,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04/26/2021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22,343,426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18,687,500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Romark CLO – V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17.87%, maturity January 15,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11/18/2021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20,082,118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14,445,000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Sculptor CLO XXIX,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24.75%, maturity October 22,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09/20/2023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20,150,000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11,089,560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11,011,975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932"/>
        <w:gridCol w:w="146"/>
        <w:gridCol w:w="1096"/>
        <w:gridCol w:w="146"/>
        <w:gridCol w:w="211"/>
        <w:gridCol w:w="1036"/>
        <w:gridCol w:w="146"/>
        <w:gridCol w:w="211"/>
        <w:gridCol w:w="1036"/>
        <w:gridCol w:w="146"/>
        <w:gridCol w:w="211"/>
        <w:gridCol w:w="1036"/>
        <w:gridCol w:w="146"/>
        <w:gridCol w:w="706"/>
      </w:tblGrid>
      <w:tr>
        <w:trPr/>
        <w:tc>
          <w:tcPr>
            <w:tcW w:w="3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Shackleton 2013-IV-R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21.12%, maturity April 13,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08/14/2018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6,043,152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2,413,402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Shackleton 2014-V-R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5.64%, maturity May 07,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09/17/2019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5,566,653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4,461,250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Signal Peak CLO 4,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29.01%, maturity October 26,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08/09/2023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7,056,061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2,205,993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2,328,500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Signal Peak CLO 9,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15.68%, maturity July 21,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07/19/2021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22,860,000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18,446,094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14,859,000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Signal Peak CLO 10,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20.17%, maturity January 24,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02/16/2023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7,071,583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6,500,000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V-R,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18,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05/04/2021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5,512,760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2,225,000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VI-R,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October 20,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05/01/2018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24,656,983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4,859,669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1,109,564</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XX,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26,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07/07/2021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6,168,801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2,470,000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XXIX,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26.68%, maturity April 25,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08/09/2023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21,428,000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10,171,664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10,499,720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XXX,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27.65%, maturity July 25,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08/03/2023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21,151,500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10,348,555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10,575,750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XXXIII,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27.58%, maturity April 25,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06/01/2023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15,733,176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7,946,989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8,338,583</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Symphony CLO XVII,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26.98%, maturity April 15, 2028)</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06/21/2023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1,127,571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1,224,572</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Telos CLO 2013-3,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(5)(7)(11)(19)</w:t>
            </w:r>
            <w:r>
              <w:rPr>
                <w:rFonts w:ascii="Times New Roman PS Std;serif" w:hAnsi="Times New Roman PS Std;serif"/>
                <w:b w:val="false"/>
                <w:i w:val="false"/>
                <w:caps w:val="false"/>
                <w:smallCaps w:val="false"/>
                <w:sz w:val="16"/>
              </w:rPr>
              <w:t>, (Estimated yield 0.00%, maturity July 17, 2026)</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01/25/2013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14,332,210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6,266,409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1,433</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932"/>
        <w:gridCol w:w="146"/>
        <w:gridCol w:w="1096"/>
        <w:gridCol w:w="146"/>
        <w:gridCol w:w="211"/>
        <w:gridCol w:w="1036"/>
        <w:gridCol w:w="146"/>
        <w:gridCol w:w="211"/>
        <w:gridCol w:w="1036"/>
        <w:gridCol w:w="146"/>
        <w:gridCol w:w="211"/>
        <w:gridCol w:w="1036"/>
        <w:gridCol w:w="146"/>
        <w:gridCol w:w="706"/>
      </w:tblGrid>
      <w:tr>
        <w:trPr/>
        <w:tc>
          <w:tcPr>
            <w:tcW w:w="3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Telos CLO 2014-6,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17, 2027)</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11/08/2017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21,400,000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9,166,640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2,140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THL Credit Wind River 2017-1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10.31%, maturity April 18, 2036)</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02/02/2017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8,693,311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5,964,000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THL Credit Wind River 2018-3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20.23%, maturity January 20,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03/02/2022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25,400,000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17,932,842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12,446,000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Tralee CLO II,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20, 2029)</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06/06/2018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1,683,974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Tralee CLO IV,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20,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12/21/2017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13,270,000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5,502,595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1,327</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XV CLO,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(5)(7)(11)(19)</w:t>
            </w:r>
            <w:r>
              <w:rPr>
                <w:rFonts w:ascii="Times New Roman PS Std;serif" w:hAnsi="Times New Roman PS Std;serif"/>
                <w:b w:val="false"/>
                <w:i w:val="false"/>
                <w:caps w:val="false"/>
                <w:smallCaps w:val="false"/>
                <w:sz w:val="16"/>
              </w:rPr>
              <w:t>, (Estimated yield 0.00%, maturity July 15, 2032)</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01/31/2018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15,992,521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4,355,715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1,439,327</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XVII CLO,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(5)(7)(11)(19)</w:t>
            </w:r>
            <w:r>
              <w:rPr>
                <w:rFonts w:ascii="Times New Roman PS Std;serif" w:hAnsi="Times New Roman PS Std;serif"/>
                <w:b w:val="false"/>
                <w:i w:val="false"/>
                <w:caps w:val="false"/>
                <w:smallCaps w:val="false"/>
                <w:sz w:val="16"/>
              </w:rPr>
              <w:t>, (Estimated yield 0.00%, maturity April 15, 2027)</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01/09/2017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6,377,579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 CLO,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(5)(7)(10)(11)(19)</w:t>
            </w:r>
            <w:r>
              <w:rPr>
                <w:rFonts w:ascii="Times New Roman PS Std;serif" w:hAnsi="Times New Roman PS Std;serif"/>
                <w:b w:val="false"/>
                <w:i w:val="false"/>
                <w:caps w:val="false"/>
                <w:smallCaps w:val="false"/>
                <w:sz w:val="16"/>
              </w:rPr>
              <w:t>, (Estimated yield 0.00%, maturity April 15, 2027)</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07/27/2018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532,119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XXI CLO,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15, 2027)</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08/16/2017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13,459,356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XXII CLO,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15,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02/09/2022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7,636,234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3,052,500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XXIII CLO,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19.31%, maturity July 19,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05/24/2022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4,125,000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1,459,101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866,250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XXV CLO,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20, 2029)</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09/25/2020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2,863,151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412,500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37 CLO,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7.55%, maturity July 15, 2032)</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05/28/2019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5,214,806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2,550,000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932"/>
        <w:gridCol w:w="146"/>
        <w:gridCol w:w="1096"/>
        <w:gridCol w:w="146"/>
        <w:gridCol w:w="211"/>
        <w:gridCol w:w="1036"/>
        <w:gridCol w:w="146"/>
        <w:gridCol w:w="211"/>
        <w:gridCol w:w="1036"/>
        <w:gridCol w:w="146"/>
        <w:gridCol w:w="211"/>
        <w:gridCol w:w="1036"/>
        <w:gridCol w:w="146"/>
        <w:gridCol w:w="706"/>
      </w:tblGrid>
      <w:tr>
        <w:trPr/>
        <w:tc>
          <w:tcPr>
            <w:tcW w:w="3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40 CLO,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(5)(7)(10)(11)(19)</w:t>
            </w:r>
            <w:r>
              <w:rPr>
                <w:rFonts w:ascii="Times New Roman PS Std;serif" w:hAnsi="Times New Roman PS Std;serif"/>
                <w:b w:val="false"/>
                <w:i w:val="false"/>
                <w:caps w:val="false"/>
                <w:smallCaps w:val="false"/>
                <w:sz w:val="16"/>
              </w:rPr>
              <w:t>, (Estimated yield 0.00%, maturity November 24,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10/16/2020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17,580,000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41 CLO,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20.28%, maturity January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04/06/2022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7,056,189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5,310,000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42 CLO,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19.00%, maturity April 15,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03/15/2021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5,295,364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3,990,000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44 CLO,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18.44%, maturity October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08/16/2021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19,058,350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13,612,500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47 CLO,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28.52%, maturity April 20, 2036)</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03/14/2023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10,236,300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11,310,000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48 CLO,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w:t>
            </w:r>
            <w:r>
              <w:rPr>
                <w:rFonts w:ascii="Times New Roman PS Std;serif" w:hAnsi="Times New Roman PS Std;serif"/>
                <w:b w:val="false"/>
                <w:i w:val="false"/>
                <w:caps w:val="false"/>
                <w:smallCaps w:val="false"/>
                <w:sz w:val="16"/>
              </w:rPr>
              <w:t>, (Estimated yield 26.68%, maturity October 20, 2036)</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08/24/2023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26,848,000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21,447,519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20,867,876</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Vibrant CLO III,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2.90%, maturity October 20,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02/05/2019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31,810,000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10,079,909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3,976,250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Vibrant CLO XIV,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23.11%, maturity October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08/17/2022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24,900,000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17,165,673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14,940,000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Voya CLO 2020-1,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16.14%, maturity July 16,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03/08/2022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11,687,802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10,230,000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Voya CLO 2020-3,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18.99%, maturity October 20,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05/03/2022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8,790,195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8,505,000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Wellfleet 2016-2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October 20, 2028)</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09/28/2016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5,280,208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Wellfleet CLO X,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3.18%, maturity July 20, 2032)</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12/03/2020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3,645,330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1,169,600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Wellfleet CLO 2017-1,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20, 2029)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11/03/2021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927,895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422"/>
        <w:gridCol w:w="146"/>
        <w:gridCol w:w="1096"/>
        <w:gridCol w:w="146"/>
        <w:gridCol w:w="211"/>
        <w:gridCol w:w="1036"/>
        <w:gridCol w:w="146"/>
        <w:gridCol w:w="211"/>
        <w:gridCol w:w="1291"/>
        <w:gridCol w:w="146"/>
        <w:gridCol w:w="211"/>
        <w:gridCol w:w="1291"/>
        <w:gridCol w:w="146"/>
        <w:gridCol w:w="706"/>
      </w:tblGrid>
      <w:tr>
        <w:trPr/>
        <w:tc>
          <w:tcPr>
            <w:tcW w:w="34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34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West CLO 2014-1,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(5)(7)(10)(11)(19)</w:t>
            </w:r>
            <w:r>
              <w:rPr>
                <w:rFonts w:ascii="Times New Roman PS Std;serif" w:hAnsi="Times New Roman PS Std;serif"/>
                <w:b w:val="false"/>
                <w:i w:val="false"/>
                <w:caps w:val="false"/>
                <w:smallCaps w:val="false"/>
                <w:sz w:val="16"/>
              </w:rPr>
              <w:t>, (Estimated yield 0.00%, maturity July 18, 2026)</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11/16/2018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92,621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83,025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Wind River 2021-2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16.92%, maturity July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05/14/2021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30,700,000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22,757,049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18,420,000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Wind River 2021-4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27.91%, maturity January 20,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08/15/2023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9,096,750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5,783,800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5,639,985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Wind River 2023-1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w:t>
            </w:r>
            <w:r>
              <w:rPr>
                <w:rFonts w:ascii="Times New Roman PS Std;serif" w:hAnsi="Times New Roman PS Std;serif"/>
                <w:b w:val="false"/>
                <w:i w:val="false"/>
                <w:caps w:val="false"/>
                <w:smallCaps w:val="false"/>
                <w:sz w:val="16"/>
              </w:rPr>
              <w:t>, (Estimated yield 14.73%, maturity April 25, 2036)</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03/13/2023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42,300,000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38,009,581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29,610,000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York CLO-5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25.88%, maturity October 22,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05/20/2021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32,625,000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16,689,369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15,986,250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York CLO-2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29.04%, maturity January 22,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05/18/2022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8,379,000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3,360,720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3,770,550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Zais CLO 7,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15,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06/29/2021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1,764,641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Zais CLO 8,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(5)(7)(11)(19)</w:t>
            </w:r>
            <w:r>
              <w:rPr>
                <w:rFonts w:ascii="Times New Roman PS Std;serif" w:hAnsi="Times New Roman PS Std;serif"/>
                <w:b w:val="false"/>
                <w:i w:val="false"/>
                <w:caps w:val="false"/>
                <w:smallCaps w:val="false"/>
                <w:sz w:val="16"/>
              </w:rPr>
              <w:t>, (Estimated yield 0.00%, maturity April 15, 2029)</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02/23/2018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1,340,274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17,500</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Zais CLO 9,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20, 2031)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06/19/2018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6,093,630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1,270,000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1,754,316,562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1,347,484,615</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Collateralized Loan Obligation Fee Notes – Equity Investments – Other CLO Equity Related Investments</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Structured Finance – Equity Fee Note Investments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AMMC CLO 25,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April 15,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04/27/2022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1,096,738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868,319</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LXI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October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08/25/2021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345,970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319,202</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Fuji US CLO II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October 20,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12/22/2021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55,350,000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66,641</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34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Columbia Cent CLO 28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34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November 07, 2030)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12/22/2021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4142"/>
        <w:gridCol w:w="146"/>
        <w:gridCol w:w="1096"/>
        <w:gridCol w:w="146"/>
        <w:gridCol w:w="211"/>
        <w:gridCol w:w="1036"/>
        <w:gridCol w:w="146"/>
        <w:gridCol w:w="211"/>
        <w:gridCol w:w="931"/>
        <w:gridCol w:w="146"/>
        <w:gridCol w:w="211"/>
        <w:gridCol w:w="931"/>
        <w:gridCol w:w="146"/>
        <w:gridCol w:w="706"/>
      </w:tblGrid>
      <w:tr>
        <w:trPr/>
        <w:tc>
          <w:tcPr>
            <w:tcW w:w="41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41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Fee Notes – Equity Investments – Other CLO Equity Related Investments</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Fee Note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Highbridge Loan Management 3-2014,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July 18, 2029)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04/06/2022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55,471</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HPS Loan Management 2021-16,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January 23,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24,174,000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735,742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653,931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Man GLG US CLO 2018-2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October 15, 2028)</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04/20/2021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Point AU Roche Park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M1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July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05/28/2021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12,320,000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133,535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105,775</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Point AU Roche Park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M2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July 20,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05/28/2021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12,320,000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240,707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197,506</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57,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(5)(7)(11)(18)</w:t>
            </w:r>
            <w:r>
              <w:rPr>
                <w:rFonts w:ascii="Times New Roman PS Std;serif" w:hAnsi="Times New Roman PS Std;serif"/>
                <w:b w:val="false"/>
                <w:i w:val="false"/>
                <w:caps w:val="false"/>
                <w:smallCaps w:val="false"/>
                <w:sz w:val="16"/>
              </w:rPr>
              <w:t>, (maturity October 15,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10/13/2021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31,725,000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597,685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511,689</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60,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October 20,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09/08/2022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1,182,465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1,005,957</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VI Funding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R1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April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10/21/2021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56,964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100,411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VI Funding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R2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April 20,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10/21/2021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318,327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770,455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XVIII Funding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(5)(7)(11)(18)</w:t>
            </w:r>
            <w:r>
              <w:rPr>
                <w:rFonts w:ascii="Times New Roman PS Std;serif" w:hAnsi="Times New Roman PS Std;serif"/>
                <w:b w:val="false"/>
                <w:i w:val="false"/>
                <w:caps w:val="false"/>
                <w:smallCaps w:val="false"/>
                <w:sz w:val="16"/>
              </w:rPr>
              <w:t>, (maturity January 15,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02/18/2021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28,886,856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303,291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305,887</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XXIII Funding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(5)(7)(11)(18)</w:t>
            </w:r>
            <w:r>
              <w:rPr>
                <w:rFonts w:ascii="Times New Roman PS Std;serif" w:hAnsi="Times New Roman PS Std;serif"/>
                <w:b w:val="false"/>
                <w:i w:val="false"/>
                <w:caps w:val="false"/>
                <w:smallCaps w:val="false"/>
                <w:sz w:val="16"/>
              </w:rPr>
              <w:t>, (maturity January 20,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11/04/2021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22,496,000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375,145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344,847</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Rockland Park CLO,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M1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April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04/26/2021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266,573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219,792</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Rockland Park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M2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April 20,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04/26/2021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496,075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447,886</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2021-3,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(5)(7)(11)(18)</w:t>
            </w:r>
            <w:r>
              <w:rPr>
                <w:rFonts w:ascii="Times New Roman PS Std;serif" w:hAnsi="Times New Roman PS Std;serif"/>
                <w:b w:val="false"/>
                <w:i w:val="false"/>
                <w:caps w:val="false"/>
                <w:smallCaps w:val="false"/>
                <w:sz w:val="16"/>
              </w:rPr>
              <w:t>, (maturity October 20, 2034)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09/22/2021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29,264,625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387,900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326,674</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2022-1,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July 20, 2035)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05/06/2022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34,068,750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470,731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429,437</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Romark CLO – V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January 15, 2035)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11/18/2021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702,444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208,839</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r>
        <w:trPr/>
        <w:tc>
          <w:tcPr>
            <w:tcW w:w="41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THL Credit Wind River 2017-1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April 18, 2029)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02/02/2017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11,563,637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83,256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547,765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2626"/>
        <w:gridCol w:w="146"/>
        <w:gridCol w:w="1096"/>
        <w:gridCol w:w="146"/>
        <w:gridCol w:w="211"/>
        <w:gridCol w:w="1036"/>
        <w:gridCol w:w="146"/>
        <w:gridCol w:w="226"/>
        <w:gridCol w:w="1486"/>
        <w:gridCol w:w="146"/>
        <w:gridCol w:w="226"/>
        <w:gridCol w:w="1486"/>
        <w:gridCol w:w="146"/>
        <w:gridCol w:w="766"/>
        <w:gridCol w:w="316"/>
      </w:tblGrid>
      <w:tr>
        <w:trPr/>
        <w:tc>
          <w:tcPr>
            <w:tcW w:w="26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ACQUISITION</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PRINCIPAL</w:t>
              <w:br/>
              <w:t>AMOUNT/</w:t>
              <w:br/>
              <w:t>SHARES</w:t>
            </w:r>
          </w:p>
        </w:tc>
        <w:tc>
          <w:tcPr>
            <w:tcW w:w="146" w:type="dxa"/>
            <w:tcBorders/>
            <w:vAlign w:val="bottom"/>
          </w:tcPr>
          <w:p>
            <w:pPr>
              <w:pStyle w:val="TableContents"/>
              <w:bidi w:val="0"/>
              <w:spacing w:before="0" w:after="283"/>
              <w:jc w:val="left"/>
              <w:rPr/>
            </w:pPr>
            <w:r>
              <w:rPr/>
              <w:t> </w:t>
            </w:r>
          </w:p>
        </w:tc>
        <w:tc>
          <w:tcPr>
            <w:tcW w:w="17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7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FAIR</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4"/>
              </w:rPr>
              <w:t>OF</w:t>
              <w:br/>
              <w:t>NET</w:t>
              <w:br/>
              <w:t>ASSETS</w:t>
            </w:r>
          </w:p>
        </w:tc>
      </w:tr>
      <w:tr>
        <w:trPr/>
        <w:tc>
          <w:tcPr>
            <w:tcW w:w="2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Fee Notes – Equity Investments – Other CLO Equity Related Investments</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Fee Note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Tralee CLO IV,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January 20, 2030)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03/16/2018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286,377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XXV CLO, Limited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April 20, 2029)</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09/25/2020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12,500,000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42 CLO, Limited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Y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April 15,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03/15/2021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582,524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272,694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235,955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Wellfleet CLO X,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(5)(7)(11)(18)</w:t>
            </w:r>
            <w:r>
              <w:rPr>
                <w:rFonts w:ascii="Times New Roman PS Std;serif" w:hAnsi="Times New Roman PS Std;serif"/>
                <w:b w:val="false"/>
                <w:i w:val="false"/>
                <w:caps w:val="false"/>
                <w:smallCaps w:val="false"/>
                <w:sz w:val="16"/>
              </w:rPr>
              <w:t>, (maturity July 20, 2032)</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06/30/2021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7,310,000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13,449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5,744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Wind River 2021-2 CLO Ltd.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July 20, 2034)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05/14/2021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30,700,000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500,608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455,310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York CLO-5 Ltd.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(5)(7)(18)</w:t>
            </w:r>
            <w:r>
              <w:rPr>
                <w:rFonts w:ascii="Times New Roman PS Std;serif" w:hAnsi="Times New Roman PS Std;serif"/>
                <w:b w:val="false"/>
                <w:i w:val="false"/>
                <w:caps w:val="false"/>
                <w:smallCaps w:val="false"/>
                <w:sz w:val="16"/>
              </w:rPr>
              <w:t>, (maturity October 22, 2031)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06/30/2021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21,500,000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78,409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25,147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other</w:t>
            </w:r>
            <w:r>
              <w:rPr>
                <w:rFonts w:ascii="Times New Roman PS Std;serif" w:hAnsi="Times New Roman PS Std;serif"/>
                <w:b w:val="false"/>
                <w:i w:val="false"/>
                <w:caps w:val="false"/>
                <w:smallCaps w:val="false"/>
                <w:sz w:val="12"/>
              </w:rPr>
              <w:t>(8)(18)</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Various</w:t>
            </w:r>
            <w:r>
              <w:rPr>
                <w:rFonts w:ascii="Times New Roman PS Std;serif" w:hAnsi="Times New Roman PS Std;serif"/>
                <w:b w:val="false"/>
                <w:i w:val="false"/>
                <w:caps w:val="false"/>
                <w:smallCaps w:val="false"/>
                <w:sz w:val="12"/>
              </w:rPr>
              <w:t>(16)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4,421,462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4,664,396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Other CLO Equity Related Investments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13,080,170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12,892,066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w:t>
            </w:r>
          </w:p>
        </w:tc>
        <w:tc>
          <w:tcPr>
            <w:tcW w:w="31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26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Structured Finance – Equity Investments</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1,767,396,732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1,360,376,681</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136.25</w:t>
            </w:r>
          </w:p>
        </w:tc>
        <w:tc>
          <w:tcPr>
            <w:tcW w:w="31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26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Collateralized Loan Obligation – Equity Investments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1,767,396,732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1,360,376,681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136.25</w:t>
            </w:r>
          </w:p>
        </w:tc>
        <w:tc>
          <w:tcPr>
            <w:tcW w:w="31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26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Investments</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1,859,803,816</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1,442,843,274</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144.51</w:t>
            </w:r>
          </w:p>
        </w:tc>
        <w:tc>
          <w:tcPr>
            <w:tcW w:w="31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26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Cash Equivalents</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American Government Obligations Fund, Class Z Shares, 5.22%</w:t>
            </w:r>
            <w:r>
              <w:rPr>
                <w:rFonts w:ascii="Times New Roman PS Std;serif" w:hAnsi="Times New Roman PS Std;serif"/>
                <w:b w:val="false"/>
                <w:i w:val="false"/>
                <w:caps w:val="false"/>
                <w:smallCaps w:val="false"/>
                <w:sz w:val="12"/>
              </w:rPr>
              <w:t>(12)</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24,815,412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24,815,412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24,815,412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Cash Equivalents</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24,815,412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24,815,412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2.49</w:t>
            </w:r>
          </w:p>
        </w:tc>
        <w:tc>
          <w:tcPr>
            <w:tcW w:w="31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26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Investments and Cash Equivalents</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1,884,619,228</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1,467,658,686</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147.00</w:t>
            </w:r>
          </w:p>
        </w:tc>
        <w:tc>
          <w:tcPr>
            <w:tcW w:w="31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       We do not “control” and are not an “affiliate” of any of our portfolio companies, each as defined in the 1940 Act. In general, under the 1940 Act, we would be presumed to “control” a portfolio company if we owned more than 25% of its voting securities and would be an “affiliate” of a portfolio company if we owned 5% or more of its voting securities.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       Fair value is determined in good faith by the Board of Directors of the Fund.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       Cost value reflects accretion of original issue discount or market discount.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The subordinated notes represent an investment in a warehouse facility, which is a financing structure intended to aggregate loans that may be used to form the basis of a CLO vehicle.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       Cost value reflects accretion of effective yield less any cash distributions received or entitled to be received from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       The CLO secured notes generally bear interest at a rate determined by reference to three-month LIBOR which resets quarterly. For each CLO debt investment, the rate provided is as of September 30, 2023.</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       The CLO subordinated notes, preferred shares and income notes are considered equity positions in the CLO’s vehicle. Equity investments are entitled to recurring distributions which are generally equal to the remaining cash flow of the payments made by the CLO’s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       Fair value includes the Fund’s interest in subordinated fee notes, and represents discounted cash flows associated with fees earned from those fee notes.</w:t>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r>
      <w:r>
        <w:rPr>
          <w:rFonts w:ascii="Times New Roman PS Std;serif" w:hAnsi="Times New Roman PS Std;serif"/>
          <w:b/>
          <w:i w:val="false"/>
          <w:caps/>
          <w:sz w:val="20"/>
        </w:rPr>
        <w:t>September 30, 2023</w:t>
        <w:br/>
      </w:r>
      <w:r>
        <w:rPr>
          <w:rFonts w:ascii="Times New Roman PS Std;serif" w:hAnsi="Times New Roman PS Std;serif"/>
          <w:b/>
          <w:i w:val="false"/>
          <w:caps w:val="false"/>
          <w:smallCaps w:val="false"/>
          <w:sz w:val="20"/>
        </w:rPr>
        <w:t>(Unaudited)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       Investment has not made inaugural distribution for relevant period end. Please refer to “Note 3. Summary of Significant Accounting Policies — Investment Income.”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     The CLO equity investment was optionally redeemed. Expected value of residual distributions, once received, is anticipated to be recognized as return of capital, pending any remaining amortized cost, and/or realized gain for any amounts received in excess of such amortized cost. Please refer to “Note 3. Summary of Significant Accounting Policies — Securities Transactions.”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     Investment is co-invested with the Fund’s affiliates. See “Note 5. Related Party Transactions.”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     Represents cash equivalents held in a money market fund as of September 30, 2023.</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     The fair value of the investment was determined using significant unobservable inputs. See “Note 4. Fair Value.”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     The Fund generally acquires its investments in transactions not subject to registration under the Securities Act of 1933, 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     Acquisition date represents the initial date of purchase.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     Cost and fair value total represents multiple investments which were purchased within one year prior to September 30, 2023.</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     The principal balance outstanding for this debt investment, in whole or in part, is indexed to the 90-day Secured Overnight Financing Rate “SOFR”.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     Cost value reflects amortized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     As of September 30, 2023, the effective yield has been estimated to be 0%. The aggregate projected amount of future recurring distributions and terminal principal payment is less than the amortized investment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(20)     As September 30, 2023, the investment includes interest income capitalized as additional investment principal (“PIK” Interest). The PIK interest rate for CLO debt positions represents the interest rate at payment date when PIK interest is received. Please refer to “Note 3. Summary of Significant Accounting Policies — Payment-In-Kind. </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104"/>
      <w:bookmarkEnd w:id="9"/>
      <w:r>
        <w:rPr>
          <w:rFonts w:ascii="Times New Roman PS Std;serif" w:hAnsi="Times New Roman PS Std;serif"/>
          <w:b/>
          <w:i w:val="false"/>
          <w:caps w:val="false"/>
          <w:smallCaps w:val="false"/>
          <w:sz w:val="20"/>
        </w:rPr>
        <w:t>OXFORD LANE CAPITAL CORP.</w:t>
        <w:br/>
        <w:t>STATEMENT OF OPERATIONS</w:t>
        <w:br/>
        <w:t>(Unaudited)</w:t>
      </w:r>
    </w:p>
    <w:tbl>
      <w:tblPr>
        <w:tblW w:w="10197" w:type="dxa"/>
        <w:jc w:val="left"/>
        <w:tblInd w:w="0" w:type="dxa"/>
        <w:tblLayout w:type="fixed"/>
        <w:tblCellMar>
          <w:top w:w="0" w:type="dxa"/>
          <w:left w:w="0" w:type="dxa"/>
          <w:bottom w:w="0" w:type="dxa"/>
          <w:right w:w="0" w:type="dxa"/>
        </w:tblCellMar>
      </w:tblPr>
      <w:tblGrid>
        <w:gridCol w:w="5941"/>
        <w:gridCol w:w="146"/>
        <w:gridCol w:w="528"/>
        <w:gridCol w:w="3054"/>
        <w:gridCol w:w="528"/>
      </w:tblGrid>
      <w:tr>
        <w:trPr/>
        <w:tc>
          <w:tcPr>
            <w:tcW w:w="59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110"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 September 30, 2023</w:t>
            </w:r>
          </w:p>
        </w:tc>
      </w:tr>
      <w:tr>
        <w:trPr/>
        <w:tc>
          <w:tcPr>
            <w:tcW w:w="5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INCOME</w:t>
            </w:r>
          </w:p>
        </w:tc>
        <w:tc>
          <w:tcPr>
            <w:tcW w:w="146"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054"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securitization vehicles and investments</w:t>
            </w:r>
          </w:p>
        </w:tc>
        <w:tc>
          <w:tcPr>
            <w:tcW w:w="146" w:type="dxa"/>
            <w:tcBorders/>
            <w:vAlign w:val="bottom"/>
          </w:tcPr>
          <w:p>
            <w:pPr>
              <w:pStyle w:val="TableContents"/>
              <w:bidi w:val="0"/>
              <w:spacing w:before="0" w:after="283"/>
              <w:jc w:val="left"/>
              <w:rPr/>
            </w:pPr>
            <w:r>
              <w:rPr/>
              <w:t> </w:t>
            </w:r>
          </w:p>
        </w:tc>
        <w:tc>
          <w:tcPr>
            <w:tcW w:w="5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5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135,530,704</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 debt investments</w:t>
            </w:r>
          </w:p>
        </w:tc>
        <w:tc>
          <w:tcPr>
            <w:tcW w:w="146"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6,978,736</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2,421,167</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 income</w:t>
            </w:r>
          </w:p>
        </w:tc>
        <w:tc>
          <w:tcPr>
            <w:tcW w:w="146"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144,930,607</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054" w:type="dxa"/>
            <w:tcBorders/>
            <w:vAlign w:val="bottom"/>
          </w:tcPr>
          <w:p>
            <w:pPr>
              <w:pStyle w:val="TableContents"/>
              <w:bidi w:val="0"/>
              <w:spacing w:before="0" w:after="283"/>
              <w:jc w:val="left"/>
              <w:rPr/>
            </w:pPr>
            <w:r>
              <w:rPr/>
              <w:t> </w:t>
            </w:r>
          </w:p>
        </w:tc>
        <w:tc>
          <w:tcPr>
            <w:tcW w:w="5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EXPENSES</w:t>
            </w:r>
          </w:p>
        </w:tc>
        <w:tc>
          <w:tcPr>
            <w:tcW w:w="146"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054"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16,429,669</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management fees</w:t>
            </w:r>
          </w:p>
        </w:tc>
        <w:tc>
          <w:tcPr>
            <w:tcW w:w="146"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13,568,006</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fees</w:t>
            </w:r>
          </w:p>
        </w:tc>
        <w:tc>
          <w:tcPr>
            <w:tcW w:w="146" w:type="dxa"/>
            <w:tcBorders/>
            <w:vAlign w:val="bottom"/>
          </w:tcPr>
          <w:p>
            <w:pPr>
              <w:pStyle w:val="TableContents"/>
              <w:bidi w:val="0"/>
              <w:spacing w:before="0" w:after="283"/>
              <w:jc w:val="left"/>
              <w:rPr/>
            </w:pPr>
            <w:r>
              <w:rPr/>
              <w:t> </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21,708,851</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Excise tax expense</w:t>
            </w:r>
          </w:p>
        </w:tc>
        <w:tc>
          <w:tcPr>
            <w:tcW w:w="146"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3,556,932</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836,507</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Administrator expense</w:t>
            </w:r>
          </w:p>
        </w:tc>
        <w:tc>
          <w:tcPr>
            <w:tcW w:w="146"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496,923</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939,229</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fees</w:t>
            </w:r>
          </w:p>
        </w:tc>
        <w:tc>
          <w:tcPr>
            <w:tcW w:w="146"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167,000</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 expense</w:t>
            </w:r>
          </w:p>
        </w:tc>
        <w:tc>
          <w:tcPr>
            <w:tcW w:w="146" w:type="dxa"/>
            <w:tcBorders/>
            <w:vAlign w:val="bottom"/>
          </w:tcPr>
          <w:p>
            <w:pPr>
              <w:pStyle w:val="TableContents"/>
              <w:bidi w:val="0"/>
              <w:spacing w:before="0" w:after="283"/>
              <w:jc w:val="left"/>
              <w:rPr/>
            </w:pPr>
            <w:r>
              <w:rPr/>
              <w:t> </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140,861</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agent and custodian fees</w:t>
            </w:r>
          </w:p>
        </w:tc>
        <w:tc>
          <w:tcPr>
            <w:tcW w:w="146"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251,226</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w:t>
            </w:r>
          </w:p>
        </w:tc>
        <w:tc>
          <w:tcPr>
            <w:tcW w:w="146" w:type="dxa"/>
            <w:tcBorders/>
            <w:vAlign w:val="bottom"/>
          </w:tcPr>
          <w:p>
            <w:pPr>
              <w:pStyle w:val="TableContents"/>
              <w:bidi w:val="0"/>
              <w:spacing w:before="0" w:after="283"/>
              <w:jc w:val="left"/>
              <w:rPr/>
            </w:pPr>
            <w:r>
              <w:rPr/>
              <w:t> </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58,095,204</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w:t>
            </w:r>
          </w:p>
        </w:tc>
        <w:tc>
          <w:tcPr>
            <w:tcW w:w="146"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86,835,403</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 on investments</w:t>
            </w:r>
          </w:p>
        </w:tc>
        <w:tc>
          <w:tcPr>
            <w:tcW w:w="146" w:type="dxa"/>
            <w:tcBorders/>
            <w:vAlign w:val="bottom"/>
          </w:tcPr>
          <w:p>
            <w:pPr>
              <w:pStyle w:val="TableContents"/>
              <w:bidi w:val="0"/>
              <w:spacing w:before="0" w:after="283"/>
              <w:jc w:val="left"/>
              <w:rPr/>
            </w:pPr>
            <w:r>
              <w:rPr/>
              <w:t> </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40,273,703</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 on investments</w:t>
            </w:r>
          </w:p>
        </w:tc>
        <w:tc>
          <w:tcPr>
            <w:tcW w:w="146"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(11,863,908</w:t>
            </w:r>
          </w:p>
        </w:tc>
        <w:tc>
          <w:tcPr>
            <w:tcW w:w="5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gain and net change in unrealized appreciation</w:t>
            </w:r>
          </w:p>
        </w:tc>
        <w:tc>
          <w:tcPr>
            <w:tcW w:w="146" w:type="dxa"/>
            <w:tcBorders/>
            <w:vAlign w:val="bottom"/>
          </w:tcPr>
          <w:p>
            <w:pPr>
              <w:pStyle w:val="TableContents"/>
              <w:bidi w:val="0"/>
              <w:spacing w:before="0" w:after="283"/>
              <w:jc w:val="left"/>
              <w:rPr/>
            </w:pPr>
            <w:r>
              <w:rPr/>
              <w:t> </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5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28,409,795</w:t>
            </w:r>
          </w:p>
        </w:tc>
        <w:tc>
          <w:tcPr>
            <w:tcW w:w="5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resulting from operations</w:t>
            </w:r>
          </w:p>
        </w:tc>
        <w:tc>
          <w:tcPr>
            <w:tcW w:w="146" w:type="dxa"/>
            <w:tcBorders/>
            <w:shd w:fill="CCEEFF" w:val="clear"/>
            <w:vAlign w:val="bottom"/>
          </w:tcPr>
          <w:p>
            <w:pPr>
              <w:pStyle w:val="TableContents"/>
              <w:bidi w:val="0"/>
              <w:spacing w:before="0" w:after="283"/>
              <w:jc w:val="left"/>
              <w:rPr/>
            </w:pPr>
            <w:r>
              <w:rPr/>
              <w:t> </w:t>
            </w:r>
          </w:p>
        </w:tc>
        <w:tc>
          <w:tcPr>
            <w:tcW w:w="5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5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115,245,198</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105"/>
      <w:bookmarkEnd w:id="10"/>
      <w:r>
        <w:rPr>
          <w:rFonts w:ascii="Times New Roman PS Std;serif" w:hAnsi="Times New Roman PS Std;serif"/>
          <w:b/>
          <w:i w:val="false"/>
          <w:caps w:val="false"/>
          <w:smallCaps w:val="false"/>
          <w:sz w:val="20"/>
        </w:rPr>
        <w:t>OXFORD LANE CAPITAL CORP.</w:t>
        <w:br/>
        <w:t>STATEMENTS OF CHANGES IN NET ASSETS</w:t>
      </w:r>
    </w:p>
    <w:tbl>
      <w:tblPr>
        <w:tblW w:w="10205" w:type="dxa"/>
        <w:jc w:val="left"/>
        <w:tblInd w:w="0" w:type="dxa"/>
        <w:tblLayout w:type="fixed"/>
        <w:tblCellMar>
          <w:top w:w="0" w:type="dxa"/>
          <w:left w:w="0" w:type="dxa"/>
          <w:bottom w:w="0" w:type="dxa"/>
          <w:right w:w="0" w:type="dxa"/>
        </w:tblCellMar>
      </w:tblPr>
      <w:tblGrid>
        <w:gridCol w:w="4960"/>
        <w:gridCol w:w="146"/>
        <w:gridCol w:w="358"/>
        <w:gridCol w:w="2074"/>
        <w:gridCol w:w="288"/>
        <w:gridCol w:w="146"/>
        <w:gridCol w:w="274"/>
        <w:gridCol w:w="1681"/>
        <w:gridCol w:w="278"/>
      </w:tblGrid>
      <w:tr>
        <w:trPr/>
        <w:tc>
          <w:tcPr>
            <w:tcW w:w="49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20"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br/>
              <w:t>Six Months Ended September 30, 2023</w:t>
            </w:r>
          </w:p>
        </w:tc>
        <w:tc>
          <w:tcPr>
            <w:tcW w:w="146" w:type="dxa"/>
            <w:tcBorders/>
            <w:vAlign w:val="bottom"/>
          </w:tcPr>
          <w:p>
            <w:pPr>
              <w:pStyle w:val="TableContents"/>
              <w:bidi w:val="0"/>
              <w:spacing w:before="0" w:after="283"/>
              <w:jc w:val="left"/>
              <w:rPr/>
            </w:pPr>
            <w:r>
              <w:rPr/>
              <w:t> </w:t>
            </w:r>
          </w:p>
        </w:tc>
        <w:tc>
          <w:tcPr>
            <w:tcW w:w="223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March 31, 2023</w:t>
            </w:r>
          </w:p>
        </w:tc>
      </w:tr>
      <w:tr>
        <w:trPr/>
        <w:tc>
          <w:tcPr>
            <w:tcW w:w="49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net assets from operations:</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07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68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9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w:t>
            </w:r>
          </w:p>
        </w:tc>
        <w:tc>
          <w:tcPr>
            <w:tcW w:w="146" w:type="dxa"/>
            <w:tcBorders/>
            <w:vAlign w:val="bottom"/>
          </w:tcPr>
          <w:p>
            <w:pPr>
              <w:pStyle w:val="TableContents"/>
              <w:bidi w:val="0"/>
              <w:spacing w:before="0" w:after="283"/>
              <w:jc w:val="left"/>
              <w:rPr/>
            </w:pPr>
            <w:r>
              <w:rPr/>
              <w:t> </w:t>
            </w:r>
          </w:p>
        </w:tc>
        <w:tc>
          <w:tcPr>
            <w:tcW w:w="35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86,835,403</w:t>
            </w:r>
          </w:p>
        </w:tc>
        <w:tc>
          <w:tcPr>
            <w:tcW w:w="28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153,537,602</w:t>
            </w:r>
          </w:p>
        </w:tc>
        <w:tc>
          <w:tcPr>
            <w:tcW w:w="2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 (depreciation) on investments</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40,273,703</w:t>
            </w:r>
          </w:p>
        </w:tc>
        <w:tc>
          <w:tcPr>
            <w:tcW w:w="28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6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(304,405,051</w:t>
            </w:r>
          </w:p>
        </w:tc>
        <w:tc>
          <w:tcPr>
            <w:tcW w:w="27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on investments</w:t>
            </w:r>
          </w:p>
        </w:tc>
        <w:tc>
          <w:tcPr>
            <w:tcW w:w="146" w:type="dxa"/>
            <w:tcBorders/>
            <w:vAlign w:val="bottom"/>
          </w:tcPr>
          <w:p>
            <w:pPr>
              <w:pStyle w:val="TableContents"/>
              <w:bidi w:val="0"/>
              <w:spacing w:before="0" w:after="283"/>
              <w:jc w:val="left"/>
              <w:rPr/>
            </w:pPr>
            <w:r>
              <w:rPr/>
              <w:t> </w:t>
            </w:r>
          </w:p>
        </w:tc>
        <w:tc>
          <w:tcPr>
            <w:tcW w:w="358"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207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(11,863,908</w:t>
            </w:r>
          </w:p>
        </w:tc>
        <w:tc>
          <w:tcPr>
            <w:tcW w:w="2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6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(20,421,298</w:t>
            </w:r>
          </w:p>
        </w:tc>
        <w:tc>
          <w:tcPr>
            <w:tcW w:w="27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net assets resulting from operations</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115,245,198</w:t>
            </w:r>
          </w:p>
        </w:tc>
        <w:tc>
          <w:tcPr>
            <w:tcW w:w="28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6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(171,288,747</w:t>
            </w:r>
          </w:p>
        </w:tc>
        <w:tc>
          <w:tcPr>
            <w:tcW w:w="27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net investment income</w:t>
            </w:r>
          </w:p>
        </w:tc>
        <w:tc>
          <w:tcPr>
            <w:tcW w:w="146" w:type="dxa"/>
            <w:tcBorders/>
            <w:vAlign w:val="bottom"/>
          </w:tcPr>
          <w:p>
            <w:pPr>
              <w:pStyle w:val="TableContents"/>
              <w:bidi w:val="0"/>
              <w:spacing w:before="0" w:after="283"/>
              <w:jc w:val="left"/>
              <w:rPr/>
            </w:pPr>
            <w:r>
              <w:rPr/>
              <w:t> </w:t>
            </w:r>
          </w:p>
        </w:tc>
        <w:tc>
          <w:tcPr>
            <w:tcW w:w="358"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207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(86,513,345</w:t>
            </w:r>
          </w:p>
        </w:tc>
        <w:tc>
          <w:tcPr>
            <w:tcW w:w="2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6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(142,666,077</w:t>
            </w:r>
          </w:p>
        </w:tc>
        <w:tc>
          <w:tcPr>
            <w:tcW w:w="27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distributions to stockholders</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(86,513,345</w:t>
            </w:r>
          </w:p>
        </w:tc>
        <w:tc>
          <w:tcPr>
            <w:tcW w:w="28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6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(142,666,077</w:t>
            </w:r>
          </w:p>
        </w:tc>
        <w:tc>
          <w:tcPr>
            <w:tcW w:w="27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074"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68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9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share transactions:</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07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68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9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common stock (net of underwriting fees and offering costs of $1,975,890 and $1,602,669, respectively)</w:t>
            </w:r>
          </w:p>
        </w:tc>
        <w:tc>
          <w:tcPr>
            <w:tcW w:w="146" w:type="dxa"/>
            <w:tcBorders/>
            <w:vAlign w:val="bottom"/>
          </w:tcPr>
          <w:p>
            <w:pPr>
              <w:pStyle w:val="TableContents"/>
              <w:bidi w:val="0"/>
              <w:spacing w:before="0" w:after="283"/>
              <w:jc w:val="left"/>
              <w:rPr/>
            </w:pPr>
            <w:r>
              <w:rPr/>
              <w:t> </w:t>
            </w:r>
          </w:p>
        </w:tc>
        <w:tc>
          <w:tcPr>
            <w:tcW w:w="3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164,942,865</w:t>
            </w:r>
          </w:p>
        </w:tc>
        <w:tc>
          <w:tcPr>
            <w:tcW w:w="28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6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139,817,070</w:t>
            </w:r>
          </w:p>
        </w:tc>
        <w:tc>
          <w:tcPr>
            <w:tcW w:w="2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Reinvestment of distributions</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11,584,161</w:t>
            </w:r>
          </w:p>
        </w:tc>
        <w:tc>
          <w:tcPr>
            <w:tcW w:w="28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6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20,132,491</w:t>
            </w:r>
          </w:p>
        </w:tc>
        <w:tc>
          <w:tcPr>
            <w:tcW w:w="2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from capital share transactions</w:t>
            </w:r>
          </w:p>
        </w:tc>
        <w:tc>
          <w:tcPr>
            <w:tcW w:w="146" w:type="dxa"/>
            <w:tcBorders/>
            <w:vAlign w:val="bottom"/>
          </w:tcPr>
          <w:p>
            <w:pPr>
              <w:pStyle w:val="TableContents"/>
              <w:bidi w:val="0"/>
              <w:spacing w:before="0" w:after="283"/>
              <w:jc w:val="left"/>
              <w:rPr/>
            </w:pPr>
            <w:r>
              <w:rPr/>
              <w:t> </w:t>
            </w:r>
          </w:p>
        </w:tc>
        <w:tc>
          <w:tcPr>
            <w:tcW w:w="3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176,527,026</w:t>
            </w:r>
          </w:p>
        </w:tc>
        <w:tc>
          <w:tcPr>
            <w:tcW w:w="28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6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159,949,561</w:t>
            </w:r>
          </w:p>
        </w:tc>
        <w:tc>
          <w:tcPr>
            <w:tcW w:w="2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07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68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9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increase (decrease) in net assets</w:t>
            </w:r>
          </w:p>
        </w:tc>
        <w:tc>
          <w:tcPr>
            <w:tcW w:w="146" w:type="dxa"/>
            <w:tcBorders/>
            <w:vAlign w:val="bottom"/>
          </w:tcPr>
          <w:p>
            <w:pPr>
              <w:pStyle w:val="TableContents"/>
              <w:bidi w:val="0"/>
              <w:spacing w:before="0" w:after="283"/>
              <w:jc w:val="left"/>
              <w:rPr/>
            </w:pPr>
            <w:r>
              <w:rPr/>
              <w:t> </w:t>
            </w:r>
          </w:p>
        </w:tc>
        <w:tc>
          <w:tcPr>
            <w:tcW w:w="3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205,258,879</w:t>
            </w:r>
          </w:p>
        </w:tc>
        <w:tc>
          <w:tcPr>
            <w:tcW w:w="28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6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(154,005,263</w:t>
            </w:r>
          </w:p>
        </w:tc>
        <w:tc>
          <w:tcPr>
            <w:tcW w:w="27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at beginning of period/year</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793,151,036</w:t>
            </w:r>
          </w:p>
        </w:tc>
        <w:tc>
          <w:tcPr>
            <w:tcW w:w="28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6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947,156,299</w:t>
            </w:r>
          </w:p>
        </w:tc>
        <w:tc>
          <w:tcPr>
            <w:tcW w:w="2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074"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68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9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at end of period/year</w:t>
            </w:r>
          </w:p>
        </w:tc>
        <w:tc>
          <w:tcPr>
            <w:tcW w:w="146" w:type="dxa"/>
            <w:tcBorders/>
            <w:shd w:fill="CCEEFF" w:val="clear"/>
            <w:vAlign w:val="bottom"/>
          </w:tcPr>
          <w:p>
            <w:pPr>
              <w:pStyle w:val="TableContents"/>
              <w:bidi w:val="0"/>
              <w:spacing w:before="0" w:after="283"/>
              <w:jc w:val="left"/>
              <w:rPr/>
            </w:pPr>
            <w:r>
              <w:rPr/>
              <w:t> </w:t>
            </w:r>
          </w:p>
        </w:tc>
        <w:tc>
          <w:tcPr>
            <w:tcW w:w="3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998,409,915</w:t>
            </w:r>
          </w:p>
        </w:tc>
        <w:tc>
          <w:tcPr>
            <w:tcW w:w="28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793,151,036</w:t>
            </w:r>
          </w:p>
        </w:tc>
        <w:tc>
          <w:tcPr>
            <w:tcW w:w="2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074"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68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9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share activity:</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07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68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9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w:t>
            </w:r>
          </w:p>
        </w:tc>
        <w:tc>
          <w:tcPr>
            <w:tcW w:w="146" w:type="dxa"/>
            <w:tcBorders/>
            <w:vAlign w:val="bottom"/>
          </w:tcPr>
          <w:p>
            <w:pPr>
              <w:pStyle w:val="TableContents"/>
              <w:bidi w:val="0"/>
              <w:spacing w:before="0" w:after="283"/>
              <w:jc w:val="left"/>
              <w:rPr/>
            </w:pPr>
            <w:r>
              <w:rPr/>
              <w:t> </w:t>
            </w:r>
          </w:p>
        </w:tc>
        <w:tc>
          <w:tcPr>
            <w:tcW w:w="3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32,931,214</w:t>
            </w:r>
          </w:p>
        </w:tc>
        <w:tc>
          <w:tcPr>
            <w:tcW w:w="28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6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23,875,115</w:t>
            </w:r>
          </w:p>
        </w:tc>
        <w:tc>
          <w:tcPr>
            <w:tcW w:w="2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 from distribution reinvestment plan</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2,398,929</w:t>
            </w:r>
          </w:p>
        </w:tc>
        <w:tc>
          <w:tcPr>
            <w:tcW w:w="28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6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3,719,788</w:t>
            </w:r>
          </w:p>
        </w:tc>
        <w:tc>
          <w:tcPr>
            <w:tcW w:w="2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capital share activity</w:t>
            </w:r>
          </w:p>
        </w:tc>
        <w:tc>
          <w:tcPr>
            <w:tcW w:w="146" w:type="dxa"/>
            <w:tcBorders/>
            <w:vAlign w:val="bottom"/>
          </w:tcPr>
          <w:p>
            <w:pPr>
              <w:pStyle w:val="TableContents"/>
              <w:bidi w:val="0"/>
              <w:spacing w:before="0" w:after="283"/>
              <w:jc w:val="left"/>
              <w:rPr/>
            </w:pPr>
            <w:r>
              <w:rPr/>
              <w:t> </w:t>
            </w:r>
          </w:p>
        </w:tc>
        <w:tc>
          <w:tcPr>
            <w:tcW w:w="35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7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35,330,143</w:t>
            </w:r>
          </w:p>
        </w:tc>
        <w:tc>
          <w:tcPr>
            <w:tcW w:w="28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27,594,903</w:t>
            </w:r>
          </w:p>
        </w:tc>
        <w:tc>
          <w:tcPr>
            <w:tcW w:w="2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106"/>
      <w:bookmarkEnd w:id="11"/>
      <w:r>
        <w:rPr>
          <w:rFonts w:ascii="Times New Roman PS Std;serif" w:hAnsi="Times New Roman PS Std;serif"/>
          <w:b/>
          <w:i w:val="false"/>
          <w:caps w:val="false"/>
          <w:smallCaps w:val="false"/>
          <w:sz w:val="20"/>
        </w:rPr>
        <w:t>OXFORD LANE CAPITAL CORP.</w:t>
        <w:br/>
        <w:t>STATEMENT OF CASH FLOWS</w:t>
        <w:br/>
        <w:t>(Unaudited)</w:t>
      </w:r>
    </w:p>
    <w:tbl>
      <w:tblPr>
        <w:tblW w:w="10205" w:type="dxa"/>
        <w:jc w:val="left"/>
        <w:tblInd w:w="0" w:type="dxa"/>
        <w:tblLayout w:type="fixed"/>
        <w:tblCellMar>
          <w:top w:w="0" w:type="dxa"/>
          <w:left w:w="0" w:type="dxa"/>
          <w:bottom w:w="0" w:type="dxa"/>
          <w:right w:w="0" w:type="dxa"/>
        </w:tblCellMar>
      </w:tblPr>
      <w:tblGrid>
        <w:gridCol w:w="6960"/>
        <w:gridCol w:w="146"/>
        <w:gridCol w:w="381"/>
        <w:gridCol w:w="2333"/>
        <w:gridCol w:w="385"/>
      </w:tblGrid>
      <w:tr>
        <w:trPr/>
        <w:tc>
          <w:tcPr>
            <w:tcW w:w="69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9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 September 30, 2023</w:t>
            </w:r>
          </w:p>
        </w:tc>
      </w:tr>
      <w:tr>
        <w:trPr/>
        <w:tc>
          <w:tcPr>
            <w:tcW w:w="69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333"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resulting from operations</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115,245,198</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increase in net assets resulting from operations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333"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 on investments</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(1,202,273</w:t>
            </w:r>
          </w:p>
        </w:tc>
        <w:tc>
          <w:tcPr>
            <w:tcW w:w="38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issuance costs on mandatorily redeemable preferred stock</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699,036</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offering costs on common stock</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16,747</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issuance costs on notes payable – unsecured notes</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516,378</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interest income due to payment-in-kind</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(214,149</w:t>
            </w:r>
          </w:p>
        </w:tc>
        <w:tc>
          <w:tcPr>
            <w:tcW w:w="38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investments</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(328,150,228</w:t>
            </w:r>
          </w:p>
        </w:tc>
        <w:tc>
          <w:tcPr>
            <w:tcW w:w="38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investments</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34,881,479</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of principal and reductions to investment cost value</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46,525,718</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 on investments</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(40,273,703</w:t>
            </w:r>
          </w:p>
        </w:tc>
        <w:tc>
          <w:tcPr>
            <w:tcW w:w="38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deferred offering costs</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29,973</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 on investments</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11,863,908</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reductions to CLO equity and related investment cost</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78,972,705</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distributions receivable</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(4,292,161</w:t>
            </w:r>
          </w:p>
        </w:tc>
        <w:tc>
          <w:tcPr>
            <w:tcW w:w="38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fee receivable</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(29,276</w:t>
            </w:r>
          </w:p>
        </w:tc>
        <w:tc>
          <w:tcPr>
            <w:tcW w:w="38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interest receivable</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(1,581,449</w:t>
            </w:r>
          </w:p>
        </w:tc>
        <w:tc>
          <w:tcPr>
            <w:tcW w:w="38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prepaid expenses and other assets</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167,094</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base management fee payable</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740,215</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incentive fee payable</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1,858,173</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excise tax payable</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(748,693</w:t>
            </w:r>
          </w:p>
        </w:tc>
        <w:tc>
          <w:tcPr>
            <w:tcW w:w="38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administrator expense payable</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3,611</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accrued offering costs</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38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accrued expenses</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442,755</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(84,533,942</w:t>
            </w:r>
          </w:p>
        </w:tc>
        <w:tc>
          <w:tcPr>
            <w:tcW w:w="3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333"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paid (net of distribution reinvestment plan of $11,584,161)</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(74,929,184</w:t>
            </w:r>
          </w:p>
        </w:tc>
        <w:tc>
          <w:tcPr>
            <w:tcW w:w="38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issuance of common stock</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166,918,755</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fees and offering costs for the issuance of common stock</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(1,975,890</w:t>
            </w:r>
          </w:p>
        </w:tc>
        <w:tc>
          <w:tcPr>
            <w:tcW w:w="38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(114,051</w:t>
            </w:r>
          </w:p>
        </w:tc>
        <w:tc>
          <w:tcPr>
            <w:tcW w:w="3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89,899,630</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333"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 and cash equivalents</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5,365,688</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period</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21,740,106</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end of period</w:t>
            </w:r>
          </w:p>
        </w:tc>
        <w:tc>
          <w:tcPr>
            <w:tcW w:w="146" w:type="dxa"/>
            <w:tcBorders/>
            <w:vAlign w:val="bottom"/>
          </w:tcPr>
          <w:p>
            <w:pPr>
              <w:pStyle w:val="TableContents"/>
              <w:bidi w:val="0"/>
              <w:spacing w:before="0" w:after="283"/>
              <w:jc w:val="left"/>
              <w:rPr/>
            </w:pPr>
            <w:r>
              <w:rPr/>
              <w:t> </w:t>
            </w:r>
          </w:p>
        </w:tc>
        <w:tc>
          <w:tcPr>
            <w:tcW w:w="3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3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27,105,794</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333"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DISCLOSURES</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333"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15,214,255</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excise taxes</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4,305,625</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ACTIVITIES</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333"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Value of shares issued in connection with dividend reinvestment plan</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11,584,161</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securities purchased not settled</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2,295,000</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interest income due to payment-in-kind</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214,149</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07"/>
      <w:bookmarkEnd w:id="12"/>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UNAUDITED INTERIM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financial statements of Oxford Lane Capital Corp. (“OXLC,” “we,” “us,” “our,” or the “Fund”) are prepared in accordance with generally accepted accounting principles in the United States of America (“GAAP”) for interim financial information and pursuant to the requirements for reporting on Form N-CSR. Accordingly, certain disclosures accompanying annual financial statements prepared in accordance with GAAP are omitted. In the opinion of management, all adjustments, consisting of normal recurring accruals, necessary for the fair statement of financial results for the interim periods have been included. The current period’s results of operations are not necessarily indicative of results that may be achieved for the year. The interim financial statements and notes thereto should be read in conjunction with the financial statements and notes thereto included in the Fund’s Form N-CSR for the year ended March 31, 2023, as filed with the Securities and Exchange Commission (“SEC”).</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was incorporated under the General Corporation Laws of the State of Maryland on June 9, 2010. The Fund is a closed-end management investment company that has registered under the Investment Company Act of 1940, as amended (the “1940 Act”). In addition, the Fund has elected to be treated for tax purposes as a regulated investment company (“RIC”) under Subchapter M of the Internal Revenue Code of 1986, as amended (the “Code”). The Fund’s investment objective is to maximize its portfolio’s risk adjusted total return, and it currently seeks to achieve its investment objective by investing in structured finance investments, specifically the equity and junior debt tranches of collateralized loan obligation (“CLO”) vehicles, which are collateralized primarily by a diverse portfolio of senior secured loans made to companies whose debt is unrated or is rated below investment grade (the “Senior Loans”) and, to a limited extent, subordinated and/or unsecured loans and bonds (together with the Senior Loans, the “CLO Assets”). The Fund’s investment activities are managed by Oxford Lane Management, LLC (“Oxford Lane Management”), a registered investment adviser under the Investment Advisers Act of 1940, as amended (the “Advisers Act”). Oxford Funds, LLC (“Oxford Funds”) is the managing member of Oxford Lane Management and serves as the administrator of the Fund. Under the investment advisory agreement with Oxford Lane Management (the “Investment Advisory Agreement”), the Fund has agreed to pay Oxford Lane Management an annual base management fee based on gross assets as well as an incentive fee based on its performance. For further detail please refer to “Note 5. Related Party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SUMMARY OF SIGNIFICANT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accompanying financial statements, which have been prepared in accordance with GAAP, include the accounts of the Fund. The Fund follows the accounting and reporting guidance in Financial Accounting Standards Board (“FASB”) Accounting Standards Codification (“ASC”) Topic 946, </w:t>
      </w:r>
      <w:r>
        <w:rPr>
          <w:rFonts w:ascii="Times New Roman PS Std;serif" w:hAnsi="Times New Roman PS Std;serif"/>
          <w:b w:val="false"/>
          <w:i/>
          <w:caps w:val="false"/>
          <w:smallCaps w:val="false"/>
          <w:sz w:val="20"/>
        </w:rPr>
        <w:t>Financial Services — Investment Companies</w:t>
      </w:r>
      <w:r>
        <w:rPr>
          <w:rFonts w:ascii="Times New Roman PS Std;serif" w:hAnsi="Times New Roman PS Std;serif"/>
          <w:b w:val="false"/>
          <w:i w:val="false"/>
          <w:caps w:val="false"/>
          <w:smallCaps w:val="false"/>
          <w:sz w:val="20"/>
        </w:rPr>
        <w:t>. Certain prior period figures have been reclassified from those originally published on Form N-CSR to conform to the current period presentation for comparative purposes. The Fund maintains its accounting records in U.S. dollars.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in accordance with GAAP, which requires management to make estimates and assumptions that affect the amounts reported in the financial statements and accompanying notes. Actual results may differ from those estimates and such differences could be material.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normal course of business, the Fund may enter into contracts that contain a variety of representations and provide indemnifications. The Fund’s maximum exposure under these arrangements is unknown as this would involve future claims that may be made against the Fund that have not yet occurred. However, based upon experience, the Fund expects the risk of loss to be remote.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consist of deposits held at custodian banks, and highly liquid investments, such as money market funds, which contain investments with original maturities of three months or less. The Fund places its cash equivalents with financial institutions, and, at times, cash held in bank accounts may exceed the Federal Deposit Insurance Corporation (“FDIC”) insured limit. Cash equivalents are classified as Level 1 assets and are included on the Fund’s Schedule of Investments. Cash equivalents are carried at cost or amortized cost which approximates fair value, and investments held in money market funds are valued at NAV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September 30, 2023, cash and cash equivalents were as follows:</w:t>
      </w:r>
    </w:p>
    <w:tbl>
      <w:tblPr>
        <w:tblW w:w="5187" w:type="dxa"/>
        <w:jc w:val="left"/>
        <w:tblInd w:w="0" w:type="dxa"/>
        <w:tblLayout w:type="fixed"/>
        <w:tblCellMar>
          <w:top w:w="0" w:type="dxa"/>
          <w:left w:w="0" w:type="dxa"/>
          <w:bottom w:w="0" w:type="dxa"/>
          <w:right w:w="0" w:type="dxa"/>
        </w:tblCellMar>
      </w:tblPr>
      <w:tblGrid>
        <w:gridCol w:w="3316"/>
        <w:gridCol w:w="146"/>
        <w:gridCol w:w="267"/>
        <w:gridCol w:w="1458"/>
      </w:tblGrid>
      <w:tr>
        <w:trPr/>
        <w:tc>
          <w:tcPr>
            <w:tcW w:w="33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September 30, </w:t>
              <w:br/>
              <w:t>2023</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2,290,382</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vAlign w:val="bottom"/>
          </w:tcPr>
          <w:p>
            <w:pPr>
              <w:pStyle w:val="TableContents"/>
              <w:bidi w:val="0"/>
              <w:spacing w:before="0" w:after="283"/>
              <w:jc w:val="left"/>
              <w:rPr/>
            </w:pPr>
            <w:r>
              <w:rPr/>
              <w:t> </w:t>
            </w:r>
          </w:p>
        </w:tc>
        <w:tc>
          <w:tcPr>
            <w:tcW w:w="2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24,815,412</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Cash and Cash Equivalents</w:t>
            </w:r>
          </w:p>
        </w:tc>
        <w:tc>
          <w:tcPr>
            <w:tcW w:w="146" w:type="dxa"/>
            <w:tcBorders/>
            <w:shd w:fill="CCEEFF" w:val="clear"/>
            <w:vAlign w:val="bottom"/>
          </w:tcPr>
          <w:p>
            <w:pPr>
              <w:pStyle w:val="TableContents"/>
              <w:bidi w:val="0"/>
              <w:spacing w:before="0" w:after="283"/>
              <w:jc w:val="left"/>
              <w:rPr/>
            </w:pPr>
            <w:r>
              <w:rPr/>
              <w:t> </w:t>
            </w:r>
          </w:p>
        </w:tc>
        <w:tc>
          <w:tcPr>
            <w:tcW w:w="2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27,105,794</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VALUATION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determines the fair values of its investment portfolio in accordance with the provisions of ASC 820, Fair Value Measurement (“ASC 820-10”) and Rule 2a-5 under the 1940 Act (“Rule 2a-5”). Estimates made in the preparation of the Fund’s financial statements include the valuation of investments and the related amounts of unrealized appreciation and depreciation of investments recorded. The Fund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the Fund makes. The Fund fair values each individual investment at least quarterly.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820-10 clarified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The Fund considers the attributes of current market conditions on an ongoing basis and has determined that due to the general illiquidity of the market for its investment portfolio, whereby little or no market data exists, all of the Fund’s investments are based upon “Level 3” inputs as of September 30,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has adopted valuation policies and procedures (the “Valuation Policy”) that are intended to comply with Rule 2a-5. The Board determines the value of its investment portfolio at least quarterly, after consideration of the Valuation Committee’s recommendation of fair value. In connection with that determination, Oxford Lane Management compiles relevant information, including a financial summary, recent trading activity in the security, if known, price indications from third-party pricing services and recent purchases and sales known to Oxford Lane Management in similar securities. All available information, including non-binding indicative bids and indicative indications of pricing from a third-party pricing service, which may not be considered reliable, will be considered by the Board and/or the Valuation Committee. In some instances, there may be limited trading activity in a security even though the market for the security is considered not active. In such cases the Board and/or the Valuation Committee will consider the number of trades, the size and timing of each trade, and other circumstances around such trades, to the extent such information is available. The Fund may elect to engage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third-party valuation firms to provide assistance to the Valuation Committee and Board of Directors in valuing certain of our investments. The Valuation Committee will evaluate the impact of such additional information, and factor it into its consideration of fair value. Changes in fair value, as described above, are recorded in the statement of operations as net change in unrealized appreciation/depreciation on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Collateralized Loan Obligations — Debt and Equity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has acquired debt and equity positions in CLO investment vehicles and has purchased CLO warehouse facilities. These investments are special purpose financing vehicles. In valuing such investments, the Fund considers the indicative prices provided by a recognized industry pricing service as a primary source for the Fund’s CLO debt and equity positions, and the implied yield of such prices, supplemented by actual trades executed in the market at or around period-end, as well as the indicative prices provided by the broker who arranges transactions in such investment vehicles. The Fund also considers those instances in which the record date for an equity distribution payment falls on or before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the Fund considers the operating metrics of the specific investment vehicle, including compliance with collateralization tests, defaulted and restructured securities, and payment defaults, if any. In periods of illiquidity and volatility, the Fund may rely more heavily on other qualities and metrics, including, but not limited to, the collateral manager, time left in the reinvestment period, and expected cash flows and overcollateralization ratios, instead of the Fund’s generated valuation yields. The Valuation Committee will evaluate the impact of such additional information, and factor it into its consideration of fair value.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Securities Sold Under Agreement to Repurchase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may enter into an agreement whereby it sells securities to be repurchased at an agreed-upon price and date. Under such an agreement, the Fund accounts for this transaction as a collateralized financing transaction which is recorded at the contracted repurchase amount plus interest. Refer to “Note 9. Borrowings” for further details.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REPURCHASES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Board of Directors may authorize a share repurchase program under which shares of the Fund’s common stock are purchased in open market transactions. Since the Fund is incorporated in the State of Maryland, state law requires share repurchases to be accounted for as a share retirement. The cost of repurchased shares is charged against capital on the settlement date. There was no share repurchase program authorized on the Fund’s common stock for the six months ended September 30, 2023 and the year ended March 31, 2023.</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carries its mandatorily redeemable preferred stock at accreted cost on the Statement of Assets and Liabilities, and not fair value. Refer to “Note 8. Mandatorily Redeemable Preferred Stock” for further details.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PREPAID EXPENSES AND OTHER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assets consists primarily of insurance costs.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INCOME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from securitization vehicles and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Income from investments in the equity class securities of CLO vehicles (typically income notes or subordinated notes) is recorded using the effective interest method in accordance with the provisions of ASC 325-40 </w:t>
      </w:r>
      <w:r>
        <w:rPr>
          <w:rFonts w:ascii="Times New Roman PS Std;serif" w:hAnsi="Times New Roman PS Std;serif"/>
          <w:b w:val="false"/>
          <w:i/>
          <w:caps w:val="false"/>
          <w:smallCaps w:val="false"/>
          <w:sz w:val="20"/>
        </w:rPr>
        <w:t>Beneficial Interests in Securitized Financial Assets</w:t>
      </w:r>
      <w:r>
        <w:rPr>
          <w:rFonts w:ascii="Times New Roman PS Std;serif" w:hAnsi="Times New Roman PS Std;serif"/>
          <w:b w:val="false"/>
          <w:i w:val="false"/>
          <w:caps w:val="false"/>
          <w:smallCaps w:val="false"/>
          <w:sz w:val="20"/>
        </w:rPr>
        <w:t>, based upon estimated cash flows, their expected timing, and expected redemption, including those CLO equity investments that have not made their inaugural distribution for the relevant period end. The Fund monitors the expected residual payments, and effective yield is determined and updated periodically, as needed. Accordingly, investment income recognized on CLO equity securities in the GAAP statement of operations differs from both the tax-basis investment income and from the cash distributions actually received by the Fund during the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also records income on its investments in certain securitization vehicles (or “CLO warehouse facilities”) based on a stated rate per the underlying note purchase agreement plus accrued interest or, if there is no stated rate, then an estimated rate is calculated using a base case model projecting the timing of the ramp-up of the CLO warehouse facility.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Income — Debt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is recorded on an accrual basis using the contractual rate applicable to each debt investment and includes the accretion of market discounts and/or original issue discount (“OID”) and amortization of market premiums. Discounts from and premiums to par value on securities purchased are accreted/amortized into interest income over the life of the respective security using the effective yield method. The amortized cost of investments represents the original cost adjusted for the accretion of discounts and amortization of premiums, if 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September 30, 2023, the Fund did not have any investments in its portfolio on non-accrual status.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also includes a payment-in-kind (“PIK”) provision on certain investments in the Fund’s portfolio. Refer to the section below, “Payment-In-Kind,” for a description of the PIK provision and its impact on interest income.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Payment-In-Kind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has held debt investments in its portfolio which contain a contractual PIK provision. Certain PIK investments offer issuers the option at each payment date of making payments in cash or additional securities. PIK interest is computed at the contractual rate and is recorded as interest income. The PIK amount is added to the principal balance on the capitalization date. Upon capitalization, the PIK component is subject to the fair value estimates associated with the related investments. At the point the Fund believes PIK is not fully expected to be realized, the PIK investment will be placed on non-accrual status. When a PIK investment is placed on non-accrual status, the accrued, uncapitalized interest is reversed from the related receivable through interest income. PIK investments on non-accrual status are restored to accrual status once it becomes probable that PIK will be realized.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includes distributions from fee letters and success fees associated with portfolio investments. Distributions from fee letters are an enhancement to the return on a CLO equity investments and are based upon a percentage of the collateral manager’s fees above the amortized cost and are recorded as other income when earned. The Fund may also earn success fees associated with its investment in CLO warehouse facilities, which are contingent upon a repayment of the warehouse by a permanent CLO securitization structure; such fees are earned and recognized when the repayment is completed.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FEDERAL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intends to operate so as to continue to qualify to be taxed as a RIC under Subchapter M of the Code and, as such, to not be subject to U.S. federal income tax on the portion of its taxable income and gains timely distributed to stockholders. To qualify for RIC tax treatment, the Fund is required to distribute at least 90% of its investment company taxable income, as defined by the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recognizes the tax benefits of uncertain tax positions only when the position is more likely than not to be sustained, assuming examination by tax authorities. Management has analyzed the Fund’s tax positions and concluded that no liability for unrecognized tax benefits should be recorded related to uncertain tax positions expected to be taken in the Fund’s fiscal 2023 tax returns. The Fund identifies its major tax jurisdictions as U.S Federal and Connecticut State. The Fund is not aware of any tax position for which it is reasonably possible that the total amounts of unrecognized tax benefits will change materially in the next six months.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distribution policy is based upon its estimate of its taxable net investment income, which includes actual distributions from the Fund’s CLO equity class investments, with further consideration given to its realized gains or losses on a taxable basis. Distributions from net investment income and capital gain distributions are determined in accordance with U.S. federal income tax regulations, which differ from GAAP. Distributions from net investment income, if any, are expected to be declared quarterly and paid monthly. Net realized capital gains, unless offset by any available capital loss carry-forward, are typically distributed to stockholders annually. Distributions to stockholders are recorded on the ex-dividend date and are automatically reinvested in full and fractional shares of the Fund in accordance with the Fund’s distribution reinvestment plan, unless the stockholder has elected to have them paid in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required to be distributed reflect estimates made by the Fund. Distributions paid by the Fund in accordance with RIC requirements are subject to re-characterization for tax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Securities transactions are recorded on the trade date. Realized gains and losses on investments sold are recorded on the basis of specific identification.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liquidation of the CLO’s assets or through a refinancing with new debt. The optional redemption is effectively a voluntary prepayment of the secured debt issued by the CLO prior to the stated maturity of such debt. Distributions received on CLO equity investments where the optional redemption feature has been exercised are first applied to the remaining cost basis until it is reduced to zero, after which distributions are recorded as realized gains.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OFFERING COSTS ON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on common stock consist of fees and expenses incurred in connection with the registration and public offer and sale of the Fund’s common stock, including legal, accounting and printing fees. These costs are deferred at the time of incurrence and are subsequently charged as a reduction to capital when the offering takes place or as shares are issued. Deferred offering costs are periodically reviewed and expensed if the related registration statement is no longer active or if the offering is unsuccessful.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DEBT AND MANDATORILY REDEEMABLE PREFERRED STOCK ISSUANCE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debt and mandatorily redeemable preferred stock issuance costs consist of fees and expenses incurred in connection with the closing or amending of debt offerings and mandatorily redeemable preferred stock and are capitalized at the time of payment. These costs are amortized using the straight-line method over the terms of the respective debt securities or preferred stock. The amortized expenses are included in interest expense in the Fund’s financial statements. The unamortized deferred debt or preferred stock issuance costs are included on the Fund’s Statement of Assets and Liabilities as a direct deduction from the related debt and mandatorily redeemable preferred stock liability. Upon early termination of debt or preferred stock, the remaining balance of unamortized fees related to such debt or preferred stock is accelerated into realized loss on redemption of debt or preferred stock on the Fund’s Statement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FAIR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assets measured at fair value on a recurring basis subject to the disclosure requirements of ASC 820-10 at September 30, 2023, were as follows:</w:t>
      </w:r>
    </w:p>
    <w:tbl>
      <w:tblPr>
        <w:tblW w:w="10205" w:type="dxa"/>
        <w:jc w:val="left"/>
        <w:tblInd w:w="0" w:type="dxa"/>
        <w:tblLayout w:type="fixed"/>
        <w:tblCellMar>
          <w:top w:w="0" w:type="dxa"/>
          <w:left w:w="0" w:type="dxa"/>
          <w:bottom w:w="0" w:type="dxa"/>
          <w:right w:w="0" w:type="dxa"/>
        </w:tblCellMar>
      </w:tblPr>
      <w:tblGrid>
        <w:gridCol w:w="3293"/>
        <w:gridCol w:w="146"/>
        <w:gridCol w:w="536"/>
        <w:gridCol w:w="1250"/>
        <w:gridCol w:w="258"/>
        <w:gridCol w:w="498"/>
        <w:gridCol w:w="763"/>
        <w:gridCol w:w="258"/>
        <w:gridCol w:w="443"/>
        <w:gridCol w:w="1514"/>
        <w:gridCol w:w="146"/>
        <w:gridCol w:w="226"/>
        <w:gridCol w:w="874"/>
      </w:tblGrid>
      <w:tr>
        <w:trPr/>
        <w:tc>
          <w:tcPr>
            <w:tcW w:w="329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520" w:type="dxa"/>
            <w:gridSpan w:val="8"/>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Measurements at Reporting Date Using</w:t>
            </w:r>
          </w:p>
        </w:tc>
        <w:tc>
          <w:tcPr>
            <w:tcW w:w="146"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r>
      <w:tr>
        <w:trPr/>
        <w:tc>
          <w:tcPr>
            <w:tcW w:w="3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 ($ in millions)</w:t>
            </w:r>
          </w:p>
        </w:tc>
        <w:tc>
          <w:tcPr>
            <w:tcW w:w="146" w:type="dxa"/>
            <w:tcBorders/>
            <w:vAlign w:val="bottom"/>
          </w:tcPr>
          <w:p>
            <w:pPr>
              <w:pStyle w:val="TableContents"/>
              <w:bidi w:val="0"/>
              <w:spacing w:before="0" w:after="283"/>
              <w:jc w:val="left"/>
              <w:rPr/>
            </w:pPr>
            <w:r>
              <w:rPr/>
              <w:t> </w:t>
            </w:r>
          </w:p>
        </w:tc>
        <w:tc>
          <w:tcPr>
            <w:tcW w:w="178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Quoted Prices in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Active Markets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for Identical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Assets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(Level 1)</w:t>
            </w:r>
          </w:p>
        </w:tc>
        <w:tc>
          <w:tcPr>
            <w:tcW w:w="258"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Significant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Other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Observable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Inputs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(Level 2)</w:t>
            </w:r>
          </w:p>
        </w:tc>
        <w:tc>
          <w:tcPr>
            <w:tcW w:w="258" w:type="dxa"/>
            <w:tcBorders/>
            <w:vAlign w:val="bottom"/>
          </w:tcPr>
          <w:p>
            <w:pPr>
              <w:pStyle w:val="TableContents"/>
              <w:bidi w:val="0"/>
              <w:spacing w:before="0" w:after="283"/>
              <w:jc w:val="left"/>
              <w:rPr/>
            </w:pPr>
            <w:r>
              <w:rPr/>
              <w:t> </w:t>
            </w:r>
          </w:p>
        </w:tc>
        <w:tc>
          <w:tcPr>
            <w:tcW w:w="19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Significant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Unobservable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Inputs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(Level 3)</w:t>
            </w:r>
          </w:p>
        </w:tc>
        <w:tc>
          <w:tcPr>
            <w:tcW w:w="146"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Total(1)</w:t>
            </w:r>
          </w:p>
        </w:tc>
      </w:tr>
      <w:tr>
        <w:trPr/>
        <w:tc>
          <w:tcPr>
            <w:tcW w:w="32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debt</w:t>
            </w:r>
          </w:p>
        </w:tc>
        <w:tc>
          <w:tcPr>
            <w:tcW w:w="146"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w:t>
            </w:r>
          </w:p>
        </w:tc>
      </w:tr>
      <w:tr>
        <w:trPr/>
        <w:tc>
          <w:tcPr>
            <w:tcW w:w="32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rPr/>
            </w:pPr>
            <w:r>
              <w:rPr/>
              <w:t> </w:t>
            </w:r>
          </w:p>
        </w:tc>
        <w:tc>
          <w:tcPr>
            <w:tcW w:w="5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bidi w:val="0"/>
              <w:spacing w:before="0" w:after="283"/>
              <w:jc w:val="left"/>
              <w:rPr/>
            </w:pPr>
            <w:r>
              <w:rPr/>
              <w:t> </w:t>
            </w:r>
          </w:p>
        </w:tc>
        <w:tc>
          <w:tcPr>
            <w:tcW w:w="4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bidi w:val="0"/>
              <w:spacing w:before="0" w:after="283"/>
              <w:jc w:val="left"/>
              <w:rPr/>
            </w:pPr>
            <w:r>
              <w:rPr/>
              <w:t> </w:t>
            </w:r>
          </w:p>
        </w:tc>
        <w:tc>
          <w:tcPr>
            <w:tcW w:w="4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1,347.5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1,347.5</w:t>
            </w:r>
          </w:p>
        </w:tc>
      </w:tr>
      <w:tr>
        <w:trPr/>
        <w:tc>
          <w:tcPr>
            <w:tcW w:w="32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CLO equity related investments</w:t>
            </w:r>
          </w:p>
        </w:tc>
        <w:tc>
          <w:tcPr>
            <w:tcW w:w="146"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r>
      <w:tr>
        <w:trPr/>
        <w:tc>
          <w:tcPr>
            <w:tcW w:w="32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investments at fair value</w:t>
            </w:r>
          </w:p>
        </w:tc>
        <w:tc>
          <w:tcPr>
            <w:tcW w:w="146" w:type="dxa"/>
            <w:tcBorders/>
            <w:vAlign w:val="bottom"/>
          </w:tcPr>
          <w:p>
            <w:pPr>
              <w:pStyle w:val="TableContents"/>
              <w:bidi w:val="0"/>
              <w:spacing w:before="0" w:after="283"/>
              <w:jc w:val="left"/>
              <w:rPr/>
            </w:pPr>
            <w:r>
              <w:rPr/>
              <w:t> </w:t>
            </w:r>
          </w:p>
        </w:tc>
        <w:tc>
          <w:tcPr>
            <w:tcW w:w="5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bidi w:val="0"/>
              <w:spacing w:before="0" w:after="283"/>
              <w:jc w:val="left"/>
              <w:rPr/>
            </w:pPr>
            <w:r>
              <w:rPr/>
              <w:t> </w:t>
            </w:r>
          </w:p>
        </w:tc>
        <w:tc>
          <w:tcPr>
            <w:tcW w:w="4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bidi w:val="0"/>
              <w:spacing w:before="0" w:after="283"/>
              <w:jc w:val="left"/>
              <w:rPr/>
            </w:pPr>
            <w:r>
              <w:rPr/>
              <w:t> </w:t>
            </w:r>
          </w:p>
        </w:tc>
        <w:tc>
          <w:tcPr>
            <w:tcW w:w="4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1,442.9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1,442.9</w:t>
            </w:r>
          </w:p>
        </w:tc>
      </w:tr>
      <w:tr>
        <w:trPr/>
        <w:tc>
          <w:tcPr>
            <w:tcW w:w="32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w:t>
            </w:r>
          </w:p>
        </w:tc>
        <w:tc>
          <w:tcPr>
            <w:tcW w:w="258"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w:t>
            </w:r>
          </w:p>
        </w:tc>
      </w:tr>
      <w:tr>
        <w:trPr/>
        <w:tc>
          <w:tcPr>
            <w:tcW w:w="32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 at fair value</w:t>
            </w:r>
          </w:p>
        </w:tc>
        <w:tc>
          <w:tcPr>
            <w:tcW w:w="146" w:type="dxa"/>
            <w:tcBorders/>
            <w:vAlign w:val="bottom"/>
          </w:tcPr>
          <w:p>
            <w:pPr>
              <w:pStyle w:val="TableContents"/>
              <w:bidi w:val="0"/>
              <w:spacing w:before="0" w:after="283"/>
              <w:jc w:val="left"/>
              <w:rPr/>
            </w:pPr>
            <w:r>
              <w:rPr/>
              <w:t> </w:t>
            </w:r>
          </w:p>
        </w:tc>
        <w:tc>
          <w:tcPr>
            <w:tcW w:w="5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w:t>
            </w:r>
          </w:p>
        </w:tc>
        <w:tc>
          <w:tcPr>
            <w:tcW w:w="258" w:type="dxa"/>
            <w:tcBorders/>
            <w:vAlign w:val="bottom"/>
          </w:tcPr>
          <w:p>
            <w:pPr>
              <w:pStyle w:val="TableContents"/>
              <w:bidi w:val="0"/>
              <w:spacing w:before="0" w:after="283"/>
              <w:jc w:val="left"/>
              <w:rPr/>
            </w:pPr>
            <w:r>
              <w:rPr/>
              <w:t> </w:t>
            </w:r>
          </w:p>
        </w:tc>
        <w:tc>
          <w:tcPr>
            <w:tcW w:w="49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bidi w:val="0"/>
              <w:spacing w:before="0" w:after="283"/>
              <w:jc w:val="left"/>
              <w:rPr/>
            </w:pPr>
            <w:r>
              <w:rPr/>
              <w:t> </w:t>
            </w:r>
          </w:p>
        </w:tc>
        <w:tc>
          <w:tcPr>
            <w:tcW w:w="44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1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1,442.9</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1,467.7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Financial Instruments Disclosed, But Not Carried, At Fair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carrying value and fair value of the Fund’s financial liabilities disclosed, but not carried at fair value as of September 30, 2023 and the level of each financial liability within the fair value hierarchy:</w:t>
      </w:r>
    </w:p>
    <w:tbl>
      <w:tblPr>
        <w:tblW w:w="9721" w:type="dxa"/>
        <w:jc w:val="left"/>
        <w:tblInd w:w="0" w:type="dxa"/>
        <w:tblLayout w:type="fixed"/>
        <w:tblCellMar>
          <w:top w:w="0" w:type="dxa"/>
          <w:left w:w="0" w:type="dxa"/>
          <w:bottom w:w="0" w:type="dxa"/>
          <w:right w:w="0" w:type="dxa"/>
        </w:tblCellMar>
      </w:tblPr>
      <w:tblGrid>
        <w:gridCol w:w="4561"/>
        <w:gridCol w:w="146"/>
        <w:gridCol w:w="256"/>
        <w:gridCol w:w="735"/>
        <w:gridCol w:w="146"/>
        <w:gridCol w:w="226"/>
        <w:gridCol w:w="646"/>
        <w:gridCol w:w="146"/>
        <w:gridCol w:w="326"/>
        <w:gridCol w:w="499"/>
        <w:gridCol w:w="146"/>
        <w:gridCol w:w="226"/>
        <w:gridCol w:w="646"/>
        <w:gridCol w:w="146"/>
        <w:gridCol w:w="318"/>
        <w:gridCol w:w="552"/>
      </w:tblGrid>
      <w:tr>
        <w:trPr/>
        <w:tc>
          <w:tcPr>
            <w:tcW w:w="4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99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Carrying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w:t>
            </w:r>
          </w:p>
        </w:tc>
        <w:tc>
          <w:tcPr>
            <w:tcW w:w="146"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87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 Series 2024 Term Preferred Shares(1)</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 Series 2027 Term Preferred Shares(1)</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 Series 2029 Term Preferred Shares(1)</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7.125% Series 2029 Term Preferred Shares(1)</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 Unsecured Notes due 2027(2)</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 Unsecured Notes due 2031(2)</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476.7</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442.6</w:t>
            </w:r>
          </w:p>
        </w:tc>
        <w:tc>
          <w:tcPr>
            <w:tcW w:w="146" w:type="dxa"/>
            <w:tcBorders/>
            <w:shd w:fill="CCEEFF" w:val="clear"/>
            <w:vAlign w:val="bottom"/>
          </w:tcPr>
          <w:p>
            <w:pPr>
              <w:pStyle w:val="TableContents"/>
              <w:bidi w:val="0"/>
              <w:spacing w:before="0" w:after="283"/>
              <w:jc w:val="left"/>
              <w:rPr/>
            </w:pPr>
            <w:r>
              <w:rPr/>
              <w:t> </w:t>
            </w:r>
          </w:p>
        </w:tc>
        <w:tc>
          <w:tcPr>
            <w:tcW w:w="3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442.6</w:t>
            </w:r>
          </w:p>
        </w:tc>
        <w:tc>
          <w:tcPr>
            <w:tcW w:w="146" w:type="dxa"/>
            <w:tcBorders/>
            <w:shd w:fill="CCEEFF" w:val="clear"/>
            <w:vAlign w:val="bottom"/>
          </w:tcPr>
          <w:p>
            <w:pPr>
              <w:pStyle w:val="TableContents"/>
              <w:bidi w:val="0"/>
              <w:spacing w:before="0" w:after="283"/>
              <w:jc w:val="left"/>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Term Preferred Stock (as defined below), fair value is based upon the closing price on the last day of the period. The Term Preferred Stock are listed on the NASDAQ Global Select Market (trading symbols “OXLCM”, “OXLCP”, “OXLCO” and “OXLCN”).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5.00% Unsecured Notes due 2027 and 6.75% Unsecured Notes due 2031, fair value is based upon the closing price on the last day of the period. The 5.00% Unsecured Notes due 2027 and 6.75% Unsecured Notes due 2031 are listed on the NASDAQ Global Select Market (trading symbol “OXLCZ” and “OXLCL”, respectively).</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Significant Unobservable Inputs for Level 3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820-10, the following table provides quantitative information about the Fund’s Level 3 fair value measurements as of September 30, 2023. The Fund’s Valuation Policy, as described above, establishes parameters for the sources and types of valuation analysis, as well as the methodologies and inputs that the Fund uses in determining fair value. If the Board of Directors, including upon recommendation of Oxford Lane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 and methodology and asset category.</w:t>
      </w:r>
    </w:p>
    <w:tbl>
      <w:tblPr>
        <w:tblW w:w="10205" w:type="dxa"/>
        <w:jc w:val="left"/>
        <w:tblInd w:w="0" w:type="dxa"/>
        <w:tblLayout w:type="fixed"/>
        <w:tblCellMar>
          <w:top w:w="0" w:type="dxa"/>
          <w:left w:w="0" w:type="dxa"/>
          <w:bottom w:w="0" w:type="dxa"/>
          <w:right w:w="0" w:type="dxa"/>
        </w:tblCellMar>
      </w:tblPr>
      <w:tblGrid>
        <w:gridCol w:w="1664"/>
        <w:gridCol w:w="146"/>
        <w:gridCol w:w="332"/>
        <w:gridCol w:w="1139"/>
        <w:gridCol w:w="146"/>
        <w:gridCol w:w="1775"/>
        <w:gridCol w:w="146"/>
        <w:gridCol w:w="1396"/>
        <w:gridCol w:w="146"/>
        <w:gridCol w:w="1560"/>
        <w:gridCol w:w="146"/>
        <w:gridCol w:w="1609"/>
      </w:tblGrid>
      <w:tr>
        <w:trPr/>
        <w:tc>
          <w:tcPr>
            <w:tcW w:w="166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40" w:type="dxa"/>
            <w:gridSpan w:val="8"/>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Quantitative Information about Level 3 Fair Value Measurements</w:t>
            </w:r>
          </w:p>
        </w:tc>
        <w:tc>
          <w:tcPr>
            <w:tcW w:w="146" w:type="dxa"/>
            <w:tcBorders/>
            <w:vAlign w:val="bottom"/>
          </w:tcPr>
          <w:p>
            <w:pPr>
              <w:pStyle w:val="TableContents"/>
              <w:bidi w:val="0"/>
              <w:spacing w:before="0" w:after="283"/>
              <w:jc w:val="left"/>
              <w:rPr/>
            </w:pPr>
            <w:r>
              <w:rPr/>
              <w:t> </w:t>
            </w:r>
          </w:p>
        </w:tc>
        <w:tc>
          <w:tcPr>
            <w:tcW w:w="1609" w:type="dxa"/>
            <w:tcBorders/>
            <w:vAlign w:val="bottom"/>
          </w:tcPr>
          <w:p>
            <w:pPr>
              <w:pStyle w:val="TableContents"/>
              <w:bidi w:val="0"/>
              <w:spacing w:before="0" w:after="283"/>
              <w:jc w:val="left"/>
              <w:rPr/>
            </w:pPr>
            <w:r>
              <w:rPr/>
              <w:t> </w:t>
            </w:r>
          </w:p>
        </w:tc>
      </w:tr>
      <w:tr>
        <w:trPr/>
        <w:tc>
          <w:tcPr>
            <w:tcW w:w="16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Assets</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Fair Value</w:t>
              <w:br/>
              <w:t xml:space="preserve">as of </w:t>
              <w:br/>
              <w:t xml:space="preserve">September 30, </w:t>
              <w:br/>
              <w:t>2023</w:t>
            </w:r>
          </w:p>
        </w:tc>
        <w:tc>
          <w:tcPr>
            <w:tcW w:w="146" w:type="dxa"/>
            <w:tcBorders/>
            <w:vAlign w:val="bottom"/>
          </w:tcPr>
          <w:p>
            <w:pPr>
              <w:pStyle w:val="TableContents"/>
              <w:bidi w:val="0"/>
              <w:spacing w:before="0" w:after="283"/>
              <w:jc w:val="left"/>
              <w:rPr/>
            </w:pPr>
            <w:r>
              <w:rPr/>
              <w:t> </w:t>
            </w:r>
          </w:p>
        </w:tc>
        <w:tc>
          <w:tcPr>
            <w:tcW w:w="177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Valuation </w:t>
              <w:br/>
              <w:t xml:space="preserve">Techniques/ </w:t>
              <w:br/>
              <w:t>Methodologies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Unobservable </w:t>
              <w:br/>
              <w:t>Input</w:t>
            </w:r>
          </w:p>
        </w:tc>
        <w:tc>
          <w:tcPr>
            <w:tcW w:w="146" w:type="dxa"/>
            <w:tcBorders/>
            <w:vAlign w:val="bottom"/>
          </w:tcPr>
          <w:p>
            <w:pPr>
              <w:pStyle w:val="TableContents"/>
              <w:bidi w:val="0"/>
              <w:spacing w:before="0" w:after="283"/>
              <w:jc w:val="left"/>
              <w:rPr/>
            </w:pPr>
            <w:r>
              <w:rPr/>
              <w:t> </w:t>
            </w:r>
          </w:p>
        </w:tc>
        <w:tc>
          <w:tcPr>
            <w:tcW w:w="156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Range/Weighted </w:t>
              <w:br/>
              <w:t>Average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60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Impact to </w:t>
              <w:br/>
              <w:t>Valuation from </w:t>
              <w:br/>
              <w:t xml:space="preserve">an Increase in </w:t>
              <w:br/>
              <w:t>Input</w:t>
            </w:r>
            <w:r>
              <w:rPr>
                <w:rFonts w:ascii="Times New Roman PS Std;serif" w:hAnsi="Times New Roman PS Std;serif"/>
                <w:b/>
                <w:i w:val="false"/>
                <w:caps w:val="false"/>
                <w:smallCaps w:val="false"/>
                <w:sz w:val="8"/>
              </w:rPr>
              <w:t>(4)</w:t>
            </w:r>
          </w:p>
        </w:tc>
      </w:tr>
      <w:tr>
        <w:trPr/>
        <w:tc>
          <w:tcPr>
            <w:tcW w:w="16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in millions)</w:t>
            </w:r>
          </w:p>
        </w:tc>
        <w:tc>
          <w:tcPr>
            <w:tcW w:w="146"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9" w:type="dxa"/>
            <w:tcBorders/>
            <w:vAlign w:val="bottom"/>
          </w:tcPr>
          <w:p>
            <w:pPr>
              <w:pStyle w:val="TableContents"/>
              <w:bidi w:val="0"/>
              <w:spacing w:before="0" w:after="283"/>
              <w:jc w:val="left"/>
              <w:rPr/>
            </w:pPr>
            <w:r>
              <w:rPr/>
              <w:t> </w:t>
            </w:r>
          </w:p>
        </w:tc>
      </w:tr>
      <w:tr>
        <w:trPr/>
        <w:tc>
          <w:tcPr>
            <w:tcW w:w="166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CLO debt</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82.5</w:t>
            </w:r>
          </w:p>
        </w:tc>
        <w:tc>
          <w:tcPr>
            <w:tcW w:w="146"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Market Quotes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NBIB</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 – 100.6%/75.1%</w:t>
            </w:r>
          </w:p>
        </w:tc>
        <w:tc>
          <w:tcPr>
            <w:tcW w:w="146" w:type="dxa"/>
            <w:tcBorders/>
            <w:shd w:fill="CCEEFF" w:val="clear"/>
            <w:vAlign w:val="bottom"/>
          </w:tcPr>
          <w:p>
            <w:pPr>
              <w:pStyle w:val="TableContents"/>
              <w:bidi w:val="0"/>
              <w:spacing w:before="0" w:after="283"/>
              <w:jc w:val="left"/>
              <w:rPr/>
            </w:pPr>
            <w:r>
              <w:rPr/>
              <w:t> </w:t>
            </w:r>
          </w:p>
        </w:tc>
        <w:tc>
          <w:tcPr>
            <w:tcW w:w="160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r>
      <w:tr>
        <w:trPr/>
        <w:tc>
          <w:tcPr>
            <w:tcW w:w="16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9" w:type="dxa"/>
            <w:tcBorders/>
            <w:vAlign w:val="bottom"/>
          </w:tcPr>
          <w:p>
            <w:pPr>
              <w:pStyle w:val="TableContents"/>
              <w:bidi w:val="0"/>
              <w:spacing w:before="0" w:after="283"/>
              <w:jc w:val="left"/>
              <w:rPr/>
            </w:pPr>
            <w:r>
              <w:rPr/>
              <w:t> </w:t>
            </w:r>
          </w:p>
        </w:tc>
      </w:tr>
      <w:tr>
        <w:trPr/>
        <w:tc>
          <w:tcPr>
            <w:tcW w:w="166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CLO equity</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1,254.6</w:t>
            </w:r>
          </w:p>
        </w:tc>
        <w:tc>
          <w:tcPr>
            <w:tcW w:w="146"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Market Quotes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NBIB</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0.0% – 383.7%/41.6%</w:t>
            </w:r>
          </w:p>
        </w:tc>
        <w:tc>
          <w:tcPr>
            <w:tcW w:w="146" w:type="dxa"/>
            <w:tcBorders/>
            <w:shd w:fill="CCEEFF" w:val="clear"/>
            <w:vAlign w:val="bottom"/>
          </w:tcPr>
          <w:p>
            <w:pPr>
              <w:pStyle w:val="TableContents"/>
              <w:bidi w:val="0"/>
              <w:spacing w:before="0" w:after="283"/>
              <w:jc w:val="left"/>
              <w:rPr/>
            </w:pPr>
            <w:r>
              <w:rPr/>
              <w:t> </w:t>
            </w:r>
          </w:p>
        </w:tc>
        <w:tc>
          <w:tcPr>
            <w:tcW w:w="160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r>
      <w:tr>
        <w:trPr/>
        <w:tc>
          <w:tcPr>
            <w:tcW w:w="16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38.1</w:t>
            </w:r>
          </w:p>
        </w:tc>
        <w:tc>
          <w:tcPr>
            <w:tcW w:w="146" w:type="dxa"/>
            <w:tcBorders/>
            <w:vAlign w:val="bottom"/>
          </w:tcPr>
          <w:p>
            <w:pPr>
              <w:pStyle w:val="TableContents"/>
              <w:bidi w:val="0"/>
              <w:spacing w:before="0" w:after="283"/>
              <w:jc w:val="left"/>
              <w:rPr/>
            </w:pPr>
            <w:r>
              <w:rPr/>
              <w:t> </w:t>
            </w:r>
          </w:p>
        </w:tc>
        <w:tc>
          <w:tcPr>
            <w:tcW w:w="177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Yield Analysis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Discount Margin</w:t>
            </w:r>
          </w:p>
        </w:tc>
        <w:tc>
          <w:tcPr>
            <w:tcW w:w="146" w:type="dxa"/>
            <w:tcBorders/>
            <w:vAlign w:val="bottom"/>
          </w:tcPr>
          <w:p>
            <w:pPr>
              <w:pStyle w:val="TableContents"/>
              <w:bidi w:val="0"/>
              <w:spacing w:before="0" w:after="283"/>
              <w:jc w:val="left"/>
              <w:rPr/>
            </w:pPr>
            <w:r>
              <w:rPr/>
              <w:t> </w:t>
            </w:r>
          </w:p>
        </w:tc>
        <w:tc>
          <w:tcPr>
            <w:tcW w:w="1560"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0.0% – 33.8%/21.71%</w:t>
            </w:r>
          </w:p>
        </w:tc>
        <w:tc>
          <w:tcPr>
            <w:tcW w:w="146" w:type="dxa"/>
            <w:tcBorders/>
            <w:vAlign w:val="bottom"/>
          </w:tcPr>
          <w:p>
            <w:pPr>
              <w:pStyle w:val="TableContents"/>
              <w:bidi w:val="0"/>
              <w:spacing w:before="0" w:after="283"/>
              <w:jc w:val="left"/>
              <w:rPr/>
            </w:pPr>
            <w:r>
              <w:rPr/>
              <w:t> </w:t>
            </w:r>
          </w:p>
        </w:tc>
        <w:tc>
          <w:tcPr>
            <w:tcW w:w="160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Decrease</w:t>
            </w:r>
          </w:p>
        </w:tc>
      </w:tr>
      <w:tr>
        <w:trPr/>
        <w:tc>
          <w:tcPr>
            <w:tcW w:w="16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43.9</w:t>
            </w:r>
          </w:p>
        </w:tc>
        <w:tc>
          <w:tcPr>
            <w:tcW w:w="146"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Recent Transaction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Actual trade</w:t>
            </w:r>
            <w:r>
              <w:rPr>
                <w:rFonts w:ascii="Times New Roman PS Std;serif" w:hAnsi="Times New Roman PS Std;serif"/>
                <w:b w:val="false"/>
                <w:i w:val="false"/>
                <w:caps w:val="false"/>
                <w:smallCaps w:val="false"/>
                <w:sz w:val="12"/>
              </w:rPr>
              <w:t>(5)</w:t>
            </w:r>
          </w:p>
        </w:tc>
        <w:tc>
          <w:tcPr>
            <w:tcW w:w="146"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84.0% – 87.0%/84.8%</w:t>
            </w:r>
          </w:p>
        </w:tc>
        <w:tc>
          <w:tcPr>
            <w:tcW w:w="146" w:type="dxa"/>
            <w:tcBorders/>
            <w:shd w:fill="CCEEFF" w:val="clear"/>
            <w:vAlign w:val="bottom"/>
          </w:tcPr>
          <w:p>
            <w:pPr>
              <w:pStyle w:val="TableContents"/>
              <w:bidi w:val="0"/>
              <w:spacing w:before="0" w:after="283"/>
              <w:jc w:val="left"/>
              <w:rPr/>
            </w:pPr>
            <w:r>
              <w:rPr/>
              <w:t> </w:t>
            </w:r>
          </w:p>
        </w:tc>
        <w:tc>
          <w:tcPr>
            <w:tcW w:w="160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r>
      <w:tr>
        <w:trPr/>
        <w:tc>
          <w:tcPr>
            <w:tcW w:w="16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w:t>
            </w:r>
          </w:p>
        </w:tc>
        <w:tc>
          <w:tcPr>
            <w:tcW w:w="146" w:type="dxa"/>
            <w:tcBorders/>
            <w:vAlign w:val="bottom"/>
          </w:tcPr>
          <w:p>
            <w:pPr>
              <w:pStyle w:val="TableContents"/>
              <w:bidi w:val="0"/>
              <w:spacing w:before="0" w:after="283"/>
              <w:jc w:val="left"/>
              <w:rPr/>
            </w:pPr>
            <w:r>
              <w:rPr/>
              <w:t> </w:t>
            </w:r>
          </w:p>
        </w:tc>
        <w:tc>
          <w:tcPr>
            <w:tcW w:w="177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Present Value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NBIB</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560"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16.6% – 60.9%/24.5%</w:t>
            </w:r>
          </w:p>
        </w:tc>
        <w:tc>
          <w:tcPr>
            <w:tcW w:w="146" w:type="dxa"/>
            <w:tcBorders/>
            <w:vAlign w:val="bottom"/>
          </w:tcPr>
          <w:p>
            <w:pPr>
              <w:pStyle w:val="TableContents"/>
              <w:bidi w:val="0"/>
              <w:spacing w:before="0" w:after="283"/>
              <w:jc w:val="left"/>
              <w:rPr/>
            </w:pPr>
            <w:r>
              <w:rPr/>
              <w:t> </w:t>
            </w:r>
          </w:p>
        </w:tc>
        <w:tc>
          <w:tcPr>
            <w:tcW w:w="160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r>
      <w:tr>
        <w:trPr/>
        <w:tc>
          <w:tcPr>
            <w:tcW w:w="16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w:t>
            </w:r>
          </w:p>
        </w:tc>
        <w:tc>
          <w:tcPr>
            <w:tcW w:w="146"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Liquidation Net Asset Value</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NBIB</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0.0% – 16.2%/2.0%</w:t>
            </w:r>
          </w:p>
        </w:tc>
        <w:tc>
          <w:tcPr>
            <w:tcW w:w="146" w:type="dxa"/>
            <w:tcBorders/>
            <w:shd w:fill="CCEEFF" w:val="clear"/>
            <w:vAlign w:val="bottom"/>
          </w:tcPr>
          <w:p>
            <w:pPr>
              <w:pStyle w:val="TableContents"/>
              <w:bidi w:val="0"/>
              <w:spacing w:before="0" w:after="283"/>
              <w:jc w:val="left"/>
              <w:rPr/>
            </w:pPr>
            <w:r>
              <w:rPr/>
              <w:t> </w:t>
            </w:r>
          </w:p>
        </w:tc>
        <w:tc>
          <w:tcPr>
            <w:tcW w:w="160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r>
      <w:tr>
        <w:trPr/>
        <w:tc>
          <w:tcPr>
            <w:tcW w:w="166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CLO equity related investments</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w:t>
            </w:r>
          </w:p>
        </w:tc>
        <w:tc>
          <w:tcPr>
            <w:tcW w:w="146" w:type="dxa"/>
            <w:tcBorders/>
            <w:vAlign w:val="bottom"/>
          </w:tcPr>
          <w:p>
            <w:pPr>
              <w:pStyle w:val="TableContents"/>
              <w:bidi w:val="0"/>
              <w:spacing w:before="0" w:after="283"/>
              <w:jc w:val="left"/>
              <w:rPr/>
            </w:pPr>
            <w:r>
              <w:rPr/>
              <w:t> </w:t>
            </w:r>
          </w:p>
        </w:tc>
        <w:tc>
          <w:tcPr>
            <w:tcW w:w="177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Discounted cash flow</w:t>
            </w:r>
            <w:r>
              <w:rPr>
                <w:rFonts w:ascii="Times New Roman PS Std;serif" w:hAnsi="Times New Roman PS Std;serif"/>
                <w:b w:val="false"/>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Discount rate</w:t>
            </w:r>
            <w:r>
              <w:rPr>
                <w:rFonts w:ascii="Times New Roman PS Std;serif" w:hAnsi="Times New Roman PS Std;serif"/>
                <w:b w:val="false"/>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560"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 – 49.4%/18.9%</w:t>
            </w:r>
          </w:p>
        </w:tc>
        <w:tc>
          <w:tcPr>
            <w:tcW w:w="146" w:type="dxa"/>
            <w:tcBorders/>
            <w:vAlign w:val="bottom"/>
          </w:tcPr>
          <w:p>
            <w:pPr>
              <w:pStyle w:val="TableContents"/>
              <w:bidi w:val="0"/>
              <w:spacing w:before="0" w:after="283"/>
              <w:jc w:val="left"/>
              <w:rPr/>
            </w:pPr>
            <w:r>
              <w:rPr/>
              <w:t> </w:t>
            </w:r>
          </w:p>
        </w:tc>
        <w:tc>
          <w:tcPr>
            <w:tcW w:w="160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Decrease</w:t>
            </w:r>
          </w:p>
        </w:tc>
      </w:tr>
      <w:tr>
        <w:trPr/>
        <w:tc>
          <w:tcPr>
            <w:tcW w:w="166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Total Fair Value for Level 3 Investments</w:t>
            </w:r>
          </w:p>
        </w:tc>
        <w:tc>
          <w:tcPr>
            <w:tcW w:w="146" w:type="dxa"/>
            <w:tcBorders/>
            <w:shd w:fill="CCEEFF" w:val="clear"/>
            <w:vAlign w:val="bottom"/>
          </w:tcPr>
          <w:p>
            <w:pPr>
              <w:pStyle w:val="TableContents"/>
              <w:bidi w:val="0"/>
              <w:spacing w:before="0" w:after="283"/>
              <w:jc w:val="left"/>
              <w:rPr/>
            </w:pPr>
            <w:r>
              <w:rPr/>
              <w:t> </w:t>
            </w:r>
          </w:p>
        </w:tc>
        <w:tc>
          <w:tcPr>
            <w:tcW w:w="33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1,442.9</w:t>
            </w:r>
          </w:p>
        </w:tc>
        <w:tc>
          <w:tcPr>
            <w:tcW w:w="146"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09"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Fund generally uses non-binding indicative bid prices (“NBIB”) provided by an independent pricing service or broker on or near the valuation date as the primary basis for the fair value determinations for CLO debt and equity investments, which may be adjusted for pending equity distributions as of the valuation date. These prices are non-binding, and may not be determinative of fair value. Each price is evaluated by the Board of Directors in conjunction with additional information compiled by Oxford Lane Management, including performance and covenant compliance information as provided by the respective CLO’s independent trustee.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Fund will calculate the fair value of CLO equity side letters based upon the net present value of expected contractual payment streams discounted using estimated market yields for the equity tranche of the respective CLO vehicle.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Weighted averages are calculated based on fair value of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impact on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 Significant increases or decreases in any of the unobservable inputs in isolation may result in a significantly lower or higher fair value measurement.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Prices provided by independent pricing services are evaluated in conjunction with actual trades and payoffs and, in certain cases, the value represented by actual trades or payoffs may be more representative of fair value as determined by the Board of Directors.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 fair value of those CLO equity and debt positions which have been optionally redeemed are generally valued using a liquidation NAV basis which represents the estimated expected residual value of the CLO as of the end of the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fair value of investments for the six months ended September 30, 2023, utilizing significant unobservable inputs, is as follows:</w:t>
      </w:r>
    </w:p>
    <w:tbl>
      <w:tblPr>
        <w:tblW w:w="10205" w:type="dxa"/>
        <w:jc w:val="left"/>
        <w:tblInd w:w="0" w:type="dxa"/>
        <w:tblLayout w:type="fixed"/>
        <w:tblCellMar>
          <w:top w:w="0" w:type="dxa"/>
          <w:left w:w="0" w:type="dxa"/>
          <w:bottom w:w="0" w:type="dxa"/>
          <w:right w:w="0" w:type="dxa"/>
        </w:tblCellMar>
      </w:tblPr>
      <w:tblGrid>
        <w:gridCol w:w="3319"/>
        <w:gridCol w:w="146"/>
        <w:gridCol w:w="457"/>
        <w:gridCol w:w="1064"/>
        <w:gridCol w:w="146"/>
        <w:gridCol w:w="385"/>
        <w:gridCol w:w="1407"/>
        <w:gridCol w:w="309"/>
        <w:gridCol w:w="146"/>
        <w:gridCol w:w="338"/>
        <w:gridCol w:w="789"/>
        <w:gridCol w:w="272"/>
        <w:gridCol w:w="146"/>
        <w:gridCol w:w="226"/>
        <w:gridCol w:w="826"/>
        <w:gridCol w:w="229"/>
      </w:tblGrid>
      <w:tr>
        <w:trPr/>
        <w:tc>
          <w:tcPr>
            <w:tcW w:w="331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52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Collateralized </w:t>
              <w:br/>
              <w:t xml:space="preserve">Loan </w:t>
              <w:br/>
              <w:t xml:space="preserve">Obligation Debt </w:t>
              <w:br/>
              <w:t>Investments</w:t>
            </w:r>
          </w:p>
        </w:tc>
        <w:tc>
          <w:tcPr>
            <w:tcW w:w="146" w:type="dxa"/>
            <w:tcBorders/>
            <w:vAlign w:val="bottom"/>
          </w:tcPr>
          <w:p>
            <w:pPr>
              <w:pStyle w:val="TableContents"/>
              <w:bidi w:val="0"/>
              <w:spacing w:before="0" w:after="283"/>
              <w:jc w:val="left"/>
              <w:rPr/>
            </w:pPr>
            <w:r>
              <w:rPr/>
              <w:t> </w:t>
            </w:r>
          </w:p>
        </w:tc>
        <w:tc>
          <w:tcPr>
            <w:tcW w:w="210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Collateralized </w:t>
              <w:br/>
              <w:t xml:space="preserve">Loan Obligation </w:t>
              <w:br/>
              <w:t>Equity Investments</w:t>
            </w:r>
          </w:p>
        </w:tc>
        <w:tc>
          <w:tcPr>
            <w:tcW w:w="146" w:type="dxa"/>
            <w:tcBorders/>
            <w:vAlign w:val="bottom"/>
          </w:tcPr>
          <w:p>
            <w:pPr>
              <w:pStyle w:val="TableContents"/>
              <w:bidi w:val="0"/>
              <w:spacing w:before="0" w:after="283"/>
              <w:jc w:val="left"/>
              <w:rPr/>
            </w:pPr>
            <w:r>
              <w:rPr/>
              <w:t> </w:t>
            </w:r>
          </w:p>
        </w:tc>
        <w:tc>
          <w:tcPr>
            <w:tcW w:w="139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CLO </w:t>
              <w:br/>
              <w:t xml:space="preserve">Equity Related </w:t>
              <w:br/>
              <w:t>Investments</w:t>
            </w:r>
          </w:p>
        </w:tc>
        <w:tc>
          <w:tcPr>
            <w:tcW w:w="146" w:type="dxa"/>
            <w:tcBorders/>
            <w:vAlign w:val="bottom"/>
          </w:tcPr>
          <w:p>
            <w:pPr>
              <w:pStyle w:val="TableContents"/>
              <w:bidi w:val="0"/>
              <w:spacing w:before="0" w:after="283"/>
              <w:jc w:val="left"/>
              <w:rPr/>
            </w:pPr>
            <w:r>
              <w:rPr/>
              <w:t> </w:t>
            </w:r>
          </w:p>
        </w:tc>
        <w:tc>
          <w:tcPr>
            <w:tcW w:w="128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Total(2)</w:t>
            </w:r>
          </w:p>
        </w:tc>
      </w:tr>
      <w:tr>
        <w:trPr/>
        <w:tc>
          <w:tcPr>
            <w:tcW w:w="331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March 31, 2023</w:t>
            </w:r>
          </w:p>
        </w:tc>
        <w:tc>
          <w:tcPr>
            <w:tcW w:w="146"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1,224.7</w:t>
            </w:r>
          </w:p>
        </w:tc>
        <w:tc>
          <w:tcPr>
            <w:tcW w:w="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1,289.8</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1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Realized gains (losses) included in earnings</w:t>
            </w:r>
          </w:p>
        </w:tc>
        <w:tc>
          <w:tcPr>
            <w:tcW w:w="146" w:type="dxa"/>
            <w:tcBorders/>
            <w:vAlign w:val="bottom"/>
          </w:tcPr>
          <w:p>
            <w:pPr>
              <w:pStyle w:val="TableContents"/>
              <w:bidi w:val="0"/>
              <w:spacing w:before="0" w:after="283"/>
              <w:jc w:val="left"/>
              <w:rPr/>
            </w:pPr>
            <w:r>
              <w:rPr/>
              <w:t> </w:t>
            </w:r>
          </w:p>
        </w:tc>
        <w:tc>
          <w:tcPr>
            <w:tcW w:w="4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30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2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1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appreciation (depreciation) included in earnings</w:t>
            </w:r>
          </w:p>
        </w:tc>
        <w:tc>
          <w:tcPr>
            <w:tcW w:w="146"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w:t>
            </w:r>
          </w:p>
        </w:tc>
        <w:tc>
          <w:tcPr>
            <w:tcW w:w="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1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discounts</w:t>
            </w:r>
          </w:p>
        </w:tc>
        <w:tc>
          <w:tcPr>
            <w:tcW w:w="146" w:type="dxa"/>
            <w:tcBorders/>
            <w:vAlign w:val="bottom"/>
          </w:tcPr>
          <w:p>
            <w:pPr>
              <w:pStyle w:val="TableContents"/>
              <w:bidi w:val="0"/>
              <w:spacing w:before="0" w:after="283"/>
              <w:jc w:val="left"/>
              <w:rPr/>
            </w:pPr>
            <w:r>
              <w:rPr/>
              <w:t> </w:t>
            </w:r>
          </w:p>
        </w:tc>
        <w:tc>
          <w:tcPr>
            <w:tcW w:w="4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0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1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w:t>
            </w:r>
          </w:p>
        </w:tc>
        <w:tc>
          <w:tcPr>
            <w:tcW w:w="146"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253.7</w:t>
            </w:r>
          </w:p>
        </w:tc>
        <w:tc>
          <w:tcPr>
            <w:tcW w:w="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283.7</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1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repayments</w:t>
            </w:r>
          </w:p>
        </w:tc>
        <w:tc>
          <w:tcPr>
            <w:tcW w:w="146" w:type="dxa"/>
            <w:tcBorders/>
            <w:vAlign w:val="bottom"/>
          </w:tcPr>
          <w:p>
            <w:pPr>
              <w:pStyle w:val="TableContents"/>
              <w:bidi w:val="0"/>
              <w:spacing w:before="0" w:after="283"/>
              <w:jc w:val="left"/>
              <w:rPr/>
            </w:pPr>
            <w:r>
              <w:rPr/>
              <w:t> </w:t>
            </w:r>
          </w:p>
        </w:tc>
        <w:tc>
          <w:tcPr>
            <w:tcW w:w="4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w:t>
            </w:r>
          </w:p>
        </w:tc>
        <w:tc>
          <w:tcPr>
            <w:tcW w:w="30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w:t>
            </w:r>
          </w:p>
        </w:tc>
        <w:tc>
          <w:tcPr>
            <w:tcW w:w="2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1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value(1)</w:t>
            </w:r>
          </w:p>
        </w:tc>
        <w:tc>
          <w:tcPr>
            <w:tcW w:w="146"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30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1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in Kind income</w:t>
            </w:r>
          </w:p>
        </w:tc>
        <w:tc>
          <w:tcPr>
            <w:tcW w:w="146" w:type="dxa"/>
            <w:tcBorders/>
            <w:vAlign w:val="bottom"/>
          </w:tcPr>
          <w:p>
            <w:pPr>
              <w:pStyle w:val="TableContents"/>
              <w:bidi w:val="0"/>
              <w:spacing w:before="0" w:after="283"/>
              <w:jc w:val="left"/>
              <w:rPr/>
            </w:pPr>
            <w:r>
              <w:rPr/>
              <w:t> </w:t>
            </w:r>
          </w:p>
        </w:tc>
        <w:tc>
          <w:tcPr>
            <w:tcW w:w="4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0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1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in and/or out of level 3</w:t>
            </w:r>
          </w:p>
        </w:tc>
        <w:tc>
          <w:tcPr>
            <w:tcW w:w="146"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0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1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September 30, 2023(2)</w:t>
            </w:r>
          </w:p>
        </w:tc>
        <w:tc>
          <w:tcPr>
            <w:tcW w:w="146" w:type="dxa"/>
            <w:tcBorders/>
            <w:vAlign w:val="bottom"/>
          </w:tcPr>
          <w:p>
            <w:pPr>
              <w:pStyle w:val="TableContents"/>
              <w:bidi w:val="0"/>
              <w:spacing w:before="0" w:after="283"/>
              <w:jc w:val="left"/>
              <w:rPr/>
            </w:pPr>
            <w:r>
              <w:rPr/>
              <w:t> </w:t>
            </w:r>
          </w:p>
        </w:tc>
        <w:tc>
          <w:tcPr>
            <w:tcW w:w="45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w:t>
            </w:r>
          </w:p>
        </w:tc>
        <w:tc>
          <w:tcPr>
            <w:tcW w:w="146" w:type="dxa"/>
            <w:tcBorders/>
            <w:vAlign w:val="bottom"/>
          </w:tcPr>
          <w:p>
            <w:pPr>
              <w:pStyle w:val="TableContents"/>
              <w:bidi w:val="0"/>
              <w:spacing w:before="0" w:after="283"/>
              <w:jc w:val="left"/>
              <w:rPr/>
            </w:pPr>
            <w:r>
              <w:rPr/>
              <w:t> </w:t>
            </w:r>
          </w:p>
        </w:tc>
        <w:tc>
          <w:tcPr>
            <w:tcW w:w="38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0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1,347.5</w:t>
            </w:r>
          </w:p>
        </w:tc>
        <w:tc>
          <w:tcPr>
            <w:tcW w:w="3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1,442.9</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1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total gains for the period included in earnings attributable to the change in unrealized gains or losses related to our Level 3 assets still held at the reporting date and reported within the net change in unrealized gains or losses on investments in our Statement of Operations</w:t>
            </w:r>
          </w:p>
        </w:tc>
        <w:tc>
          <w:tcPr>
            <w:tcW w:w="146" w:type="dxa"/>
            <w:tcBorders/>
            <w:shd w:fill="CCEEFF" w:val="clear"/>
            <w:vAlign w:val="bottom"/>
          </w:tcPr>
          <w:p>
            <w:pPr>
              <w:pStyle w:val="TableContents"/>
              <w:bidi w:val="0"/>
              <w:spacing w:before="0" w:after="283"/>
              <w:jc w:val="left"/>
              <w:rPr/>
            </w:pPr>
            <w:r>
              <w:rPr/>
              <w:t> </w:t>
            </w:r>
          </w:p>
        </w:tc>
        <w:tc>
          <w:tcPr>
            <w:tcW w:w="4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146" w:type="dxa"/>
            <w:tcBorders/>
            <w:shd w:fill="CCEEFF" w:val="clear"/>
            <w:vAlign w:val="bottom"/>
          </w:tcPr>
          <w:p>
            <w:pPr>
              <w:pStyle w:val="TableContents"/>
              <w:bidi w:val="0"/>
              <w:spacing w:before="0" w:after="283"/>
              <w:jc w:val="left"/>
              <w:rPr/>
            </w:pPr>
            <w:r>
              <w:rPr/>
              <w:t> </w:t>
            </w:r>
          </w:p>
        </w:tc>
        <w:tc>
          <w:tcPr>
            <w:tcW w:w="3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30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27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22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Reduction to cost value on the Fund’s CLO equity investments represents the difference between distributions received, or entitled to be received, for the six months ended September 30, 2023, of approximately $213.5 million and the effective yield interest income recognized on the Fund’s CLO equity subordinated notes of approximately $135.5 million, plus the amortization of cost of the Fund’s CLO equity fee notes of approximately $1.0 million. A reduction to cost value is not made for CLO warehouse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transfers in or out of Level 3 during the six months ended September 30,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RELATED PARTY TRANSACTIONS</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Investment Advisory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September 9, 2010, the Fund entered into the Investment Advisory Agreement with Oxford Lane Management, a registered investment adviser under the Advisers Act. Oxford Funds is the managing member of Oxford Lane Management and serves as the administrator of the Fund.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Investment Advisory Agreement, the Fund has agreed to pay Oxford Lane Management a fee for advisory and management services consisting of two components — a base management fee (the “Management Fee”) and an incentive fee (the “Incentive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Fee is calculated at an annual rate of 2.00% of the Fund’s gross assets. For services rendered under the Investment Advisory Agreement, the Management Fee is payable quarterly in arrears. The Management Fee is calculated based on the average value of the Fund’s gross assets, at the end of the two most recently completed calendar quarters, and appropriately adjusted for any share issuances or repurchases during the current calendar quarter. The Management Fee for any partial month or quarter will be appropriately pro-rated. For the six months ended September 30, 2023, the Fund recognized an expense of approximately $13.6 million. At September 30, 2023, the Fund had a Management Fee payable of approximately $7.1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Incentive Fee is calculated and payable quarterly in arrears based on the pre-incentive fee net investment income for the immediately preceding calendar quarter. For this purpose, pre-incentive fee net investment income means income from securitization vehicles and investments, interest income from debt investments and any other income (including any other fees, such as commitment, origination, structuring, diligence and consulting fees or other fees that are received from an investment) accrued during the calendar quarter, minus the Fund’s operating expenses for the quarter (including the Management Fee, expenses payable under the Administration Agreement to Oxford Funds, and any interest expense and dividends paid on any issued and outstanding preferred stock, but excluding the Incentive Fee). Pre-incentive fee net investment income includes accrued income that the Fund has not yet received in cash, such as the amount of any market discount it may accrete on debt instruments purchased below par value. Pre-incentive fee net investment income does not include any realized or unrealized capital gains or losses, and the Fund could incur Incentive Fees in periods when there is a net decrease in net assets from operations. Pre-incentive fee net investment income, expressed as a rate of return on the value of the Fund’s net assets at the end of the immediately preceding calendar quarter, is compared to a hurdle of 1.75% per quarter (7.00% annualized). For such purposes, the Fund’s quarterly rate of return is determined by dividing its pre-incentive net investment income by its reported net assets as of the prior period end. The Fund’s pre-incentive fee net investment income used to calculate the Incentive Fee is also included in the amount of its gross assets used to calculate the 2.00% Management Fee. The Fund pays Oxford Lane Management an Incentive Fee with respect to the Fund’s pre-incentive fee net investment income in each calendar quarter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Incentive Fee in any calendar quarter in which the Fund’s pre-incentive fee net investment income does not exceed the hurdle of 1.75%;</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100% of Fund’s pre-incentive fee net investment income with respect to that portion of such pre-incentive fee net investment income, if any, that exceeds the hurdle but is less than 2.1875% in any calendar quarter (8.75% annualized). The Fund refers to this portion of its pre-incentive fee net investment income (which exceeds the hurdle but is less than 2.1875%) as the “catch-up”. The “catch-up” is meant to provide Oxford Lane Management with 20% of the Fund’s pre-incentive fee net investment income as if a hurdle did not apply if the net investment income exceeds 2.1875% in any calendar quarter;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20% of the amount of the Fund’s pre-incentive fee net investment income, if any, that exceeds 2.1875% in any calendar quarter (8.75% annualized) is payable to Oxford Lane Management (once the hurdle is reached and the “catch-up” is achieved, 20% of all pre-incentive fee net investment income thereafter is allocated to Oxford Lane Management).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offset in subsequent quarters for any quarter in which an Incentive Fee is not earned. For the six months ended September 30, 2023, the Fund recognized Incentive Fee expense of approximately $21.7 million. At September 30, 2023, the Fund had an Incentive Fee payable of approximately $11.2 million.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Administration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September 9, 2010, the Fund entered into an administration agreement (the “Administration Agreement”) with Oxford Funds to serve as its administrator. Under the Administration Agreement, Oxford Funds performs, or oversees the performance of, the Fund’s required administrative services, which include, among other things, being responsible for the financial records which the Fund is required to maintain and for preparation of the reports to the Fund’s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Funds assists the Fund in determining and publishing the Fund’s NAV, overseeing the preparation and filing of the Fund’s tax returns and the printing and dissemination of reports to the Fund’s stockholders, and generally overseeing the payment of the Fund’s expenses and the performance of administrative and professional services rendered to the Fund by others. Payments under the Administration Agreement are equal to an amount based upon the Fund’s allocable portion of Oxford Funds’ overhead in performing its obligations under the Administration Agreement, including rent, and the Fund’s allocable portion of the compensation of the Fund’s chief financial officer and any administrative support staff, including accounting personnel. The Fund will also reimburse Oxford Funds for costs associated with the functions performed by the Fund’s chief compliance officer that Oxford Funds pays on behalf of the Fund pursuant to the terms of an agreement between the Fund and ACA Group, LLC (“ACA”). Other expenses that are paid by the Fund include legal, compliance, audit and tax services, market data services, excise taxes, if any, and miscellaneous office expenses. The Administration Agreement may be terminated by either party without penalty upon 60 days’ written notice to the other party.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Independent Director’s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October 1, 2023, independent directors received an annual fee of $90,000. In addition, the independent directors received $2,000 plus reimbursement of reasonable out-of-pocket expenses incurred in connection with attending each Board of Directors meeting, and relevant committee members received $1,500 plus reimbursement of reasonable out-of-pocket expenses incurred in connection with attending each Valuation Committee meeting and $1,000 plus reimbursement of reasonable out-of-pocket expenses incurred in connection with attending each Audit Committee meeting. The Chairman of the Audit Committee also received an additional annual fee of $10,000.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October 1, 2023, independent directors continue to receive an annual fee of $90,000. In addition, the independent directors receive $4,000 plus reimbursement of reasonable out-of-pocket expenses incurred in connection with attending each Board of Directors meeting, and relevant committee members receive $1,500 plus reimbursement of reasonable out-of-pocket expenses incurred in connection with attending each Valuation Committee meeting and $1,500 plus reimbursement of reasonable out-of-pocket expenses incurred in connection with attending each Audit Committee meeting. The Chairman of the Audit Committee continues to receive an additional annual fee of $10,000. No compensation is paid to directors who are interested persons of the Fund as defined in Section 2(a)(19) of the 1940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directors, officers and other related parties, including members of Oxford Lane Management, owned, directly or indirectly, an approximate 0.4% of the common stock of the Fund at September 30, 2023.</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Co-Investment Exemptive Relief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14, 2017, the SEC issued an Order permitting the Fund and certain of its affiliates to complete negotiated co-investment transactions in portfolio companies, subject to certain conditions. Subject to satisfaction of certain conditions to the Order, the Fund and certain of its affiliates are now permitted, together with any future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development companies, registered closed-end funds and certain private funds, each of whose investment adviser is the Fund’s investment adviser or an investment adviser controlling, controlled by, or under common control with Oxford Lane Management, to co-invest in negotiated investment opportunities where doing so would otherwise be prohibited under the 1940 Act, providing the Fund’s stockholders with access to a broader array of investment opportunities.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Order, the Fund is permitted to co-invest in such investment opportunities with its affiliates if a “required majority” (as defined in Section 57(o) of the 1940 Act) of its independent directors make certain conclusions in connection with a co-investment transaction, including, but not limited to, that (1) the terms of the potential co-investment transaction, including the consideration to be paid, are reasonable and fair to the Fund and its stockholders and do not involve overreaching in respect of the Fund or its stockholders on the part of any person concerned, and (2) the potential co-investment transaction is consistent with the interests of the Fund’s stockholders and is consistent with the Fund’s then-current investment objective and strategies.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CONCENTRATION OF CREDIT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places its cash in a money market fund and, at times, cash and cash equivalents may exceed the Federal Deposit Insurance Corporation insured limit. In addition, the Fund’s portfolio may be concentrated in a limited number of investments, which will subject the Fund to a risk of significant loss if any of these investments defaults on its obligations if those sectors experience a market downturn.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September 30, 2023, the Fund declared and paid distributions on its common stock of $0.465 per share, or $86,513,345. The Fund declared and paid distributions on its common stock of $0.90 per share, or $142,666,077 for the year ended March 31, 2023. The tax character of distributions paid for the six months ended September 30, 2023 represented, on an estimated basis, $86,513,345 million from ordinary income. The tax character of distributions paid for the year ended March 31, 2023 represented, on an estimated basis, $142,666,077 from ordinary income. For the year ended March 31, 2023 and the six months ended September 30, 2023, the amounts and sources of distributions reported are only estimates. The ultimate tax character of distributions is unknown until our tax return is filed. For the six months ended September 30, 2023 and for the year ended March 31, 2023, the Fund also declared and paid dividends on preferred stock of $9,339,255 and $17,706,986, respectively. The tax character of distributions paid on preferred stock represented ordinary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fiscal year ended March 31, 2023, the Fund had available $97,309,107 of long-term capital losses, which can be used to offset future capital gains. For the fiscal year ended March 31, 2023, the Fund did not utilize its capital loss carryforward. Under the current law, capital losses related to securities realized after October 31 of a taxable year and prior to the Fund’s fiscal year end (“post-October”) may be deferred as occurring the first day of the following fiscal year. For the fiscal year ended March 31, 2023, the Fund had no post-October losses to defer.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2023, the estimated components of distributable earnings (accumulated losses) on a tax basis were as follows:</w:t>
      </w:r>
    </w:p>
    <w:tbl>
      <w:tblPr>
        <w:tblW w:w="8370" w:type="dxa"/>
        <w:jc w:val="left"/>
        <w:tblInd w:w="0" w:type="dxa"/>
        <w:tblLayout w:type="fixed"/>
        <w:tblCellMar>
          <w:top w:w="0" w:type="dxa"/>
          <w:left w:w="0" w:type="dxa"/>
          <w:bottom w:w="0" w:type="dxa"/>
          <w:right w:w="0" w:type="dxa"/>
        </w:tblCellMar>
      </w:tblPr>
      <w:tblGrid>
        <w:gridCol w:w="6391"/>
        <w:gridCol w:w="146"/>
        <w:gridCol w:w="226"/>
        <w:gridCol w:w="1381"/>
        <w:gridCol w:w="226"/>
      </w:tblGrid>
      <w:tr>
        <w:trPr/>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Distributable ordinary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180,977,013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Distributable long-term capital gains (capital loss carry forward)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(97,309,107</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depreciation on investments*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(500,692,445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timing differences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(2,747</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difference between book basis and tax basis unrealized gains/(losses) is due to the Fund’s CLO equity and partnership investments.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DISTRIBUTIONS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2023, the effect of permanent “book/tax” reclassifications resulted in the following increase/(decrease) to the components of net assets:</w:t>
      </w:r>
    </w:p>
    <w:tbl>
      <w:tblPr>
        <w:tblW w:w="6690" w:type="dxa"/>
        <w:jc w:val="left"/>
        <w:tblInd w:w="0" w:type="dxa"/>
        <w:tblLayout w:type="fixed"/>
        <w:tblCellMar>
          <w:top w:w="0" w:type="dxa"/>
          <w:left w:w="0" w:type="dxa"/>
          <w:bottom w:w="0" w:type="dxa"/>
          <w:right w:w="0" w:type="dxa"/>
        </w:tblCellMar>
      </w:tblPr>
      <w:tblGrid>
        <w:gridCol w:w="4951"/>
        <w:gridCol w:w="146"/>
        <w:gridCol w:w="226"/>
        <w:gridCol w:w="1141"/>
        <w:gridCol w:w="226"/>
      </w:tblGrid>
      <w:tr>
        <w:trPr/>
        <w:tc>
          <w:tcPr>
            <w:tcW w:w="4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distributable earnings/(accumulated losses)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7,955,824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Paid-In-Capital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(7,955,824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differences are primarily due to the CLO equity investments, partnership investments, and non-deductible excise tax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2023, the aggregate gross unrealized appreciation for tax purposes was $28,760,768, and aggregate gross unrealized depreciation was $567,192,037. For tax purposes, the cost basis of the portfolio investments at September 30, 2023 was $1,981,274,543.</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MANDATORILY REDEEMABLE PREFERRED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has authorized 50 million shares of mandatorily redeemable preferred stock, at a par value of $0.01 per share, and had 11,486,721 shares issued and outstanding at September 30, 2023. During the six months ended September 30, 2023, the Fund had the following series of preferred stock outstanding: 6.75% Series 2024 Term Preferred Shares (the “6.75% Series 2024 Shares”); 6.25% Series 2027 Term Preferred Shares (the “6.25% Series 2027 Shares”); 6.00% Series 2029 Term Preferred Shares (the “6.00% Series 2029 Shares”); and its 7.125% Series 2029 Term Preferred Shares (the “7.125% Series 2029 Shares”), collectively the “Term Preferred Shares”, each issued in an underwritten public offering. The Fund is required to redeem all of the outstanding Term Preferred Shares on their respective redemption dates, at a redemption price equal to $25 per share plus an amount equal to accumulated but unpaid dividends, if any, to the date of the redemption. The Fund cannot effect any amendment, alteration, or repeal of the Fund’s obligation to redeem all of the Term Preferred Shares without the prior unanimous vote or consent of the holders of such Term Preferred Shares. At any time on or after the optional redemption date, at the Fund’s sole option, the Fund may redeem the Term Preferred Shares at a redemption price per share equal to the sum of the $25 liquidation preference per share plus an amount equal to accumulated but unpaid dividends, if any, on such Term Preferred Shares. The Fund, with the authorization by the Board of Directors, may repurchase any of the Term Preferred Shares from time to time in the open market and effectively extinguish the debt. As of September 30, 2023, there were no accumulated but unpaid dividends on the Fund’s Term Preferred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Term Preferred Share activity for the six months ended September 30, 2023, was as follows:</w:t>
      </w:r>
    </w:p>
    <w:tbl>
      <w:tblPr>
        <w:tblW w:w="10205" w:type="dxa"/>
        <w:jc w:val="left"/>
        <w:tblInd w:w="0" w:type="dxa"/>
        <w:tblLayout w:type="fixed"/>
        <w:tblCellMar>
          <w:top w:w="0" w:type="dxa"/>
          <w:left w:w="0" w:type="dxa"/>
          <w:bottom w:w="0" w:type="dxa"/>
          <w:right w:w="0" w:type="dxa"/>
        </w:tblCellMar>
      </w:tblPr>
      <w:tblGrid>
        <w:gridCol w:w="3004"/>
        <w:gridCol w:w="146"/>
        <w:gridCol w:w="1309"/>
        <w:gridCol w:w="146"/>
        <w:gridCol w:w="1309"/>
        <w:gridCol w:w="146"/>
        <w:gridCol w:w="1309"/>
        <w:gridCol w:w="146"/>
        <w:gridCol w:w="1309"/>
        <w:gridCol w:w="146"/>
        <w:gridCol w:w="1235"/>
      </w:tblGrid>
      <w:tr>
        <w:trPr/>
        <w:tc>
          <w:tcPr>
            <w:tcW w:w="30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6.75% </w:t>
              <w:br/>
              <w:t xml:space="preserve">Series 2024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6.25% </w:t>
              <w:br/>
              <w:t xml:space="preserve">Series 2027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6.00% </w:t>
              <w:br/>
              <w:t xml:space="preserve">Series 2029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7.125% </w:t>
              <w:br/>
              <w:t xml:space="preserve">Series 2029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23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0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outstanding at March 31, 2023</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2,725,015</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3,524,806</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2,686,900</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2,550,000</w:t>
            </w:r>
          </w:p>
        </w:tc>
        <w:tc>
          <w:tcPr>
            <w:tcW w:w="146"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11,486,721</w:t>
            </w:r>
          </w:p>
        </w:tc>
      </w:tr>
      <w:tr>
        <w:trPr/>
        <w:tc>
          <w:tcPr>
            <w:tcW w:w="30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0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redeemed</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0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outstanding at September 30, 2023</w:t>
            </w:r>
          </w:p>
        </w:tc>
        <w:tc>
          <w:tcPr>
            <w:tcW w:w="146" w:type="dxa"/>
            <w:tcBorders/>
            <w:vAlign w:val="bottom"/>
          </w:tcPr>
          <w:p>
            <w:pPr>
              <w:pStyle w:val="TableContents"/>
              <w:bidi w:val="0"/>
              <w:spacing w:before="0" w:after="283"/>
              <w:jc w:val="left"/>
              <w:rPr/>
            </w:pPr>
            <w:r>
              <w:rPr/>
              <w:t> </w:t>
            </w:r>
          </w:p>
        </w:tc>
        <w:tc>
          <w:tcPr>
            <w:tcW w:w="130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2,725,015</w:t>
            </w:r>
          </w:p>
        </w:tc>
        <w:tc>
          <w:tcPr>
            <w:tcW w:w="146" w:type="dxa"/>
            <w:tcBorders/>
            <w:vAlign w:val="bottom"/>
          </w:tcPr>
          <w:p>
            <w:pPr>
              <w:pStyle w:val="TableContents"/>
              <w:bidi w:val="0"/>
              <w:spacing w:before="0" w:after="283"/>
              <w:jc w:val="left"/>
              <w:rPr/>
            </w:pPr>
            <w:r>
              <w:rPr/>
              <w:t> </w:t>
            </w:r>
          </w:p>
        </w:tc>
        <w:tc>
          <w:tcPr>
            <w:tcW w:w="130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3,524,806</w:t>
            </w:r>
          </w:p>
        </w:tc>
        <w:tc>
          <w:tcPr>
            <w:tcW w:w="146" w:type="dxa"/>
            <w:tcBorders/>
            <w:vAlign w:val="bottom"/>
          </w:tcPr>
          <w:p>
            <w:pPr>
              <w:pStyle w:val="TableContents"/>
              <w:bidi w:val="0"/>
              <w:spacing w:before="0" w:after="283"/>
              <w:jc w:val="left"/>
              <w:rPr/>
            </w:pPr>
            <w:r>
              <w:rPr/>
              <w:t> </w:t>
            </w:r>
          </w:p>
        </w:tc>
        <w:tc>
          <w:tcPr>
            <w:tcW w:w="130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2,686,900</w:t>
            </w:r>
          </w:p>
        </w:tc>
        <w:tc>
          <w:tcPr>
            <w:tcW w:w="146" w:type="dxa"/>
            <w:tcBorders/>
            <w:vAlign w:val="bottom"/>
          </w:tcPr>
          <w:p>
            <w:pPr>
              <w:pStyle w:val="TableContents"/>
              <w:bidi w:val="0"/>
              <w:spacing w:before="0" w:after="283"/>
              <w:jc w:val="left"/>
              <w:rPr/>
            </w:pPr>
            <w:r>
              <w:rPr/>
              <w:t> </w:t>
            </w:r>
          </w:p>
        </w:tc>
        <w:tc>
          <w:tcPr>
            <w:tcW w:w="130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2,550,000</w:t>
            </w:r>
          </w:p>
        </w:tc>
        <w:tc>
          <w:tcPr>
            <w:tcW w:w="146" w:type="dxa"/>
            <w:tcBorders/>
            <w:vAlign w:val="bottom"/>
          </w:tcPr>
          <w:p>
            <w:pPr>
              <w:pStyle w:val="TableContents"/>
              <w:bidi w:val="0"/>
              <w:spacing w:before="0" w:after="283"/>
              <w:jc w:val="left"/>
              <w:rPr/>
            </w:pPr>
            <w:r>
              <w:rPr/>
              <w:t> </w:t>
            </w:r>
          </w:p>
        </w:tc>
        <w:tc>
          <w:tcPr>
            <w:tcW w:w="123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11,486,721</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MANDATORILY REDEEMABLE PREFERRED STOCK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Term Preferred Share balances as of September 30, 2023, were as follows:</w:t>
      </w:r>
    </w:p>
    <w:tbl>
      <w:tblPr>
        <w:tblW w:w="10205" w:type="dxa"/>
        <w:jc w:val="left"/>
        <w:tblInd w:w="0" w:type="dxa"/>
        <w:tblLayout w:type="fixed"/>
        <w:tblCellMar>
          <w:top w:w="0" w:type="dxa"/>
          <w:left w:w="0" w:type="dxa"/>
          <w:bottom w:w="0" w:type="dxa"/>
          <w:right w:w="0" w:type="dxa"/>
        </w:tblCellMar>
      </w:tblPr>
      <w:tblGrid>
        <w:gridCol w:w="1283"/>
        <w:gridCol w:w="146"/>
        <w:gridCol w:w="226"/>
        <w:gridCol w:w="1186"/>
        <w:gridCol w:w="181"/>
        <w:gridCol w:w="146"/>
        <w:gridCol w:w="226"/>
        <w:gridCol w:w="1186"/>
        <w:gridCol w:w="181"/>
        <w:gridCol w:w="146"/>
        <w:gridCol w:w="226"/>
        <w:gridCol w:w="1186"/>
        <w:gridCol w:w="181"/>
        <w:gridCol w:w="146"/>
        <w:gridCol w:w="234"/>
        <w:gridCol w:w="1231"/>
        <w:gridCol w:w="187"/>
        <w:gridCol w:w="146"/>
        <w:gridCol w:w="226"/>
        <w:gridCol w:w="1306"/>
        <w:gridCol w:w="229"/>
      </w:tblGrid>
      <w:tr>
        <w:trPr/>
        <w:tc>
          <w:tcPr>
            <w:tcW w:w="128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6.75% </w:t>
              <w:br/>
              <w:t xml:space="preserve">Series 2024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6.25% </w:t>
              <w:br/>
              <w:t xml:space="preserve">Series 2027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6.00% </w:t>
              <w:br/>
              <w:t xml:space="preserve">Series 2029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652"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7.125% </w:t>
              <w:br/>
              <w:t xml:space="preserve">Series 2029 </w:t>
              <w:br/>
              <w:t xml:space="preserve">Term </w:t>
              <w:br/>
              <w:t>Preferred Shares</w:t>
            </w:r>
          </w:p>
        </w:tc>
        <w:tc>
          <w:tcPr>
            <w:tcW w:w="146" w:type="dxa"/>
            <w:tcBorders/>
            <w:vAlign w:val="bottom"/>
          </w:tcPr>
          <w:p>
            <w:pPr>
              <w:pStyle w:val="TableContents"/>
              <w:bidi w:val="0"/>
              <w:spacing w:before="0" w:after="283"/>
              <w:jc w:val="left"/>
              <w:rPr/>
            </w:pPr>
            <w:r>
              <w:rPr/>
              <w:t> </w:t>
            </w:r>
          </w:p>
        </w:tc>
        <w:tc>
          <w:tcPr>
            <w:tcW w:w="176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Total(2)</w:t>
            </w:r>
          </w:p>
        </w:tc>
      </w:tr>
      <w:tr>
        <w:trPr/>
        <w:tc>
          <w:tcPr>
            <w:tcW w:w="12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value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68,125,375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88,120,150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67,172,500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63,750,000</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287,168,025</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issuance cost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(250,037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(1,472,220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(1,751,104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(1,925,215</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(5,397,577</w:t>
            </w:r>
          </w:p>
        </w:tc>
        <w:tc>
          <w:tcPr>
            <w:tcW w:w="2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Carrying value(2)</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67,875,338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86,647,930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65,421,396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61,824,785</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281,769,448</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67,934,624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80,224,585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57,768,350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56,610,000</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262,537,559</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price per share(1)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22.20</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the September 30, 2023 closing market price per share of each respective series of Term Preferred Shares on the NASDAQ Global Select Market.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of the Fund’s Term Preferred Share offerings are as set forth in the table below:</w:t>
      </w:r>
    </w:p>
    <w:tbl>
      <w:tblPr>
        <w:tblW w:w="10205" w:type="dxa"/>
        <w:jc w:val="left"/>
        <w:tblInd w:w="0" w:type="dxa"/>
        <w:tblLayout w:type="fixed"/>
        <w:tblCellMar>
          <w:top w:w="0" w:type="dxa"/>
          <w:left w:w="0" w:type="dxa"/>
          <w:bottom w:w="0" w:type="dxa"/>
          <w:right w:w="0" w:type="dxa"/>
        </w:tblCellMar>
      </w:tblPr>
      <w:tblGrid>
        <w:gridCol w:w="3182"/>
        <w:gridCol w:w="146"/>
        <w:gridCol w:w="1426"/>
        <w:gridCol w:w="146"/>
        <w:gridCol w:w="1861"/>
        <w:gridCol w:w="146"/>
        <w:gridCol w:w="1681"/>
        <w:gridCol w:w="146"/>
        <w:gridCol w:w="1471"/>
      </w:tblGrid>
      <w:tr>
        <w:trPr/>
        <w:tc>
          <w:tcPr>
            <w:tcW w:w="31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6.75% </w:t>
              <w:br/>
              <w:t xml:space="preserve">Series 2024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6.25% </w:t>
              <w:br/>
              <w:t xml:space="preserve">Series 2027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6.00% </w:t>
              <w:br/>
              <w:t xml:space="preserve">Series 2029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7.125% </w:t>
              <w:br/>
              <w:t xml:space="preserve">Series 2029 </w:t>
              <w:br/>
              <w:t xml:space="preserve">Term </w:t>
              <w:br/>
              <w:t xml:space="preserve">Preferred </w:t>
              <w:br/>
              <w:t>Shares</w:t>
            </w:r>
          </w:p>
        </w:tc>
      </w:tr>
      <w:tr>
        <w:trPr/>
        <w:tc>
          <w:tcPr>
            <w:tcW w:w="31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price per share</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r>
      <w:tr>
        <w:trPr/>
        <w:tc>
          <w:tcPr>
            <w:tcW w:w="31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redemption date</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2024</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28, 2027</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31, 2029</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2029</w:t>
            </w:r>
          </w:p>
        </w:tc>
      </w:tr>
      <w:tr>
        <w:trPr/>
        <w:tc>
          <w:tcPr>
            <w:tcW w:w="31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redemption price per share</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r>
      <w:tr>
        <w:trPr/>
        <w:tc>
          <w:tcPr>
            <w:tcW w:w="31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Optional redemption date</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2020</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28, 2023</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31, 2024</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2024</w:t>
            </w:r>
          </w:p>
        </w:tc>
      </w:tr>
      <w:tr>
        <w:trPr/>
        <w:tc>
          <w:tcPr>
            <w:tcW w:w="31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rate</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Term Preferred Shares had no accrued interest payable at September 30, 2023. Deferred issuance costs represent underwriting fees and other direct costs incurred that are related to the Fund’s Term Preferred Shares. As of September 30, 2023, the Fund had an unamortized deferred debt issuance cost balance of approximately $5.4 million related to the issuance of the Term Preferred Shares.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components of interest expense, effective interest rates and cash paid on the Term Preferred Shares for the six months ended September 30, 2023:</w:t>
      </w:r>
    </w:p>
    <w:tbl>
      <w:tblPr>
        <w:tblW w:w="10205" w:type="dxa"/>
        <w:jc w:val="left"/>
        <w:tblInd w:w="0" w:type="dxa"/>
        <w:tblLayout w:type="fixed"/>
        <w:tblCellMar>
          <w:top w:w="0" w:type="dxa"/>
          <w:left w:w="0" w:type="dxa"/>
          <w:bottom w:w="0" w:type="dxa"/>
          <w:right w:w="0" w:type="dxa"/>
        </w:tblCellMar>
      </w:tblPr>
      <w:tblGrid>
        <w:gridCol w:w="1420"/>
        <w:gridCol w:w="146"/>
        <w:gridCol w:w="226"/>
        <w:gridCol w:w="1066"/>
        <w:gridCol w:w="286"/>
        <w:gridCol w:w="146"/>
        <w:gridCol w:w="226"/>
        <w:gridCol w:w="1066"/>
        <w:gridCol w:w="286"/>
        <w:gridCol w:w="146"/>
        <w:gridCol w:w="226"/>
        <w:gridCol w:w="1066"/>
        <w:gridCol w:w="286"/>
        <w:gridCol w:w="146"/>
        <w:gridCol w:w="226"/>
        <w:gridCol w:w="1066"/>
        <w:gridCol w:w="286"/>
        <w:gridCol w:w="146"/>
        <w:gridCol w:w="226"/>
        <w:gridCol w:w="1186"/>
        <w:gridCol w:w="331"/>
      </w:tblGrid>
      <w:tr>
        <w:trPr/>
        <w:tc>
          <w:tcPr>
            <w:tcW w:w="142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6.75% </w:t>
              <w:br/>
              <w:t xml:space="preserve">Series 2024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57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6.25% </w:t>
              <w:br/>
              <w:t xml:space="preserve">Series 2027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57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6.00% </w:t>
              <w:br/>
              <w:t xml:space="preserve">Series 2029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57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7.125% </w:t>
              <w:br/>
              <w:t xml:space="preserve">Series 2029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Total(3)</w:t>
            </w:r>
          </w:p>
        </w:tc>
      </w:tr>
      <w:tr>
        <w:trPr/>
        <w:tc>
          <w:tcPr>
            <w:tcW w:w="142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expense(1)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2,299,231</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2,753,755</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2,015,175</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2,271,094</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9,339,255</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2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issuance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166,996</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216,052</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148,220</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167,769</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699,036</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2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expense(3)</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2,466,227</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2,969,807</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2,163,395</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2,438,863</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10,038,292</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2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interest rate(2)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2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2,299,231</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2,753,755</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2,015,175</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2,271,094</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9,339,255</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Stated interest is composed of distributions declared and paid of approximately $9.3 million for the six months ended September 30, 2023.</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the weighted average effective rate for each respective series of Term Preferred Shares.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Totals may not sum due to rounding.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BORROWINGS</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PAYABLE — 6.75% UNSECURED NOTES DUE 2031</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16, 2021, the Fund completed an underwritten public offering, including the full exercise of the underwriters’ 30-day overallotment option, of approximately $100.0 million in aggregate principal amount of 6.75% Unsecured Notes due 2031 (the “6.75% Notes”). The 6.75% Notes will mature on March 31, 2031 and may be redeemed in whole or in part at any time or from time to time at the Fund’s option on or after March 16, 2024. The 6.75% Notes bear interest at a rate of 6.75% per year payable quarterly on March 31, June 30, September 30, and December 31, of each year, commencing June 30, 2021.</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accrued interest payable on the 6.75% Notes as of September 30, 2023 was approximately $18,750. As of September 30, 2023, the Fund had unamortized deferred debt issuance costs of approximately $2.7 million, relating to the 6.75% Notes. The deferred debt issuance costs are being amortized over the term of the 6.75% Notes and are included in interest expense in the statement of operations. The effective annualized interest rate for the six months ended September 30, 2023 was approximately 7.09%.</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PAYABLE — 5.00% UNSECURED NOTES DUE 2027</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13, 2022, the Fund completed an underwritten public offering, including the full exercise of the underwriters’ 30-day overallotment option, of approximately $100.0 million in aggregate principal amount of 5.00% Unsecured Notes due 2027 (the “5.00% Notes” and together with the 6.75% Notes, the “Notes”). The 5.00% Notes will mature on January 31, 2027 and may be redeemed in whole or in part at any time or from time to time at the Fund’s option on or after January 31, 2024. The 5.00% Notes bear interest at a rate of 5.00% per year payable quarterly on March 31, June 30, September 30, and December 31, of each year, commencing March 31, 2022.</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accrued interest payable on the 5.00% Notes as of September 30, 2023, was approximately $13,889. As of September 30, 2023, the Fund had unamortized deferred debt issuance costs of approximately $2.3 million, relating to the 5.00% Notes. The deferred debt issuance costs are being amortized over the term of the 5.00% Notes and are included in interest expense in the statement of operations. The effective annualized interest rate for the six months ended September 30, 2023 was approximately 5.66%.</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PURCHASES, SALES AND REPAYMENTS OF SECURITIES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September 30, 2023, purchases of securities totaled approximately $283.6 million including approximately $2.3 million of unsettled purchases. In addition, during the six months ended September 30, 2023, the Fund’s sales of securities totaled approximately $34.9 million. The Fund had approximately $46.5 million in repayments, excluding short-term investments, during the six months ended September 30, 2023.</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COMMITMENTS AND CONTINGENCIES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2023, the Fund had a commitment to purchase Regatta Charlie preferred shares of approximately $11.1 million. The total commitment amount does not necessarily represent future cash requirements.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outcomes of these legal proceedings, if any, cannot be predicted with certainty, the Fund does not expect that these proceedings will have a material effect upon its financial condition or results of operations.</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INDEMNIFICATION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Fund’s organizational documents, the Fund’s officers and directors are indemnified against certain liabilities arising out of the performance of their duties to the Fund. In addition, in the normal course of business, the Fund enters into contracts that contain a variety of representations which provide general indemnifications. The Fund’s maximum exposure under these agreements cannot be known, however, the Fund expects any risk of loss to be remote.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FINANCIAL HIGHLIGHTS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highlights for the six months ended September 30, 2023 and years ended March 31, 2023, 2022, 2021, 2020, 2019, 2018, 2017, 2016, 2015, and 2014 are as follows:</w:t>
      </w:r>
    </w:p>
    <w:tbl>
      <w:tblPr>
        <w:tblW w:w="17880" w:type="dxa"/>
        <w:jc w:val="left"/>
        <w:tblInd w:w="0" w:type="dxa"/>
        <w:tblLayout w:type="fixed"/>
        <w:tblCellMar>
          <w:top w:w="0" w:type="dxa"/>
          <w:left w:w="0" w:type="dxa"/>
          <w:bottom w:w="0" w:type="dxa"/>
          <w:right w:w="0" w:type="dxa"/>
        </w:tblCellMar>
      </w:tblPr>
      <w:tblGrid>
        <w:gridCol w:w="986"/>
        <w:gridCol w:w="146"/>
        <w:gridCol w:w="196"/>
        <w:gridCol w:w="1006"/>
        <w:gridCol w:w="241"/>
        <w:gridCol w:w="146"/>
        <w:gridCol w:w="196"/>
        <w:gridCol w:w="1006"/>
        <w:gridCol w:w="241"/>
        <w:gridCol w:w="146"/>
        <w:gridCol w:w="196"/>
        <w:gridCol w:w="1006"/>
        <w:gridCol w:w="241"/>
        <w:gridCol w:w="146"/>
        <w:gridCol w:w="196"/>
        <w:gridCol w:w="1006"/>
        <w:gridCol w:w="241"/>
        <w:gridCol w:w="146"/>
        <w:gridCol w:w="196"/>
        <w:gridCol w:w="916"/>
        <w:gridCol w:w="241"/>
        <w:gridCol w:w="146"/>
        <w:gridCol w:w="196"/>
        <w:gridCol w:w="916"/>
        <w:gridCol w:w="241"/>
        <w:gridCol w:w="146"/>
        <w:gridCol w:w="196"/>
        <w:gridCol w:w="916"/>
        <w:gridCol w:w="241"/>
        <w:gridCol w:w="146"/>
        <w:gridCol w:w="196"/>
        <w:gridCol w:w="916"/>
        <w:gridCol w:w="241"/>
        <w:gridCol w:w="146"/>
        <w:gridCol w:w="196"/>
        <w:gridCol w:w="916"/>
        <w:gridCol w:w="241"/>
        <w:gridCol w:w="146"/>
        <w:gridCol w:w="196"/>
        <w:gridCol w:w="916"/>
        <w:gridCol w:w="241"/>
        <w:gridCol w:w="146"/>
        <w:gridCol w:w="196"/>
        <w:gridCol w:w="916"/>
        <w:gridCol w:w="286"/>
      </w:tblGrid>
      <w:tr>
        <w:trPr/>
        <w:tc>
          <w:tcPr>
            <w:tcW w:w="9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Six Months </w:t>
              <w:br/>
              <w:t xml:space="preserve">Ended </w:t>
              <w:br/>
              <w:t xml:space="preserve">September 30, </w:t>
              <w:br/>
              <w:t>2023</w:t>
            </w:r>
          </w:p>
        </w:tc>
        <w:tc>
          <w:tcPr>
            <w:tcW w:w="146" w:type="dxa"/>
            <w:tcBorders/>
            <w:vAlign w:val="bottom"/>
          </w:tcPr>
          <w:p>
            <w:pPr>
              <w:pStyle w:val="TableContents"/>
              <w:bidi w:val="0"/>
              <w:spacing w:before="0" w:after="283"/>
              <w:jc w:val="left"/>
              <w:rPr/>
            </w:pPr>
            <w:r>
              <w:rPr/>
              <w:t> </w:t>
            </w:r>
          </w:p>
        </w:tc>
        <w:tc>
          <w:tcPr>
            <w:tcW w:w="14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Year </w:t>
              <w:br/>
              <w:t xml:space="preserve">Ended </w:t>
              <w:br/>
              <w:t xml:space="preserve">March 31, </w:t>
              <w:br/>
              <w:t>2023</w:t>
            </w:r>
          </w:p>
        </w:tc>
        <w:tc>
          <w:tcPr>
            <w:tcW w:w="146" w:type="dxa"/>
            <w:tcBorders/>
            <w:vAlign w:val="bottom"/>
          </w:tcPr>
          <w:p>
            <w:pPr>
              <w:pStyle w:val="TableContents"/>
              <w:bidi w:val="0"/>
              <w:spacing w:before="0" w:after="283"/>
              <w:jc w:val="left"/>
              <w:rPr/>
            </w:pPr>
            <w:r>
              <w:rPr/>
              <w:t> </w:t>
            </w:r>
          </w:p>
        </w:tc>
        <w:tc>
          <w:tcPr>
            <w:tcW w:w="14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Year </w:t>
              <w:br/>
              <w:t xml:space="preserve">Ended </w:t>
              <w:br/>
              <w:t xml:space="preserve">March 31, </w:t>
              <w:br/>
              <w:t>2022</w:t>
            </w:r>
          </w:p>
        </w:tc>
        <w:tc>
          <w:tcPr>
            <w:tcW w:w="146" w:type="dxa"/>
            <w:tcBorders/>
            <w:vAlign w:val="bottom"/>
          </w:tcPr>
          <w:p>
            <w:pPr>
              <w:pStyle w:val="TableContents"/>
              <w:bidi w:val="0"/>
              <w:spacing w:before="0" w:after="283"/>
              <w:jc w:val="left"/>
              <w:rPr/>
            </w:pPr>
            <w:r>
              <w:rPr/>
              <w:t> </w:t>
            </w:r>
          </w:p>
        </w:tc>
        <w:tc>
          <w:tcPr>
            <w:tcW w:w="14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Year </w:t>
              <w:br/>
              <w:t xml:space="preserve">Ended </w:t>
              <w:br/>
              <w:t xml:space="preserve">March 31, </w:t>
              <w:br/>
              <w:t>2021</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Year </w:t>
              <w:br/>
              <w:t xml:space="preserve">Ended </w:t>
              <w:br/>
              <w:t xml:space="preserve">March 31, </w:t>
              <w:br/>
              <w:t>2020</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Year </w:t>
              <w:br/>
              <w:t xml:space="preserve">Ended </w:t>
              <w:br/>
              <w:t xml:space="preserve">March 31, </w:t>
              <w:br/>
              <w:t>2019</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Year </w:t>
              <w:br/>
              <w:t xml:space="preserve">Ended </w:t>
              <w:br/>
              <w:t xml:space="preserve">March 31, </w:t>
              <w:br/>
              <w:t>2018</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Year </w:t>
              <w:br/>
              <w:t xml:space="preserve">Ended </w:t>
              <w:br/>
              <w:t xml:space="preserve">March 31, </w:t>
              <w:br/>
              <w:t>2017</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Year </w:t>
              <w:br/>
              <w:t xml:space="preserve">Ended </w:t>
              <w:br/>
              <w:t xml:space="preserve">March 31, </w:t>
              <w:br/>
              <w:t>2016</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Year </w:t>
              <w:br/>
              <w:t xml:space="preserve">Ended </w:t>
              <w:br/>
              <w:t xml:space="preserve">March 31, </w:t>
              <w:br/>
              <w:t>2015</w:t>
            </w:r>
          </w:p>
        </w:tc>
        <w:tc>
          <w:tcPr>
            <w:tcW w:w="146" w:type="dxa"/>
            <w:tcBorders/>
            <w:vAlign w:val="bottom"/>
          </w:tcPr>
          <w:p>
            <w:pPr>
              <w:pStyle w:val="TableContents"/>
              <w:bidi w:val="0"/>
              <w:spacing w:before="0" w:after="283"/>
              <w:jc w:val="left"/>
              <w:rPr/>
            </w:pPr>
            <w:r>
              <w:rPr/>
              <w:t> </w:t>
            </w:r>
          </w:p>
        </w:tc>
        <w:tc>
          <w:tcPr>
            <w:tcW w:w="139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Year </w:t>
              <w:br/>
              <w:t xml:space="preserve">Ended </w:t>
              <w:br/>
              <w:t xml:space="preserve">March 31, </w:t>
              <w:br/>
              <w:t>2014</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u w:val="single"/>
              </w:rPr>
            </w:pPr>
            <w:r>
              <w:rPr>
                <w:rFonts w:ascii="Times New Roman PS Std;serif" w:hAnsi="Times New Roman PS Std;serif"/>
                <w:b/>
                <w:i w:val="false"/>
                <w:caps w:val="false"/>
                <w:smallCaps w:val="false"/>
                <w:sz w:val="14"/>
                <w:u w:val="single"/>
              </w:rPr>
              <w:t>Per Share Data</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Net asset value at beginning of period/year</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16.20</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Net investment income</w:t>
            </w:r>
            <w:r>
              <w:rPr>
                <w:rFonts w:ascii="Times New Roman PS Std;serif" w:hAnsi="Times New Roman PS Std;serif"/>
                <w:b w:val="false"/>
                <w:i w:val="false"/>
                <w:caps w:val="false"/>
                <w:smallCaps w:val="false"/>
                <w:sz w:val="8"/>
              </w:rPr>
              <w:t>(1)</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0.47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0.97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0.88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1.24</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Net realized and unrealized gains (losses)</w:t>
            </w:r>
            <w:r>
              <w:rPr>
                <w:rFonts w:ascii="Times New Roman PS Std;serif" w:hAnsi="Times New Roman PS Std;serif"/>
                <w:b w:val="false"/>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0.10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0.19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(0.12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1.85</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from investment operations</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0.57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(0.51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0.23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3.09</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Distributions per share of net investment income</w:t>
            </w:r>
            <w:r>
              <w:rPr>
                <w:rFonts w:ascii="Times New Roman PS Std;serif" w:hAnsi="Times New Roman PS Std;serif"/>
                <w:b w:val="false"/>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(0.46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(0.90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(0.83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(0.59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(0.99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(1.97</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Distributions per share from realized gain on investments</w:t>
            </w:r>
            <w:r>
              <w:rPr>
                <w:rFonts w:ascii="Times New Roman PS Std;serif" w:hAnsi="Times New Roman PS Std;serif"/>
                <w:b w:val="false"/>
                <w:i w:val="false"/>
                <w:caps w:val="false"/>
                <w:smallCaps w:val="false"/>
                <w:sz w:val="8"/>
              </w:rPr>
              <w:t>(3)</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(0.14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(0.38</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Distributions of return of capital</w:t>
            </w:r>
            <w:r>
              <w:rPr>
                <w:rFonts w:ascii="Times New Roman PS Std;serif" w:hAnsi="Times New Roman PS Std;serif"/>
                <w:b w:val="false"/>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(0.42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(0.63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(0.28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(0.25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Distributions per share based on weighted average share impact</w:t>
            </w:r>
            <w:r>
              <w:rPr>
                <w:rFonts w:ascii="Times New Roman PS Std;serif" w:hAnsi="Times New Roman PS Std;serif"/>
                <w:b w:val="false"/>
                <w:i w:val="false"/>
                <w:caps w:val="false"/>
                <w:smallCaps w:val="false"/>
                <w:sz w:val="8"/>
              </w:rPr>
              <w:t>(3)</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(0.02</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(0.02</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(0.02</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(0.51</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Total distributions</w:t>
            </w:r>
            <w:r>
              <w:rPr>
                <w:rFonts w:ascii="Times New Roman PS Std;serif" w:hAnsi="Times New Roman PS Std;serif"/>
                <w:b w:val="false"/>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(0.46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(0.90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(0.83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(0.99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(2.86</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Effect of shares issued/repurchased, net of underwriting expense</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0.25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0.21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0.40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0.25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0.11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(0.13</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Effect of offering </w:t>
              <w:br/>
              <w:t>costs</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(0.04</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Effect of shares issued/repurchased, net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0.25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0.21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0.39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0.24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0.10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(0.17</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Net asset value at end of period/year</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16.26</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Per share market value at beginning of period/year</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9.84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10.13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16.70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15.98</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Per share market value at end of period/year</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9.84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10.13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16.70</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Total return based on market value</w:t>
            </w:r>
            <w:r>
              <w:rPr>
                <w:rFonts w:ascii="Times New Roman PS Std;serif" w:hAnsi="Times New Roman PS Std;serif"/>
                <w:b w:val="false"/>
                <w:i w:val="false"/>
                <w:caps w:val="false"/>
                <w:smallCaps w:val="false"/>
                <w:sz w:val="8"/>
              </w:rPr>
              <w:t>(4)</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(15.53</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87.87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(48.71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13.47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66.38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(28.97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20.23</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Total return based on net asset value</w:t>
            </w:r>
            <w:r>
              <w:rPr>
                <w:rFonts w:ascii="Times New Roman PS Std;serif" w:hAnsi="Times New Roman PS Std;serif"/>
                <w:b w:val="false"/>
                <w:i w:val="false"/>
                <w:caps w:val="false"/>
                <w:smallCaps w:val="false"/>
                <w:sz w:val="8"/>
              </w:rPr>
              <w:t>(5)</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94.20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78.98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(32.95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14.88</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Shares outstanding at end of period/year</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207,403,448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172,073,305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144,478,402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100,452,835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75,183,153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42,547,801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28,768,899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22,751,432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18,751,696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15,972,381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15,240,729</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u w:val="single"/>
              </w:rPr>
            </w:pPr>
            <w:r>
              <w:rPr>
                <w:rFonts w:ascii="Times New Roman PS Std;serif" w:hAnsi="Times New Roman PS Std;serif"/>
                <w:b/>
                <w:i w:val="false"/>
                <w:caps w:val="false"/>
                <w:smallCaps w:val="false"/>
                <w:sz w:val="14"/>
                <w:u w:val="single"/>
              </w:rPr>
              <w:t>Ratios/Supplemental Data</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Net assets at end of period/year </w:t>
              <w:br/>
              <w:t xml:space="preserve">(000’s)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998,410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793,151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947,156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596,254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268,788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353,832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289,930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232,048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131,950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224,933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247,829</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Average net assets (000’s)</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814,051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827,142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738,960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419,391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314,446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315,037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254,893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173,005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185,211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239,703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154,112</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Ratio of net investment income to average daily net assets</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21.77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w:t>
            </w:r>
            <w:r>
              <w:rPr>
                <w:rFonts w:ascii="Times New Roman PS Std;serif" w:hAnsi="Times New Roman PS Std;serif"/>
                <w:b w:val="false"/>
                <w:i w:val="false"/>
                <w:caps w:val="false"/>
                <w:smallCaps w:val="false"/>
                <w:sz w:val="8"/>
              </w:rPr>
              <w:t>(7)</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18.56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23.20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6.55</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Ratio of expenses to average daily net assets</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13.84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w:t>
            </w:r>
            <w:r>
              <w:rPr>
                <w:rFonts w:ascii="Times New Roman PS Std;serif" w:hAnsi="Times New Roman PS Std;serif"/>
                <w:b w:val="false"/>
                <w:i w:val="false"/>
                <w:caps w:val="false"/>
                <w:smallCaps w:val="false"/>
                <w:sz w:val="8"/>
              </w:rPr>
              <w:t xml:space="preserve">(7)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13.14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10.76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13.52</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16.60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8.38</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Portfolio turnover rate</w:t>
            </w:r>
            <w:r>
              <w:rPr>
                <w:rFonts w:ascii="Times New Roman PS Std;serif" w:hAnsi="Times New Roman PS Std;serif"/>
                <w:b w:val="false"/>
                <w:i w:val="false"/>
                <w:caps w:val="false"/>
                <w:smallCaps w:val="false"/>
                <w:sz w:val="8"/>
              </w:rPr>
              <w:t>(6)</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16.51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56.07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44.15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17.56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64.97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53.42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69.08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32.02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69.05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28.81</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net investment income per share for the period, based upon average shares outstanding.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30, 2023</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FINANCIAL HIGHLIGHTS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Net realized and unrealized capital gains and losses based upon average shares outstanding include adjustments to reconcile change in NAV per share.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Management monitors available taxable earnings, including net investment income and realized capital gains, to determine if a tax return of capital may occur for the period. To the extent the Fund’s taxable earnings fall below the total amount of the Fund’s distributions for that fiscal year, a portion of those distributions may be deemed a tax return of capital to the Fund’s stockholders. The ultimate tax character of the Fund’s earnings cannot be determined until tax returns are prepared after the end of the fiscal year. The information provided is based on estimates available at each respective fiscal year end, see “Note 7. Distributions”.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Total return based on market value is calculated assuming that shares of the Fund’s common stock were purchased at the market price as of the beginning of the period, and that distribution, capital gains and other distributions were reinvested as provided for in the Fund’s distribution reinvestment plan, excluding any discounts, and that the total number of shares were sold at the closing market price per share on the last day of the period. The computation does not reflect any sales commission investors may incur in purchasing or selling shares of the Fund.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Total return based on NAV is the change in ending NAV per share plus distributions per share paid during the period assuming participation in the Fund’s distribution reinvestment plan divided by the beginning NAV per share.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Portfolio turnover rate is calculated using the lesser of the year-to-date purchases or sales and repayments of investments divided by the monthly average of the fair value of total investments. Excluded from both the numerator and denominator is the fair value of all investments whose maturity or expiration date at the time of acquisition was one year or less.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Ratios for the six months ended September 30, 2023 are annualized and include non-recurring expenses including excise tax of 0.36% of average net assets, which is not annualized.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Senior Securities Table</w:t>
      </w:r>
    </w:p>
    <w:tbl>
      <w:tblPr>
        <w:tblW w:w="10205" w:type="dxa"/>
        <w:jc w:val="left"/>
        <w:tblInd w:w="0" w:type="dxa"/>
        <w:tblLayout w:type="fixed"/>
        <w:tblCellMar>
          <w:top w:w="0" w:type="dxa"/>
          <w:left w:w="0" w:type="dxa"/>
          <w:bottom w:w="0" w:type="dxa"/>
          <w:right w:w="0" w:type="dxa"/>
        </w:tblCellMar>
      </w:tblPr>
      <w:tblGrid>
        <w:gridCol w:w="4493"/>
        <w:gridCol w:w="146"/>
        <w:gridCol w:w="241"/>
        <w:gridCol w:w="1269"/>
        <w:gridCol w:w="146"/>
        <w:gridCol w:w="1110"/>
        <w:gridCol w:w="146"/>
        <w:gridCol w:w="527"/>
        <w:gridCol w:w="807"/>
        <w:gridCol w:w="146"/>
        <w:gridCol w:w="330"/>
        <w:gridCol w:w="844"/>
      </w:tblGrid>
      <w:tr>
        <w:trPr/>
        <w:tc>
          <w:tcPr>
            <w:tcW w:w="449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Amount </w:t>
              <w:br/>
              <w:t xml:space="preserve">Outstanding </w:t>
              <w:br/>
              <w:t xml:space="preserve">Exclusive of </w:t>
              <w:br/>
              <w:t xml:space="preserve">Treasury </w:t>
              <w:br/>
              <w:t>Securities(1)</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Asset </w:t>
              <w:br/>
              <w:t xml:space="preserve">Coverage </w:t>
              <w:br/>
              <w:t xml:space="preserve">Ratio Per </w:t>
              <w:br/>
              <w:t>Unit(2)</w:t>
            </w:r>
          </w:p>
        </w:tc>
        <w:tc>
          <w:tcPr>
            <w:tcW w:w="146" w:type="dxa"/>
            <w:tcBorders/>
            <w:vAlign w:val="bottom"/>
          </w:tcPr>
          <w:p>
            <w:pPr>
              <w:pStyle w:val="TableContents"/>
              <w:bidi w:val="0"/>
              <w:spacing w:before="0" w:after="283"/>
              <w:jc w:val="left"/>
              <w:rPr/>
            </w:pPr>
            <w:r>
              <w:rPr/>
              <w:t> </w:t>
            </w:r>
          </w:p>
        </w:tc>
        <w:tc>
          <w:tcPr>
            <w:tcW w:w="133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Involuntary </w:t>
              <w:br/>
              <w:t xml:space="preserve">Liquidation </w:t>
              <w:br/>
              <w:t xml:space="preserve">Preference </w:t>
              <w:br/>
              <w:t>Per Unit(3)</w:t>
            </w:r>
          </w:p>
        </w:tc>
        <w:tc>
          <w:tcPr>
            <w:tcW w:w="146"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Market </w:t>
              <w:br/>
              <w:t xml:space="preserve">Value Per </w:t>
              <w:br/>
              <w:t>Unit(4)</w:t>
            </w:r>
          </w:p>
        </w:tc>
      </w:tr>
      <w:tr>
        <w:trPr/>
        <w:tc>
          <w:tcPr>
            <w:tcW w:w="44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4" w:type="dxa"/>
            <w:tcBorders/>
            <w:shd w:fill="CCEEFF" w:val="clear"/>
            <w:vAlign w:val="bottom"/>
          </w:tcPr>
          <w:p>
            <w:pPr>
              <w:pStyle w:val="TableContents"/>
              <w:bidi w:val="0"/>
              <w:spacing w:before="0" w:after="283"/>
              <w:jc w:val="left"/>
              <w:rPr/>
            </w:pPr>
            <w:r>
              <w:rPr/>
              <w:t> </w:t>
            </w:r>
          </w:p>
        </w:tc>
      </w:tr>
      <w:tr>
        <w:trPr/>
        <w:tc>
          <w:tcPr>
            <w:tcW w:w="44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8.50% Series 2017 Term Preferred Shares</w:t>
            </w: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4" w:type="dxa"/>
            <w:tcBorders/>
            <w:vAlign w:val="bottom"/>
          </w:tcPr>
          <w:p>
            <w:pPr>
              <w:pStyle w:val="TableContents"/>
              <w:bidi w:val="0"/>
              <w:spacing w:before="0" w:after="283"/>
              <w:jc w:val="left"/>
              <w:rPr/>
            </w:pPr>
            <w:r>
              <w:rPr/>
              <w:t> </w:t>
            </w:r>
          </w:p>
        </w:tc>
      </w:tr>
      <w:tr>
        <w:trPr/>
        <w:tc>
          <w:tcPr>
            <w:tcW w:w="44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2016</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2015</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15,811,250</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146"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44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2014</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15,811,250</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w:t>
            </w:r>
          </w:p>
        </w:tc>
        <w:tc>
          <w:tcPr>
            <w:tcW w:w="146"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r>
      <w:tr>
        <w:trPr/>
        <w:tc>
          <w:tcPr>
            <w:tcW w:w="44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15,811,250</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8.79</w:t>
            </w:r>
          </w:p>
        </w:tc>
        <w:tc>
          <w:tcPr>
            <w:tcW w:w="146"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44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4" w:type="dxa"/>
            <w:tcBorders/>
            <w:shd w:fill="CCEEFF" w:val="clear"/>
            <w:vAlign w:val="bottom"/>
          </w:tcPr>
          <w:p>
            <w:pPr>
              <w:pStyle w:val="TableContents"/>
              <w:bidi w:val="0"/>
              <w:spacing w:before="0" w:after="283"/>
              <w:jc w:val="left"/>
              <w:rPr/>
            </w:pPr>
            <w:r>
              <w:rPr/>
              <w:t> </w:t>
            </w:r>
          </w:p>
        </w:tc>
      </w:tr>
      <w:tr>
        <w:trPr/>
        <w:tc>
          <w:tcPr>
            <w:tcW w:w="44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7.50% Series 2023 Term Preferred Shares</w:t>
            </w:r>
            <w:r>
              <w:rPr>
                <w:rFonts w:ascii="Times New Roman PS Std;serif" w:hAnsi="Times New Roman PS Std;serif"/>
                <w:b w:val="false"/>
                <w:i w:val="false"/>
                <w:caps w:val="false"/>
                <w:smallCaps w:val="false"/>
                <w:sz w:val="20"/>
              </w:rPr>
              <w:t>(6)(8)(10)</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4" w:type="dxa"/>
            <w:tcBorders/>
            <w:vAlign w:val="bottom"/>
          </w:tcPr>
          <w:p>
            <w:pPr>
              <w:pStyle w:val="TableContents"/>
              <w:bidi w:val="0"/>
              <w:spacing w:before="0" w:after="283"/>
              <w:jc w:val="left"/>
              <w:rPr/>
            </w:pPr>
            <w:r>
              <w:rPr/>
              <w:t> </w:t>
            </w:r>
          </w:p>
        </w:tc>
      </w:tr>
      <w:tr>
        <w:trPr/>
        <w:tc>
          <w:tcPr>
            <w:tcW w:w="44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57,034,875</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0.97</w:t>
            </w:r>
          </w:p>
        </w:tc>
      </w:tr>
      <w:tr>
        <w:trPr/>
        <w:tc>
          <w:tcPr>
            <w:tcW w:w="44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60,400,025</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46"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44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90,400,025</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146"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44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90,400,025</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44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2017</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90,400,025</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146"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44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2016</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90,638,450</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146"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0.97</w:t>
            </w:r>
          </w:p>
        </w:tc>
      </w:tr>
      <w:tr>
        <w:trPr/>
        <w:tc>
          <w:tcPr>
            <w:tcW w:w="44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2015</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73,869,250</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146"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0.98</w:t>
            </w:r>
          </w:p>
        </w:tc>
      </w:tr>
      <w:tr>
        <w:trPr/>
        <w:tc>
          <w:tcPr>
            <w:tcW w:w="44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2014</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65,744,250</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w:t>
            </w:r>
          </w:p>
        </w:tc>
        <w:tc>
          <w:tcPr>
            <w:tcW w:w="146"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0.94</w:t>
            </w:r>
          </w:p>
        </w:tc>
      </w:tr>
      <w:tr>
        <w:trPr/>
        <w:tc>
          <w:tcPr>
            <w:tcW w:w="44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4" w:type="dxa"/>
            <w:tcBorders/>
            <w:vAlign w:val="bottom"/>
          </w:tcPr>
          <w:p>
            <w:pPr>
              <w:pStyle w:val="TableContents"/>
              <w:bidi w:val="0"/>
              <w:spacing w:before="0" w:after="283"/>
              <w:jc w:val="left"/>
              <w:rPr/>
            </w:pPr>
            <w:r>
              <w:rPr/>
              <w:t> </w:t>
            </w:r>
          </w:p>
        </w:tc>
      </w:tr>
      <w:tr>
        <w:trPr/>
        <w:tc>
          <w:tcPr>
            <w:tcW w:w="44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8.125% Series 2024 Term Preferred Shares</w:t>
            </w: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4" w:type="dxa"/>
            <w:tcBorders/>
            <w:shd w:fill="CCEEFF" w:val="clear"/>
            <w:vAlign w:val="bottom"/>
          </w:tcPr>
          <w:p>
            <w:pPr>
              <w:pStyle w:val="TableContents"/>
              <w:bidi w:val="0"/>
              <w:spacing w:before="0" w:after="283"/>
              <w:jc w:val="left"/>
              <w:rPr/>
            </w:pPr>
            <w:r>
              <w:rPr/>
              <w:t> </w:t>
            </w:r>
          </w:p>
        </w:tc>
      </w:tr>
      <w:tr>
        <w:trPr/>
        <w:tc>
          <w:tcPr>
            <w:tcW w:w="44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2017</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50,504,475</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146"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44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2016</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50,539,775</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146"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44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2015</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60,687,500</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146"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30, 2023</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FINANCIAL HIGHLIGHTS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4445"/>
        <w:gridCol w:w="146"/>
        <w:gridCol w:w="227"/>
        <w:gridCol w:w="1315"/>
        <w:gridCol w:w="146"/>
        <w:gridCol w:w="1116"/>
        <w:gridCol w:w="146"/>
        <w:gridCol w:w="529"/>
        <w:gridCol w:w="811"/>
        <w:gridCol w:w="146"/>
        <w:gridCol w:w="332"/>
        <w:gridCol w:w="846"/>
      </w:tblGrid>
      <w:tr>
        <w:trPr/>
        <w:tc>
          <w:tcPr>
            <w:tcW w:w="44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Amount </w:t>
              <w:br/>
              <w:t xml:space="preserve">Outstanding </w:t>
              <w:br/>
              <w:t xml:space="preserve">Exclusive of </w:t>
              <w:br/>
              <w:t xml:space="preserve">Treasury </w:t>
              <w:br/>
              <w:t>Securities(1)</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Asset </w:t>
              <w:br/>
              <w:t xml:space="preserve">Coverage </w:t>
              <w:br/>
              <w:t xml:space="preserve">Ratio Per </w:t>
              <w:br/>
              <w:t>Unit(2)</w:t>
            </w:r>
          </w:p>
        </w:tc>
        <w:tc>
          <w:tcPr>
            <w:tcW w:w="146"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Involuntary </w:t>
              <w:br/>
              <w:t xml:space="preserve">Liquidation </w:t>
              <w:br/>
              <w:t xml:space="preserve">Preference </w:t>
              <w:br/>
              <w:t>Per Unit(3)</w:t>
            </w:r>
          </w:p>
        </w:tc>
        <w:tc>
          <w:tcPr>
            <w:tcW w:w="146" w:type="dxa"/>
            <w:tcBorders/>
            <w:vAlign w:val="bottom"/>
          </w:tcPr>
          <w:p>
            <w:pPr>
              <w:pStyle w:val="TableContents"/>
              <w:bidi w:val="0"/>
              <w:spacing w:before="0" w:after="283"/>
              <w:jc w:val="left"/>
              <w:rPr/>
            </w:pPr>
            <w:r>
              <w:rPr/>
              <w:t> </w:t>
            </w:r>
          </w:p>
        </w:tc>
        <w:tc>
          <w:tcPr>
            <w:tcW w:w="117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Market </w:t>
              <w:br/>
              <w:t xml:space="preserve">Value Per </w:t>
              <w:br/>
              <w:t>Unit(4)</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6.75% Series 2024 Term Preferred Shares</w:t>
            </w:r>
            <w:r>
              <w:rPr>
                <w:rFonts w:ascii="Times New Roman PS Std;serif" w:hAnsi="Times New Roman PS Std;serif"/>
                <w:b w:val="false"/>
                <w:i w:val="false"/>
                <w:caps w:val="false"/>
                <w:smallCaps w:val="false"/>
                <w:sz w:val="20"/>
              </w:rPr>
              <w:t>(8)</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6"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 (as of September 30, 2023)</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68,125,375</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0.99</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68,125,375</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68,125,375</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68,125,375</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0.94</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68,235,375</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68,235,375</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68,235,375</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44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6"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6.25% Series 2027 Term Preferred Shares</w:t>
            </w:r>
            <w:r>
              <w:rPr>
                <w:rFonts w:ascii="Times New Roman PS Std;serif" w:hAnsi="Times New Roman PS Std;serif"/>
                <w:b w:val="false"/>
                <w:i w:val="false"/>
                <w:caps w:val="false"/>
                <w:smallCaps w:val="false"/>
                <w:sz w:val="20"/>
              </w:rPr>
              <w:t>(8)</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6"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 (as of September 30, 2023)</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88,120,150</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0.91</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88,120,150</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0.93</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88,120,150</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88,120,150</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0.89</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91,600,000</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0.89</w:t>
            </w:r>
          </w:p>
        </w:tc>
      </w:tr>
      <w:tr>
        <w:trPr/>
        <w:tc>
          <w:tcPr>
            <w:tcW w:w="44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6"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6.00% Series 2029 Term Preferred Shares</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6"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 (as of September 30, 2023)</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67,172,500</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0.86</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67,172,500</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0.90</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67,172,500</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44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6"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7.125% Series 2029 Term Preferred Shares</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6"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 (as of September 30, 2023)</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63,750,000</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0.92</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63,750,000</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0.93</w:t>
            </w:r>
          </w:p>
        </w:tc>
      </w:tr>
      <w:tr>
        <w:trPr/>
        <w:tc>
          <w:tcPr>
            <w:tcW w:w="44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6"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Repurchase Agreement</w:t>
            </w: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6"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40,000,000</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42,493,500</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42,493,500</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44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6"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6.75% Unsecured Notes due 2031</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6"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 (as of September 30, 2023)</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0.93</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0.96</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44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6"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5.00% Unsecured Notes due 2027</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6"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 (as of September 30, 2023)</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0.90</w:t>
            </w:r>
          </w:p>
        </w:tc>
      </w:tr>
      <w:tr>
        <w:trPr/>
        <w:tc>
          <w:tcPr>
            <w:tcW w:w="44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0.92</w:t>
            </w:r>
          </w:p>
        </w:tc>
      </w:tr>
      <w:tr>
        <w:trPr/>
        <w:tc>
          <w:tcPr>
            <w:tcW w:w="44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 amount of each class of senior securities outstanding at the end of the period presented.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FINANCIAL HIGHLIGHTS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Asset coverage per unit is the ratio of the carrying value of the Fund’s total assets, less all liabilities and indebtedness not represented by senior securities, to the aggregate amount of outstanding senior securities, as calculated separately for each of the Term Preferred Shares, the Notes and the previously terminated Master Repurchase Agreement (“MRA”) with Nomura Securities International, Inc. (“Nomura”) in accordance with section 18(h) of the 1940 Act. With respect to the Term Preferred Shares, the asset coverage per unit is expressed in terms of a ratio per share of outstanding Term Preferred Shares (when expressing in terms of dollar amounts per share, the asset coverage ratio per unit is multiplied by the involuntary liquidation preference per unit of $25). With respect to the MRA, the asset coverage ratio per unit is expressed in terms of a ratio per unit of outstanding (when expressing in terms of dollar amounts per share, the asset coverage per unit is multiplied by $1,000 per principal amount).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 to which such class of senior security would be entitled upon the voluntary liquidation of the issuer in preference to any security junior to it.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With respect to the Term Preferred Shares and the Notes, the Average Market Value Per Unit is calculated by taking the daily average closing price of the security for the respective period and dividing it by $25 per share to determine a unit price per share consistent with Asset Coverage Per Unit. With respect to the MRA, the Average Market Value is not applicable as there are no senior securities thereunder which are registered for public trading.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On July 24, 2015, the Fund redeemed all issued and outstanding 8.50% Series 2017 Term Preferred Shares at the term redemption price.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On March 12, 2020, the Fund redeemed 1,200,000 shares of the 7.50% Series 2023 Term Preferred Shares issued and outstanding at the term redemption price.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On July 14, 2017, the Fund redeemed all issued and outstanding 8.125% Series 2024 Term Preferred Shares at the term redemption price.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On May 21, 2020, the Fund’s Board of Directors authorized a program for the purpose of repurchasing up to $40 million worth of the outstanding shares of its 7.50% Series 2023 Term Preferred Stock, 6.75% Series 2024 Term Preferred Stock and 6.25% Series 2027 Term Preferred Stock. During the six months ended September 30, 2020, the Fund repurchased 134,606 shares of 7.50% Series 2023 Term Preferred Stock for a total of approximately $3.2 million, 4,400 shares of 6.75% Series 2024 Term Preferred Stock for a total of approximately $0.1 million, and 139,194 shares of 6.25% Series 2027 Term Preferred Stock, for a total of approximately $3.1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On May 15, 2020, the Fund elected, at its option, to repay and terminate its $40.0 million repurchase agreement with Nomura. The Fund repurchased all of the previously sold CLO securities from Nomura at a repurchase price of $40.0 million plus accrued funding costs.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On April 15, 2021 (the “Redemption Date”), the Fund redeemed all of the outstanding 7.50% Series 2023 Term Preferred Stock at a redemption price of $25 per share plus an amount equal to all accrued and unpaid dividends and distributions on each share accumulated to (but excluding) the 7.50% Series 2023 Redemption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RISKS AND UNCERTAINTIES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list is not intended to be a comprehensive list of all of the potential risks associated with the Fund. The Fund’s prospectus provides a detailed discussion of the Fund’s risks and considerations. The risks described in the prospectus are not the only risks the Fund faces. Additional risks and uncertainties not currently known to the Fund or that are currently deemed to be immaterial may also materially and adversely affect its business, financial condition and/or operating results.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of Investing in CLOs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Fund’s portfolio consists of equity and junior debt investments in CLO vehicles. Generally, there may be less information available to the Fund regarding the underlying debt investments held by such CLO vehicles than if the Fund had invested directly in the debt of the underlying companies. As a result, the Fund’s stockholders may not know the details of the underlying debt investments of the CLO vehicles in which the Fund invests. The Fund’s CLO investments will also be subject to the risk of leverage associated with the debt issued by such CLOs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RISKS AND UNCERTAINTIES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the repayment priority of senior debt holders in such CLO vehicles. Additionally, CLOs in which the Fund invests are often governed by a complex series of legal documents and contracts. As a result, the risk of dispute over interpretation or enforceability of the documentation may be higher relative to other types of investments. In addition to the general risks associated with investing in debt securities, CLO vehicles carry additional risks, including, but not limited to: (i) the possibility that distributions from collateral securities will not be adequate to make interest or other payments; (ii) the credit quality of the CLO Assets that serve as collateral may decline or the CLO Asset may default; (iii) the CLO may experience losses associated with selling CLO Assets at a loss; (iv) the Fund’s investments in CLO debt and equity will likely be subordinate to other senior classes of CLO debt; (v) the CLO vehicle itself may experience an event of default, leading to acceleration of the CLO’s debt and liquidation of CLO Assets at undesirable prices and (vi) the complex structure of the security may not be fully understood at the time of investment and may produce disputes among participants of the CLO transaction or unexpected investment results.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CLO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 are typically very highly levered (with CLO equity securities typically being leveraged between nine and 13 times), and therefore the junior equity and debt tranches in which the Fund will invest will be subject to a higher degree of risk of total loss. In particular, investors in CLO securities indirectly bear risks of the collateral held by such CLOs. The Fund generally has the right to receive payments only from the CLOs, and generally does not have direct rights against the underlying borrowers or the entity that sponsored the CLO transaction. In addition, the Fund may have the option in certain CLOs to contribute additional amounts to the CLO issuer for purposes of acquiring additional assets or curing coverage tests, thereby increasing the Fund’s overall exposure and capital at risk to such CLO. Although it is difficult to predict whether the prices of assets underlying CLOs will rise or fall, these prices (and, therefore, the prices of the CLOs’ securities) are influenced by the same types of political and economic events that affect issuers of securities and capital markets generally.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Subordinated Securities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 vehicles in which the Fund invests will issue and sell or have already issued and sold debt tranches that will rank senior to the debt and equity tranches in which the Fund invests. By their terms, such tranches entitle the holders to receive payment of interest or principal on or before the dates on which the Fund is entitled to receive payments with respect to the tranches in which the Fund invests. Also, in the event of default, insolvency, liquidation, dissolution, reorganization or bankruptcy of a CLO vehicle, holders of senior debt instruments would be entitled to receive payment in full before the Fund receives any distribution. After repaying such senior creditors, such CLO vehicle may not have any remaining assets to use for repaying its obligation to the Fund. In the case of tranches ranking equally with the tranches in which the Fund invests, the Fund would have to share on an equal basis any distributions with other investors holding such securities in the event of a default, insolvency, liquidation, dissolution, reorganization or bankruptcy of the relevant CLO vehicle. Therefore, the Fund may not receive back the full amount of its investment (or any of its investment) in a CLO vehicle or may not receive its anticipated yield.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investment in the Fund’s securities is subject to investment risk, including the possible loss of a stockholder’s entire investment. An investment in the Fund’s securities represents an indirect investment in the portfolio of equity and junior tranches issued by CLO vehicles and other securities owned by the Fund, and the value of these securities may fluctuate, sometimes rapidly and unpredictably. At any point in time an investment in the Fund’s securities may be worth less than the original amount invested.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30, 2023</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RISKS AND UNCERTAINTIES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risk is the risk that the fair value or future cash flows of a financial instrument will fluctuate because of changes in market prices and includes interest rate risk, foreign currency risk and “other price risks”, such as index price risk. The Fund may use derivative instruments to hedge the investment portfolio against currency risks. The Fund’s investments in CLO vehicles and other types of corporate credits typically have no significant assets other than the collateral. Accordingly, payments on the equity and junior debt instruments the Fund initially targets are payable solely from the cash flows from the collateral, net of all management fees and other expenses. Quarterly distributions or interest payments to the Fund as a holder of equity or junior debt instruments, respectively, will only be made after payments due on any outstanding senior debt tranches have been made in full for such quarter.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Rating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the major rating agencies (including Moody’s, Standard and Poor’s and Fitch) have downgraded, and may continue to downgrade, the tranches of CLO vehicles that the Fund is targeting and, therefore, these investments may be seen as riskier than they were previously thought to be. The Fund cannot assure stockholders that the rated CLO securities in which it invests will not experience downgrades. To the extent the Fund’s portfolio experiences such downgrades, the value of the Fund’s investments, and the Fund’s ability to liquidate such investments, would likely be impaired. A significant impairment of any of the Fund’s investments may have a material adverse effect on the Fund’s financial results and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ratings assigned to the CLO Assets in which the CLOs invest are subject to change at any time, including for reasons unrelated to performance, such as changes in rating agency methodology, changes in economic conditions, changes in the loan markets, changes in the creditworthiness of the underlying obligors and a variety of other factors. If downgrade actions by a rating agency result in an increase in the number of CLO Assets with ratings of “Caa1” or “CCC+” or lower, then even if such CLO Asset do not suffer defaults or delinquencies or otherwise deteriorate in performance, the CLO vehicle could fail to satisfy certain tests, which could lead to the early amortization of some or all of the CLO debt. As a result, payments that would have otherwise been made to the CLO equity or CLO debt securities that the Fund holds would instead be diverted to buy additional loans within a given CLO or paid to senior CLO debt holders as an early amortization payment.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Fund’s investments have initially been focused on investments in equity and floating rate junior debt tranches issued by CLO vehicles, and to a lesser extent warehouse facilities and corporate credits, each of which are exposed to interest rate risk. Since a CLO’s asset portfolio is typically comprised principally of floating rate loans and the CLO’s liabilities are also generally floating rate instruments, the Fund expects CLO equity and junior debt tranches to provide potential protection against rising interest rates when the benchmark is above the average benchmark floor on a CLO’s assets. However, the Fund’s investments in CLO Assets through investments in junior equity and debt tranches of CLOs are nonetheless sensitive to interest rate levels and volatility. For example, because CLO debt securities are floating rate securities, a reduction in interest rates would generally result in a reduction in the coupon payment and cash flow the Fund receives on the junior debt securities and CLO equity in which the Fund invests. Furthermore, because floating or variable rates only reset periodically, changes in prevailing interest rates can be expected to cause some fluctuations in the Fund’s net asset value. Similarly, a sudden and significant increase in market interest rates may cause a decline in the Fund’s net asset value. In addition, many underlying corporate borrowers can elect to pay interest based on a 1-month, 3-month and/or other term base rates in respect of the loans held by CLOs in which the Fund invests, in each case plus an applicable spread, whereas floating rate CLO securities generally pay interest based on a 3-month term plus a spread. The 3-month term rate may fluctuate in excess of other potential term rates, which may result in many underlying corporate borrowers electing to pay interest based on a shorter or lower, but in any event lower, base rate. This mismatch in the rate at which CLOs earn interest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30, 2023</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RISKS AND UNCERTAINTIES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the rate at which they pay interest on their debt tranches negatively impacts the cash flows on a CLO’s equity tranche, which may in turn adversely affect the Fund’s cash flows, results of operations or net asset value, which may impact the Fund’s ability to maintain required levels of asset coverage. Unless spreads are adjusted to account for such increases, these negative impacts may worsen as the amount by which the 3-month term base rate exceeds the 1-month term base rate increases.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CLOs may not be able to enter into hedge agreements, even if it may otherwise be in the best interests of the CLO to hedge such interest rate risk. Furthermore, in the event of a significant rising interest rate environment and/or economic downturn, underlying obligors may be unable to pay their debt liabilities or refinance, and loan defaults may increase, thus resulting in credit losses that would adversely affect the Fund’s cash flow, fair value of the Fund’s assets and operating results.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Benchmark Floor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CLOs issue debt primarily on a floating rate basis, an increase in the relevant benchmark will increase the financing costs of CLOs. Many of the senior secured loans held by these CLOs have benchmark floors such that, when the relevant benchmark is below the stated benchmark floor, the stated benchmark floor (rather than the benchmark itself) is used to determine the interest payable under the loans. Therefore, if the relevant benchmark increases but stays below the average benchmark floor rate of the senior secured loans held by a CLO, there would not be a corresponding increase in the investment income of such CLOs. The combination of increased financing costs without a corresponding increase in investment income in such a scenario could result in the CLO not having adequate cash to make interest or other payments on the securities which the Fund holds.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Credit risk is the risk that one or more investments in a portfolio will decline in price or fail to pay interest or principal when due because the issuer of the security experiences a decline in its financial condition. If a CLO in which the Fund invests, an underlying asset of any such CLO or any other type of credit investment in the Fund’s portfolio declines in price or fails to pay interest or principal when due because the issuer or debtor, as the case may be, experiences a decline in its financial status either or both of the Fund’s income and net asset value may be adversely impacted. Non-payment would result in a reduction of the Fund’s income, a reduction in the value of the applicable CLO security or other credit investment experiencing non-payment and, potentially, a decrease in the Fund’s NAV. With respect to the Fund’s investments in CLO securities and credit investments that are secured, there can be no assurance that liquidation of collateral would satisfy the issuer’s obligation in the event of non-payment of scheduled dividend, interest or principal or that such collateral could be readily liquidated. In the event of bankruptcy of an issuer, the Fund could experience delays or limitations with respect to the Fund’s ability to realize the benefits of any collateral securing a CLO security or credit investment. While a senior position in the capital structure of a corporate borrower may provide some protection to the CLO vehicles or other credit investments in which the Fund invests, losses or other reductions in collateral may still occur in the portfolios of such CLO vehicles or corporate credits because the market value of such loans is affected by the creditworthiness of borrowers and by general economic and specific industry conditions. CLOs may also invest in second lien loans, first lien last out loans and unsecured loans and bonds, all of which have a heightened level of risk in the event of a decline in the financial condition of the underlying obligor. As the Fund invests primarily in equity and junior debt tranches of CLO vehicles, the Fund is exposed to a greater amount of credit risk than a fund which invests in senior debt or investment grade securities. The prices of primarily non-investment grade securities are more sensitive to negative developments, such as a decline in a CLO vehicle’s collateral or cash flows or a general economic downturn, than are the prices of more senior debt securities. The Fund’s CLO Assets of below investment grade quality, which are often referred to as “junk,” are predominantly speculative with respect to the obligor’s capacity to pay interest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30, 2023</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RISKS AND UNCERTAINTIES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 principal when due and therefore involve a greater risk of default. The Fund will typically be in a first loss or subordinated position with respect to realized losses on the collateral of each investment it makes in a CLO vehicle. The leveraged nature of the CLO vehicle, in particular, magnifies the adverse impact of collateral defaults.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Liquidity risk is defined as the risk that the Fund may not be able to settle or meet its obligations on time or at a reasonable price. The Fund may invest up to 100% of its portfolio in securities that are considered illiquid. “Illiquid securities” are securities which cannot be sold within seven days in the ordinary course of business at approximately the value used by the Fund in determining its net asset value. The Fund may not be able to readily dispose of such securities at prices that approximate those at which the Fund could sell such securities if they were more widely-traded and, as a result of such illiquidity, the Fund may have to sell other investments or engage in borrowing transactions to raise cash to meet the Fund’s obligations. Some instruments issued by CLO vehicles may not be readily marketable and may be subject to restrictions on resale. Securities issued by CLO vehicles are generally not listed on any U.S. national securities exchange and no active trading market may exist for the securities in which the Fund invests. Although a secondary market may exist for the Fund’s investments, the market for the Fund’s investments may be subject to irregular trading activity, wide bid/ask spreads and extended trade settlement periods. As a result, these types of investments may be more difficult to value. In addition, the Fund believes that ownership of CLO equity and junior debt instruments has generally been distributed across a wide range of holders, some of whom the Fund believes may continue to face near- to intermediate-term liquidity issues, which may result in such holders attempting to liquidate CLO securities, which can cause a decline in market value of such CLO securities. Further, the Fund believes that larger institutional investors with sufficient resources to source, analyze and negotiate the purchase of these assets may refrain from purchases of the size that the Fund is targeting, thereby reducing the prospective investor population, which would limit the Fund’s ability to sell its position in a CLO vehicle if the Fund chooses to or need to do so. None of the Fund or any CLO in which the Fund invests has any limitation on the amount of assets which may be invested in assets that are not readily marketable or are subject to restrictions on resale. Further, the CLO securities in which the Fund invests and the CLO Assets in which CLOs invest are typically not listed on any national securities exchange or automated quotation system, and no active trading market exists for many CLO securities or CLO Assets. As a result, many CLO securities and CLO Assets are illiquid, meaning that the Fund may not be able to sell CLO securities quickly at a fair price, and the CLOs in which the Fund invests may not be able to sell underlying CLO Assets quickly at a fair price. The market for illiquid securities is more volatile than the market for liquid securities.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Failure to Satisfy Financial Tests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vehicles in which the Fund invests may fail to satisfy certain financial covenants, specifically those with respect to adequate collateralization and/or interest coverage tests. Such failure could lead to a reduction in such CLO’s payments to the Fund because senior debt holders generally would be entitled to additional payments that would, in turn, reduce the payments the Fund would otherwise be entitled to receive.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of Warehoused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Fund may invest capital in warehouse facilities, which are short- to medium-term facilities often provided by the bank that will serve as the placement agent or arranger on a CLO transaction and which acquire loans on an interim basis that are expected to form part of the portfolio of such future CLO. Warehouse facilities typically incur leverage between four and six times prior to a CLO’s pricing. Prior to a CLO closing and issuing CLO securities to CLO investors, in anticipation of such CLO closing, a vehicle (often the future CLO issuer or its affiliate) will purchase and “warehouse” a portion of the underlying loans that will be held by such CLO. The Fund may be expected to provide equity capital in support of warehouse facilities during warehousing periods.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30, 2023</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RISKS AND UNCERTAINTIES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 from the date such warehouse facility is opened and asset accumulation begins to the date the CLO closes is referred to as the “warehousing period.” During this period, the price and availability of these loans (referred to as collateral obligations) may be adversely affected by a number of market factors, including price volatility, interest rate volatility and availability of investments suitable for the CLO, which could hamper the ability of the collateral manager to acquire a portfolio of collateral obligations that will satisfy specified concentration limitations and allow the CLO to reach the target initial par amount of collateral prior to the effective date. An inability or delay in reaching the target initial par amount of collateral may adversely affect the timing and amount of interest or principal payments received by the holders of the CLO debt securities and distributions on the CLO equity securities and could result in early redemptions which may cause CLO debt and equity investors to receive less than face value of their investment.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warehouse facilities present risks similar to those of investments in CLOs and, accordingly, any references herein to CLOs in which the Fund invests or CLO equity investments shall also refer to warehouse facilities and investments therein, as the context requires.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Leverage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use of leverage magnifies the potential for gain or loss on amounts invested and, therefore, increases the risks associated with investing in the Fund’s securities. CLO vehicles are typically highly levered, and therefore the junior debt and equity tranches that the Fund invests in are subject to a higher degree of risk of total loss. As of September 30, 2023, the CLO vehicles in which the Fund was invested had average leverage of 9.9 times and ranged from approximately 1.8 times to 17.8 times levered. In particular, investors in CLO vehicles indirectly bear risks of the underlying debt investments held by such CLO vehicles.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incurred leverage through the issuance of the Term Preferred Shares and the Notes. The Fund may incur additional leverage, directly or indirectly, through one or more special purpose vehicles, indebtedness for borrowed money, as well as leverage in the form of derivative transactions, additional shares of preferred stock, debt securities and other structures and instruments, in significant amounts and on terms that Oxford Lane Management and the Board deem appropriate, subject to applicable limitations under the 1940 Act. Such leverage may be used for the acquisition and financing of the Fund’s investments, to pay fees and expenses and for other purposes. Such leverage may be secured and/or unsecured. The more leverage the Fund employs, the more likely a substantial change will occur in its NAV. Accordingly, any event that adversely affects the value of an investment would be magnified to the extent leverage is utilized. The cumulative effect of the use of leverage with respect to any investments in a market that moves adversely to such investments could result in a substantial loss that would be greater than if our investments were not leveraged.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registered closed-end management investment company, the Fund will generally be required to meet an asset coverage ratio with respect to its outstanding senior securities representing indebtedness, defined under the 1940 Act as the ratio of its gross assets (less all liabilities and indebtedness not represented by senior securities) to the Fund’s outstanding senior securities representing indebtedness, of at least 300% after each issuance of senior securities representing indebtedness. In addition, the Fund will generally be required to meet an asset coverage ratio with respect to its outstanding preferred stock, as defined under the 1940 Act as the ratio of the Fund’s gross assets (less all liabilities and indebtedness not represented by senior securities) to the Fund’s outstanding senior securities representing indebtedness, plus the aggregate involuntary liquidation preference of the Fund’s outstanding preferred stock, of at least 200% immediately after each issuance of such preferred stock. If this ratio declines, the Fund may not be able to incur additional debt or issue additional shares of preferred stock and could be required by law to sell a portion of the Fund’s investments to repay some debt or redeem some preferred stock when it is disadvantageous to do so, which could have a material adverse effect on the Fund’s operations, and the Fund may not be able to make distributions or repurchases of stock. The amount of leverage that the Fund employs will depend on Oxford Lane Management’s and the Board of Directors’ assessment of market and other factors at the time of any proposed borrowing.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30, 2023</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RISKS AND UNCERTAINTIES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Fair Valuation of the Fund’s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1940 Act, the Fund is required to carry its portfolio investments at market value or, if there is no readily available market value, at fair value as determined by the Fund in accordance with its Valuation Policy with the Board of Directors having final responsibility for overseeing, reviewing and approving, in good faith, its estimate of fair value. Typically, there will not be a public market for the type of investments the Fund targets, which will require the Fund to value these securities at fair value based on relevant information compiled by the Adviser, third-party pricing services (when available) and the Valuation Committee and with the oversight, review and approval of the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determination of fair value and, consequently, the amount of unrealized gains and losses in the Fund’s portfolio, are to a certain degree subjective and dependent on a valuation process approved by the Board of Directors. Certain factors that may be considered in determining the fair value of the Fund’s investments include available indicative bids or quotations, as well as external events, such as private mergers, sales and acquisitions involving comparable companies. Because such valuations, and particularly valuations of private securities, are inherently uncertain, they may fluctuate over short periods of time and may be based on estimates. The fair value of the Fund’s investments may differ materially from the values that would have been used if an active public market for these securities existed. The fair value of the Fund’s investments have a material impact on its net earnings through the recording of unrealized appreciation or depreciation of investments and may cause the Fund’s net asset value on a given date to materially understate or overstate the value that the Fund may ultimately realize on one or more of its investments. Investors purchasing the Fund’s securities based on an overstated net asset value may pay a higher price than the value of the Fund’s investments might warrant. Conversely, investors selling shares during a period in which the net asset value understates the value of the Fund’s investments may receive a lower price for their shares than the value of its investments might warrant.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is exposed to risks associated with changes in interest rates. The Fund may be subject to heightened interest rate risk because the Federal Reserve has raised, and may continue to raise, interest rates.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Inflation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 risk is the risk that the value of certain assets or income from the Fund’s investments will be worth less in the future as inflation decreases the value of money. The United States and other developed economies have recently begun to experience higher-than normal inflation rates. It remains uncertain whether substantial inflation in the U.S. and other developed economies will be sustained over an extended period of time or have a significant effect on the U.S. or other economies. Inflation and rapid fluctuations in inflation rates have had in the past, and may in the future have, negative effects on economies and financial markets, particularly in emerging economies. For example, if an obligor of a CLO Asset in which the Fund invests is unable to increase its revenue in times of higher inflation, its profitability may be adversely affected. As inflation rises, an underlying obligor may earn more revenue but may incur higher expenses, as wages and prices of inputs increase during periods of inflation. Thus, heightened inflationary pressures could increase the risk of default by the CLO’s underlying obligors. In addition, during any periods of rising inflation, the real value of investments and distributions to the Fund would decline, and the dividend rates or borrowing costs associated with the Fund’s use of leverage would likely increase, all of which would tend to further reduce returns to stockholders. Conversely, as inflation declines, the Fund, any CLO in which the Fund invests and any underlying obligor of the CLO Assets may not be able to reduce expenses commensurate with any resulting reduction in revenue.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30, 2023</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RISKS AND UNCERTAINTIES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 attempt to stabilize inflation, countries may impose wage and price controls, tighten the monetary supply, or otherwise intervene in the economy. Governmental efforts to curb inflation often have negative effects on the level of economic activity. There can be no assurance that inflation will not become a serious problem in the future and have an adverse impact on the Fund’s returns.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Personnel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is dependent upon Oxford Lane Management’s key personnel for its future success, particularly Jonathan H. Cohen and Saul B. Rosenthal.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Incentive Fee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incentive fee structure and the formula for calculating the fee payable to the Adviser may incentivize the Adviser to pursue speculative investments and use leverage in a manner that adversely impacts the Fund’s performance.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Fund fails to qualify for tax treatment as a RIC under Subchapter M of the Code for any reason, or otherwise becomes subject to corporate income tax, the resulting corporate taxes (and any related penalties) could substantially reduce the Fund’s net assets, the amount of income available for distributions to the Fund’s stockholders, and the amount of income available for payment of the Fund’s other liabilities.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 Anti-Deferral Provision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 vehicles in which the Fund invests generally constitute “passive foreign investment companies” (“PFICs”). Because the Fund acquires investments in PFICs (including equity tranche investments in CLO vehicles that are PFICs), the Fund may be subject to U.S. federal income tax on a portion of any “excess distribution” or gain from the disposition of such investments even if such income is distributed as a taxable dividend by the Fund to its stockholders. Certain elections may be available to mitigate or eliminate such tax on excess distributions, but such elections (if available) will generally require the Fund to recognize its share of the PFIC’s income for each year regardless of whether the Fund receives any distributions from such PFIC. The Fund must nonetheless distribute such income to maintain its status as a RIC.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Fund holds more than 10% of the shares in a foreign corporation that is treated as a controlled foreign corporation (“CFC”) (including equity tranche investments in a CLO vehicle treated as a CFC), the Fund may be treated as receiving a deemed distribution (taxable as ordinary income) each year from such foreign corporation in an amount equal to the Fund’s pro rata share of the corporation’s income for the tax year (including both ordinary earnings and capital gains). If the Fund is required to include such deemed distributions from a CFC in the Fund’s income, it will be required to distribute such income to maintain its RIC tax treatment regardless of whether or not the CFC makes an actual distribution during such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Fund is required to include amounts in income prior to receiving distributions representing such income, the Fund may have to sell some of its investments at times and/or at prices the Fund would not consider advantageous, raise additional debt or equity capital or forgo new investment opportunities. If the Fund is not able to obtain cash from other sources, it may fail to qualify for RIC tax treatment and thus become subject to corporate-level income tax. For additional discussion regarding the tax implications of a RIC, see “Note 3. Summary of Significant Accounting Policies — U.S. Federal Income Taxes”.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RISKS AND UNCERTAINTIES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Preferred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Term Preferred Shares pay dividends at a fixed dividend rate. Prices of fixed income investments vary inversely with changes in market yields. The market yields on securities comparable to the Term Preferred Shares may increase, which would likely result in a decline in the secondary market price of such shares prior to the term redemption date. The Fund may be unable to pay dividends on the Term Preferred Shares under some circumstances. The terms of any future indebtedness the Fund may incur could preclude the payment of dividends in respect of equity securities, including such shares, under certain conditions.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registered closed-end investment company, the Fund is required to comply with the asset coverage requirements of the 1940 Act and the Articles Supplementary governing the Fund’s Term Preferred Shares. Under the 1940 Act, the Fund may not issue additional preferred stock if immediately after such issuance the Fund will not have an asset coverage of at least 200% (defined as the ratio of the Fund’s gross assets (less all liabilities and indebtedness not represented by senior securities) to its outstanding senior securities representing indebtedness, plus the aggregate involuntary liquidation preference of the Fund’s outstanding preferred stock). In addition, the Articles Supplementary governing the Fund’s Term Preferred Shares require that the Fund have an asset coverage of at least 200% as of the end of each fiscal quarter.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does not intend to have the Term Preferred Shares rated by any rating agency. Unrated securities usually trade at a discount to similar, rated securities. As a result, there is a risk that any such shares may trade at a price that is lower than they might otherwise trade if rated by a rating agency.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ten-year original terms, and potential for early redemption, of the Term Preferred Shares, holders of such shares may face an increased reinvestment risk, which is the risk that the return on an investment purchased with proceeds from the sale or redemption of such shares may be lower than the return previously obtained from the investment in such shares, see “Note 8. Mandatorily Redeemable Preferred Stock”.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senior securities representing indebtedness, such as the Notes or any bank borrowings (other than temporary borrowings as defined under the 1940 Act), the Fund is required under the 1940 Act to have asset coverage of at least 300%, as measured at the time of borrowing and calculated as the ratio of the Fund’s total assets, less all liabilities and indebtedness not represented by senior securities, over the aggregate amount of the Fund’s outstanding senior securities representing indebtedness. If the asset coverage is not at least 300% (or 200%, as applicable) as of such measurement dates, the Fund may not be able to incur additional debt or issue additional shares of preferred stock or notes and could be forced to sell a portion of its investments to repurchase or redeem some shares of the Term Preferred Shares or Notes when it is disadvantageous to do so, which could have a material adverse effect on the its operations. Further, the Fund may be restricted from making distributions to holders of the Fund’s common stock if it does not have asset coverage of at least 300% (or 200%, as applicable).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Cybersecurity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occurrence of a disaster such as a cyber-attack against the Fund or against a third-party that has access to the Fund’s data or networks, a natural catastrophe, an industrial accident, a terrorist attack or war, disease pandemics, events unanticipated in the Fund’s disaster recovery systems, or a support failure from external providers, could have an adverse effect on the Fund’s ability to conduct business and on the Fund’s results of operations and financial condition, particularly if those events affect the Fund’s computer-based data processing, transmission, storage, and retrieval systems or destroy data.</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RISKS AND UNCERTAINTIES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depends heavily upon computer systems to perform necessary business functions. Despite the Fund’s implementation of a variety of security measures, the Fund’s computers,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the Fund’s computer systems and networks. Such an attack could cause interruptions or malfunctions in the Fund’s operations, which could result in financial losses, litigation, regulatory penalties, client dissatisfaction or loss, reputational damage, and increased costs associated with mitigation of damages and remediation.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parties with which the Fund does business may also be sources of cybersecurity or other technological risk. The Fund outsources certain functions and these relationships allow for the storage and processing of the Fund’s information, as well as client, counterparty, employee, and borrower information. While the Fund engages in actions to reduce its exposure resulting from outsourcing, ongoing threats may result in unauthorized access, loss, exposure, destruction, or other cybersecurity incident that affects the Fund’s data, resulting in increased costs and other consequences as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business is highly dependent on its and third parties’ communications and information systems. Any failure or interruption of those systems, including as a result of the termination of an agreement with any third-party service providers, could cause delays or other problems in the Fund’s activities. The Fund’s financial, accounting, data processing, backup or other operating systems and facilities may fail to operate properly or become disabled or damaged as a result of a number of factors including events that are wholly or partially beyond the Fund’s control and adversely affect the Fund’s 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 market and economic conditions have been unprecedented and challenging. Continued concerns about the systemic impact of inflation, energy costs, recent events in the regional bank sector, the Coronavirus pandemic, geopolitical issues, the availability and cost of credit, sovereign debt levels, the mortgage market and a declining real estate market in the U.S. have contributed to increased market volatility and diminished expectations for the U.S. economy. These conditions, combined with volatile oil prices, declining business and consumer confidence and increased unemployment have contributed to volatility of unprecedented levels. The factors described above have led to an overall reduction in liquidity in the debt capital markets, including sources of liquidity that the Fund may wish to utilize. Such conditions could reduce the availability of leverage to the Fund, its investments, and potential purchasers of the Fund’s investments or make such leverage more expensive to obtain, thereby adversely affecting the Fund’s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Various social and political circumstances in the United States and around the world (including wars and other forms of conflict, including rising trade tensions between the United States and China, and other uncertainties regarding actual and potential shifts in the United States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United States and worldwide. Specifically, the Israel-Hamas war and conflict between Russia and Ukraine, and resulting market volatility, could adversely affect our business, financial condition or results of operations. In response to the conflict between Russia and Ukraine, the United States and other countries have imposed sanctions or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These market and economic disruptions could also negatively impact the operating results of our portfolio companies.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RECENT ACCOUNTING PRONOUNCEMENTS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2020, the FASB issued Accounting Standards Update 2020-04 (“ASU 2020-04”) “Reference Rate Reform (Topic 848): Facilitation of the Effects of Reference Rate Reform on Financial Reporting.” This accounting update provides optional accounting relief to entities with contracts, hedge accounting relationships or other transactions that reference LIBOR or other interest rate benchmarks for which the referenced rate is expected to be discontinued or replaced. This optional relief generally allows for contract modifications solely related to the replacement of the reference rate to be accounted for as a continuation of the existing contract instead of as an extinguishment of the contract, and would therefore not trigger certain accounting impacts that would otherwise be required. In December 2022, the FASB issued ASU No. 2022-06, Reference Rate Reform (Topic 848): Deferral of the Sunset Date of Topic 848, which deferred the sunset day of this guidance to December 31, 2024. The Fund adopted the accounting relief on January 1, 2022, and noted no material impact on the financial statements, as relevant contract relationship modifications are made during the course of the reference rate reform transition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2022, the FASB issued ASU 2022-03, “Fair Value Measurement of Equity Securities Subject to Contractual Sale Restrictions.” The amendments in this update provide that a contractual restriction on the sale of an equity security is not considered part of the unit of account of the equity security and, therefore, is not considered in measuring fair value. The amendments in this update also require additional disclosures for equity securities subject to contractual sales restrictions. ASU 2022-03 is required for years beginning after December 15, 2023, though early adoption is permitted. The Fund does not expect ASU 2022-03 to have a material impact to the financial statements and the notes thereto.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aforementioned guidance, the Fund’s management does not believe that any recently issued, but not yet effective, accounting standards, if currently adopted, would have a material effect on the accompanying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ISSUANCES OF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sold a total of 32,931,214 shares of common stock pursuant to an “at-the-market” offering during the six months ended September 30, 2023. The total amount of capital raised under these issuances was approximately $167.0 million and net proceeds were approximately $164.9 million after deducting the sales agent’s commissions and offering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sold a total of 23,875,115 shares of common stock pursuant to an “at-the-market” offering during the fiscal year ended March 31, 2023. The total amount of capital raised under these issuances was approximately $141.4 million and net proceeds were approximately $139.8 million after deducting the sales agent’s commissions and offering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September 30, 2023, the Fund issued 2,398,929 shares of common stock in connection with the distribution reinvestment plan. For the year ended March 31, 2023, the Fund issued 3,719,788 shares of common stock in connection with the distribution reinvestment plan.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2023</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17. SUBSEQUENT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26, 2023, the Board of Directors declared monthly distributions $0.08 per share on its common stock, as follows:</w:t>
      </w:r>
    </w:p>
    <w:tbl>
      <w:tblPr>
        <w:tblW w:w="8061" w:type="dxa"/>
        <w:jc w:val="left"/>
        <w:tblInd w:w="0" w:type="dxa"/>
        <w:tblLayout w:type="fixed"/>
        <w:tblCellMar>
          <w:top w:w="0" w:type="dxa"/>
          <w:left w:w="0" w:type="dxa"/>
          <w:bottom w:w="0" w:type="dxa"/>
          <w:right w:w="0" w:type="dxa"/>
        </w:tblCellMar>
      </w:tblPr>
      <w:tblGrid>
        <w:gridCol w:w="1876"/>
        <w:gridCol w:w="146"/>
        <w:gridCol w:w="1861"/>
        <w:gridCol w:w="146"/>
        <w:gridCol w:w="1861"/>
        <w:gridCol w:w="146"/>
        <w:gridCol w:w="573"/>
        <w:gridCol w:w="1452"/>
      </w:tblGrid>
      <w:tr>
        <w:trPr/>
        <w:tc>
          <w:tcPr>
            <w:tcW w:w="18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Month Ending</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Date</w:t>
            </w:r>
          </w:p>
        </w:tc>
        <w:tc>
          <w:tcPr>
            <w:tcW w:w="146" w:type="dxa"/>
            <w:tcBorders/>
            <w:vAlign w:val="bottom"/>
          </w:tcPr>
          <w:p>
            <w:pPr>
              <w:pStyle w:val="TableContents"/>
              <w:bidi w:val="0"/>
              <w:spacing w:before="0" w:after="283"/>
              <w:jc w:val="left"/>
              <w:rPr/>
            </w:pPr>
            <w:r>
              <w:rPr/>
              <w:t> </w:t>
            </w:r>
          </w:p>
        </w:tc>
        <w:tc>
          <w:tcPr>
            <w:tcW w:w="20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 Per Share</w:t>
            </w:r>
          </w:p>
        </w:tc>
      </w:tr>
      <w:tr>
        <w:trPr/>
        <w:tc>
          <w:tcPr>
            <w:tcW w:w="18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31, 2024</w:t>
            </w:r>
          </w:p>
        </w:tc>
        <w:tc>
          <w:tcPr>
            <w:tcW w:w="146" w:type="dxa"/>
            <w:tcBorders/>
            <w:shd w:fill="CCEEFF" w:val="clear"/>
          </w:tcPr>
          <w:p>
            <w:pPr>
              <w:pStyle w:val="TableContents"/>
              <w:bidi w:val="0"/>
              <w:spacing w:before="0" w:after="283"/>
              <w:jc w:val="left"/>
              <w:rPr/>
            </w:pPr>
            <w:r>
              <w:rPr/>
              <w:t> </w:t>
            </w:r>
          </w:p>
        </w:tc>
        <w:tc>
          <w:tcPr>
            <w:tcW w:w="18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17, 2024</w:t>
            </w:r>
          </w:p>
        </w:tc>
        <w:tc>
          <w:tcPr>
            <w:tcW w:w="146" w:type="dxa"/>
            <w:tcBorders/>
            <w:shd w:fill="CCEEFF" w:val="clear"/>
          </w:tcPr>
          <w:p>
            <w:pPr>
              <w:pStyle w:val="TableContents"/>
              <w:bidi w:val="0"/>
              <w:spacing w:before="0" w:after="283"/>
              <w:jc w:val="left"/>
              <w:rPr/>
            </w:pPr>
            <w:r>
              <w:rPr/>
              <w:t> </w:t>
            </w:r>
          </w:p>
        </w:tc>
        <w:tc>
          <w:tcPr>
            <w:tcW w:w="18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31, 2024</w:t>
            </w:r>
          </w:p>
        </w:tc>
        <w:tc>
          <w:tcPr>
            <w:tcW w:w="146" w:type="dxa"/>
            <w:tcBorders/>
            <w:shd w:fill="CCEEFF" w:val="clear"/>
          </w:tcPr>
          <w:p>
            <w:pPr>
              <w:pStyle w:val="TableContents"/>
              <w:bidi w:val="0"/>
              <w:spacing w:before="0" w:after="283"/>
              <w:jc w:val="left"/>
              <w:rPr/>
            </w:pPr>
            <w:r>
              <w:rPr/>
              <w:t> </w:t>
            </w:r>
          </w:p>
        </w:tc>
        <w:tc>
          <w:tcPr>
            <w:tcW w:w="573"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52"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r>
      <w:tr>
        <w:trPr/>
        <w:tc>
          <w:tcPr>
            <w:tcW w:w="18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29, 2024</w:t>
            </w:r>
          </w:p>
        </w:tc>
        <w:tc>
          <w:tcPr>
            <w:tcW w:w="146" w:type="dxa"/>
            <w:tcBorders/>
          </w:tcPr>
          <w:p>
            <w:pPr>
              <w:pStyle w:val="TableContents"/>
              <w:bidi w:val="0"/>
              <w:spacing w:before="0" w:after="283"/>
              <w:jc w:val="left"/>
              <w:rPr/>
            </w:pPr>
            <w:r>
              <w:rPr/>
              <w:t> </w:t>
            </w:r>
          </w:p>
        </w:tc>
        <w:tc>
          <w:tcPr>
            <w:tcW w:w="18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15, 2024</w:t>
            </w:r>
          </w:p>
        </w:tc>
        <w:tc>
          <w:tcPr>
            <w:tcW w:w="146" w:type="dxa"/>
            <w:tcBorders/>
          </w:tcPr>
          <w:p>
            <w:pPr>
              <w:pStyle w:val="TableContents"/>
              <w:bidi w:val="0"/>
              <w:spacing w:before="0" w:after="283"/>
              <w:jc w:val="left"/>
              <w:rPr/>
            </w:pPr>
            <w:r>
              <w:rPr/>
              <w:t> </w:t>
            </w:r>
          </w:p>
        </w:tc>
        <w:tc>
          <w:tcPr>
            <w:tcW w:w="18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29, 2024</w:t>
            </w:r>
          </w:p>
        </w:tc>
        <w:tc>
          <w:tcPr>
            <w:tcW w:w="146" w:type="dxa"/>
            <w:tcBorders/>
          </w:tcPr>
          <w:p>
            <w:pPr>
              <w:pStyle w:val="TableContents"/>
              <w:bidi w:val="0"/>
              <w:spacing w:before="0" w:after="283"/>
              <w:jc w:val="left"/>
              <w:rPr/>
            </w:pPr>
            <w:r>
              <w:rPr/>
              <w:t> </w:t>
            </w:r>
          </w:p>
        </w:tc>
        <w:tc>
          <w:tcPr>
            <w:tcW w:w="573"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52"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r>
      <w:tr>
        <w:trPr/>
        <w:tc>
          <w:tcPr>
            <w:tcW w:w="18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2024</w:t>
            </w:r>
          </w:p>
        </w:tc>
        <w:tc>
          <w:tcPr>
            <w:tcW w:w="146" w:type="dxa"/>
            <w:tcBorders/>
            <w:shd w:fill="CCEEFF" w:val="clear"/>
          </w:tcPr>
          <w:p>
            <w:pPr>
              <w:pStyle w:val="TableContents"/>
              <w:bidi w:val="0"/>
              <w:spacing w:before="0" w:after="283"/>
              <w:jc w:val="left"/>
              <w:rPr/>
            </w:pPr>
            <w:r>
              <w:rPr/>
              <w:t> </w:t>
            </w:r>
          </w:p>
        </w:tc>
        <w:tc>
          <w:tcPr>
            <w:tcW w:w="18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15, 2024</w:t>
            </w:r>
          </w:p>
        </w:tc>
        <w:tc>
          <w:tcPr>
            <w:tcW w:w="146" w:type="dxa"/>
            <w:tcBorders/>
            <w:shd w:fill="CCEEFF" w:val="clear"/>
          </w:tcPr>
          <w:p>
            <w:pPr>
              <w:pStyle w:val="TableContents"/>
              <w:bidi w:val="0"/>
              <w:spacing w:before="0" w:after="283"/>
              <w:jc w:val="left"/>
              <w:rPr/>
            </w:pPr>
            <w:r>
              <w:rPr/>
              <w:t> </w:t>
            </w:r>
          </w:p>
        </w:tc>
        <w:tc>
          <w:tcPr>
            <w:tcW w:w="18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29, 2024</w:t>
            </w:r>
          </w:p>
        </w:tc>
        <w:tc>
          <w:tcPr>
            <w:tcW w:w="146" w:type="dxa"/>
            <w:tcBorders/>
            <w:shd w:fill="CCEEFF" w:val="clear"/>
          </w:tcPr>
          <w:p>
            <w:pPr>
              <w:pStyle w:val="TableContents"/>
              <w:bidi w:val="0"/>
              <w:spacing w:before="0" w:after="283"/>
              <w:jc w:val="left"/>
              <w:rPr/>
            </w:pPr>
            <w:r>
              <w:rPr/>
              <w:t> </w:t>
            </w:r>
          </w:p>
        </w:tc>
        <w:tc>
          <w:tcPr>
            <w:tcW w:w="573"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52"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26, 2023, the Board of Directors declared the required monthly dividends on its 6.75% Series 2024, 6.25% Series 2027, 6.00% Series 2029, and 7.125% Series 2029 Term Preferred Shares (each, a “Share”), as follows:</w:t>
      </w:r>
    </w:p>
    <w:tbl>
      <w:tblPr>
        <w:tblW w:w="10205" w:type="dxa"/>
        <w:jc w:val="left"/>
        <w:tblInd w:w="0" w:type="dxa"/>
        <w:tblLayout w:type="fixed"/>
        <w:tblCellMar>
          <w:top w:w="0" w:type="dxa"/>
          <w:left w:w="0" w:type="dxa"/>
          <w:bottom w:w="0" w:type="dxa"/>
          <w:right w:w="0" w:type="dxa"/>
        </w:tblCellMar>
      </w:tblPr>
      <w:tblGrid>
        <w:gridCol w:w="1311"/>
        <w:gridCol w:w="146"/>
        <w:gridCol w:w="365"/>
        <w:gridCol w:w="2012"/>
        <w:gridCol w:w="146"/>
        <w:gridCol w:w="3016"/>
        <w:gridCol w:w="146"/>
        <w:gridCol w:w="3063"/>
      </w:tblGrid>
      <w:tr>
        <w:trPr/>
        <w:tc>
          <w:tcPr>
            <w:tcW w:w="13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 Dividend Amount Declared</w:t>
            </w:r>
          </w:p>
        </w:tc>
        <w:tc>
          <w:tcPr>
            <w:tcW w:w="146" w:type="dxa"/>
            <w:tcBorders/>
            <w:vAlign w:val="bottom"/>
          </w:tcPr>
          <w:p>
            <w:pPr>
              <w:pStyle w:val="TableContents"/>
              <w:bidi w:val="0"/>
              <w:spacing w:before="0" w:after="283"/>
              <w:jc w:val="left"/>
              <w:rPr/>
            </w:pPr>
            <w:r>
              <w:rPr/>
              <w:t> </w:t>
            </w:r>
          </w:p>
        </w:tc>
        <w:tc>
          <w:tcPr>
            <w:tcW w:w="30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Dates</w:t>
            </w:r>
          </w:p>
        </w:tc>
        <w:tc>
          <w:tcPr>
            <w:tcW w:w="146" w:type="dxa"/>
            <w:tcBorders/>
            <w:vAlign w:val="bottom"/>
          </w:tcPr>
          <w:p>
            <w:pPr>
              <w:pStyle w:val="TableContents"/>
              <w:bidi w:val="0"/>
              <w:spacing w:before="0" w:after="283"/>
              <w:jc w:val="left"/>
              <w:rPr/>
            </w:pPr>
            <w:r>
              <w:rPr/>
              <w:t> </w:t>
            </w:r>
          </w:p>
        </w:tc>
        <w:tc>
          <w:tcPr>
            <w:tcW w:w="306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Payable Dates</w:t>
            </w:r>
          </w:p>
        </w:tc>
      </w:tr>
      <w:tr>
        <w:trPr/>
        <w:tc>
          <w:tcPr>
            <w:tcW w:w="13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6.75% Series 2024</w:t>
            </w:r>
          </w:p>
        </w:tc>
        <w:tc>
          <w:tcPr>
            <w:tcW w:w="146" w:type="dxa"/>
            <w:tcBorders/>
            <w:shd w:fill="CCEEFF" w:val="clear"/>
          </w:tcPr>
          <w:p>
            <w:pPr>
              <w:pStyle w:val="TableContents"/>
              <w:bidi w:val="0"/>
              <w:spacing w:before="0" w:after="283"/>
              <w:jc w:val="left"/>
              <w:rPr/>
            </w:pPr>
            <w:r>
              <w:rPr/>
              <w:t> </w:t>
            </w:r>
          </w:p>
        </w:tc>
        <w:tc>
          <w:tcPr>
            <w:tcW w:w="365"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2"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0.14062500</w:t>
            </w:r>
          </w:p>
        </w:tc>
        <w:tc>
          <w:tcPr>
            <w:tcW w:w="146" w:type="dxa"/>
            <w:tcBorders/>
            <w:shd w:fill="CCEEFF" w:val="clear"/>
          </w:tcPr>
          <w:p>
            <w:pPr>
              <w:pStyle w:val="TableContents"/>
              <w:bidi w:val="0"/>
              <w:spacing w:before="0" w:after="283"/>
              <w:jc w:val="left"/>
              <w:rPr/>
            </w:pPr>
            <w:r>
              <w:rPr/>
              <w:t> </w:t>
            </w:r>
          </w:p>
        </w:tc>
        <w:tc>
          <w:tcPr>
            <w:tcW w:w="301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15, 2023, January 17, 2024, February 15, 2024</w:t>
            </w:r>
          </w:p>
        </w:tc>
        <w:tc>
          <w:tcPr>
            <w:tcW w:w="146" w:type="dxa"/>
            <w:tcBorders/>
            <w:shd w:fill="CCEEFF" w:val="clear"/>
          </w:tcPr>
          <w:p>
            <w:pPr>
              <w:pStyle w:val="TableContents"/>
              <w:bidi w:val="0"/>
              <w:spacing w:before="0" w:after="283"/>
              <w:jc w:val="left"/>
              <w:rPr/>
            </w:pPr>
            <w:r>
              <w:rPr/>
              <w:t> </w:t>
            </w:r>
          </w:p>
        </w:tc>
        <w:tc>
          <w:tcPr>
            <w:tcW w:w="306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29, 2023, January 31, 2024, February 29, 2024</w:t>
            </w:r>
          </w:p>
        </w:tc>
      </w:tr>
      <w:tr>
        <w:trPr/>
        <w:tc>
          <w:tcPr>
            <w:tcW w:w="13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5"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1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63" w:type="dxa"/>
            <w:tcBorders/>
          </w:tcPr>
          <w:p>
            <w:pPr>
              <w:pStyle w:val="TableContents"/>
              <w:bidi w:val="0"/>
              <w:spacing w:before="0" w:after="283"/>
              <w:jc w:val="left"/>
              <w:rPr/>
            </w:pPr>
            <w:r>
              <w:rPr/>
              <w:t> </w:t>
            </w:r>
          </w:p>
        </w:tc>
      </w:tr>
      <w:tr>
        <w:trPr/>
        <w:tc>
          <w:tcPr>
            <w:tcW w:w="13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 Series 2027</w:t>
            </w:r>
          </w:p>
        </w:tc>
        <w:tc>
          <w:tcPr>
            <w:tcW w:w="146" w:type="dxa"/>
            <w:tcBorders/>
            <w:shd w:fill="CCEEFF" w:val="clear"/>
          </w:tcPr>
          <w:p>
            <w:pPr>
              <w:pStyle w:val="TableContents"/>
              <w:bidi w:val="0"/>
              <w:spacing w:before="0" w:after="283"/>
              <w:jc w:val="left"/>
              <w:rPr/>
            </w:pPr>
            <w:r>
              <w:rPr/>
              <w:t> </w:t>
            </w:r>
          </w:p>
        </w:tc>
        <w:tc>
          <w:tcPr>
            <w:tcW w:w="365"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2"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0.13020833</w:t>
            </w:r>
          </w:p>
        </w:tc>
        <w:tc>
          <w:tcPr>
            <w:tcW w:w="146" w:type="dxa"/>
            <w:tcBorders/>
            <w:shd w:fill="CCEEFF" w:val="clear"/>
          </w:tcPr>
          <w:p>
            <w:pPr>
              <w:pStyle w:val="TableContents"/>
              <w:bidi w:val="0"/>
              <w:spacing w:before="0" w:after="283"/>
              <w:jc w:val="left"/>
              <w:rPr/>
            </w:pPr>
            <w:r>
              <w:rPr/>
              <w:t> </w:t>
            </w:r>
          </w:p>
        </w:tc>
        <w:tc>
          <w:tcPr>
            <w:tcW w:w="301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15, 2023, January 17, 2024, February 15, 2024</w:t>
            </w:r>
          </w:p>
        </w:tc>
        <w:tc>
          <w:tcPr>
            <w:tcW w:w="146" w:type="dxa"/>
            <w:tcBorders/>
            <w:shd w:fill="CCEEFF" w:val="clear"/>
          </w:tcPr>
          <w:p>
            <w:pPr>
              <w:pStyle w:val="TableContents"/>
              <w:bidi w:val="0"/>
              <w:spacing w:before="0" w:after="283"/>
              <w:jc w:val="left"/>
              <w:rPr/>
            </w:pPr>
            <w:r>
              <w:rPr/>
              <w:t> </w:t>
            </w:r>
          </w:p>
        </w:tc>
        <w:tc>
          <w:tcPr>
            <w:tcW w:w="306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29, 2023, January 31, 2024, February 29, 2024</w:t>
            </w:r>
          </w:p>
        </w:tc>
      </w:tr>
      <w:tr>
        <w:trPr/>
        <w:tc>
          <w:tcPr>
            <w:tcW w:w="13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5"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1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63" w:type="dxa"/>
            <w:tcBorders/>
          </w:tcPr>
          <w:p>
            <w:pPr>
              <w:pStyle w:val="TableContents"/>
              <w:bidi w:val="0"/>
              <w:spacing w:before="0" w:after="283"/>
              <w:jc w:val="left"/>
              <w:rPr/>
            </w:pPr>
            <w:r>
              <w:rPr/>
              <w:t> </w:t>
            </w:r>
          </w:p>
        </w:tc>
      </w:tr>
      <w:tr>
        <w:trPr/>
        <w:tc>
          <w:tcPr>
            <w:tcW w:w="13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6.00% Series 2029</w:t>
            </w:r>
          </w:p>
        </w:tc>
        <w:tc>
          <w:tcPr>
            <w:tcW w:w="146" w:type="dxa"/>
            <w:tcBorders/>
            <w:shd w:fill="CCEEFF" w:val="clear"/>
          </w:tcPr>
          <w:p>
            <w:pPr>
              <w:pStyle w:val="TableContents"/>
              <w:bidi w:val="0"/>
              <w:spacing w:before="0" w:after="283"/>
              <w:jc w:val="left"/>
              <w:rPr/>
            </w:pPr>
            <w:r>
              <w:rPr/>
              <w:t> </w:t>
            </w:r>
          </w:p>
        </w:tc>
        <w:tc>
          <w:tcPr>
            <w:tcW w:w="365"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2"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0.12500000</w:t>
            </w:r>
          </w:p>
        </w:tc>
        <w:tc>
          <w:tcPr>
            <w:tcW w:w="146" w:type="dxa"/>
            <w:tcBorders/>
            <w:shd w:fill="CCEEFF" w:val="clear"/>
          </w:tcPr>
          <w:p>
            <w:pPr>
              <w:pStyle w:val="TableContents"/>
              <w:bidi w:val="0"/>
              <w:spacing w:before="0" w:after="283"/>
              <w:jc w:val="left"/>
              <w:rPr/>
            </w:pPr>
            <w:r>
              <w:rPr/>
              <w:t> </w:t>
            </w:r>
          </w:p>
        </w:tc>
        <w:tc>
          <w:tcPr>
            <w:tcW w:w="301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15, 2023, January 17, 2024, February 15, 2024</w:t>
            </w:r>
          </w:p>
        </w:tc>
        <w:tc>
          <w:tcPr>
            <w:tcW w:w="146" w:type="dxa"/>
            <w:tcBorders/>
            <w:shd w:fill="CCEEFF" w:val="clear"/>
          </w:tcPr>
          <w:p>
            <w:pPr>
              <w:pStyle w:val="TableContents"/>
              <w:bidi w:val="0"/>
              <w:spacing w:before="0" w:after="283"/>
              <w:jc w:val="left"/>
              <w:rPr/>
            </w:pPr>
            <w:r>
              <w:rPr/>
              <w:t> </w:t>
            </w:r>
          </w:p>
        </w:tc>
        <w:tc>
          <w:tcPr>
            <w:tcW w:w="306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29, 2023, January 31, 2024, February 29, 2024</w:t>
            </w:r>
          </w:p>
        </w:tc>
      </w:tr>
      <w:tr>
        <w:trPr/>
        <w:tc>
          <w:tcPr>
            <w:tcW w:w="13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5"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1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63" w:type="dxa"/>
            <w:tcBorders/>
          </w:tcPr>
          <w:p>
            <w:pPr>
              <w:pStyle w:val="TableContents"/>
              <w:bidi w:val="0"/>
              <w:spacing w:before="0" w:after="283"/>
              <w:jc w:val="left"/>
              <w:rPr/>
            </w:pPr>
            <w:r>
              <w:rPr/>
              <w:t> </w:t>
            </w:r>
          </w:p>
        </w:tc>
      </w:tr>
      <w:tr>
        <w:trPr/>
        <w:tc>
          <w:tcPr>
            <w:tcW w:w="13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7.125% Series 2029</w:t>
            </w:r>
          </w:p>
        </w:tc>
        <w:tc>
          <w:tcPr>
            <w:tcW w:w="146" w:type="dxa"/>
            <w:tcBorders/>
            <w:shd w:fill="CCEEFF" w:val="clear"/>
          </w:tcPr>
          <w:p>
            <w:pPr>
              <w:pStyle w:val="TableContents"/>
              <w:bidi w:val="0"/>
              <w:spacing w:before="0" w:after="283"/>
              <w:jc w:val="left"/>
              <w:rPr/>
            </w:pPr>
            <w:r>
              <w:rPr/>
              <w:t> </w:t>
            </w:r>
          </w:p>
        </w:tc>
        <w:tc>
          <w:tcPr>
            <w:tcW w:w="365"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2"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0.14843750</w:t>
            </w:r>
          </w:p>
        </w:tc>
        <w:tc>
          <w:tcPr>
            <w:tcW w:w="146" w:type="dxa"/>
            <w:tcBorders/>
            <w:shd w:fill="CCEEFF" w:val="clear"/>
          </w:tcPr>
          <w:p>
            <w:pPr>
              <w:pStyle w:val="TableContents"/>
              <w:bidi w:val="0"/>
              <w:spacing w:before="0" w:after="283"/>
              <w:jc w:val="left"/>
              <w:rPr/>
            </w:pPr>
            <w:r>
              <w:rPr/>
              <w:t> </w:t>
            </w:r>
          </w:p>
        </w:tc>
        <w:tc>
          <w:tcPr>
            <w:tcW w:w="301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29, 2023, January 31, 2024, February 29, 2024</w:t>
            </w:r>
          </w:p>
        </w:tc>
        <w:tc>
          <w:tcPr>
            <w:tcW w:w="146" w:type="dxa"/>
            <w:tcBorders/>
            <w:shd w:fill="CCEEFF" w:val="clear"/>
          </w:tcPr>
          <w:p>
            <w:pPr>
              <w:pStyle w:val="TableContents"/>
              <w:bidi w:val="0"/>
              <w:spacing w:before="0" w:after="283"/>
              <w:jc w:val="left"/>
              <w:rPr/>
            </w:pPr>
            <w:r>
              <w:rPr/>
              <w:t> </w:t>
            </w:r>
          </w:p>
        </w:tc>
        <w:tc>
          <w:tcPr>
            <w:tcW w:w="306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29, 2023, January 31, 2024, February 29, 2024</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has evaluated subsequent events through the date of issuance and noted no other events that necessitate adjustments to or disclosure in the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6"/>
      <w:bookmarkEnd w:id="13"/>
      <w:r>
        <w:rPr>
          <w:rFonts w:ascii="Times New Roman PS Std;serif" w:hAnsi="Times New Roman PS Std;serif"/>
          <w:b/>
          <w:i w:val="false"/>
          <w:caps w:val="false"/>
          <w:smallCaps w:val="false"/>
          <w:sz w:val="20"/>
        </w:rPr>
        <w:t>Price Range of Common Stock</w:t>
        <w:br/>
        <w:t>(Unaudited)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traded on the NASDAQ Global Select Market under the symbol “OXLC.” The following table sets forth, for each fiscal quarter during the last two fiscal years and the current fiscal year to date, the NAV per share of our common stock, the high and low intraday sales prices for our common stock, such sales prices as a percentage of NAV per share and quarterly distributions per share.</w:t>
      </w:r>
    </w:p>
    <w:tbl>
      <w:tblPr>
        <w:tblW w:w="10205" w:type="dxa"/>
        <w:jc w:val="left"/>
        <w:tblInd w:w="0" w:type="dxa"/>
        <w:tblLayout w:type="fixed"/>
        <w:tblCellMar>
          <w:top w:w="0" w:type="dxa"/>
          <w:left w:w="0" w:type="dxa"/>
          <w:bottom w:w="0" w:type="dxa"/>
          <w:right w:w="0" w:type="dxa"/>
        </w:tblCellMar>
      </w:tblPr>
      <w:tblGrid>
        <w:gridCol w:w="1223"/>
        <w:gridCol w:w="146"/>
        <w:gridCol w:w="226"/>
        <w:gridCol w:w="526"/>
        <w:gridCol w:w="146"/>
        <w:gridCol w:w="226"/>
        <w:gridCol w:w="526"/>
        <w:gridCol w:w="146"/>
        <w:gridCol w:w="226"/>
        <w:gridCol w:w="526"/>
        <w:gridCol w:w="146"/>
        <w:gridCol w:w="1379"/>
        <w:gridCol w:w="710"/>
        <w:gridCol w:w="146"/>
        <w:gridCol w:w="1326"/>
        <w:gridCol w:w="747"/>
        <w:gridCol w:w="146"/>
        <w:gridCol w:w="414"/>
        <w:gridCol w:w="1274"/>
      </w:tblGrid>
      <w:tr>
        <w:trPr/>
        <w:tc>
          <w:tcPr>
            <w:tcW w:w="122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48" w:type="dxa"/>
            <w:gridSpan w:val="8"/>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br/>
              <w:br/>
              <w:t>Price Range</w:t>
            </w:r>
          </w:p>
        </w:tc>
        <w:tc>
          <w:tcPr>
            <w:tcW w:w="146" w:type="dxa"/>
            <w:tcBorders/>
            <w:vAlign w:val="bottom"/>
          </w:tcPr>
          <w:p>
            <w:pPr>
              <w:pStyle w:val="TableContents"/>
              <w:bidi w:val="0"/>
              <w:spacing w:before="0" w:after="283"/>
              <w:jc w:val="left"/>
              <w:rPr/>
            </w:pPr>
            <w:r>
              <w:rPr/>
              <w:t> </w:t>
            </w:r>
          </w:p>
        </w:tc>
        <w:tc>
          <w:tcPr>
            <w:tcW w:w="2089"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Premium/ (Discount) of High Sales Price to NAV</w:t>
            </w:r>
            <w:r>
              <w:rPr>
                <w:rFonts w:ascii="Times New Roman PS Std;serif" w:hAnsi="Times New Roman PS Std;serif"/>
                <w:b/>
                <w:i w:val="false"/>
                <w:caps w:val="false"/>
                <w:smallCaps w:val="false"/>
                <w:sz w:val="12"/>
              </w:rPr>
              <w:t>(2)</w:t>
            </w:r>
          </w:p>
        </w:tc>
        <w:tc>
          <w:tcPr>
            <w:tcW w:w="146" w:type="dxa"/>
            <w:vMerge w:val="restart"/>
            <w:tcBorders/>
            <w:vAlign w:val="bottom"/>
          </w:tcPr>
          <w:p>
            <w:pPr>
              <w:pStyle w:val="TableContents"/>
              <w:bidi w:val="0"/>
              <w:spacing w:before="0" w:after="283"/>
              <w:jc w:val="left"/>
              <w:rPr/>
            </w:pPr>
            <w:r>
              <w:rPr/>
              <w:t> </w:t>
            </w:r>
          </w:p>
        </w:tc>
        <w:tc>
          <w:tcPr>
            <w:tcW w:w="2073"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Premium/ (Discount) of Low Sales Price to NAV</w:t>
            </w:r>
            <w:r>
              <w:rPr>
                <w:rFonts w:ascii="Times New Roman PS Std;serif" w:hAnsi="Times New Roman PS Std;serif"/>
                <w:b/>
                <w:i w:val="false"/>
                <w:caps w:val="false"/>
                <w:smallCaps w:val="false"/>
                <w:sz w:val="12"/>
              </w:rPr>
              <w:t>(2)</w:t>
            </w:r>
          </w:p>
        </w:tc>
        <w:tc>
          <w:tcPr>
            <w:tcW w:w="146" w:type="dxa"/>
            <w:vMerge w:val="restart"/>
            <w:tcBorders/>
            <w:vAlign w:val="bottom"/>
          </w:tcPr>
          <w:p>
            <w:pPr>
              <w:pStyle w:val="TableContents"/>
              <w:bidi w:val="0"/>
              <w:spacing w:before="0" w:after="283"/>
              <w:jc w:val="left"/>
              <w:rPr/>
            </w:pPr>
            <w:r>
              <w:rPr/>
              <w:t> </w:t>
            </w:r>
          </w:p>
        </w:tc>
        <w:tc>
          <w:tcPr>
            <w:tcW w:w="1688"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Distributions Per Share</w:t>
            </w:r>
            <w:r>
              <w:rPr>
                <w:rFonts w:ascii="Times New Roman PS Std;serif" w:hAnsi="Times New Roman PS Std;serif"/>
                <w:b/>
                <w:i w:val="false"/>
                <w:caps w:val="false"/>
                <w:smallCaps w:val="false"/>
                <w:sz w:val="12"/>
              </w:rPr>
              <w:t>(3)</w:t>
            </w:r>
          </w:p>
        </w:tc>
      </w:tr>
      <w:tr>
        <w:trPr/>
        <w:tc>
          <w:tcPr>
            <w:tcW w:w="12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NAV</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75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High</w:t>
            </w:r>
          </w:p>
        </w:tc>
        <w:tc>
          <w:tcPr>
            <w:tcW w:w="146" w:type="dxa"/>
            <w:tcBorders/>
            <w:vAlign w:val="bottom"/>
          </w:tcPr>
          <w:p>
            <w:pPr>
              <w:pStyle w:val="TableContents"/>
              <w:bidi w:val="0"/>
              <w:spacing w:before="0" w:after="283"/>
              <w:jc w:val="left"/>
              <w:rPr/>
            </w:pPr>
            <w:r>
              <w:rPr/>
              <w:t> </w:t>
            </w:r>
          </w:p>
        </w:tc>
        <w:tc>
          <w:tcPr>
            <w:tcW w:w="75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Low</w:t>
            </w:r>
          </w:p>
        </w:tc>
        <w:tc>
          <w:tcPr>
            <w:tcW w:w="146" w:type="dxa"/>
            <w:tcBorders/>
            <w:vAlign w:val="bottom"/>
          </w:tcPr>
          <w:p>
            <w:pPr>
              <w:pStyle w:val="TableContents"/>
              <w:bidi w:val="0"/>
              <w:spacing w:before="0" w:after="283"/>
              <w:jc w:val="left"/>
              <w:rPr/>
            </w:pPr>
            <w:r>
              <w:rPr/>
              <w:t> </w:t>
            </w:r>
          </w:p>
        </w:tc>
        <w:tc>
          <w:tcPr>
            <w:tcW w:w="2089"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73"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88" w:type="dxa"/>
            <w:gridSpan w:val="2"/>
            <w:vMerge w:val="continue"/>
            <w:tcBorders/>
            <w:vAlign w:val="bottom"/>
          </w:tcPr>
          <w:p>
            <w:pPr>
              <w:pStyle w:val="Normal"/>
              <w:bidi w:val="0"/>
              <w:jc w:val="left"/>
              <w:rPr/>
            </w:pPr>
            <w:r>
              <w:rPr/>
            </w:r>
          </w:p>
        </w:tc>
      </w:tr>
      <w:tr>
        <w:trPr/>
        <w:tc>
          <w:tcPr>
            <w:tcW w:w="12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2024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74" w:type="dxa"/>
            <w:tcBorders/>
            <w:shd w:fill="CCEEFF" w:val="clear"/>
            <w:vAlign w:val="bottom"/>
          </w:tcPr>
          <w:p>
            <w:pPr>
              <w:pStyle w:val="TableContents"/>
              <w:bidi w:val="0"/>
              <w:spacing w:before="0" w:after="283"/>
              <w:jc w:val="left"/>
              <w:rPr/>
            </w:pPr>
            <w:r>
              <w:rPr/>
              <w:t> </w:t>
            </w:r>
          </w:p>
        </w:tc>
      </w:tr>
      <w:tr>
        <w:trPr/>
        <w:tc>
          <w:tcPr>
            <w:tcW w:w="12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Third Quarter (through </w:t>
              <w:br/>
              <w:t>November 6, 2023)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4.41</w:t>
            </w:r>
          </w:p>
        </w:tc>
        <w:tc>
          <w:tcPr>
            <w:tcW w:w="146" w:type="dxa"/>
            <w:tcBorders/>
            <w:vAlign w:val="bottom"/>
          </w:tcPr>
          <w:p>
            <w:pPr>
              <w:pStyle w:val="TableContents"/>
              <w:bidi w:val="0"/>
              <w:spacing w:before="0" w:after="283"/>
              <w:jc w:val="left"/>
              <w:rPr/>
            </w:pPr>
            <w:r>
              <w:rPr/>
              <w:t> </w:t>
            </w:r>
          </w:p>
        </w:tc>
        <w:tc>
          <w:tcPr>
            <w:tcW w:w="13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4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0.240</w:t>
            </w:r>
          </w:p>
        </w:tc>
      </w:tr>
      <w:tr>
        <w:trPr/>
        <w:tc>
          <w:tcPr>
            <w:tcW w:w="12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Second Quarter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4.78</w:t>
            </w:r>
          </w:p>
        </w:tc>
        <w:tc>
          <w:tcPr>
            <w:tcW w:w="146"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w:t>
            </w:r>
          </w:p>
        </w:tc>
        <w:tc>
          <w:tcPr>
            <w:tcW w:w="7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(0.6</w:t>
            </w:r>
          </w:p>
        </w:tc>
        <w:tc>
          <w:tcPr>
            <w:tcW w:w="74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0.240</w:t>
            </w:r>
          </w:p>
        </w:tc>
      </w:tr>
      <w:tr>
        <w:trPr/>
        <w:tc>
          <w:tcPr>
            <w:tcW w:w="12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First Quarter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4.76</w:t>
            </w:r>
          </w:p>
        </w:tc>
        <w:tc>
          <w:tcPr>
            <w:tcW w:w="146" w:type="dxa"/>
            <w:tcBorders/>
            <w:vAlign w:val="bottom"/>
          </w:tcPr>
          <w:p>
            <w:pPr>
              <w:pStyle w:val="TableContents"/>
              <w:bidi w:val="0"/>
              <w:spacing w:before="0" w:after="283"/>
              <w:jc w:val="left"/>
              <w:rPr/>
            </w:pPr>
            <w:r>
              <w:rPr/>
              <w:t> </w:t>
            </w:r>
          </w:p>
        </w:tc>
        <w:tc>
          <w:tcPr>
            <w:tcW w:w="13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24.2</w:t>
            </w:r>
          </w:p>
        </w:tc>
        <w:tc>
          <w:tcPr>
            <w:tcW w:w="7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w:t>
            </w:r>
          </w:p>
        </w:tc>
        <w:tc>
          <w:tcPr>
            <w:tcW w:w="7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0.225</w:t>
            </w:r>
          </w:p>
        </w:tc>
      </w:tr>
      <w:tr>
        <w:trPr/>
        <w:tc>
          <w:tcPr>
            <w:tcW w:w="12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74" w:type="dxa"/>
            <w:tcBorders/>
            <w:shd w:fill="CCEEFF" w:val="clear"/>
            <w:vAlign w:val="bottom"/>
          </w:tcPr>
          <w:p>
            <w:pPr>
              <w:pStyle w:val="TableContents"/>
              <w:bidi w:val="0"/>
              <w:spacing w:before="0" w:after="283"/>
              <w:jc w:val="left"/>
              <w:rPr/>
            </w:pPr>
            <w:r>
              <w:rPr/>
              <w:t> </w:t>
            </w:r>
          </w:p>
        </w:tc>
      </w:tr>
      <w:tr>
        <w:trPr/>
        <w:tc>
          <w:tcPr>
            <w:tcW w:w="12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2023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left"/>
              <w:rPr/>
            </w:pPr>
            <w:r>
              <w:rPr/>
              <w:t> </w:t>
            </w:r>
          </w:p>
        </w:tc>
        <w:tc>
          <w:tcPr>
            <w:tcW w:w="71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74" w:type="dxa"/>
            <w:tcBorders/>
            <w:vAlign w:val="bottom"/>
          </w:tcPr>
          <w:p>
            <w:pPr>
              <w:pStyle w:val="TableContents"/>
              <w:bidi w:val="0"/>
              <w:spacing w:before="0" w:after="283"/>
              <w:jc w:val="left"/>
              <w:rPr/>
            </w:pPr>
            <w:r>
              <w:rPr/>
              <w:t> </w:t>
            </w:r>
          </w:p>
        </w:tc>
      </w:tr>
      <w:tr>
        <w:trPr/>
        <w:tc>
          <w:tcPr>
            <w:tcW w:w="12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Fourth Quarter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5.02</w:t>
            </w:r>
          </w:p>
        </w:tc>
        <w:tc>
          <w:tcPr>
            <w:tcW w:w="146"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36.0</w:t>
            </w:r>
          </w:p>
        </w:tc>
        <w:tc>
          <w:tcPr>
            <w:tcW w:w="7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w:t>
            </w:r>
          </w:p>
        </w:tc>
        <w:tc>
          <w:tcPr>
            <w:tcW w:w="74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0.225</w:t>
            </w:r>
          </w:p>
        </w:tc>
      </w:tr>
      <w:tr>
        <w:trPr/>
        <w:tc>
          <w:tcPr>
            <w:tcW w:w="12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Third Quarter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4.85</w:t>
            </w:r>
          </w:p>
        </w:tc>
        <w:tc>
          <w:tcPr>
            <w:tcW w:w="146" w:type="dxa"/>
            <w:tcBorders/>
            <w:vAlign w:val="bottom"/>
          </w:tcPr>
          <w:p>
            <w:pPr>
              <w:pStyle w:val="TableContents"/>
              <w:bidi w:val="0"/>
              <w:spacing w:before="0" w:after="283"/>
              <w:jc w:val="left"/>
              <w:rPr/>
            </w:pPr>
            <w:r>
              <w:rPr/>
              <w:t> </w:t>
            </w:r>
          </w:p>
        </w:tc>
        <w:tc>
          <w:tcPr>
            <w:tcW w:w="13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23.5</w:t>
            </w:r>
          </w:p>
        </w:tc>
        <w:tc>
          <w:tcPr>
            <w:tcW w:w="7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w:t>
            </w:r>
          </w:p>
        </w:tc>
        <w:tc>
          <w:tcPr>
            <w:tcW w:w="7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0.225</w:t>
            </w:r>
          </w:p>
        </w:tc>
      </w:tr>
      <w:tr>
        <w:trPr/>
        <w:tc>
          <w:tcPr>
            <w:tcW w:w="12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Second Quarter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4.83</w:t>
            </w:r>
          </w:p>
        </w:tc>
        <w:tc>
          <w:tcPr>
            <w:tcW w:w="146"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37.7</w:t>
            </w:r>
          </w:p>
        </w:tc>
        <w:tc>
          <w:tcPr>
            <w:tcW w:w="7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w:t>
            </w:r>
          </w:p>
        </w:tc>
        <w:tc>
          <w:tcPr>
            <w:tcW w:w="74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0.225</w:t>
            </w:r>
          </w:p>
        </w:tc>
      </w:tr>
      <w:tr>
        <w:trPr/>
        <w:tc>
          <w:tcPr>
            <w:tcW w:w="12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First Quarter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5.49</w:t>
            </w:r>
          </w:p>
        </w:tc>
        <w:tc>
          <w:tcPr>
            <w:tcW w:w="146" w:type="dxa"/>
            <w:tcBorders/>
            <w:vAlign w:val="bottom"/>
          </w:tcPr>
          <w:p>
            <w:pPr>
              <w:pStyle w:val="TableContents"/>
              <w:bidi w:val="0"/>
              <w:spacing w:before="0" w:after="283"/>
              <w:jc w:val="left"/>
              <w:rPr/>
            </w:pPr>
            <w:r>
              <w:rPr/>
              <w:t> </w:t>
            </w:r>
          </w:p>
        </w:tc>
        <w:tc>
          <w:tcPr>
            <w:tcW w:w="13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w:t>
            </w:r>
          </w:p>
        </w:tc>
        <w:tc>
          <w:tcPr>
            <w:tcW w:w="7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8.3</w:t>
            </w:r>
          </w:p>
        </w:tc>
        <w:tc>
          <w:tcPr>
            <w:tcW w:w="7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0.225</w:t>
            </w:r>
          </w:p>
        </w:tc>
      </w:tr>
      <w:tr>
        <w:trPr/>
        <w:tc>
          <w:tcPr>
            <w:tcW w:w="12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74" w:type="dxa"/>
            <w:tcBorders/>
            <w:shd w:fill="CCEEFF" w:val="clear"/>
            <w:vAlign w:val="bottom"/>
          </w:tcPr>
          <w:p>
            <w:pPr>
              <w:pStyle w:val="TableContents"/>
              <w:bidi w:val="0"/>
              <w:spacing w:before="0" w:after="283"/>
              <w:jc w:val="left"/>
              <w:rPr/>
            </w:pPr>
            <w:r>
              <w:rPr/>
              <w:t> </w:t>
            </w:r>
          </w:p>
        </w:tc>
      </w:tr>
      <w:tr>
        <w:trPr/>
        <w:tc>
          <w:tcPr>
            <w:tcW w:w="12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2022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left"/>
              <w:rPr/>
            </w:pPr>
            <w:r>
              <w:rPr/>
              <w:t> </w:t>
            </w:r>
          </w:p>
        </w:tc>
        <w:tc>
          <w:tcPr>
            <w:tcW w:w="71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74" w:type="dxa"/>
            <w:tcBorders/>
            <w:vAlign w:val="bottom"/>
          </w:tcPr>
          <w:p>
            <w:pPr>
              <w:pStyle w:val="TableContents"/>
              <w:bidi w:val="0"/>
              <w:spacing w:before="0" w:after="283"/>
              <w:jc w:val="left"/>
              <w:rPr/>
            </w:pPr>
            <w:r>
              <w:rPr/>
              <w:t> </w:t>
            </w:r>
          </w:p>
        </w:tc>
      </w:tr>
      <w:tr>
        <w:trPr/>
        <w:tc>
          <w:tcPr>
            <w:tcW w:w="12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Fourth Quarter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6.96</w:t>
            </w:r>
          </w:p>
        </w:tc>
        <w:tc>
          <w:tcPr>
            <w:tcW w:w="146"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28.4</w:t>
            </w:r>
          </w:p>
        </w:tc>
        <w:tc>
          <w:tcPr>
            <w:tcW w:w="7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w:t>
            </w:r>
          </w:p>
        </w:tc>
        <w:tc>
          <w:tcPr>
            <w:tcW w:w="74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0.225</w:t>
            </w:r>
          </w:p>
        </w:tc>
      </w:tr>
      <w:tr>
        <w:trPr/>
        <w:tc>
          <w:tcPr>
            <w:tcW w:w="12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Third Quarter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7.21</w:t>
            </w:r>
          </w:p>
        </w:tc>
        <w:tc>
          <w:tcPr>
            <w:tcW w:w="146" w:type="dxa"/>
            <w:tcBorders/>
            <w:vAlign w:val="bottom"/>
          </w:tcPr>
          <w:p>
            <w:pPr>
              <w:pStyle w:val="TableContents"/>
              <w:bidi w:val="0"/>
              <w:spacing w:before="0" w:after="283"/>
              <w:jc w:val="left"/>
              <w:rPr/>
            </w:pPr>
            <w:r>
              <w:rPr/>
              <w:t> </w:t>
            </w:r>
          </w:p>
        </w:tc>
        <w:tc>
          <w:tcPr>
            <w:tcW w:w="13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23.1</w:t>
            </w:r>
          </w:p>
        </w:tc>
        <w:tc>
          <w:tcPr>
            <w:tcW w:w="7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w:t>
            </w:r>
          </w:p>
        </w:tc>
        <w:tc>
          <w:tcPr>
            <w:tcW w:w="7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0.203</w:t>
            </w:r>
          </w:p>
        </w:tc>
      </w:tr>
      <w:tr>
        <w:trPr/>
        <w:tc>
          <w:tcPr>
            <w:tcW w:w="12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Second Quarter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6.86</w:t>
            </w:r>
          </w:p>
        </w:tc>
        <w:tc>
          <w:tcPr>
            <w:tcW w:w="146"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w:t>
            </w:r>
          </w:p>
        </w:tc>
        <w:tc>
          <w:tcPr>
            <w:tcW w:w="7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w:t>
            </w:r>
          </w:p>
        </w:tc>
        <w:tc>
          <w:tcPr>
            <w:tcW w:w="74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0.203</w:t>
            </w:r>
          </w:p>
        </w:tc>
      </w:tr>
      <w:tr>
        <w:trPr/>
        <w:tc>
          <w:tcPr>
            <w:tcW w:w="12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First Quarter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6.22</w:t>
            </w:r>
          </w:p>
        </w:tc>
        <w:tc>
          <w:tcPr>
            <w:tcW w:w="146" w:type="dxa"/>
            <w:tcBorders/>
            <w:vAlign w:val="bottom"/>
          </w:tcPr>
          <w:p>
            <w:pPr>
              <w:pStyle w:val="TableContents"/>
              <w:bidi w:val="0"/>
              <w:spacing w:before="0" w:after="283"/>
              <w:jc w:val="left"/>
              <w:rPr/>
            </w:pPr>
            <w:r>
              <w:rPr/>
              <w:t> </w:t>
            </w:r>
          </w:p>
        </w:tc>
        <w:tc>
          <w:tcPr>
            <w:tcW w:w="13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20.1</w:t>
            </w:r>
          </w:p>
        </w:tc>
        <w:tc>
          <w:tcPr>
            <w:tcW w:w="7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w:t>
            </w:r>
          </w:p>
        </w:tc>
        <w:tc>
          <w:tcPr>
            <w:tcW w:w="7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0.203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Calculated as the respective high or low intraday sales price divided by NAV and subtracting 1.</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the cash distributions, including dividends, dividends reinvested and returns of capital, if any, per share that we have declared on our common stock in the specified quarter.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Not determinable at the time of filing.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6, 2023, the last reported sales price of our common stock was $5.03 per share. As of November 6, 2023, we had 114 holders of record of our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closed-end management investment companies may trade at a market price that is less than the value of the net assets attributable to those shares. The possibility that our shares of common stock will trade at a discount from net asset value or at premiums that are unsustainable over the long term are separate and distinct from the risk that our net asset value will decrease. Since our initial public offering, shares of our common stock have traded at a discount and at a premium to the net assets attributable to those shares. As of November 6, 2023, our shares of common stock traded at a discount equal to approximately 4.57% of our net asset value per share as of September 30, 2023. It is not possible to predict whether the shares offered hereby will trade at, above, or below net asset value.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DISTRIBUTIONS</w:t>
        <w:br/>
        <w:t>(Unaudited)</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we have income available, we intend to distribute monthly distributions to our common stockholders. The amount of our distributions, if any, will be determined by our Board of Directors. Any distributions to our stockholders will be declared out of assets legally available for distribution. The specific tax characteristics of our distributions will be reported to stockholders after the end of each calendar year.</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14" w:name="T5"/>
      <w:bookmarkEnd w:id="14"/>
      <w:r>
        <w:rPr>
          <w:rFonts w:ascii="Times New Roman PS Std;serif" w:hAnsi="Times New Roman PS Std;serif"/>
          <w:b/>
          <w:i w:val="false"/>
          <w:caps w:val="false"/>
          <w:smallCaps w:val="false"/>
          <w:sz w:val="20"/>
        </w:rPr>
        <w:t>Distribution Reinvestment Plan</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Those stockholders whose shares are held by a broker or other financial intermediary may receive distributions in cash by notifying their broker or other financial intermediary of their election.</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Times New Roman PS Std;serif" w:hAnsi="Times New Roman PS Std;serif"/>
          <w:b w:val="false"/>
          <w:i/>
          <w:caps w:val="false"/>
          <w:smallCaps w:val="false"/>
          <w:sz w:val="20"/>
        </w:rPr>
        <w:t>www.computershare.com/investor</w:t>
      </w:r>
      <w:r>
        <w:rPr>
          <w:rFonts w:ascii="Times New Roman PS Std;serif" w:hAnsi="Times New Roman PS Std;serif"/>
          <w:b w:val="false"/>
          <w:i w:val="false"/>
          <w:caps w:val="false"/>
          <w:smallCaps w:val="false"/>
          <w:sz w:val="20"/>
        </w:rPr>
        <w:t>, telephone number is 1-800-426-5523 and written correspondence can be mailed to Computershare Trust Company, N.A., P.O. Box 43078, Providence, RI, 02940-3078.</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4"/>
      <w:bookmarkEnd w:id="15"/>
      <w:r>
        <w:rPr>
          <w:rFonts w:ascii="Times New Roman PS Std;serif" w:hAnsi="Times New Roman PS Std;serif"/>
          <w:b/>
          <w:i w:val="false"/>
          <w:caps w:val="false"/>
          <w:smallCaps w:val="false"/>
          <w:sz w:val="20"/>
        </w:rPr>
        <w:t>MANAGEMENT</w:t>
        <w:br/>
        <w:t>(Unaudited)</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oversees our management. The Board of Directors currently consists of five members, three of whom are not “interested persons” of Oxford Lane Capital Corp. as defined in Section 2(a)(19) of the 1940 Act. We refer to these individuals as our independent directors. Our Board of Directors elects our officers, who serve at the discretion of the Board of Directors. The responsibilities of each director will include, among other things, the oversight of our investment activity, the quarterly valuation of our assets, and oversight of our financing arrangements. The Board of Directors has also established an Audit Committee and a Valuation Committee and may establish additional committees in the future.</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directors and officers and their principal occupations during the past five years are set forth below. Our prospectus includes additional information about our directors and is available without charge, upon request by calling (203) 983-5275, or on the Commission’s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18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 and Executive Officers</w:t>
      </w:r>
    </w:p>
    <w:p>
      <w:pPr>
        <w:pStyle w:val="TextBody"/>
        <w:keepNext w:val="true"/>
        <w:pageBreakBefore w:val="false"/>
        <w:widowControl/>
        <w:pBdr/>
        <w:bidi w:val="0"/>
        <w:spacing w:before="18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regarding the Board of Directors is as follows:</w:t>
      </w:r>
    </w:p>
    <w:tbl>
      <w:tblPr>
        <w:tblW w:w="9709" w:type="dxa"/>
        <w:jc w:val="left"/>
        <w:tblInd w:w="0" w:type="dxa"/>
        <w:tblLayout w:type="fixed"/>
        <w:tblCellMar>
          <w:top w:w="0" w:type="dxa"/>
          <w:left w:w="0" w:type="dxa"/>
          <w:bottom w:w="0" w:type="dxa"/>
          <w:right w:w="0" w:type="dxa"/>
        </w:tblCellMar>
      </w:tblPr>
      <w:tblGrid>
        <w:gridCol w:w="2581"/>
        <w:gridCol w:w="146"/>
        <w:gridCol w:w="496"/>
        <w:gridCol w:w="146"/>
        <w:gridCol w:w="3601"/>
        <w:gridCol w:w="146"/>
        <w:gridCol w:w="931"/>
        <w:gridCol w:w="146"/>
        <w:gridCol w:w="1516"/>
      </w:tblGrid>
      <w:tr>
        <w:trPr/>
        <w:tc>
          <w:tcPr>
            <w:tcW w:w="25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36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w:t>
              <w:br/>
              <w:t>Since</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Expiration of </w:t>
              <w:br/>
              <w:t>Term</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left"/>
              <w:rPr/>
            </w:pPr>
            <w:r>
              <w:rPr/>
              <w:t> </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146" w:type="dxa"/>
            <w:tcBorders/>
            <w:vAlign w:val="bottom"/>
          </w:tcPr>
          <w:p>
            <w:pPr>
              <w:pStyle w:val="TableContents"/>
              <w:bidi w:val="0"/>
              <w:spacing w:before="0" w:after="283"/>
              <w:jc w:val="left"/>
              <w:rPr/>
            </w:pPr>
            <w:r>
              <w:rPr/>
              <w:t> </w:t>
            </w:r>
          </w:p>
        </w:tc>
        <w:tc>
          <w:tcPr>
            <w:tcW w:w="36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CEEFF" w:val="clear"/>
            <w:vAlign w:val="bottom"/>
          </w:tcPr>
          <w:p>
            <w:pPr>
              <w:pStyle w:val="TableContents"/>
              <w:bidi w:val="0"/>
              <w:spacing w:before="0" w:after="283"/>
              <w:jc w:val="left"/>
              <w:rPr/>
            </w:pPr>
            <w:r>
              <w:rPr/>
              <w:t> </w:t>
            </w:r>
          </w:p>
        </w:tc>
        <w:tc>
          <w:tcPr>
            <w:tcW w:w="36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and Director</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r>
      <w:tr>
        <w:trPr/>
        <w:tc>
          <w:tcPr>
            <w:tcW w:w="25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left"/>
              <w:rPr/>
            </w:pPr>
            <w:r>
              <w:rPr/>
              <w:t> </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left"/>
              <w:rPr/>
            </w:pPr>
            <w:r>
              <w:rPr/>
              <w:t> </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J. Ashenfelter</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vAlign w:val="bottom"/>
          </w:tcPr>
          <w:p>
            <w:pPr>
              <w:pStyle w:val="TableContents"/>
              <w:bidi w:val="0"/>
              <w:spacing w:before="0" w:after="283"/>
              <w:jc w:val="left"/>
              <w:rPr/>
            </w:pPr>
            <w:r>
              <w:rPr/>
              <w:t> </w:t>
            </w:r>
          </w:p>
        </w:tc>
        <w:tc>
          <w:tcPr>
            <w:tcW w:w="36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 of Directors</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Reardon</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vAlign w:val="bottom"/>
          </w:tcPr>
          <w:p>
            <w:pPr>
              <w:pStyle w:val="TableContents"/>
              <w:bidi w:val="0"/>
              <w:spacing w:before="0" w:after="283"/>
              <w:jc w:val="left"/>
              <w:rPr/>
            </w:pPr>
            <w:r>
              <w:rPr/>
              <w:t> </w:t>
            </w:r>
          </w:p>
        </w:tc>
        <w:tc>
          <w:tcPr>
            <w:tcW w:w="36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S. Shin</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vAlign w:val="bottom"/>
          </w:tcPr>
          <w:p>
            <w:pPr>
              <w:pStyle w:val="TableContents"/>
              <w:bidi w:val="0"/>
              <w:spacing w:before="0" w:after="283"/>
              <w:jc w:val="left"/>
              <w:rPr/>
            </w:pPr>
            <w:r>
              <w:rPr/>
              <w:t> </w:t>
            </w:r>
          </w:p>
        </w:tc>
        <w:tc>
          <w:tcPr>
            <w:tcW w:w="36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address for each of our directors is c/o Oxford Lane Capital Corp., 8 Sound Shore Drive, Suite 255, Greenwich, CT 06830.</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 Who Are Not Directors</w:t>
      </w:r>
    </w:p>
    <w:tbl>
      <w:tblPr>
        <w:tblW w:w="8380" w:type="dxa"/>
        <w:jc w:val="left"/>
        <w:tblInd w:w="0" w:type="dxa"/>
        <w:tblLayout w:type="fixed"/>
        <w:tblCellMar>
          <w:top w:w="0" w:type="dxa"/>
          <w:left w:w="0" w:type="dxa"/>
          <w:bottom w:w="0" w:type="dxa"/>
          <w:right w:w="0" w:type="dxa"/>
        </w:tblCellMar>
      </w:tblPr>
      <w:tblGrid>
        <w:gridCol w:w="1816"/>
        <w:gridCol w:w="146"/>
        <w:gridCol w:w="496"/>
        <w:gridCol w:w="146"/>
        <w:gridCol w:w="5776"/>
      </w:tblGrid>
      <w:tr>
        <w:trPr/>
        <w:tc>
          <w:tcPr>
            <w:tcW w:w="18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57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18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L. Rubin</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bottom"/>
          </w:tcPr>
          <w:p>
            <w:pPr>
              <w:pStyle w:val="TableContents"/>
              <w:bidi w:val="0"/>
              <w:spacing w:before="0" w:after="283"/>
              <w:jc w:val="left"/>
              <w:rPr/>
            </w:pPr>
            <w:r>
              <w:rPr/>
              <w:t> </w:t>
            </w:r>
          </w:p>
        </w:tc>
        <w:tc>
          <w:tcPr>
            <w:tcW w:w="577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Treasurer and Corporate Secretary</w:t>
            </w:r>
          </w:p>
        </w:tc>
      </w:tr>
      <w:tr>
        <w:trPr/>
        <w:tc>
          <w:tcPr>
            <w:tcW w:w="18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Gerald Cummins</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vAlign w:val="bottom"/>
          </w:tcPr>
          <w:p>
            <w:pPr>
              <w:pStyle w:val="TableContents"/>
              <w:bidi w:val="0"/>
              <w:spacing w:before="0" w:after="283"/>
              <w:jc w:val="left"/>
              <w:rPr/>
            </w:pPr>
            <w:r>
              <w:rPr/>
              <w:t> </w:t>
            </w:r>
          </w:p>
        </w:tc>
        <w:tc>
          <w:tcPr>
            <w:tcW w:w="577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Compliance Officer</w:t>
            </w:r>
          </w:p>
        </w:tc>
      </w:tr>
    </w:tbl>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Biographical Information</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have been divided into two groups — interested directors and independent directors. An interested director is an “interested person” as defined in Section 2(a)(19) of the 1940 Act.</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Messrs. Cohen and Rosenthal are “interested persons” of Oxford Lane Capital as defined in the 1940 Act due to their positions as Chief Executive Officer and President, respectively, of the Fund and Oxford Lane Management, and as the managing member and non-managing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member, respectively, of Oxford Funds, the administrator for Oxford Lane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Jonathan H. Cohen</w:t>
      </w:r>
      <w:r>
        <w:rPr>
          <w:rFonts w:ascii="Times New Roman PS Std;serif" w:hAnsi="Times New Roman PS Std;serif"/>
          <w:b w:val="false"/>
          <w:i w:val="false"/>
          <w:caps w:val="false"/>
          <w:smallCaps w:val="false"/>
          <w:sz w:val="20"/>
        </w:rPr>
        <w:t xml:space="preserve"> has served as Chief Executive Officer of both Oxford Lane Capital Corp. and Oxford Lane Management since 2010. Since 2003, Mr. Cohen has also served as Chief Executive Officer of both Oxford Square Capital Corp. (NasdaqGS: OXSQ), a publicly traded business development company, and Oxford Square Management, LLC, Oxford Square Capital Corp.’s investment adviser, and as the managing member of Oxford Funds. Since 2023, Mr. Cohen has also served as Chief Executive Officer of Oxford Park Income Fund, Inc., a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non-traded registered closed-end fund, and Oxford Park Management, LLC, Oxford Park Income Fund, Inc.’s investment adviser. Mr. Cohen also serves on our Board of Directors, as well as the Oxford Square Capital Corp. and Oxford Park Income Fund, Inc. boards of directors.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2018, Mr. Cohen has also served as the Chief Executive Officer of Oxford Gate Management, LLC, the investment adviser to Oxford Gate Master Fund, LLC, Oxford Gate, LLC and Oxford Gate (Bermuda), LLC (collectively, the “Oxford Gate Funds”) and Oxford Bridge II, LLC. Oxford Bridge II, LLC and the Oxford Gate Funds are private investment funds. Previously, Mr. Cohen managed technology equity research groups at Wit Capital, Merrill Lynch, UBS and Smith Barney.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Saul B. Rosenthal</w:t>
      </w:r>
      <w:r>
        <w:rPr>
          <w:rFonts w:ascii="Times New Roman PS Std;serif" w:hAnsi="Times New Roman PS Std;serif"/>
          <w:b w:val="false"/>
          <w:i w:val="false"/>
          <w:caps w:val="false"/>
          <w:smallCaps w:val="false"/>
          <w:sz w:val="20"/>
        </w:rPr>
        <w:t xml:space="preserve"> has served as President of both Oxford Lane Capital Corp. and Oxford Lane Management since 2010. Mr. Rosenthal has also served as President since 2004 of both Oxford Square Capital Corp. (NasdaqGS: OXSQ), a publicly traded business development company, and Oxford Square Management, LLC, Oxford Square Capital Corp.’s investment adviser and a member of Oxford Funds. Since 2023, Mr. Rosenthal has served as President of Oxford Park Income Fund, Inc., a registered closed-end fund, and Oxford Park Management, LLC, Oxford Park Income Fund, Inc.’s investment adviser. Mr. Rosenthal also serves on our Board of Directors, as well as the Oxford Park Income Fund, Inc. boards of directors. Mr. Rosenthal has also served as President of Oxford Gate Management, LLC, the investment adviser to the Oxford Gate Funds and Oxford Bridge II, LLC, since 2018. Mr. Rosenthal was previously an attorney at the law firm of Shearman &amp; Sterling LLP. Mr. Rosenthal serves on the board of the National Museum of Mathematics. Mr. Rosenthal received a B.S., magna cum laude, from the Wharton School of the University of Pennsylvania, a J.D. from Columbia University Law School, where he was a Harlan Fiske Stone Scholar, and a LL.M. (Taxation) from New York University School of Law. Mr. Rosenthal’s depth of experience in managerial positions in investment management, as well as his intimate knowledge of our business and operations, gives the Board of Directors the valuable perspective of a knowledgeable corporate leader.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directors are not “interested persons” of Oxford Lane Capital, as defined in the 1940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Mark J. Ashenfelter</w:t>
      </w:r>
      <w:r>
        <w:rPr>
          <w:rFonts w:ascii="Times New Roman PS Std;serif" w:hAnsi="Times New Roman PS Std;serif"/>
          <w:b w:val="false"/>
          <w:i w:val="false"/>
          <w:caps w:val="false"/>
          <w:smallCaps w:val="false"/>
          <w:sz w:val="20"/>
        </w:rPr>
        <w:t xml:space="preserve"> presently serves as a Senior Vice President and the General Counsel of Haebler Capital, a private investment company located in Greenwich, CT. Prior to joining Haebler Capital in 1994, Mr. Ashenfelter was an associate at Cravath, Swaine &amp; Moore from 1985 to 1992 and Cadwalader, Wickersham &amp; Taft from 1992 to 1994. Mr. Ashenfelter also serves on the Board of Directors of Oxford Park Income Fund, Inc. Mr. Ashenfelter received a B.A., cum laude, from Harvard University, a J.D., magna cum laude, from New York Law School, where he was Managing Editor of the Law Review, and a LL.M. (Taxation) from New York University School of Law. Mr. Ashenfelter’s extensive corporate legal experience, particularly in connection with investment companies, provides our Board of Directors with valuable insight and perspective.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John Reardon</w:t>
      </w:r>
      <w:r>
        <w:rPr>
          <w:rFonts w:ascii="Times New Roman PS Std;serif" w:hAnsi="Times New Roman PS Std;serif"/>
          <w:b w:val="false"/>
          <w:i w:val="false"/>
          <w:caps w:val="false"/>
          <w:smallCaps w:val="false"/>
          <w:sz w:val="20"/>
        </w:rPr>
        <w:t xml:space="preserve"> is the President and CEO of Schurz Communications, Inc., a leading broadband and managed cloud services provider. Mr. Reardon also serves as a Board Member and Audit Committee Member for Schurz Communications, Inc. Mr. Reardon also serves on the Board of Directors of Oxford Park Income Fund, Inc. In 2023, Mr. Reardon was elected to the board of ACA Connects (America’s Communications Association) which represents the leading broadband companies in the United States. Previously, Mr. Reardon was Of Counsel with Kutak Rock, LLP, where he advised broadband and software companies on corporate and regulatory matters. Mr. Reardon served from 2019 until 2021 as the Director of Business Strategy, Smart Cities, for American Infrastructure Partners, LP, an infrastructure fund based in Foster City, California. Mr. Reardon was previously the Managing Director of Choctaw Telecom LLC. In addition, Mr. Reardon served as Chief Executive Officer, General Counsel, and a member of the Board of Directors of Mobex Communications, Inc. from 1997 until 2005. Mr. Reardon began his career in telecom law at the boutique Washington, DC firm of Keller and Heckman, LLP. Mr. Reardon received a Bachelor of Arts degree, summa cum laude, from Boston University, and earned his J.D. from Columbia Law School. Mr. Reardon’s extensive experience as a senior corporate executive provides our Board of Directors the perspective of a knowledgeable corporate leader.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David S. Shin</w:t>
      </w:r>
      <w:r>
        <w:rPr>
          <w:rFonts w:ascii="Times New Roman PS Std;serif" w:hAnsi="Times New Roman PS Std;serif"/>
          <w:b w:val="false"/>
          <w:i w:val="false"/>
          <w:caps w:val="false"/>
          <w:smallCaps w:val="false"/>
          <w:sz w:val="20"/>
        </w:rPr>
        <w:t xml:space="preserve"> is the Head of Capital Markets for Amergin Asset Management, an asset manager specializing in transportation assets. Mr. Shin also serves on the Board of Directors of Oxford Park Income Fund, Inc. From April 2021 to July 2022, Mr. Shin was an external consultant to Apollo Investment Consulting where he was senior advisor to the board of a portfolio company. Prior to this, Mr. Shin served as the Head of Business Development for the Infinity Transportation division of Global Atlantic Financial Group from 2016 to March 2021 and, from January 2016 to November 2016, he was an asset management consultant to Innovatus Capital Partners, the manager of certain assets of Perella Weinberg Partners, a financial services firm. From 2011 to 2016, Mr. Shin was an asset management professional at Perella Weinberg Partners. From 2010 to 2011, Mr. Shin served as a Managing Director at Bentley Associates, an investment banking firm. Prior to joining Bentley Associates, Mr. Shin worked in the Global Real Estate Investment Banking Group at Deutsche Bank Securities from 2005 to 2008, and in the Real Estate &amp; Lodging Group of Citigroup Global Markets from 2004 to 2005. Prior to that, Mr. Shin worked for William Street Advisors, LLC, a boutique financial advisory firm affiliated with Saratoga Management Company, from 2002 to 2004. After receiving his J.D. in 1995, Mr. Shin was a member of the Healthcare Group of Dean Witter Reynolds from 1995 to 1996, and was subsequently a member of the Mergers &amp; Acquisitions Group of Merrill Lynch &amp; Co. from 1996 to 2002. Mr. Shin started his career as a CPA in the Corporate Tax Department of KPMG Peat Marwick’s Financial Institutions Group, where he worked from 1990 to 1992, before attending law school. Mr. Shin received a B.S., magna cum laude, from The Wharton School at the University of Pennsylvania and a J.D. from Columbia Law School. Mr. Shin’s extensive experience in investment banking provides the Board of Directors with valuable insights of an experienced and diligent financial professional, as well as a diverse perspective.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 Who Are Not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Bruce L. Rubin </w:t>
      </w:r>
      <w:r>
        <w:rPr>
          <w:rFonts w:ascii="Times New Roman PS Std;serif" w:hAnsi="Times New Roman PS Std;serif"/>
          <w:b w:val="false"/>
          <w:i w:val="false"/>
          <w:caps w:val="false"/>
          <w:smallCaps w:val="false"/>
          <w:sz w:val="20"/>
        </w:rPr>
        <w:t>has served as our Chief Financial Officer, Chief Accounting Officer, and Corporate Secretary since 2015. Mr. Rubin has also served as our Controller since our initial public offering in 2011 to 2015 and as our Treasurer since 2011. Mr. Rubin has served as Oxford Square Capital Corp.’s Chief Financial Officer, Chief Accounting Officer, and Corporate Secretary since August 2015. Mr. Rubin has served as Oxford Square Capital Corp.’s Controller from 2005 to 2015 and as its Treasurer since 2009. Since 2023, Mr. Rubin has also served as Chief Financial Officer, Corporate Secretary and Treasurer of Oxford Park Income Fund, Inc., a non-traded registered closed-end fund. Mr. Rubin also currently serves as the Chief Financial Officer and Secretary of Oxford Lane Management, LLC, Oxford Square Management, LLC, Oxford Park Management, LLC, Oxford Gate Management, LLC and Oxford Funds. From 1995 to 2003, Mr. Rubin was the Assistant Treasurer &amp; Director of Financial Planning of the New York Mercantile Exchange, Inc., the largest physical commodities futures exchange in the world and has extensive experience with the Sarbanes-Oxley Act of 2002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Gerald Cummins</w:t>
      </w:r>
      <w:r>
        <w:rPr>
          <w:rFonts w:ascii="Times New Roman PS Std;serif" w:hAnsi="Times New Roman PS Std;serif"/>
          <w:b w:val="false"/>
          <w:i w:val="false"/>
          <w:caps w:val="false"/>
          <w:smallCaps w:val="false"/>
          <w:sz w:val="20"/>
        </w:rPr>
        <w:t xml:space="preserve"> has served as our Chief Compliance Officer since June 2015 pursuant to an agreement between the Company and ACA Group a compliance consulting firm. Mr. Cummins also currently serves as the Chief Compliance Officer of Oxford Lane Management, Oxford Square Capital Corp., Oxford Square Management, LLC, Oxford Funds LLC, and since 2018, Oxford Gate Management, LLC. Mr. Cummins has served as the Chief Compliance Officer of Oxford Park Income Fund, Inc. and Oxford Park Management, LLC, since 2023. Mr. Cummins has been a director of ACA Group since June 2014 and in that capacity he also serves as the Chief Compliance Officer to an unaffiliated private equity firm and three unaffiliated BDCs. Prior to joining ACA Group,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Chief Operating Officer and the Chief Compliance Officer for BroadArch Capital and from 2009 to 2011 the Chief Financial Officer and Chief Compliance Officer to its predecessor New Castle Funds, a long-short equity asset manager. Prior to that, Mr. Cummins spent 25 years at Bear Stearns Asset Management (BSAM), where he was a Managing Director and held senior compliance, controllers and operations risk positions. Mr. Cummins graduated with a B.A. in Mathematics from Fordham University.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compensation of our directors for the six months ended September 30, 2023:</w:t>
      </w:r>
    </w:p>
    <w:tbl>
      <w:tblPr>
        <w:tblW w:w="10205" w:type="dxa"/>
        <w:jc w:val="left"/>
        <w:tblInd w:w="0" w:type="dxa"/>
        <w:tblLayout w:type="fixed"/>
        <w:tblCellMar>
          <w:top w:w="0" w:type="dxa"/>
          <w:left w:w="0" w:type="dxa"/>
          <w:bottom w:w="0" w:type="dxa"/>
          <w:right w:w="0" w:type="dxa"/>
        </w:tblCellMar>
      </w:tblPr>
      <w:tblGrid>
        <w:gridCol w:w="2194"/>
        <w:gridCol w:w="146"/>
        <w:gridCol w:w="242"/>
        <w:gridCol w:w="821"/>
        <w:gridCol w:w="146"/>
        <w:gridCol w:w="2457"/>
        <w:gridCol w:w="146"/>
        <w:gridCol w:w="881"/>
        <w:gridCol w:w="3172"/>
      </w:tblGrid>
      <w:tr>
        <w:trPr/>
        <w:tc>
          <w:tcPr>
            <w:tcW w:w="219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06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w:t>
              <w:br/>
              <w:t>Earned(1)</w:t>
            </w:r>
          </w:p>
        </w:tc>
        <w:tc>
          <w:tcPr>
            <w:tcW w:w="146" w:type="dxa"/>
            <w:tcBorders/>
            <w:vAlign w:val="bottom"/>
          </w:tcPr>
          <w:p>
            <w:pPr>
              <w:pStyle w:val="TableContents"/>
              <w:bidi w:val="0"/>
              <w:spacing w:before="0" w:after="283"/>
              <w:jc w:val="left"/>
              <w:rPr/>
            </w:pPr>
            <w:r>
              <w:rPr/>
              <w:t> </w:t>
            </w:r>
          </w:p>
        </w:tc>
        <w:tc>
          <w:tcPr>
            <w:tcW w:w="245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 Other Compensation(2)</w:t>
            </w:r>
          </w:p>
        </w:tc>
        <w:tc>
          <w:tcPr>
            <w:tcW w:w="146" w:type="dxa"/>
            <w:tcBorders/>
            <w:vAlign w:val="bottom"/>
          </w:tcPr>
          <w:p>
            <w:pPr>
              <w:pStyle w:val="TableContents"/>
              <w:bidi w:val="0"/>
              <w:spacing w:before="0" w:after="283"/>
              <w:jc w:val="left"/>
              <w:rPr/>
            </w:pPr>
            <w:r>
              <w:rPr/>
              <w:t> </w:t>
            </w:r>
          </w:p>
        </w:tc>
        <w:tc>
          <w:tcPr>
            <w:tcW w:w="405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Aggregate Compensation from Fund Complex(3)</w:t>
            </w:r>
          </w:p>
        </w:tc>
      </w:tr>
      <w:tr>
        <w:trPr/>
        <w:tc>
          <w:tcPr>
            <w:tcW w:w="21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172" w:type="dxa"/>
            <w:tcBorders/>
            <w:shd w:fill="CCEEFF" w:val="clear"/>
            <w:vAlign w:val="bottom"/>
          </w:tcPr>
          <w:p>
            <w:pPr>
              <w:pStyle w:val="TableContents"/>
              <w:bidi w:val="0"/>
              <w:spacing w:before="0" w:after="283"/>
              <w:jc w:val="left"/>
              <w:rPr/>
            </w:pPr>
            <w:r>
              <w:rPr/>
              <w:t> </w:t>
            </w:r>
          </w:p>
        </w:tc>
      </w:tr>
      <w:tr>
        <w:trPr/>
        <w:tc>
          <w:tcPr>
            <w:tcW w:w="21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c>
          <w:tcPr>
            <w:tcW w:w="14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1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1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1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1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172" w:type="dxa"/>
            <w:tcBorders/>
            <w:vAlign w:val="bottom"/>
          </w:tcPr>
          <w:p>
            <w:pPr>
              <w:pStyle w:val="TableContents"/>
              <w:bidi w:val="0"/>
              <w:spacing w:before="0" w:after="283"/>
              <w:jc w:val="left"/>
              <w:rPr/>
            </w:pPr>
            <w:r>
              <w:rPr/>
              <w:t> </w:t>
            </w:r>
          </w:p>
        </w:tc>
      </w:tr>
      <w:tr>
        <w:trPr/>
        <w:tc>
          <w:tcPr>
            <w:tcW w:w="21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172" w:type="dxa"/>
            <w:tcBorders/>
            <w:shd w:fill="CCEEFF" w:val="clear"/>
            <w:vAlign w:val="bottom"/>
          </w:tcPr>
          <w:p>
            <w:pPr>
              <w:pStyle w:val="TableContents"/>
              <w:bidi w:val="0"/>
              <w:spacing w:before="0" w:after="283"/>
              <w:jc w:val="left"/>
              <w:rPr/>
            </w:pPr>
            <w:r>
              <w:rPr/>
              <w:t> </w:t>
            </w:r>
          </w:p>
        </w:tc>
      </w:tr>
      <w:tr>
        <w:trPr/>
        <w:tc>
          <w:tcPr>
            <w:tcW w:w="21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J. Ashenfelter</w:t>
            </w:r>
          </w:p>
        </w:tc>
        <w:tc>
          <w:tcPr>
            <w:tcW w:w="14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54,000</w:t>
            </w:r>
          </w:p>
        </w:tc>
        <w:tc>
          <w:tcPr>
            <w:tcW w:w="146" w:type="dxa"/>
            <w:tcBorders/>
            <w:vAlign w:val="bottom"/>
          </w:tcPr>
          <w:p>
            <w:pPr>
              <w:pStyle w:val="TableContents"/>
              <w:bidi w:val="0"/>
              <w:spacing w:before="0" w:after="283"/>
              <w:jc w:val="left"/>
              <w:rPr/>
            </w:pPr>
            <w:r>
              <w:rPr/>
              <w:t> </w:t>
            </w:r>
          </w:p>
        </w:tc>
        <w:tc>
          <w:tcPr>
            <w:tcW w:w="24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17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56,500</w:t>
            </w:r>
          </w:p>
        </w:tc>
      </w:tr>
      <w:tr>
        <w:trPr/>
        <w:tc>
          <w:tcPr>
            <w:tcW w:w="21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Reardon</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54,000</w:t>
            </w:r>
          </w:p>
        </w:tc>
        <w:tc>
          <w:tcPr>
            <w:tcW w:w="146" w:type="dxa"/>
            <w:tcBorders/>
            <w:shd w:fill="CCEEFF" w:val="clear"/>
            <w:vAlign w:val="bottom"/>
          </w:tcPr>
          <w:p>
            <w:pPr>
              <w:pStyle w:val="TableContents"/>
              <w:bidi w:val="0"/>
              <w:spacing w:before="0" w:after="283"/>
              <w:jc w:val="left"/>
              <w:rPr/>
            </w:pPr>
            <w:r>
              <w:rPr/>
              <w:t> </w:t>
            </w:r>
          </w:p>
        </w:tc>
        <w:tc>
          <w:tcPr>
            <w:tcW w:w="24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17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56,500</w:t>
            </w:r>
          </w:p>
        </w:tc>
      </w:tr>
      <w:tr>
        <w:trPr/>
        <w:tc>
          <w:tcPr>
            <w:tcW w:w="21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S. Shin</w:t>
            </w:r>
          </w:p>
        </w:tc>
        <w:tc>
          <w:tcPr>
            <w:tcW w:w="14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59,000</w:t>
            </w:r>
          </w:p>
        </w:tc>
        <w:tc>
          <w:tcPr>
            <w:tcW w:w="146" w:type="dxa"/>
            <w:tcBorders/>
            <w:vAlign w:val="bottom"/>
          </w:tcPr>
          <w:p>
            <w:pPr>
              <w:pStyle w:val="TableContents"/>
              <w:bidi w:val="0"/>
              <w:spacing w:before="0" w:after="283"/>
              <w:jc w:val="left"/>
              <w:rPr/>
            </w:pPr>
            <w:r>
              <w:rPr/>
              <w:t> </w:t>
            </w:r>
          </w:p>
        </w:tc>
        <w:tc>
          <w:tcPr>
            <w:tcW w:w="24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17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a discussion of the independent directors’ compensation, see below.</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We do not maintain a stock option plan, non-equity incentive plan or pension plan for our directors.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“Fund Complex” includes Oxford Park Income Fund,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October 1, 2023, independent directors received an annual fee of $90,000. In addition, the independent directors received $2,000 plus reimbursement of reasonable out-of-pocket expenses incurred in connection with attending each Board of Directors meeting, and relevant committee members received $1,500 plus reimbursement of reasonable out-of-pocket expenses incurred in connection with attending each Valuation Committee meeting and $1,000 plus reimbursement of reasonable out-of-pocket expenses incurred in connection with attending each Audit Committee meeting. The Chairman of the Audit Committee also received an additional annual fee of $10,000.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October 1, 2023, independent directors continue to receive an annual fee of $90,000. In addition, the independent directors receive $4,000 plus reimbursement of reasonable out-of-pocket expenses incurred in connection with attending each Board of Directors meeting, and relevant committee members receive $1,500 plus reimbursement of reasonable out-of-pocket expenses incurred in connection with attending each Valuation Committee meeting and $1,500 plus reimbursement of reasonable out-of-pocket expenses incurred in connection with attending each Audit Committee meeting. The Chairman of the Audit Committee continues to receive an additional annual fee of $10,000. No compensation is paid to directors who are interested persons of the Fund as defined in Section 2(a)(19) of the 1940 Act.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Chief Executive Officer and Other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a compensation committee because our executive officers do not receive any direct compensation from the Fund. Mr. Cohen, our Chief Executive Officer, and Mr. Rosenthal, our President, through their ownership interest in Oxford Funds,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of Mr. Rubin, our Chief Financial Officer, Treasurer and Corporate Secretary, is paid by our administrator, Oxford Funds, subject to reimbursement by us of an allocable portion of such compensation for services rendered by Mr. Rubin to the Fund.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Cummins, our Chief Compliance Officer, is a director of ACA Group, LLC and performs his functions under the terms of an agreement between us and ACA Group, LLC.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3"/>
      <w:bookmarkEnd w:id="16"/>
      <w:r>
        <w:rPr>
          <w:rFonts w:ascii="Times New Roman PS Std;serif" w:hAnsi="Times New Roman PS Std;serif"/>
          <w:b/>
          <w:i w:val="false"/>
          <w:caps w:val="false"/>
          <w:smallCaps w:val="false"/>
          <w:sz w:val="20"/>
        </w:rPr>
        <w:t>BOARD APPROVAL OF THE INVESTMENT ADVISORY AGREEMENT</w:t>
        <w:br/>
        <w:t>(unaudited)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 in-person meeting of our Board of Directors held on July 27, 2023, our Board of Directors unanimously voted to re-approve the Investment Advisory Agreement. In reaching a decision to approve the Investment Advisory Agreement, the independent directors reviewed a significant amount of information provided by Oxford Lane Management in response to questionnaires provided by counsel to the independent directors on behalf of the independent directors and considered and concluded,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nature, quality and extent of the advisory and other services to be provided to us by Oxford Lane Management, including with respect to the investment criteria and parameters used by Oxford Lane Management in identifying potential investment opportunities and Oxford Lane Management’s policies and guidelines currently in place to monitor and manage the risk and volatility associated with the Fund’s portfolio, and the qualifications and abilities of the professional personnel of Oxford Lane Management and the compensation structure for such personnel, and concluded that such services are satisfactory;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investment performance of the Fund and Oxford Lane Management including a comparison to the performance of the Fund’s peer group, and concluded that the Fund’s performance is reasonable in comparison to its peers;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Comparative data with respect to advisory fees or similar expenses paid by other closed-end management investment companies with similar investment objectives, and concluded that the total advisory fees paid by the Fund to Oxford Lane Management were not unreasonable;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historical and projected operating expenses and expense ratio compared to closed-end management investment companies with similar investment objectives, and concluded that our operating expenses were reasonable;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direct and indirect costs that might be incurred by Oxford Lane Management and its affiliates in performing services for the Fund and the basis of determining and allocating these costs, including through the Investment Advisory Agreement and Administration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possible economies of scale arising from the Fund’s size and/or anticipated growth;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services to be performed and the personnel performing such services under the Investment Advisory Agreement, and concluded that the services to be performed and the personnel performing such services were satisfactory;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possible benefits to the Adviser and its affiliates arising from their relationships with the Fund;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of obtaining similar services from other third-party service providers or through an internally managed structure, and concluded that our current externally managed structure with Oxford Lane Management as our investment advisor was satisfactory.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information reviewed and the discussions detailed above, the Board of Directors, including all of the directors who are not “interested persons” as defined in the 1940 Act, and assisted by independent counsel, concluded that the fees payable to Oxford Lane Management pursuant to the Investment Advisory Agreement were not unreasonable, and comparable to the fees paid by other management investment companies with similar investment objectives, in relation to the services to be provided. The Board of Directors did not assign relative weights to the above factors or the other factors considered by it. Individual members of the Board of Directors may have given different weights to different factors.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2"/>
      <w:bookmarkEnd w:id="17"/>
      <w:r>
        <w:rPr>
          <w:rFonts w:ascii="Times New Roman PS Std;serif" w:hAnsi="Times New Roman PS Std;serif"/>
          <w:b/>
          <w:i w:val="false"/>
          <w:caps w:val="false"/>
          <w:smallCaps w:val="false"/>
          <w:sz w:val="20"/>
        </w:rPr>
        <w:t>SUBMISSION OF MATTERS TO A VOTE OF STOCKHOLDERS</w:t>
        <w:br/>
        <w:t>(unaudited)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held its Annual Meeting of Stockholders (the ‘‘Meeting’’) on October 20, 2023 and submitted one matter to the vote of the stockholders. At the Meeting, stockholders elected nominees for director, to serve for a three-year term to expire at the 2026 Annual Meeting of Stockholders based on the following votes:</w:t>
      </w:r>
    </w:p>
    <w:tbl>
      <w:tblPr>
        <w:tblW w:w="4990" w:type="dxa"/>
        <w:jc w:val="left"/>
        <w:tblInd w:w="0" w:type="dxa"/>
        <w:tblLayout w:type="fixed"/>
        <w:tblCellMar>
          <w:top w:w="0" w:type="dxa"/>
          <w:left w:w="0" w:type="dxa"/>
          <w:bottom w:w="0" w:type="dxa"/>
          <w:right w:w="0" w:type="dxa"/>
        </w:tblCellMar>
      </w:tblPr>
      <w:tblGrid>
        <w:gridCol w:w="1681"/>
        <w:gridCol w:w="146"/>
        <w:gridCol w:w="1306"/>
        <w:gridCol w:w="146"/>
        <w:gridCol w:w="1711"/>
      </w:tblGrid>
      <w:tr>
        <w:trPr/>
        <w:tc>
          <w:tcPr>
            <w:tcW w:w="16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Votes for</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Votes Withheld</w:t>
            </w:r>
          </w:p>
        </w:tc>
      </w:tr>
      <w:tr>
        <w:trPr/>
        <w:tc>
          <w:tcPr>
            <w:tcW w:w="16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Reardon(1)</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109,183,135</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16,705,189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Mr. Reardon was elected by the holders of our common stock and preferred stock, voting together as a single class.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1"/>
      <w:bookmarkEnd w:id="18"/>
      <w:r>
        <w:rPr>
          <w:rFonts w:ascii="Times New Roman PS Std;serif" w:hAnsi="Times New Roman PS Std;serif"/>
          <w:b/>
          <w:i w:val="false"/>
          <w:caps w:val="false"/>
          <w:smallCaps w:val="false"/>
          <w:sz w:val="20"/>
        </w:rPr>
        <w:t>ADDITIONAL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Portfolio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Fund prepares Form N-PORT, which contains a complete schedule of the Fund’s portfolio holdings, on a monthly basis, and makes its N-PORT filings with the SEC on a quarterly basis within 60 days after the end of each quarter. The Fund’s N-PORT filings for the third month of each quarter are available on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description of the policies and procedures that Oxford Lane Management uses to determine how to vote proxies relating to the Fund’s portfolio securities is available (i) without charge, upon request, by calling (203) 983-5275; (ii) on the Fund’s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 xml:space="preserve">. Information about how Oxford Lane Management voted proxies with respect to the Fund’s portfolio securities during the most recent 12-month period ended March 31 can be obtained by making a written request for proxy voting information to: Chief Compliance Officer, Oxford Lane Management, LLC, 8 Sound Shore Drive, Suite 255, Greenwich, CT 06830. All information described in this paragraph is also available on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tax purposes, distributions to stockholders during the six months ended September 30, 2023 were approximately $86.5 million.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Privacy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safeguard, according to strict standards of security and confidentiality, all information we receive about you. With regard to this information, we maintain procedural safeguards that comply with federal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goal is to limit the collection and use of information about you. When you purchase shares of our common stock, our transfer agent collects personal information about you, such as your name, address, social security number or tax identification number.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is used only so that we can send you annual and semi-annual reports, proxy statements and other information required by law, and to send you information we believe may be of interest to you.</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share such information with any non-affiliated third party except as described below: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our policy that only authorized employees of our investment adviser, Oxford Lane Management, who need to know your personal information will have access to 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required by law, we may disclose stockholder-related information in accordance with a court order or at the request of government regulators. Only that information required by law, subpoena, or court order will be disclosed.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privacy policy is available on our website at </w:t>
      </w:r>
      <w:r>
        <w:rPr>
          <w:rFonts w:ascii="Times New Roman PS Std;serif" w:hAnsi="Times New Roman PS Std;serif"/>
          <w:b w:val="false"/>
          <w:i/>
          <w:caps w:val="false"/>
          <w:smallCaps w:val="false"/>
          <w:sz w:val="20"/>
        </w:rPr>
        <w:t>https://www.oxfordfunds.com/privacy-policy/</w:t>
      </w:r>
      <w:r>
        <w:rPr>
          <w:rFonts w:ascii="Times New Roman PS Std;serif" w:hAnsi="Times New Roman PS Std;serif"/>
          <w:b w:val="false"/>
          <w:i w:val="false"/>
          <w:caps w:val="false"/>
          <w:smallCaps w:val="false"/>
          <w:sz w:val="20"/>
        </w:rPr>
        <w:t>. If you have any questions or concerns about the policy, please contact by calling (203) 983-5275.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false"/>
        <w:pageBreakBefore w:val="false"/>
        <w:widowControl/>
        <w:pBdr/>
        <w:bidi w:val="0"/>
        <w:spacing w:before="2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OF DIRECTORS</w:t>
        <w:br/>
        <w:t>Independent Directors</w:t>
        <w:br/>
      </w:r>
      <w:r>
        <w:rPr>
          <w:rFonts w:ascii="Times New Roman PS Std;serif" w:hAnsi="Times New Roman PS Std;serif"/>
          <w:b/>
          <w:i w:val="false"/>
          <w:caps w:val="false"/>
          <w:smallCaps w:val="false"/>
          <w:sz w:val="20"/>
        </w:rPr>
        <w:t>Mark J. Ashenfelter, Chairman of the Board of Directors</w:t>
        <w:br/>
        <w:t>John Reardon</w:t>
        <w:br/>
        <w:t>David S. Shin</w:t>
      </w:r>
    </w:p>
    <w:p>
      <w:pPr>
        <w:pStyle w:val="TextBody"/>
        <w:keepNext w:val="false"/>
        <w:pageBreakBefore w:val="false"/>
        <w:widowControl/>
        <w:pBdr/>
        <w:bidi w:val="0"/>
        <w:spacing w:before="2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Interested Directors(1)</w:t>
        <w:br/>
      </w:r>
      <w:r>
        <w:rPr>
          <w:rFonts w:ascii="Times New Roman PS Std;serif" w:hAnsi="Times New Roman PS Std;serif"/>
          <w:b/>
          <w:i w:val="false"/>
          <w:caps w:val="false"/>
          <w:smallCaps w:val="false"/>
          <w:sz w:val="20"/>
        </w:rPr>
        <w:t>Jonathan H. Cohen</w:t>
        <w:br/>
        <w:t>Saul B. Rosenthal</w:t>
      </w:r>
    </w:p>
    <w:p>
      <w:pPr>
        <w:pStyle w:val="TextBody"/>
        <w:keepNext w:val="false"/>
        <w:pageBreakBefore w:val="false"/>
        <w:widowControl/>
        <w:pBdr/>
        <w:bidi w:val="0"/>
        <w:spacing w:before="2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OFFICERS</w:t>
        <w:br/>
      </w:r>
      <w:r>
        <w:rPr>
          <w:rFonts w:ascii="Times New Roman PS Std;serif" w:hAnsi="Times New Roman PS Std;serif"/>
          <w:b/>
          <w:i w:val="false"/>
          <w:caps w:val="false"/>
          <w:smallCaps w:val="false"/>
          <w:sz w:val="20"/>
        </w:rPr>
        <w:t>Jonathan H. Cohen, Chief Executive Officer</w:t>
        <w:br/>
        <w:t>Saul B. Rosenthal, President</w:t>
        <w:br/>
        <w:t>Bruce L. Rubin, Chief Financial Officer, Corporate Secretary and Treasurer</w:t>
        <w:br/>
        <w:t>Gerald Cummins, Chief Compliance Officer</w:t>
      </w:r>
    </w:p>
    <w:p>
      <w:pPr>
        <w:pStyle w:val="TextBody"/>
        <w:keepNext w:val="false"/>
        <w:pageBreakBefore w:val="false"/>
        <w:widowControl/>
        <w:pBdr/>
        <w:bidi w:val="0"/>
        <w:spacing w:before="2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ADVISER</w:t>
        <w:br/>
      </w:r>
      <w:r>
        <w:rPr>
          <w:rFonts w:ascii="Times New Roman PS Std;serif" w:hAnsi="Times New Roman PS Std;serif"/>
          <w:b/>
          <w:i w:val="false"/>
          <w:caps w:val="false"/>
          <w:smallCaps w:val="false"/>
          <w:sz w:val="20"/>
        </w:rPr>
        <w:t>Oxford Lane Management, LLC</w:t>
        <w:br/>
        <w:t>8 Sound Shore Drive, Suite 255</w:t>
        <w:br/>
        <w:t>Greenwich, CT 06830</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Interested directors are “interested persons,” as defined in section 2(a)(19) of the Investment Company Act of 1940, as amended.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8 Sound Shore Drive, Suite 255 | Greenwich, CT 06830 | </w:t>
      </w:r>
      <w:r>
        <w:rPr>
          <w:rFonts w:ascii="Times New Roman PS Std;serif" w:hAnsi="Times New Roman PS Std;serif"/>
          <w:b w:val="false"/>
          <w:i/>
          <w:caps w:val="false"/>
          <w:smallCaps w:val="false"/>
          <w:sz w:val="20"/>
        </w:rPr>
        <w:t>oxfordlanecapital.com</w:t>
      </w:r>
      <w:r>
        <w:rPr>
          <w:rFonts w:ascii="Times New Roman PS Std;serif" w:hAnsi="Times New Roman PS Std;serif"/>
          <w:b w:val="false"/>
          <w:i w:val="false"/>
          <w:caps w:val="false"/>
          <w:smallCaps w:val="false"/>
          <w:sz w:val="20"/>
        </w:rPr>
        <w:t xml:space="preserve"> | (203) 983-5275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 Code of Ethics.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required by this item is not required in a semi-annual report on Form N-CSR.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3. Audit Committee Financial Expert.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required by this item is not required in a semi-annual report on Form N-CSR.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4. Principal Accountant Fees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required by this item is not required in a semi-annual report on Form N-CSR.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5. Audit Committee of Listed Registrant.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required by this item is not required in a semi-annual report on Form N-CSR.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6.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the schedule of investments contained in the Report to Stockholders included under Item 1 of this Form N-CSR.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7. Disclosure of Proxy Voting Policies and Procedures for Closed-End Management Investment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required by this item is not required in a semi-annual report on Form N-CSR.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8. Portfolio Managers of Closed-End Investment Companies.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information required by this item is not required in a semi-annual report on Form N-CSR.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There has been no change, as of the date of the filing of this semi-annual report on Form N-CSR, to any of the portfolio managers identified in response to paragraph (a)(1) of this item in the Registrant’s most recent annual report on Form N-CSR.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9. Purchases of Equity Securities by Closed-End Management Investment Company and Affiliated Purchasers.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no material changes to the procedures by which stockholders may recommend nominees to the registrant’s board of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10. Submission of Matters to a Vote of Security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11. Controls and Procedures.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Based on an evaluation of the Disclosure Controls and Procedures (as defined in Rule 30a-3(c) under the Investment Company Act of 1940, the “Disclosure Controls”) as of a date within 90 days of the filing date (the “Filing Date”) of this Form N-CSR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There were no changes in the Registrant’s internal control over financial reporting (as defined in Rule 30a-3(d) under the Investment Company Act of 1940) that occurred during the period covered by this report that have materially affected or are reasonably likely to materially affect the Registrant’s internal control over financial reporting.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12. Disclosure of Securities Lending Activities for Closed-End Management Investment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13. Exhibits.</w:t>
      </w:r>
    </w:p>
    <w:p>
      <w:pPr>
        <w:pStyle w:val="TextBody"/>
        <w:keepNext w:val="false"/>
        <w:pageBreakBefore w:val="false"/>
        <w:widowControl/>
        <w:pBdr/>
        <w:bidi w:val="0"/>
        <w:spacing w:before="160" w:after="283"/>
        <w:ind w:left="120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     Not applicable.</w:t>
      </w:r>
    </w:p>
    <w:p>
      <w:pPr>
        <w:pStyle w:val="TextBody"/>
        <w:keepNext w:val="false"/>
        <w:pageBreakBefore w:val="false"/>
        <w:widowControl/>
        <w:pBdr/>
        <w:bidi w:val="0"/>
        <w:spacing w:before="160" w:after="283"/>
        <w:ind w:left="1200" w:right="0" w:hanging="720"/>
        <w:jc w:val="left"/>
        <w:rPr/>
      </w:pPr>
      <w:r>
        <w:rPr>
          <w:rFonts w:ascii="Times New Roman PS Std;serif" w:hAnsi="Times New Roman PS Std;serif"/>
          <w:b w:val="false"/>
          <w:i w:val="false"/>
          <w:caps w:val="false"/>
          <w:smallCaps w:val="false"/>
          <w:sz w:val="20"/>
        </w:rPr>
        <w:t>(a)(2)     </w:t>
      </w:r>
      <w:hyperlink w:anchor="ea164050_ex99-cert.htm">
        <w:r>
          <w:rPr>
            <w:rStyle w:val="InternetLink"/>
            <w:rFonts w:ascii="Times New Roman PS Std;serif" w:hAnsi="Times New Roman PS Std;serif"/>
            <w:b w:val="false"/>
            <w:i w:val="false"/>
            <w:caps w:val="false"/>
            <w:smallCaps w:val="false"/>
            <w:sz w:val="20"/>
          </w:rPr>
          <w:t>Certifications of principal executive officer and principal financial officer as required by Rule 30a-2(a) under the Investment Company Act of 1940.</w:t>
        </w:r>
      </w:hyperlink>
    </w:p>
    <w:p>
      <w:pPr>
        <w:pStyle w:val="TextBody"/>
        <w:keepNext w:val="false"/>
        <w:pageBreakBefore w:val="false"/>
        <w:widowControl/>
        <w:pBdr/>
        <w:bidi w:val="0"/>
        <w:spacing w:before="160" w:after="283"/>
        <w:ind w:left="120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     Not applicable.</w:t>
      </w:r>
    </w:p>
    <w:p>
      <w:pPr>
        <w:pStyle w:val="TextBody"/>
        <w:keepNext w:val="false"/>
        <w:pageBreakBefore w:val="false"/>
        <w:widowControl/>
        <w:pBdr/>
        <w:bidi w:val="0"/>
        <w:spacing w:before="160" w:after="283"/>
        <w:ind w:left="120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     Not applicable.</w:t>
      </w:r>
    </w:p>
    <w:p>
      <w:pPr>
        <w:pStyle w:val="TextBody"/>
        <w:keepNext w:val="false"/>
        <w:pageBreakBefore w:val="false"/>
        <w:widowControl/>
        <w:pBdr/>
        <w:bidi w:val="0"/>
        <w:spacing w:before="160" w:after="283"/>
        <w:ind w:left="1200" w:right="0" w:hanging="720"/>
        <w:jc w:val="left"/>
        <w:rPr/>
      </w:pPr>
      <w:r>
        <w:rPr>
          <w:rFonts w:ascii="Times New Roman PS Std;serif" w:hAnsi="Times New Roman PS Std;serif"/>
          <w:b w:val="false"/>
          <w:i w:val="false"/>
          <w:caps w:val="false"/>
          <w:smallCaps w:val="false"/>
          <w:sz w:val="20"/>
        </w:rPr>
        <w:t>(b)         </w:t>
      </w:r>
      <w:hyperlink w:anchor="ea164050_ex99-906cert.htm">
        <w:r>
          <w:rPr>
            <w:rStyle w:val="InternetLink"/>
            <w:rFonts w:ascii="Times New Roman PS Std;serif" w:hAnsi="Times New Roman PS Std;serif"/>
            <w:b w:val="false"/>
            <w:i w:val="false"/>
            <w:caps w:val="false"/>
            <w:smallCaps w:val="false"/>
            <w:sz w:val="20"/>
          </w:rPr>
          <w:t>Certifications of chief executive officer and chief accounting officer as required by Rule 30a-2(b) under the Investment Company Act of 1940.</w:t>
        </w:r>
      </w:hyperlink>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Exchange Act of 1934 and the Investment Company Act of 1940, the Registrant has duly caused this report to be signed on its behalf by the undersigned, thereunto duly authorized.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tbl>
      <w:tblPr>
        <w:tblW w:w="3410" w:type="dxa"/>
        <w:jc w:val="left"/>
        <w:tblInd w:w="0" w:type="dxa"/>
        <w:tblLayout w:type="fixed"/>
        <w:tblCellMar>
          <w:top w:w="0" w:type="dxa"/>
          <w:left w:w="0" w:type="dxa"/>
          <w:bottom w:w="0" w:type="dxa"/>
          <w:right w:w="0" w:type="dxa"/>
        </w:tblCellMar>
      </w:tblPr>
      <w:tblGrid>
        <w:gridCol w:w="161"/>
        <w:gridCol w:w="146"/>
        <w:gridCol w:w="421"/>
        <w:gridCol w:w="146"/>
        <w:gridCol w:w="253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5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Jonathan H. Cohen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br/>
              <w:t>Chief Executive Officer</w:t>
              <w:br/>
              <w:t>Date: November 7, 2023</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Exchange Act of 1934 and the Investment Company Act of 1940, this report has been signed below by the following persons on behalf of the Registrant and in the capacities and on the dates indicated.</w:t>
      </w:r>
    </w:p>
    <w:tbl>
      <w:tblPr>
        <w:tblW w:w="3410" w:type="dxa"/>
        <w:jc w:val="left"/>
        <w:tblInd w:w="0" w:type="dxa"/>
        <w:tblLayout w:type="fixed"/>
        <w:tblCellMar>
          <w:top w:w="0" w:type="dxa"/>
          <w:left w:w="0" w:type="dxa"/>
          <w:bottom w:w="0" w:type="dxa"/>
          <w:right w:w="0" w:type="dxa"/>
        </w:tblCellMar>
      </w:tblPr>
      <w:tblGrid>
        <w:gridCol w:w="161"/>
        <w:gridCol w:w="146"/>
        <w:gridCol w:w="421"/>
        <w:gridCol w:w="146"/>
        <w:gridCol w:w="253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5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Jonathan H. Cohen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br/>
              <w:t>Chief Executive Officer</w:t>
              <w:br/>
              <w:t>Date: November 7, 2023</w:t>
            </w:r>
          </w:p>
        </w:tc>
      </w:tr>
    </w:tbl>
    <w:tbl>
      <w:tblPr>
        <w:tblW w:w="3410" w:type="dxa"/>
        <w:jc w:val="left"/>
        <w:tblInd w:w="0" w:type="dxa"/>
        <w:tblLayout w:type="fixed"/>
        <w:tblCellMar>
          <w:top w:w="0" w:type="dxa"/>
          <w:left w:w="0" w:type="dxa"/>
          <w:bottom w:w="0" w:type="dxa"/>
          <w:right w:w="0" w:type="dxa"/>
        </w:tblCellMar>
      </w:tblPr>
      <w:tblGrid>
        <w:gridCol w:w="161"/>
        <w:gridCol w:w="146"/>
        <w:gridCol w:w="421"/>
        <w:gridCol w:w="146"/>
        <w:gridCol w:w="253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5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Bruce L. Rubin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L. Rubin</w:t>
              <w:br/>
              <w:t>Chief Financial Officer</w:t>
              <w:br/>
              <w:t>Date: November 7, 2023</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75</w:t>
      </w: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19" w:name="ea164050_ex99-cert.htm"/>
      <w:bookmarkStart w:id="20" w:name="ksea164050_ex99cert"/>
      <w:bookmarkEnd w:id="19"/>
      <w:bookmarkEnd w:id="20"/>
      <w:r>
        <w:rPr>
          <w:rFonts w:ascii="Times New Roman PS Std;serif" w:hAnsi="Times New Roman PS Std;serif"/>
          <w:b/>
          <w:i w:val="false"/>
          <w:caps w:val="false"/>
          <w:smallCaps w:val="false"/>
          <w:sz w:val="20"/>
        </w:rPr>
        <w:t>Exhibit 99.CERT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13(a)(2)</w:t>
        <w:br/>
        <w:t>Rule 30a-2(a) Certification</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Jonathan H. Cohen, Chief Executive Officer of Oxford Lane Capital Corp., certify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 have reviewed this report on Form N-CSR of Oxford Lane Capital Corp.;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disclosed in this report any change in the registrant’s internal control over financial reporting that occurred during the registrant’s period covered by this report that has materially affected, or is reasonably likely to materially affect, the registrant’s internal control over financial reporting;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registrant’s other certifying officer and I have disclosed to the registrant’s auditors and the audit committee of the registrant’s board of directors (or persons performing the equivalent functions):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this 7th day of November, 2023</w:t>
      </w:r>
    </w:p>
    <w:tbl>
      <w:tblPr>
        <w:tblW w:w="2828" w:type="dxa"/>
        <w:jc w:val="left"/>
        <w:tblInd w:w="0" w:type="dxa"/>
        <w:tblLayout w:type="fixed"/>
        <w:tblCellMar>
          <w:top w:w="0" w:type="dxa"/>
          <w:left w:w="0" w:type="dxa"/>
          <w:bottom w:w="0" w:type="dxa"/>
          <w:right w:w="0" w:type="dxa"/>
        </w:tblCellMar>
      </w:tblPr>
      <w:tblGrid>
        <w:gridCol w:w="161"/>
        <w:gridCol w:w="146"/>
        <w:gridCol w:w="252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5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JONATHAN H. COHEN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13(a)(2)</w:t>
        <w:br/>
        <w:t>Rule 30a-2(a) Certification</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Bruce L. Rubin, Chief Financial Officer of Oxford Lane Capital Corp., certify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 have reviewed this report on Form N-CSR of Oxford Lane Capital Corp.;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disclosed in this report any change in the registrant’s internal control over financial reporting that occurred during the registrant’s period covered by this report that has materially affected, or is reasonably likely to materially affect, the registrant’s internal control over financial reporting;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registrant’s other certifying officer and I have disclosed to the registrant’s auditors and the audit committee of the registrant’s board of directors (or persons performing the equivalent functions):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this 7th day of November, 2023</w:t>
      </w:r>
    </w:p>
    <w:tbl>
      <w:tblPr>
        <w:tblW w:w="2603" w:type="dxa"/>
        <w:jc w:val="left"/>
        <w:tblInd w:w="0" w:type="dxa"/>
        <w:tblLayout w:type="fixed"/>
        <w:tblCellMar>
          <w:top w:w="0" w:type="dxa"/>
          <w:left w:w="0" w:type="dxa"/>
          <w:bottom w:w="0" w:type="dxa"/>
          <w:right w:w="0" w:type="dxa"/>
        </w:tblCellMar>
      </w:tblPr>
      <w:tblGrid>
        <w:gridCol w:w="161"/>
        <w:gridCol w:w="146"/>
        <w:gridCol w:w="229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BRUCE L. RUBIN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L. Rubin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right"/>
        <w:rPr>
          <w:rFonts w:ascii="Times New Roman PS Std;serif" w:hAnsi="Times New Roman PS Std;serif"/>
          <w:b/>
          <w:i w:val="false"/>
          <w:caps w:val="false"/>
          <w:smallCaps w:val="false"/>
          <w:sz w:val="20"/>
        </w:rPr>
      </w:pPr>
      <w:bookmarkStart w:id="21" w:name="ea164050_ex99-906cert.htm"/>
      <w:bookmarkStart w:id="22" w:name="ksea164050_ex99906cert"/>
      <w:bookmarkEnd w:id="21"/>
      <w:bookmarkEnd w:id="22"/>
      <w:r>
        <w:rPr>
          <w:rFonts w:ascii="Times New Roman PS Std;serif" w:hAnsi="Times New Roman PS Std;serif"/>
          <w:b/>
          <w:i w:val="false"/>
          <w:caps w:val="false"/>
          <w:smallCaps w:val="false"/>
          <w:sz w:val="20"/>
        </w:rPr>
        <w:t>Exhibit 99.906 CERT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13(b)</w:t>
        <w:br/>
        <w:t>Rule 30a-2(b) Certification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Report on Form N-CSR for the period ended September 30, 2023 (the “Report”) of Oxford Lane Capital Corp. (the “Registrant”), as filed with the Securities and Exchange Commission on the date hereof, I, Jonathan H. Cohen, the Chief Executive Officer of the Registrant, hereby certify, to the best of my knowledge,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Report fully complies with the requirements of Section 13(a) or 15(d) of the Securities Exchange Act of 1934, as amended;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information contained in the Report fairly presents, in all material respects, the financial condition and results of operations of the Registrant.</w:t>
      </w:r>
    </w:p>
    <w:tbl>
      <w:tblPr>
        <w:tblW w:w="3038" w:type="dxa"/>
        <w:jc w:val="left"/>
        <w:tblInd w:w="0" w:type="dxa"/>
        <w:tblLayout w:type="fixed"/>
        <w:tblCellMar>
          <w:top w:w="0" w:type="dxa"/>
          <w:left w:w="0" w:type="dxa"/>
          <w:bottom w:w="0" w:type="dxa"/>
          <w:right w:w="0" w:type="dxa"/>
        </w:tblCellMar>
      </w:tblPr>
      <w:tblGrid>
        <w:gridCol w:w="161"/>
        <w:gridCol w:w="146"/>
        <w:gridCol w:w="273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73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JONATHAN H. COHEN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7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Jonathan H. Cohen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7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November 7th, 2023</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Exhibit 13(b)</w:t>
        <w:br/>
        <w:t>Rule 30a-2(b) Certification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In connection with the Report on Form N-CSR for the period ended September 30, 2023 (the “Report”) of Oxford Lane Capital Corp. (the “Registrant”), as filed with the Securities and Exchange Commission on the date hereof, I, Bruce L. Rubin, the Chief Financial Officer of the Registrant, hereby certify, to the best of my knowledge,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(1)    The Report fully complies with the requirements of Section 13(a) or 15(d) of the Securities Exchange Act of 1934, as amended;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(2)    The information contained in the Report fairly presents, in all material respects, the financial condition and results of operations of the Registrant.</w:t>
      </w:r>
    </w:p>
    <w:tbl>
      <w:tblPr>
        <w:tblW w:w="3038" w:type="dxa"/>
        <w:jc w:val="left"/>
        <w:tblInd w:w="0" w:type="dxa"/>
        <w:tblLayout w:type="fixed"/>
        <w:tblCellMar>
          <w:top w:w="0" w:type="dxa"/>
          <w:left w:w="0" w:type="dxa"/>
          <w:bottom w:w="0" w:type="dxa"/>
          <w:right w:w="0" w:type="dxa"/>
        </w:tblCellMar>
      </w:tblPr>
      <w:tblGrid>
        <w:gridCol w:w="161"/>
        <w:gridCol w:w="146"/>
        <w:gridCol w:w="273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73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BRUCE L. RUBIN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7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Bruce L. Rubin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7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November 7th, 2023</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81</Pages>
  <Words>36508</Words>
  <Characters>205260</Characters>
  <CharactersWithSpaces>250081</CharactersWithSpaces>
  <Paragraphs>16284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